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73D9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73D9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73D9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73D9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73D9D" w:rsidTr="002E5576">
        <w:tc>
          <w:tcPr>
            <w:tcW w:w="4518" w:type="dxa"/>
          </w:tcPr>
          <w:p w:rsidR="00BF25F3" w:rsidRPr="002E2327" w:rsidRDefault="00D3126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3126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73D9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73D9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173D9D">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173D9D">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C70B1" w:rsidP="00F0068D">
      <w:pPr>
        <w:pBdr>
          <w:bottom w:val="single" w:sz="6" w:space="1" w:color="auto"/>
        </w:pBdr>
        <w:tabs>
          <w:tab w:val="center" w:pos="4680"/>
          <w:tab w:val="right" w:pos="9360"/>
        </w:tabs>
        <w:rPr>
          <w:lang w:val="fr-CA"/>
        </w:rPr>
      </w:pPr>
      <w:r>
        <w:rPr>
          <w:lang w:val="fr-CA"/>
        </w:rPr>
        <w:t>M</w:t>
      </w:r>
      <w:r w:rsidR="00C73D06">
        <w:rPr>
          <w:lang w:val="fr-CA"/>
        </w:rPr>
        <w:t>ar</w:t>
      </w:r>
      <w:r>
        <w:rPr>
          <w:lang w:val="fr-CA"/>
        </w:rPr>
        <w:t>ch</w:t>
      </w:r>
      <w:r w:rsidR="00440E24" w:rsidRPr="00675479">
        <w:rPr>
          <w:lang w:val="fr-CA"/>
        </w:rPr>
        <w:t xml:space="preserve"> </w:t>
      </w:r>
      <w:r>
        <w:rPr>
          <w:lang w:val="fr-CA"/>
        </w:rPr>
        <w:t>27</w:t>
      </w:r>
      <w:r w:rsidR="00440E24" w:rsidRPr="00675479">
        <w:rPr>
          <w:lang w:val="fr-CA"/>
        </w:rPr>
        <w:t>, 201</w:t>
      </w:r>
      <w:r w:rsidR="00020DC3">
        <w:rPr>
          <w:lang w:val="fr-CA"/>
        </w:rPr>
        <w:t>5</w:t>
      </w:r>
      <w:r w:rsidR="00F0068D" w:rsidRPr="00675479">
        <w:rPr>
          <w:lang w:val="fr-CA"/>
        </w:rPr>
        <w:tab/>
      </w:r>
      <w:r>
        <w:rPr>
          <w:lang w:val="fr-CA"/>
        </w:rPr>
        <w:t>52</w:t>
      </w:r>
      <w:r w:rsidR="00F0068D" w:rsidRPr="00675479">
        <w:rPr>
          <w:lang w:val="fr-CA"/>
        </w:rPr>
        <w:t xml:space="preserve">1 - </w:t>
      </w:r>
      <w:r w:rsidR="00FF1CDE">
        <w:rPr>
          <w:lang w:val="fr-CA"/>
        </w:rPr>
        <w:t>570</w:t>
      </w:r>
      <w:r w:rsidR="00440E24" w:rsidRPr="00675479">
        <w:rPr>
          <w:lang w:val="fr-CA"/>
        </w:rPr>
        <w:tab/>
      </w:r>
      <w:r w:rsidR="00440E24" w:rsidRPr="002E2327">
        <w:rPr>
          <w:lang w:val="fr-CA"/>
        </w:rPr>
        <w:t>Le</w:t>
      </w:r>
      <w:r w:rsidR="00C73D06">
        <w:rPr>
          <w:lang w:val="fr-CA"/>
        </w:rPr>
        <w:t xml:space="preserve"> </w:t>
      </w:r>
      <w:r>
        <w:rPr>
          <w:lang w:val="fr-CA"/>
        </w:rPr>
        <w:t>27</w:t>
      </w:r>
      <w:r w:rsidR="00C73D06">
        <w:rPr>
          <w:lang w:val="fr-CA"/>
        </w:rPr>
        <w:t xml:space="preserve"> </w:t>
      </w:r>
      <w:r>
        <w:rPr>
          <w:lang w:val="fr-CA"/>
        </w:rPr>
        <w:t>m</w:t>
      </w:r>
      <w:r w:rsidR="00440E24" w:rsidRPr="002E2327">
        <w:rPr>
          <w:lang w:val="fr-CA"/>
        </w:rPr>
        <w:t>a</w:t>
      </w:r>
      <w:r w:rsidR="00C73D06">
        <w:rPr>
          <w:lang w:val="fr-CA"/>
        </w:rPr>
        <w:t>r</w:t>
      </w:r>
      <w:r>
        <w:rPr>
          <w:lang w:val="fr-CA"/>
        </w:rPr>
        <w:t>s</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2C70B1" w:rsidRDefault="00440E24" w:rsidP="00440E24">
      <w:pPr>
        <w:pBdr>
          <w:bottom w:val="single" w:sz="6" w:space="1" w:color="auto"/>
        </w:pBdr>
        <w:tabs>
          <w:tab w:val="right" w:pos="9360"/>
        </w:tabs>
        <w:rPr>
          <w:sz w:val="18"/>
          <w:szCs w:val="18"/>
          <w:lang w:val="fr-CA"/>
        </w:rPr>
      </w:pPr>
      <w:r w:rsidRPr="002C70B1">
        <w:rPr>
          <w:sz w:val="18"/>
          <w:szCs w:val="18"/>
          <w:lang w:val="fr-CA"/>
        </w:rPr>
        <w:t>© Supreme Court of Canada (201</w:t>
      </w:r>
      <w:r w:rsidR="00020DC3" w:rsidRPr="002C70B1">
        <w:rPr>
          <w:sz w:val="18"/>
          <w:szCs w:val="18"/>
          <w:lang w:val="fr-CA"/>
        </w:rPr>
        <w:t>5</w:t>
      </w:r>
      <w:r w:rsidRPr="002C70B1">
        <w:rPr>
          <w:sz w:val="18"/>
          <w:szCs w:val="18"/>
          <w:lang w:val="fr-CA"/>
        </w:rPr>
        <w:t>)</w:t>
      </w:r>
      <w:r w:rsidRPr="002C70B1">
        <w:rPr>
          <w:sz w:val="18"/>
          <w:szCs w:val="18"/>
          <w:lang w:val="fr-CA"/>
        </w:rPr>
        <w:tab/>
        <w:t>© Cour suprême du Canada (201</w:t>
      </w:r>
      <w:r w:rsidR="00020DC3" w:rsidRPr="002C70B1">
        <w:rPr>
          <w:sz w:val="18"/>
          <w:szCs w:val="18"/>
          <w:lang w:val="fr-CA"/>
        </w:rPr>
        <w:t>5</w:t>
      </w:r>
      <w:r w:rsidRPr="002C70B1">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73D9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E473E3">
            <w:pPr>
              <w:tabs>
                <w:tab w:val="right" w:pos="9360"/>
              </w:tabs>
              <w:rPr>
                <w:rFonts w:cs="Times New Roman"/>
                <w:sz w:val="20"/>
                <w:szCs w:val="20"/>
              </w:rPr>
            </w:pPr>
          </w:p>
        </w:tc>
        <w:tc>
          <w:tcPr>
            <w:tcW w:w="1980" w:type="dxa"/>
          </w:tcPr>
          <w:p w:rsidR="0095096B" w:rsidRPr="002E2327" w:rsidRDefault="002C70B1" w:rsidP="0095096B">
            <w:pPr>
              <w:jc w:val="center"/>
              <w:rPr>
                <w:rFonts w:cs="Times New Roman"/>
                <w:sz w:val="20"/>
                <w:szCs w:val="20"/>
              </w:rPr>
            </w:pPr>
            <w:r>
              <w:rPr>
                <w:rFonts w:cs="Times New Roman"/>
                <w:sz w:val="20"/>
                <w:szCs w:val="20"/>
              </w:rPr>
              <w:t>521</w:t>
            </w:r>
            <w:r w:rsidR="00D31263" w:rsidRPr="002E2327">
              <w:rPr>
                <w:rFonts w:cs="Times New Roman"/>
                <w:sz w:val="20"/>
                <w:szCs w:val="20"/>
              </w:rPr>
              <w:fldChar w:fldCharType="begin"/>
            </w:r>
            <w:r w:rsidR="0095096B" w:rsidRPr="002E2327">
              <w:rPr>
                <w:rFonts w:cs="Times New Roman"/>
                <w:sz w:val="20"/>
                <w:szCs w:val="20"/>
              </w:rPr>
              <w:instrText xml:space="preserve"> SEQ CHAPTER \h \r 1</w:instrText>
            </w:r>
            <w:r w:rsidR="00D31263"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04433" w:rsidP="0095096B">
            <w:pPr>
              <w:jc w:val="center"/>
              <w:rPr>
                <w:rFonts w:cs="Times New Roman"/>
                <w:sz w:val="20"/>
                <w:szCs w:val="20"/>
              </w:rPr>
            </w:pPr>
            <w:r>
              <w:rPr>
                <w:rFonts w:cs="Times New Roman"/>
                <w:sz w:val="20"/>
                <w:szCs w:val="20"/>
              </w:rPr>
              <w:t>522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177F4" w:rsidP="0095096B">
            <w:pPr>
              <w:jc w:val="center"/>
              <w:rPr>
                <w:rFonts w:cs="Times New Roman"/>
                <w:sz w:val="20"/>
                <w:szCs w:val="20"/>
              </w:rPr>
            </w:pPr>
            <w:r>
              <w:rPr>
                <w:rFonts w:cs="Times New Roman"/>
                <w:sz w:val="20"/>
                <w:szCs w:val="20"/>
              </w:rPr>
              <w:t xml:space="preserve">523 </w:t>
            </w:r>
            <w:r w:rsidR="0095096B" w:rsidRPr="002E2327">
              <w:rPr>
                <w:rFonts w:cs="Times New Roman"/>
                <w:sz w:val="20"/>
                <w:szCs w:val="20"/>
              </w:rPr>
              <w:t>-</w:t>
            </w:r>
            <w:r>
              <w:rPr>
                <w:rFonts w:cs="Times New Roman"/>
                <w:sz w:val="20"/>
                <w:szCs w:val="20"/>
              </w:rPr>
              <w:t xml:space="preserve"> </w:t>
            </w:r>
            <w:r w:rsidR="009833F3">
              <w:rPr>
                <w:rFonts w:cs="Times New Roman"/>
                <w:sz w:val="20"/>
                <w:szCs w:val="20"/>
              </w:rPr>
              <w:t>549</w:t>
            </w:r>
          </w:p>
          <w:p w:rsidR="0095096B" w:rsidRDefault="0095096B" w:rsidP="0095096B">
            <w:pPr>
              <w:jc w:val="center"/>
              <w:rPr>
                <w:rFonts w:cs="Times New Roman"/>
                <w:sz w:val="20"/>
                <w:szCs w:val="20"/>
              </w:rPr>
            </w:pPr>
          </w:p>
          <w:p w:rsidR="00D177F4" w:rsidRPr="002E2327" w:rsidRDefault="00D177F4" w:rsidP="0095096B">
            <w:pPr>
              <w:jc w:val="center"/>
              <w:rPr>
                <w:rFonts w:cs="Times New Roman"/>
                <w:sz w:val="20"/>
                <w:szCs w:val="20"/>
              </w:rPr>
            </w:pPr>
          </w:p>
          <w:p w:rsidR="0095096B" w:rsidRPr="002E2327" w:rsidRDefault="009833F3" w:rsidP="0095096B">
            <w:pPr>
              <w:jc w:val="center"/>
              <w:rPr>
                <w:rFonts w:cs="Times New Roman"/>
                <w:sz w:val="20"/>
                <w:szCs w:val="20"/>
              </w:rPr>
            </w:pPr>
            <w:r>
              <w:rPr>
                <w:rFonts w:cs="Times New Roman"/>
                <w:sz w:val="20"/>
                <w:szCs w:val="20"/>
              </w:rPr>
              <w:t xml:space="preserve">550 </w:t>
            </w:r>
            <w:r w:rsidR="0095096B" w:rsidRPr="002E2327">
              <w:rPr>
                <w:rFonts w:cs="Times New Roman"/>
                <w:sz w:val="20"/>
                <w:szCs w:val="20"/>
              </w:rPr>
              <w:t>-</w:t>
            </w:r>
            <w:r>
              <w:rPr>
                <w:rFonts w:cs="Times New Roman"/>
                <w:sz w:val="20"/>
                <w:szCs w:val="20"/>
              </w:rPr>
              <w:t xml:space="preserve"> 555</w:t>
            </w:r>
          </w:p>
          <w:p w:rsidR="0095096B" w:rsidRPr="002E2327" w:rsidRDefault="0095096B" w:rsidP="0095096B">
            <w:pPr>
              <w:jc w:val="center"/>
              <w:rPr>
                <w:rFonts w:cs="Times New Roman"/>
                <w:sz w:val="20"/>
                <w:szCs w:val="20"/>
              </w:rPr>
            </w:pPr>
          </w:p>
          <w:p w:rsidR="0095096B" w:rsidRPr="002E2327" w:rsidRDefault="009833F3" w:rsidP="0095096B">
            <w:pPr>
              <w:jc w:val="center"/>
              <w:rPr>
                <w:rFonts w:cs="Times New Roman"/>
                <w:sz w:val="20"/>
                <w:szCs w:val="20"/>
              </w:rPr>
            </w:pPr>
            <w:r>
              <w:rPr>
                <w:rFonts w:cs="Times New Roman"/>
                <w:sz w:val="20"/>
                <w:szCs w:val="20"/>
              </w:rPr>
              <w:t>556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833F3" w:rsidP="0095096B">
            <w:pPr>
              <w:jc w:val="center"/>
              <w:rPr>
                <w:rFonts w:cs="Times New Roman"/>
                <w:sz w:val="20"/>
                <w:szCs w:val="20"/>
              </w:rPr>
            </w:pPr>
            <w:r>
              <w:rPr>
                <w:rFonts w:cs="Times New Roman"/>
                <w:sz w:val="20"/>
                <w:szCs w:val="20"/>
              </w:rPr>
              <w:t xml:space="preserve">557 </w:t>
            </w:r>
            <w:r w:rsidR="0095096B" w:rsidRPr="002E2327">
              <w:rPr>
                <w:rFonts w:cs="Times New Roman"/>
                <w:sz w:val="20"/>
                <w:szCs w:val="20"/>
              </w:rPr>
              <w:t>-</w:t>
            </w:r>
            <w:r>
              <w:rPr>
                <w:rFonts w:cs="Times New Roman"/>
                <w:sz w:val="20"/>
                <w:szCs w:val="20"/>
              </w:rPr>
              <w:t xml:space="preserve"> 55</w:t>
            </w:r>
            <w:r w:rsidR="00A25248">
              <w:rPr>
                <w:rFonts w:cs="Times New Roman"/>
                <w:sz w:val="20"/>
                <w:szCs w:val="20"/>
              </w:rPr>
              <w:t>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833F3" w:rsidP="0095096B">
            <w:pPr>
              <w:jc w:val="center"/>
              <w:rPr>
                <w:rFonts w:cs="Times New Roman"/>
                <w:sz w:val="20"/>
                <w:szCs w:val="20"/>
              </w:rPr>
            </w:pPr>
            <w:r>
              <w:rPr>
                <w:rFonts w:cs="Times New Roman"/>
                <w:sz w:val="20"/>
                <w:szCs w:val="20"/>
              </w:rPr>
              <w:t>5</w:t>
            </w:r>
            <w:r w:rsidR="00A25248">
              <w:rPr>
                <w:rFonts w:cs="Times New Roman"/>
                <w:sz w:val="20"/>
                <w:szCs w:val="20"/>
              </w:rPr>
              <w:t>60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833F3" w:rsidP="0095096B">
            <w:pPr>
              <w:jc w:val="center"/>
              <w:rPr>
                <w:rFonts w:cs="Times New Roman"/>
                <w:sz w:val="20"/>
                <w:szCs w:val="20"/>
              </w:rPr>
            </w:pPr>
            <w:r>
              <w:rPr>
                <w:rFonts w:cs="Times New Roman"/>
                <w:sz w:val="20"/>
                <w:szCs w:val="20"/>
              </w:rPr>
              <w:t>56</w:t>
            </w:r>
            <w:r w:rsidR="00A25248">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FF1CDE">
              <w:rPr>
                <w:rFonts w:cs="Times New Roman"/>
                <w:sz w:val="20"/>
                <w:szCs w:val="20"/>
              </w:rPr>
              <w:t>568</w:t>
            </w:r>
          </w:p>
          <w:p w:rsidR="0095096B" w:rsidRPr="002E2327" w:rsidRDefault="0095096B" w:rsidP="0095096B">
            <w:pPr>
              <w:jc w:val="center"/>
              <w:rPr>
                <w:rFonts w:cs="Times New Roman"/>
                <w:sz w:val="20"/>
                <w:szCs w:val="20"/>
              </w:rPr>
            </w:pPr>
          </w:p>
          <w:p w:rsidR="0095096B" w:rsidRPr="002E2327" w:rsidRDefault="00FF1CDE" w:rsidP="0095096B">
            <w:pPr>
              <w:jc w:val="center"/>
              <w:rPr>
                <w:rFonts w:cs="Times New Roman"/>
                <w:sz w:val="20"/>
                <w:szCs w:val="20"/>
              </w:rPr>
            </w:pPr>
            <w:r>
              <w:rPr>
                <w:rFonts w:cs="Times New Roman"/>
                <w:sz w:val="20"/>
                <w:szCs w:val="20"/>
              </w:rPr>
              <w:t xml:space="preserve">569 </w:t>
            </w:r>
            <w:r w:rsidR="0095096B" w:rsidRPr="002E2327">
              <w:rPr>
                <w:rFonts w:cs="Times New Roman"/>
                <w:sz w:val="20"/>
                <w:szCs w:val="20"/>
              </w:rPr>
              <w:t>-</w:t>
            </w:r>
            <w:r>
              <w:rPr>
                <w:rFonts w:cs="Times New Roman"/>
                <w:sz w:val="20"/>
                <w:szCs w:val="20"/>
              </w:rPr>
              <w:t xml:space="preserve"> 570</w:t>
            </w:r>
          </w:p>
          <w:p w:rsidR="00A87207" w:rsidRPr="002E2327" w:rsidRDefault="00A87207" w:rsidP="00E473E3">
            <w:pPr>
              <w:tabs>
                <w:tab w:val="right" w:pos="9360"/>
              </w:tabs>
              <w:jc w:val="center"/>
              <w:rPr>
                <w:rFonts w:cs="Times New Roman"/>
                <w:sz w:val="20"/>
                <w:szCs w:val="20"/>
              </w:rPr>
            </w:pPr>
          </w:p>
        </w:tc>
        <w:tc>
          <w:tcPr>
            <w:tcW w:w="3888" w:type="dxa"/>
          </w:tcPr>
          <w:p w:rsidR="0095096B" w:rsidRPr="002E2327" w:rsidRDefault="00D3126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E473E3">
            <w:pPr>
              <w:tabs>
                <w:tab w:val="right" w:pos="9360"/>
              </w:tabs>
              <w:rPr>
                <w:rFonts w:cs="Times New Roman"/>
                <w:sz w:val="20"/>
                <w:szCs w:val="20"/>
                <w:lang w:val="fr-CA"/>
              </w:rPr>
            </w:pPr>
          </w:p>
        </w:tc>
      </w:tr>
    </w:tbl>
    <w:p w:rsidR="0095096B" w:rsidRDefault="0095096B" w:rsidP="0095096B">
      <w:pPr>
        <w:tabs>
          <w:tab w:val="right" w:pos="9360"/>
        </w:tabs>
        <w:rPr>
          <w:sz w:val="20"/>
          <w:szCs w:val="20"/>
          <w:lang w:val="fr-CA"/>
        </w:rPr>
      </w:pPr>
    </w:p>
    <w:p w:rsidR="00D177F4" w:rsidRDefault="00D177F4" w:rsidP="0095096B">
      <w:pPr>
        <w:tabs>
          <w:tab w:val="right" w:pos="9360"/>
        </w:tabs>
        <w:rPr>
          <w:sz w:val="20"/>
          <w:szCs w:val="20"/>
          <w:lang w:val="fr-CA"/>
        </w:rPr>
      </w:pPr>
    </w:p>
    <w:p w:rsidR="00D177F4" w:rsidRDefault="00D177F4" w:rsidP="0095096B">
      <w:pPr>
        <w:tabs>
          <w:tab w:val="right" w:pos="9360"/>
        </w:tabs>
        <w:rPr>
          <w:sz w:val="20"/>
          <w:szCs w:val="20"/>
          <w:lang w:val="fr-CA"/>
        </w:rPr>
      </w:pPr>
    </w:p>
    <w:p w:rsidR="00D177F4" w:rsidRDefault="00D177F4" w:rsidP="0095096B">
      <w:pPr>
        <w:tabs>
          <w:tab w:val="right" w:pos="9360"/>
        </w:tabs>
        <w:rPr>
          <w:sz w:val="20"/>
          <w:szCs w:val="20"/>
          <w:lang w:val="fr-CA"/>
        </w:rPr>
      </w:pPr>
    </w:p>
    <w:p w:rsidR="00D177F4" w:rsidRPr="00D177F4" w:rsidRDefault="00D177F4"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173D9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75123" w:rsidRPr="00C21644" w:rsidTr="003B3977">
        <w:tc>
          <w:tcPr>
            <w:tcW w:w="4320" w:type="dxa"/>
            <w:shd w:val="clear" w:color="auto" w:fill="auto"/>
          </w:tcPr>
          <w:p w:rsidR="00375123" w:rsidRPr="00A935AA" w:rsidRDefault="00375123" w:rsidP="005F1ED8">
            <w:pPr>
              <w:rPr>
                <w:b/>
                <w:sz w:val="20"/>
                <w:szCs w:val="20"/>
              </w:rPr>
            </w:pPr>
            <w:r>
              <w:rPr>
                <w:b/>
                <w:sz w:val="20"/>
                <w:szCs w:val="20"/>
              </w:rPr>
              <w:t>Christopher Michael Staetter</w:t>
            </w:r>
          </w:p>
          <w:p w:rsidR="00375123" w:rsidRPr="00A935AA" w:rsidRDefault="00375123" w:rsidP="005F1ED8">
            <w:pPr>
              <w:tabs>
                <w:tab w:val="left" w:pos="-1440"/>
                <w:tab w:val="left" w:pos="-720"/>
              </w:tabs>
              <w:rPr>
                <w:sz w:val="20"/>
                <w:szCs w:val="20"/>
              </w:rPr>
            </w:pPr>
            <w:r w:rsidRPr="00A935AA">
              <w:rPr>
                <w:sz w:val="20"/>
                <w:szCs w:val="20"/>
              </w:rPr>
              <w:tab/>
            </w:r>
            <w:r>
              <w:rPr>
                <w:sz w:val="20"/>
                <w:szCs w:val="20"/>
              </w:rPr>
              <w:t xml:space="preserve">Christopher Michael Staetter </w:t>
            </w:r>
          </w:p>
          <w:p w:rsidR="00375123" w:rsidRPr="00CE4EDB" w:rsidRDefault="00375123" w:rsidP="005F1ED8">
            <w:pPr>
              <w:tabs>
                <w:tab w:val="left" w:pos="-1440"/>
                <w:tab w:val="left" w:pos="-720"/>
              </w:tabs>
              <w:rPr>
                <w:sz w:val="20"/>
                <w:szCs w:val="20"/>
              </w:rPr>
            </w:pPr>
          </w:p>
          <w:p w:rsidR="00375123" w:rsidRPr="00FC52A3" w:rsidRDefault="00375123" w:rsidP="005F1ED8">
            <w:pPr>
              <w:tabs>
                <w:tab w:val="left" w:pos="-1440"/>
                <w:tab w:val="left" w:pos="-720"/>
              </w:tabs>
              <w:rPr>
                <w:sz w:val="20"/>
                <w:szCs w:val="20"/>
              </w:rPr>
            </w:pPr>
            <w:r w:rsidRPr="00CE4EDB">
              <w:rPr>
                <w:sz w:val="20"/>
                <w:szCs w:val="20"/>
              </w:rPr>
              <w:tab/>
            </w:r>
            <w:r w:rsidRPr="00FC52A3">
              <w:rPr>
                <w:sz w:val="20"/>
                <w:szCs w:val="20"/>
              </w:rPr>
              <w:t>v. (36</w:t>
            </w:r>
            <w:r w:rsidR="00FC52A3" w:rsidRPr="00FC52A3">
              <w:rPr>
                <w:sz w:val="20"/>
                <w:szCs w:val="20"/>
              </w:rPr>
              <w:t>314</w:t>
            </w:r>
            <w:r w:rsidRPr="00FC52A3">
              <w:rPr>
                <w:sz w:val="20"/>
                <w:szCs w:val="20"/>
              </w:rPr>
              <w:t>)</w:t>
            </w:r>
          </w:p>
          <w:p w:rsidR="00375123" w:rsidRPr="00FC52A3" w:rsidRDefault="00375123" w:rsidP="005F1ED8">
            <w:pPr>
              <w:tabs>
                <w:tab w:val="left" w:pos="-1440"/>
                <w:tab w:val="left" w:pos="-720"/>
              </w:tabs>
              <w:rPr>
                <w:sz w:val="20"/>
                <w:szCs w:val="20"/>
              </w:rPr>
            </w:pPr>
          </w:p>
          <w:p w:rsidR="00375123" w:rsidRPr="00A935AA" w:rsidRDefault="00FC52A3" w:rsidP="005F1ED8">
            <w:pPr>
              <w:tabs>
                <w:tab w:val="left" w:pos="-1440"/>
                <w:tab w:val="left" w:pos="-720"/>
              </w:tabs>
              <w:rPr>
                <w:b/>
                <w:sz w:val="20"/>
                <w:szCs w:val="20"/>
              </w:rPr>
            </w:pPr>
            <w:r w:rsidRPr="00FC52A3">
              <w:rPr>
                <w:b/>
                <w:sz w:val="20"/>
                <w:szCs w:val="20"/>
              </w:rPr>
              <w:t>Her Majesty the Queen</w:t>
            </w:r>
            <w:r w:rsidR="00375123" w:rsidRPr="00FC52A3">
              <w:rPr>
                <w:sz w:val="20"/>
                <w:szCs w:val="20"/>
              </w:rPr>
              <w:t xml:space="preserve"> </w:t>
            </w:r>
            <w:r w:rsidR="00375123" w:rsidRPr="00A935AA">
              <w:rPr>
                <w:b/>
                <w:sz w:val="20"/>
                <w:szCs w:val="20"/>
              </w:rPr>
              <w:t>(</w:t>
            </w:r>
            <w:r>
              <w:rPr>
                <w:b/>
                <w:sz w:val="20"/>
                <w:szCs w:val="20"/>
              </w:rPr>
              <w:t>B.C</w:t>
            </w:r>
            <w:r w:rsidR="00375123" w:rsidRPr="00A935AA">
              <w:rPr>
                <w:b/>
                <w:sz w:val="20"/>
                <w:szCs w:val="20"/>
              </w:rPr>
              <w:t>.)</w:t>
            </w:r>
          </w:p>
          <w:p w:rsidR="00375123" w:rsidRPr="00A935AA" w:rsidRDefault="00375123" w:rsidP="005F1ED8">
            <w:pPr>
              <w:tabs>
                <w:tab w:val="left" w:pos="-1440"/>
                <w:tab w:val="left" w:pos="-720"/>
              </w:tabs>
              <w:rPr>
                <w:sz w:val="20"/>
                <w:szCs w:val="20"/>
              </w:rPr>
            </w:pPr>
            <w:r w:rsidRPr="00A935AA">
              <w:rPr>
                <w:sz w:val="20"/>
                <w:szCs w:val="20"/>
              </w:rPr>
              <w:tab/>
            </w:r>
            <w:r w:rsidR="00FC52A3">
              <w:rPr>
                <w:sz w:val="20"/>
                <w:szCs w:val="20"/>
              </w:rPr>
              <w:t>Ursula Botz</w:t>
            </w:r>
          </w:p>
          <w:p w:rsidR="00375123" w:rsidRPr="00A935AA" w:rsidRDefault="00375123" w:rsidP="005F1ED8">
            <w:pPr>
              <w:tabs>
                <w:tab w:val="left" w:pos="-1440"/>
                <w:tab w:val="left" w:pos="-720"/>
              </w:tabs>
              <w:rPr>
                <w:sz w:val="20"/>
                <w:szCs w:val="20"/>
              </w:rPr>
            </w:pPr>
            <w:r w:rsidRPr="00A935AA">
              <w:rPr>
                <w:sz w:val="20"/>
                <w:szCs w:val="20"/>
              </w:rPr>
              <w:tab/>
            </w:r>
            <w:r w:rsidR="00FC52A3">
              <w:rPr>
                <w:sz w:val="20"/>
                <w:szCs w:val="20"/>
              </w:rPr>
              <w:t>A.G. of Briti</w:t>
            </w:r>
            <w:r>
              <w:rPr>
                <w:sz w:val="20"/>
                <w:szCs w:val="20"/>
              </w:rPr>
              <w:t>s</w:t>
            </w:r>
            <w:r w:rsidR="00FC52A3">
              <w:rPr>
                <w:sz w:val="20"/>
                <w:szCs w:val="20"/>
              </w:rPr>
              <w:t>h Columbia</w:t>
            </w:r>
          </w:p>
          <w:p w:rsidR="00375123" w:rsidRPr="00A935AA" w:rsidRDefault="00375123" w:rsidP="005F1ED8">
            <w:pPr>
              <w:tabs>
                <w:tab w:val="left" w:pos="-1440"/>
                <w:tab w:val="left" w:pos="-720"/>
              </w:tabs>
              <w:rPr>
                <w:sz w:val="20"/>
                <w:szCs w:val="20"/>
              </w:rPr>
            </w:pPr>
          </w:p>
          <w:p w:rsidR="00375123" w:rsidRPr="00A935AA" w:rsidRDefault="00375123" w:rsidP="005F1ED8">
            <w:pPr>
              <w:rPr>
                <w:sz w:val="20"/>
                <w:szCs w:val="20"/>
              </w:rPr>
            </w:pPr>
            <w:r w:rsidRPr="00A935AA">
              <w:rPr>
                <w:sz w:val="20"/>
                <w:szCs w:val="20"/>
              </w:rPr>
              <w:t xml:space="preserve">FILING DATE: </w:t>
            </w:r>
            <w:r>
              <w:rPr>
                <w:sz w:val="20"/>
                <w:szCs w:val="20"/>
              </w:rPr>
              <w:t>0</w:t>
            </w:r>
            <w:r w:rsidR="00FC52A3">
              <w:rPr>
                <w:sz w:val="20"/>
                <w:szCs w:val="20"/>
              </w:rPr>
              <w:t>4</w:t>
            </w:r>
            <w:r w:rsidRPr="00A935AA">
              <w:rPr>
                <w:sz w:val="20"/>
                <w:szCs w:val="20"/>
              </w:rPr>
              <w:t>.</w:t>
            </w:r>
            <w:r>
              <w:rPr>
                <w:sz w:val="20"/>
                <w:szCs w:val="20"/>
              </w:rPr>
              <w:t>1</w:t>
            </w:r>
            <w:r w:rsidR="00FC52A3">
              <w:rPr>
                <w:sz w:val="20"/>
                <w:szCs w:val="20"/>
              </w:rPr>
              <w:t>1</w:t>
            </w:r>
            <w:r w:rsidRPr="00A935AA">
              <w:rPr>
                <w:sz w:val="20"/>
                <w:szCs w:val="20"/>
              </w:rPr>
              <w:t>.201</w:t>
            </w:r>
            <w:r w:rsidR="00FC52A3">
              <w:rPr>
                <w:sz w:val="20"/>
                <w:szCs w:val="20"/>
              </w:rPr>
              <w:t>4</w:t>
            </w:r>
          </w:p>
          <w:p w:rsidR="00375123" w:rsidRPr="00A935AA" w:rsidRDefault="00173D9D"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p w:rsidR="00375123" w:rsidRPr="00A935AA" w:rsidRDefault="00375123" w:rsidP="00242AEE">
            <w:pPr>
              <w:jc w:val="center"/>
              <w:rPr>
                <w:sz w:val="20"/>
                <w:szCs w:val="20"/>
              </w:rPr>
            </w:pPr>
          </w:p>
        </w:tc>
        <w:tc>
          <w:tcPr>
            <w:tcW w:w="4320" w:type="dxa"/>
            <w:shd w:val="clear" w:color="auto" w:fill="auto"/>
          </w:tcPr>
          <w:p w:rsidR="00375123" w:rsidRPr="00CE4EDB" w:rsidRDefault="00FC52A3" w:rsidP="00375123">
            <w:pPr>
              <w:keepNext/>
              <w:keepLines/>
              <w:tabs>
                <w:tab w:val="left" w:pos="-1440"/>
                <w:tab w:val="left" w:pos="-720"/>
              </w:tabs>
              <w:rPr>
                <w:b/>
                <w:sz w:val="20"/>
                <w:szCs w:val="20"/>
              </w:rPr>
            </w:pPr>
            <w:r w:rsidRPr="00CE4EDB">
              <w:rPr>
                <w:b/>
                <w:sz w:val="20"/>
                <w:szCs w:val="20"/>
              </w:rPr>
              <w:t>Steven Tonner</w:t>
            </w:r>
          </w:p>
          <w:p w:rsidR="00375123" w:rsidRPr="00CE4EDB" w:rsidRDefault="00375123" w:rsidP="00375123">
            <w:pPr>
              <w:keepNext/>
              <w:keepLines/>
              <w:tabs>
                <w:tab w:val="left" w:pos="-1440"/>
                <w:tab w:val="left" w:pos="-720"/>
              </w:tabs>
              <w:rPr>
                <w:sz w:val="20"/>
                <w:szCs w:val="20"/>
              </w:rPr>
            </w:pPr>
            <w:r w:rsidRPr="00CE4EDB">
              <w:rPr>
                <w:sz w:val="20"/>
                <w:szCs w:val="20"/>
              </w:rPr>
              <w:tab/>
            </w:r>
            <w:r w:rsidR="00FC52A3" w:rsidRPr="00CE4EDB">
              <w:rPr>
                <w:sz w:val="20"/>
                <w:szCs w:val="20"/>
              </w:rPr>
              <w:t>Steven Tonner</w:t>
            </w:r>
          </w:p>
          <w:p w:rsidR="00375123" w:rsidRPr="00A935AA" w:rsidRDefault="00375123" w:rsidP="00375123">
            <w:pPr>
              <w:keepNext/>
              <w:keepLines/>
              <w:tabs>
                <w:tab w:val="left" w:pos="-1440"/>
                <w:tab w:val="left" w:pos="-720"/>
              </w:tabs>
              <w:rPr>
                <w:sz w:val="20"/>
                <w:szCs w:val="20"/>
              </w:rPr>
            </w:pPr>
          </w:p>
          <w:p w:rsidR="00375123" w:rsidRPr="00A935AA" w:rsidRDefault="00375123" w:rsidP="00375123">
            <w:pPr>
              <w:keepNext/>
              <w:keepLines/>
              <w:tabs>
                <w:tab w:val="left" w:pos="-1440"/>
                <w:tab w:val="left" w:pos="-720"/>
              </w:tabs>
              <w:rPr>
                <w:sz w:val="20"/>
                <w:szCs w:val="20"/>
              </w:rPr>
            </w:pPr>
            <w:r w:rsidRPr="00A935AA">
              <w:rPr>
                <w:sz w:val="20"/>
                <w:szCs w:val="20"/>
              </w:rPr>
              <w:tab/>
              <w:t>v. (3</w:t>
            </w:r>
            <w:r w:rsidR="00FC52A3">
              <w:rPr>
                <w:sz w:val="20"/>
                <w:szCs w:val="20"/>
              </w:rPr>
              <w:t>6324</w:t>
            </w:r>
            <w:r w:rsidRPr="00A935AA">
              <w:rPr>
                <w:sz w:val="20"/>
                <w:szCs w:val="20"/>
              </w:rPr>
              <w:t>)</w:t>
            </w:r>
          </w:p>
          <w:p w:rsidR="00375123" w:rsidRPr="00A935AA" w:rsidRDefault="00375123" w:rsidP="00375123">
            <w:pPr>
              <w:keepNext/>
              <w:keepLines/>
              <w:tabs>
                <w:tab w:val="left" w:pos="-1440"/>
                <w:tab w:val="left" w:pos="-720"/>
              </w:tabs>
              <w:rPr>
                <w:sz w:val="20"/>
                <w:szCs w:val="20"/>
              </w:rPr>
            </w:pPr>
          </w:p>
          <w:p w:rsidR="00375123" w:rsidRPr="00A935AA" w:rsidRDefault="00FC52A3" w:rsidP="00375123">
            <w:pPr>
              <w:keepNext/>
              <w:keepLines/>
              <w:tabs>
                <w:tab w:val="left" w:pos="-1440"/>
                <w:tab w:val="left" w:pos="-720"/>
              </w:tabs>
              <w:rPr>
                <w:b/>
                <w:sz w:val="20"/>
                <w:szCs w:val="20"/>
              </w:rPr>
            </w:pPr>
            <w:r>
              <w:rPr>
                <w:b/>
                <w:sz w:val="20"/>
                <w:szCs w:val="20"/>
              </w:rPr>
              <w:t xml:space="preserve">Real Estate Council of Ontario et al. </w:t>
            </w:r>
            <w:r w:rsidR="00375123" w:rsidRPr="00A935AA">
              <w:rPr>
                <w:b/>
                <w:sz w:val="20"/>
                <w:szCs w:val="20"/>
              </w:rPr>
              <w:t>(</w:t>
            </w:r>
            <w:r>
              <w:rPr>
                <w:b/>
                <w:sz w:val="20"/>
                <w:szCs w:val="20"/>
              </w:rPr>
              <w:t>Ont.</w:t>
            </w:r>
            <w:r w:rsidR="00375123" w:rsidRPr="00A935AA">
              <w:rPr>
                <w:b/>
                <w:sz w:val="20"/>
                <w:szCs w:val="20"/>
              </w:rPr>
              <w:t>)</w:t>
            </w:r>
          </w:p>
          <w:p w:rsidR="00375123" w:rsidRPr="00A935AA" w:rsidRDefault="00375123" w:rsidP="00375123">
            <w:pPr>
              <w:keepNext/>
              <w:keepLines/>
              <w:tabs>
                <w:tab w:val="left" w:pos="-1440"/>
                <w:tab w:val="left" w:pos="-720"/>
              </w:tabs>
              <w:rPr>
                <w:sz w:val="20"/>
                <w:szCs w:val="20"/>
              </w:rPr>
            </w:pPr>
            <w:r w:rsidRPr="00A935AA">
              <w:rPr>
                <w:sz w:val="20"/>
                <w:szCs w:val="20"/>
              </w:rPr>
              <w:tab/>
            </w:r>
            <w:r w:rsidR="00FC52A3">
              <w:rPr>
                <w:sz w:val="20"/>
                <w:szCs w:val="20"/>
              </w:rPr>
              <w:t>Elizabeth A. Silcox</w:t>
            </w:r>
          </w:p>
          <w:p w:rsidR="00375123" w:rsidRPr="00A935AA" w:rsidRDefault="00375123" w:rsidP="00375123">
            <w:pPr>
              <w:keepNext/>
              <w:keepLines/>
              <w:tabs>
                <w:tab w:val="left" w:pos="-1440"/>
                <w:tab w:val="left" w:pos="-720"/>
              </w:tabs>
              <w:rPr>
                <w:sz w:val="20"/>
                <w:szCs w:val="20"/>
              </w:rPr>
            </w:pPr>
            <w:r w:rsidRPr="00A935AA">
              <w:rPr>
                <w:sz w:val="20"/>
                <w:szCs w:val="20"/>
              </w:rPr>
              <w:tab/>
            </w:r>
            <w:r w:rsidR="00FC52A3">
              <w:rPr>
                <w:sz w:val="20"/>
                <w:szCs w:val="20"/>
              </w:rPr>
              <w:t>Real Estate Council of Ontario</w:t>
            </w:r>
          </w:p>
          <w:p w:rsidR="00375123" w:rsidRPr="00A935AA" w:rsidRDefault="00375123" w:rsidP="00375123">
            <w:pPr>
              <w:keepNext/>
              <w:keepLines/>
              <w:tabs>
                <w:tab w:val="left" w:pos="-1440"/>
                <w:tab w:val="left" w:pos="-720"/>
              </w:tabs>
              <w:rPr>
                <w:sz w:val="20"/>
                <w:szCs w:val="20"/>
              </w:rPr>
            </w:pPr>
          </w:p>
          <w:p w:rsidR="00375123" w:rsidRPr="00A935AA" w:rsidRDefault="00375123" w:rsidP="00FC52A3">
            <w:pPr>
              <w:rPr>
                <w:sz w:val="20"/>
                <w:szCs w:val="20"/>
              </w:rPr>
            </w:pPr>
            <w:r w:rsidRPr="00A935AA">
              <w:rPr>
                <w:sz w:val="20"/>
                <w:szCs w:val="20"/>
              </w:rPr>
              <w:t xml:space="preserve">FILING DATE: </w:t>
            </w:r>
            <w:r w:rsidR="00FC52A3">
              <w:rPr>
                <w:sz w:val="20"/>
                <w:szCs w:val="20"/>
              </w:rPr>
              <w:t>14</w:t>
            </w:r>
            <w:r w:rsidRPr="00A935AA">
              <w:rPr>
                <w:sz w:val="20"/>
                <w:szCs w:val="20"/>
              </w:rPr>
              <w:t>.</w:t>
            </w:r>
            <w:r w:rsidR="00FC52A3">
              <w:rPr>
                <w:sz w:val="20"/>
                <w:szCs w:val="20"/>
              </w:rPr>
              <w:t>11</w:t>
            </w:r>
            <w:r w:rsidRPr="00A935AA">
              <w:rPr>
                <w:sz w:val="20"/>
                <w:szCs w:val="20"/>
              </w:rPr>
              <w:t>.201</w:t>
            </w:r>
            <w:r>
              <w:rPr>
                <w:sz w:val="20"/>
                <w:szCs w:val="20"/>
              </w:rPr>
              <w:t>4</w:t>
            </w:r>
            <w:r w:rsidR="00173D9D">
              <w:rPr>
                <w:sz w:val="20"/>
                <w:szCs w:val="20"/>
                <w:lang w:val="fr-CA"/>
              </w:rPr>
              <w:pict>
                <v:rect id="_x0000_i1026" style="width:108pt;height:1pt" o:hrpct="0" o:hralign="center" o:hrstd="t" o:hrnoshade="t" o:hr="t" fillcolor="black [3213]" stroked="f"/>
              </w:pict>
            </w:r>
          </w:p>
        </w:tc>
      </w:tr>
      <w:tr w:rsidR="00AF38E9" w:rsidRPr="00173D9D" w:rsidTr="003B3977">
        <w:tc>
          <w:tcPr>
            <w:tcW w:w="4320" w:type="dxa"/>
            <w:shd w:val="clear" w:color="auto" w:fill="auto"/>
          </w:tcPr>
          <w:p w:rsidR="00AF38E9" w:rsidRPr="00375123" w:rsidRDefault="00AF38E9" w:rsidP="00AF38E9">
            <w:pPr>
              <w:rPr>
                <w:b/>
                <w:sz w:val="20"/>
                <w:szCs w:val="20"/>
              </w:rPr>
            </w:pPr>
            <w:r>
              <w:rPr>
                <w:b/>
                <w:sz w:val="20"/>
                <w:szCs w:val="20"/>
              </w:rPr>
              <w:t>A.K.</w:t>
            </w:r>
          </w:p>
          <w:p w:rsidR="00AF38E9" w:rsidRPr="00375123" w:rsidRDefault="00AF38E9" w:rsidP="00AF38E9">
            <w:pPr>
              <w:tabs>
                <w:tab w:val="left" w:pos="-1440"/>
                <w:tab w:val="left" w:pos="-720"/>
              </w:tabs>
              <w:rPr>
                <w:sz w:val="20"/>
                <w:szCs w:val="20"/>
              </w:rPr>
            </w:pPr>
            <w:r w:rsidRPr="00375123">
              <w:rPr>
                <w:sz w:val="20"/>
                <w:szCs w:val="20"/>
              </w:rPr>
              <w:tab/>
            </w:r>
            <w:r>
              <w:rPr>
                <w:sz w:val="20"/>
                <w:szCs w:val="20"/>
              </w:rPr>
              <w:t>A.K.</w:t>
            </w:r>
          </w:p>
          <w:p w:rsidR="00AF38E9" w:rsidRPr="00375123" w:rsidRDefault="00AF38E9" w:rsidP="00AF38E9">
            <w:pPr>
              <w:tabs>
                <w:tab w:val="left" w:pos="-1440"/>
                <w:tab w:val="left" w:pos="-720"/>
              </w:tabs>
              <w:rPr>
                <w:sz w:val="20"/>
                <w:szCs w:val="20"/>
              </w:rPr>
            </w:pPr>
          </w:p>
          <w:p w:rsidR="00AF38E9" w:rsidRPr="00A935AA" w:rsidRDefault="00AF38E9" w:rsidP="00AF38E9">
            <w:pPr>
              <w:tabs>
                <w:tab w:val="left" w:pos="-1440"/>
                <w:tab w:val="left" w:pos="-720"/>
              </w:tabs>
              <w:rPr>
                <w:sz w:val="20"/>
                <w:szCs w:val="20"/>
              </w:rPr>
            </w:pPr>
            <w:r w:rsidRPr="00375123">
              <w:rPr>
                <w:sz w:val="20"/>
                <w:szCs w:val="20"/>
              </w:rPr>
              <w:tab/>
            </w:r>
            <w:r w:rsidRPr="00A935AA">
              <w:rPr>
                <w:sz w:val="20"/>
                <w:szCs w:val="20"/>
              </w:rPr>
              <w:t>v. (3</w:t>
            </w:r>
            <w:r>
              <w:rPr>
                <w:sz w:val="20"/>
                <w:szCs w:val="20"/>
              </w:rPr>
              <w:t>6326</w:t>
            </w:r>
            <w:r w:rsidRPr="00A935AA">
              <w:rPr>
                <w:sz w:val="20"/>
                <w:szCs w:val="20"/>
              </w:rPr>
              <w:t>)</w:t>
            </w:r>
          </w:p>
          <w:p w:rsidR="00AF38E9" w:rsidRPr="00A935AA" w:rsidRDefault="00AF38E9" w:rsidP="00AF38E9">
            <w:pPr>
              <w:tabs>
                <w:tab w:val="left" w:pos="-1440"/>
                <w:tab w:val="left" w:pos="-720"/>
              </w:tabs>
              <w:rPr>
                <w:sz w:val="20"/>
                <w:szCs w:val="20"/>
              </w:rPr>
            </w:pPr>
          </w:p>
          <w:p w:rsidR="00AF38E9" w:rsidRPr="00A935AA" w:rsidRDefault="00AF38E9" w:rsidP="00AF38E9">
            <w:pPr>
              <w:tabs>
                <w:tab w:val="left" w:pos="-1440"/>
                <w:tab w:val="left" w:pos="-720"/>
              </w:tabs>
              <w:rPr>
                <w:b/>
                <w:sz w:val="20"/>
                <w:szCs w:val="20"/>
              </w:rPr>
            </w:pPr>
            <w:r>
              <w:rPr>
                <w:b/>
                <w:sz w:val="20"/>
                <w:szCs w:val="20"/>
              </w:rPr>
              <w:t xml:space="preserve">Batshaw Youth and Family Centers </w:t>
            </w:r>
            <w:r w:rsidRPr="00A935AA">
              <w:rPr>
                <w:b/>
                <w:sz w:val="20"/>
                <w:szCs w:val="20"/>
              </w:rPr>
              <w:t>(</w:t>
            </w:r>
            <w:r>
              <w:rPr>
                <w:b/>
                <w:sz w:val="20"/>
                <w:szCs w:val="20"/>
              </w:rPr>
              <w:t>Que</w:t>
            </w:r>
            <w:r w:rsidRPr="00A935AA">
              <w:rPr>
                <w:b/>
                <w:sz w:val="20"/>
                <w:szCs w:val="20"/>
              </w:rPr>
              <w:t>.)</w:t>
            </w:r>
          </w:p>
          <w:p w:rsidR="00AF38E9" w:rsidRPr="00FC52A3" w:rsidRDefault="00AF38E9" w:rsidP="00AF38E9">
            <w:pPr>
              <w:tabs>
                <w:tab w:val="left" w:pos="-1440"/>
                <w:tab w:val="left" w:pos="-720"/>
              </w:tabs>
              <w:rPr>
                <w:sz w:val="20"/>
                <w:szCs w:val="20"/>
                <w:lang w:val="fr-CA"/>
              </w:rPr>
            </w:pPr>
            <w:r w:rsidRPr="00A935AA">
              <w:rPr>
                <w:sz w:val="20"/>
                <w:szCs w:val="20"/>
              </w:rPr>
              <w:tab/>
            </w:r>
            <w:r w:rsidRPr="00FC52A3">
              <w:rPr>
                <w:sz w:val="20"/>
                <w:szCs w:val="20"/>
                <w:lang w:val="fr-CA"/>
              </w:rPr>
              <w:t>Pierre Bélanger</w:t>
            </w:r>
          </w:p>
          <w:p w:rsidR="00AF38E9" w:rsidRPr="00FC52A3" w:rsidRDefault="00AF38E9" w:rsidP="00AF38E9">
            <w:pPr>
              <w:tabs>
                <w:tab w:val="left" w:pos="-1440"/>
                <w:tab w:val="left" w:pos="-720"/>
              </w:tabs>
              <w:rPr>
                <w:sz w:val="20"/>
                <w:szCs w:val="20"/>
                <w:lang w:val="fr-CA"/>
              </w:rPr>
            </w:pPr>
            <w:r w:rsidRPr="00FC52A3">
              <w:rPr>
                <w:sz w:val="20"/>
                <w:szCs w:val="20"/>
                <w:lang w:val="fr-CA"/>
              </w:rPr>
              <w:tab/>
              <w:t>Bélanger Longtin, s.e.n.</w:t>
            </w:r>
            <w:r>
              <w:rPr>
                <w:sz w:val="20"/>
                <w:szCs w:val="20"/>
                <w:lang w:val="fr-CA"/>
              </w:rPr>
              <w:t>c.</w:t>
            </w:r>
          </w:p>
          <w:p w:rsidR="00AF38E9" w:rsidRPr="00FC52A3" w:rsidRDefault="00AF38E9" w:rsidP="00AF38E9">
            <w:pPr>
              <w:tabs>
                <w:tab w:val="left" w:pos="-1440"/>
                <w:tab w:val="left" w:pos="-720"/>
              </w:tabs>
              <w:rPr>
                <w:sz w:val="20"/>
                <w:szCs w:val="20"/>
                <w:lang w:val="fr-CA"/>
              </w:rPr>
            </w:pPr>
          </w:p>
          <w:p w:rsidR="00AF38E9" w:rsidRPr="00A935AA" w:rsidRDefault="00AF38E9" w:rsidP="00AF38E9">
            <w:pPr>
              <w:rPr>
                <w:sz w:val="20"/>
                <w:szCs w:val="20"/>
              </w:rPr>
            </w:pPr>
            <w:r w:rsidRPr="00A935AA">
              <w:rPr>
                <w:sz w:val="20"/>
                <w:szCs w:val="20"/>
              </w:rPr>
              <w:t>FILING DATE: 2</w:t>
            </w:r>
            <w:r>
              <w:rPr>
                <w:sz w:val="20"/>
                <w:szCs w:val="20"/>
              </w:rPr>
              <w:t>7</w:t>
            </w:r>
            <w:r w:rsidRPr="00A935AA">
              <w:rPr>
                <w:sz w:val="20"/>
                <w:szCs w:val="20"/>
              </w:rPr>
              <w:t>.0</w:t>
            </w:r>
            <w:r>
              <w:rPr>
                <w:sz w:val="20"/>
                <w:szCs w:val="20"/>
              </w:rPr>
              <w:t>1</w:t>
            </w:r>
            <w:r w:rsidRPr="00A935AA">
              <w:rPr>
                <w:sz w:val="20"/>
                <w:szCs w:val="20"/>
              </w:rPr>
              <w:t>.201</w:t>
            </w:r>
            <w:r>
              <w:rPr>
                <w:sz w:val="20"/>
                <w:szCs w:val="20"/>
              </w:rPr>
              <w:t>5</w:t>
            </w:r>
          </w:p>
          <w:p w:rsidR="00AF38E9" w:rsidRPr="00A935AA" w:rsidRDefault="00173D9D" w:rsidP="00AF38E9">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p w:rsidR="00AF38E9" w:rsidRPr="00A935AA" w:rsidRDefault="00AF38E9" w:rsidP="00242AEE">
            <w:pPr>
              <w:jc w:val="center"/>
              <w:rPr>
                <w:sz w:val="20"/>
                <w:szCs w:val="20"/>
              </w:rPr>
            </w:pPr>
          </w:p>
        </w:tc>
        <w:tc>
          <w:tcPr>
            <w:tcW w:w="4320" w:type="dxa"/>
            <w:shd w:val="clear" w:color="auto" w:fill="auto"/>
          </w:tcPr>
          <w:p w:rsidR="00AF38E9" w:rsidRPr="00FC52A3" w:rsidRDefault="00AF38E9" w:rsidP="003B3977">
            <w:pPr>
              <w:keepNext/>
              <w:keepLines/>
              <w:tabs>
                <w:tab w:val="left" w:pos="-1440"/>
                <w:tab w:val="left" w:pos="-720"/>
              </w:tabs>
              <w:rPr>
                <w:b/>
                <w:sz w:val="20"/>
                <w:szCs w:val="20"/>
              </w:rPr>
            </w:pPr>
            <w:r>
              <w:rPr>
                <w:b/>
                <w:sz w:val="20"/>
                <w:szCs w:val="20"/>
              </w:rPr>
              <w:t>Albert Benhaim et autre</w:t>
            </w:r>
          </w:p>
          <w:p w:rsidR="00AF38E9" w:rsidRPr="00FC52A3" w:rsidRDefault="00AF38E9" w:rsidP="003B3977">
            <w:pPr>
              <w:keepNext/>
              <w:keepLines/>
              <w:tabs>
                <w:tab w:val="left" w:pos="-1440"/>
                <w:tab w:val="left" w:pos="-720"/>
              </w:tabs>
              <w:rPr>
                <w:sz w:val="20"/>
                <w:szCs w:val="20"/>
              </w:rPr>
            </w:pPr>
            <w:r w:rsidRPr="00FC52A3">
              <w:rPr>
                <w:sz w:val="20"/>
                <w:szCs w:val="20"/>
              </w:rPr>
              <w:tab/>
            </w:r>
            <w:r>
              <w:rPr>
                <w:sz w:val="20"/>
                <w:szCs w:val="20"/>
              </w:rPr>
              <w:t>David Platts</w:t>
            </w:r>
          </w:p>
          <w:p w:rsidR="00AF38E9" w:rsidRPr="00A935AA" w:rsidRDefault="00AF38E9" w:rsidP="003B3977">
            <w:pPr>
              <w:keepNext/>
              <w:keepLines/>
              <w:tabs>
                <w:tab w:val="left" w:pos="-1440"/>
                <w:tab w:val="left" w:pos="-720"/>
              </w:tabs>
              <w:rPr>
                <w:sz w:val="20"/>
                <w:szCs w:val="20"/>
              </w:rPr>
            </w:pPr>
            <w:r w:rsidRPr="00FC52A3">
              <w:rPr>
                <w:sz w:val="20"/>
                <w:szCs w:val="20"/>
              </w:rPr>
              <w:tab/>
            </w:r>
            <w:r>
              <w:rPr>
                <w:sz w:val="20"/>
                <w:szCs w:val="20"/>
              </w:rPr>
              <w:t>McCarthy Tétrault, s.e.n.c.r.l., s.r.l.</w:t>
            </w:r>
          </w:p>
          <w:p w:rsidR="00AF38E9" w:rsidRPr="00A935AA" w:rsidRDefault="00AF38E9" w:rsidP="003B3977">
            <w:pPr>
              <w:keepNext/>
              <w:keepLines/>
              <w:tabs>
                <w:tab w:val="left" w:pos="-1440"/>
                <w:tab w:val="left" w:pos="-720"/>
              </w:tabs>
              <w:rPr>
                <w:sz w:val="20"/>
                <w:szCs w:val="20"/>
              </w:rPr>
            </w:pPr>
          </w:p>
          <w:p w:rsidR="00AF38E9" w:rsidRPr="00CE4EDB" w:rsidRDefault="00AF38E9" w:rsidP="003B3977">
            <w:pPr>
              <w:keepNext/>
              <w:keepLines/>
              <w:tabs>
                <w:tab w:val="left" w:pos="-1440"/>
                <w:tab w:val="left" w:pos="-720"/>
              </w:tabs>
              <w:rPr>
                <w:sz w:val="20"/>
                <w:szCs w:val="20"/>
                <w:lang w:val="fr-CA"/>
              </w:rPr>
            </w:pPr>
            <w:r w:rsidRPr="00A935AA">
              <w:rPr>
                <w:sz w:val="20"/>
                <w:szCs w:val="20"/>
              </w:rPr>
              <w:tab/>
            </w:r>
            <w:r w:rsidRPr="00CE4EDB">
              <w:rPr>
                <w:sz w:val="20"/>
                <w:szCs w:val="20"/>
                <w:lang w:val="fr-CA"/>
              </w:rPr>
              <w:t>c. (36291)</w:t>
            </w:r>
          </w:p>
          <w:p w:rsidR="00AF38E9" w:rsidRPr="00CE4EDB" w:rsidRDefault="00AF38E9" w:rsidP="003B3977">
            <w:pPr>
              <w:keepNext/>
              <w:keepLines/>
              <w:tabs>
                <w:tab w:val="left" w:pos="-1440"/>
                <w:tab w:val="left" w:pos="-720"/>
              </w:tabs>
              <w:rPr>
                <w:sz w:val="20"/>
                <w:szCs w:val="20"/>
                <w:lang w:val="fr-CA"/>
              </w:rPr>
            </w:pPr>
          </w:p>
          <w:p w:rsidR="00AF38E9" w:rsidRPr="00FC52A3" w:rsidRDefault="00AF38E9" w:rsidP="003B3977">
            <w:pPr>
              <w:keepNext/>
              <w:keepLines/>
              <w:tabs>
                <w:tab w:val="left" w:pos="-1440"/>
                <w:tab w:val="left" w:pos="-720"/>
              </w:tabs>
              <w:rPr>
                <w:b/>
                <w:sz w:val="20"/>
                <w:szCs w:val="20"/>
                <w:lang w:val="fr-CA"/>
              </w:rPr>
            </w:pPr>
            <w:r w:rsidRPr="00CE4EDB">
              <w:rPr>
                <w:b/>
                <w:sz w:val="20"/>
                <w:szCs w:val="20"/>
                <w:lang w:val="fr-CA"/>
              </w:rPr>
              <w:t>Cathie St-Ge</w:t>
            </w:r>
            <w:r w:rsidRPr="00FC52A3">
              <w:rPr>
                <w:b/>
                <w:sz w:val="20"/>
                <w:szCs w:val="20"/>
                <w:lang w:val="fr-CA"/>
              </w:rPr>
              <w:t xml:space="preserve">rmain, personnellement et en sa qualité de tutrice </w:t>
            </w:r>
            <w:r>
              <w:rPr>
                <w:b/>
                <w:sz w:val="20"/>
                <w:szCs w:val="20"/>
                <w:lang w:val="fr-CA"/>
              </w:rPr>
              <w:t xml:space="preserve">à son fils mineur dont le nom est gardé confidentiel et autre </w:t>
            </w:r>
            <w:r w:rsidRPr="00FC52A3">
              <w:rPr>
                <w:b/>
                <w:sz w:val="20"/>
                <w:szCs w:val="20"/>
                <w:lang w:val="fr-CA"/>
              </w:rPr>
              <w:t>(</w:t>
            </w:r>
            <w:r>
              <w:rPr>
                <w:b/>
                <w:sz w:val="20"/>
                <w:szCs w:val="20"/>
                <w:lang w:val="fr-CA"/>
              </w:rPr>
              <w:t>Qc</w:t>
            </w:r>
            <w:r w:rsidRPr="00FC52A3">
              <w:rPr>
                <w:b/>
                <w:sz w:val="20"/>
                <w:szCs w:val="20"/>
                <w:lang w:val="fr-CA"/>
              </w:rPr>
              <w:t>)</w:t>
            </w:r>
          </w:p>
          <w:p w:rsidR="00AF38E9" w:rsidRPr="00FC52A3" w:rsidRDefault="00AF38E9" w:rsidP="003B3977">
            <w:pPr>
              <w:keepNext/>
              <w:keepLines/>
              <w:tabs>
                <w:tab w:val="left" w:pos="-1440"/>
                <w:tab w:val="left" w:pos="-720"/>
              </w:tabs>
              <w:rPr>
                <w:sz w:val="20"/>
                <w:szCs w:val="20"/>
                <w:lang w:val="fr-CA"/>
              </w:rPr>
            </w:pPr>
            <w:r w:rsidRPr="00FC52A3">
              <w:rPr>
                <w:sz w:val="20"/>
                <w:szCs w:val="20"/>
                <w:lang w:val="fr-CA"/>
              </w:rPr>
              <w:tab/>
            </w:r>
            <w:r>
              <w:rPr>
                <w:sz w:val="20"/>
                <w:szCs w:val="20"/>
                <w:lang w:val="fr-CA"/>
              </w:rPr>
              <w:t>Gordon Kugler</w:t>
            </w:r>
          </w:p>
          <w:p w:rsidR="00AF38E9" w:rsidRPr="00FC52A3" w:rsidRDefault="00AF38E9" w:rsidP="003B3977">
            <w:pPr>
              <w:keepNext/>
              <w:keepLines/>
              <w:tabs>
                <w:tab w:val="left" w:pos="-1440"/>
                <w:tab w:val="left" w:pos="-720"/>
              </w:tabs>
              <w:rPr>
                <w:sz w:val="20"/>
                <w:szCs w:val="20"/>
                <w:lang w:val="fr-CA"/>
              </w:rPr>
            </w:pPr>
            <w:r w:rsidRPr="00FC52A3">
              <w:rPr>
                <w:sz w:val="20"/>
                <w:szCs w:val="20"/>
                <w:lang w:val="fr-CA"/>
              </w:rPr>
              <w:tab/>
            </w:r>
            <w:r>
              <w:rPr>
                <w:sz w:val="20"/>
                <w:szCs w:val="20"/>
                <w:lang w:val="fr-CA"/>
              </w:rPr>
              <w:t>Kugler, Kandestin, s.e.n.c.r.l.</w:t>
            </w:r>
          </w:p>
          <w:p w:rsidR="00AF38E9" w:rsidRPr="00CE4EDB" w:rsidRDefault="00AF38E9" w:rsidP="00FC52A3">
            <w:pPr>
              <w:rPr>
                <w:sz w:val="20"/>
                <w:szCs w:val="20"/>
                <w:lang w:val="fr-CA"/>
              </w:rPr>
            </w:pPr>
          </w:p>
        </w:tc>
      </w:tr>
      <w:tr w:rsidR="00EE47A5" w:rsidRPr="00A935AA" w:rsidTr="003B3977">
        <w:tc>
          <w:tcPr>
            <w:tcW w:w="4320" w:type="dxa"/>
            <w:shd w:val="clear" w:color="auto" w:fill="auto"/>
          </w:tcPr>
          <w:p w:rsidR="00EE47A5" w:rsidRPr="00A935AA" w:rsidRDefault="00EE47A5" w:rsidP="00793ECF">
            <w:pPr>
              <w:rPr>
                <w:b/>
                <w:sz w:val="20"/>
                <w:szCs w:val="20"/>
              </w:rPr>
            </w:pPr>
            <w:r>
              <w:rPr>
                <w:b/>
                <w:sz w:val="20"/>
                <w:szCs w:val="20"/>
              </w:rPr>
              <w:t>Adam Michael Brown</w:t>
            </w:r>
          </w:p>
          <w:p w:rsidR="00EE47A5" w:rsidRPr="00A935AA" w:rsidRDefault="00EE47A5" w:rsidP="00793ECF">
            <w:pPr>
              <w:tabs>
                <w:tab w:val="left" w:pos="-1440"/>
                <w:tab w:val="left" w:pos="-720"/>
              </w:tabs>
              <w:rPr>
                <w:sz w:val="20"/>
                <w:szCs w:val="20"/>
              </w:rPr>
            </w:pPr>
            <w:r w:rsidRPr="00A935AA">
              <w:rPr>
                <w:sz w:val="20"/>
                <w:szCs w:val="20"/>
              </w:rPr>
              <w:tab/>
            </w:r>
            <w:r>
              <w:rPr>
                <w:sz w:val="20"/>
                <w:szCs w:val="20"/>
              </w:rPr>
              <w:t>Daniel J. Song</w:t>
            </w:r>
          </w:p>
          <w:p w:rsidR="00EE47A5" w:rsidRPr="00A935AA" w:rsidRDefault="00EE47A5" w:rsidP="00793ECF">
            <w:pPr>
              <w:tabs>
                <w:tab w:val="left" w:pos="-1440"/>
                <w:tab w:val="left" w:pos="-720"/>
              </w:tabs>
              <w:rPr>
                <w:sz w:val="20"/>
                <w:szCs w:val="20"/>
              </w:rPr>
            </w:pPr>
            <w:r w:rsidRPr="00A935AA">
              <w:rPr>
                <w:sz w:val="20"/>
                <w:szCs w:val="20"/>
              </w:rPr>
              <w:tab/>
            </w:r>
            <w:r>
              <w:rPr>
                <w:sz w:val="20"/>
                <w:szCs w:val="20"/>
              </w:rPr>
              <w:t>Sprake Song &amp; Konye</w:t>
            </w:r>
          </w:p>
          <w:p w:rsidR="00EE47A5" w:rsidRPr="00A935AA" w:rsidRDefault="00EE47A5" w:rsidP="00793ECF">
            <w:pPr>
              <w:tabs>
                <w:tab w:val="left" w:pos="-1440"/>
                <w:tab w:val="left" w:pos="-720"/>
              </w:tabs>
              <w:rPr>
                <w:sz w:val="20"/>
                <w:szCs w:val="20"/>
              </w:rPr>
            </w:pPr>
          </w:p>
          <w:p w:rsidR="00EE47A5" w:rsidRPr="00A935AA" w:rsidRDefault="00EE47A5" w:rsidP="00793ECF">
            <w:pPr>
              <w:tabs>
                <w:tab w:val="left" w:pos="-1440"/>
                <w:tab w:val="left" w:pos="-720"/>
              </w:tabs>
              <w:rPr>
                <w:sz w:val="20"/>
                <w:szCs w:val="20"/>
              </w:rPr>
            </w:pPr>
            <w:r w:rsidRPr="00A935AA">
              <w:rPr>
                <w:sz w:val="20"/>
                <w:szCs w:val="20"/>
              </w:rPr>
              <w:tab/>
              <w:t>v. (3</w:t>
            </w:r>
            <w:r>
              <w:rPr>
                <w:sz w:val="20"/>
                <w:szCs w:val="20"/>
              </w:rPr>
              <w:t>6313</w:t>
            </w:r>
            <w:r w:rsidRPr="00A935AA">
              <w:rPr>
                <w:sz w:val="20"/>
                <w:szCs w:val="20"/>
              </w:rPr>
              <w:t>)</w:t>
            </w:r>
          </w:p>
          <w:p w:rsidR="00EE47A5" w:rsidRPr="00A935AA" w:rsidRDefault="00EE47A5" w:rsidP="00793ECF">
            <w:pPr>
              <w:tabs>
                <w:tab w:val="left" w:pos="-1440"/>
                <w:tab w:val="left" w:pos="-720"/>
              </w:tabs>
              <w:rPr>
                <w:sz w:val="20"/>
                <w:szCs w:val="20"/>
              </w:rPr>
            </w:pPr>
          </w:p>
          <w:p w:rsidR="00EE47A5" w:rsidRPr="00A935AA" w:rsidRDefault="00EE47A5" w:rsidP="00793EC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EE47A5" w:rsidRPr="00A935AA" w:rsidRDefault="00EE47A5" w:rsidP="00793ECF">
            <w:pPr>
              <w:tabs>
                <w:tab w:val="left" w:pos="-1440"/>
                <w:tab w:val="left" w:pos="-720"/>
              </w:tabs>
              <w:rPr>
                <w:sz w:val="20"/>
                <w:szCs w:val="20"/>
              </w:rPr>
            </w:pPr>
            <w:r w:rsidRPr="00A935AA">
              <w:rPr>
                <w:sz w:val="20"/>
                <w:szCs w:val="20"/>
              </w:rPr>
              <w:tab/>
            </w:r>
            <w:r>
              <w:rPr>
                <w:sz w:val="20"/>
                <w:szCs w:val="20"/>
              </w:rPr>
              <w:t>Troy Couillard</w:t>
            </w:r>
          </w:p>
          <w:p w:rsidR="00EE47A5" w:rsidRPr="00A935AA" w:rsidRDefault="00EE47A5" w:rsidP="00793ECF">
            <w:pPr>
              <w:tabs>
                <w:tab w:val="left" w:pos="-1440"/>
                <w:tab w:val="left" w:pos="-720"/>
              </w:tabs>
              <w:rPr>
                <w:sz w:val="20"/>
                <w:szCs w:val="20"/>
              </w:rPr>
            </w:pPr>
            <w:r w:rsidRPr="00A935AA">
              <w:rPr>
                <w:sz w:val="20"/>
                <w:szCs w:val="20"/>
              </w:rPr>
              <w:tab/>
            </w:r>
            <w:r>
              <w:rPr>
                <w:sz w:val="20"/>
                <w:szCs w:val="20"/>
              </w:rPr>
              <w:t>A.G. of Alberta</w:t>
            </w:r>
          </w:p>
          <w:p w:rsidR="00EE47A5" w:rsidRPr="00A935AA" w:rsidRDefault="00EE47A5" w:rsidP="00793ECF">
            <w:pPr>
              <w:tabs>
                <w:tab w:val="left" w:pos="-1440"/>
                <w:tab w:val="left" w:pos="-720"/>
              </w:tabs>
              <w:rPr>
                <w:sz w:val="20"/>
                <w:szCs w:val="20"/>
              </w:rPr>
            </w:pPr>
          </w:p>
          <w:p w:rsidR="00EE47A5" w:rsidRPr="00A935AA" w:rsidRDefault="00EE47A5" w:rsidP="00793ECF">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2</w:t>
            </w:r>
            <w:r w:rsidRPr="00A935AA">
              <w:rPr>
                <w:sz w:val="20"/>
                <w:szCs w:val="20"/>
              </w:rPr>
              <w:t>.201</w:t>
            </w:r>
            <w:r>
              <w:rPr>
                <w:sz w:val="20"/>
                <w:szCs w:val="20"/>
              </w:rPr>
              <w:t>5</w:t>
            </w:r>
          </w:p>
          <w:p w:rsidR="00EE47A5" w:rsidRPr="00A935AA" w:rsidRDefault="00173D9D" w:rsidP="00793ECF">
            <w:pPr>
              <w:rPr>
                <w:sz w:val="20"/>
                <w:szCs w:val="20"/>
              </w:rPr>
            </w:pPr>
            <w:r>
              <w:rPr>
                <w:sz w:val="20"/>
                <w:szCs w:val="20"/>
                <w:lang w:val="fr-CA"/>
              </w:rPr>
              <w:pict>
                <v:rect id="_x0000_i1028" style="width:108pt;height:1pt" o:hrpct="0" o:hralign="center" o:hrstd="t" o:hrnoshade="t" o:hr="t" fillcolor="black [3213]" stroked="f"/>
              </w:pict>
            </w:r>
          </w:p>
        </w:tc>
        <w:tc>
          <w:tcPr>
            <w:tcW w:w="1181" w:type="dxa"/>
            <w:shd w:val="clear" w:color="auto" w:fill="auto"/>
          </w:tcPr>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Default="00EE47A5" w:rsidP="00242AEE">
            <w:pPr>
              <w:jc w:val="center"/>
              <w:rPr>
                <w:sz w:val="20"/>
                <w:szCs w:val="20"/>
              </w:rPr>
            </w:pPr>
          </w:p>
          <w:p w:rsidR="00EE47A5" w:rsidRDefault="00EE47A5" w:rsidP="00242AEE">
            <w:pPr>
              <w:jc w:val="center"/>
              <w:rPr>
                <w:sz w:val="20"/>
                <w:szCs w:val="20"/>
              </w:rPr>
            </w:pPr>
          </w:p>
          <w:p w:rsidR="00EE47A5" w:rsidRPr="00A935AA" w:rsidRDefault="00EE47A5" w:rsidP="00242AEE">
            <w:pPr>
              <w:jc w:val="center"/>
              <w:rPr>
                <w:sz w:val="20"/>
                <w:szCs w:val="20"/>
              </w:rPr>
            </w:pPr>
          </w:p>
        </w:tc>
        <w:tc>
          <w:tcPr>
            <w:tcW w:w="4320" w:type="dxa"/>
            <w:shd w:val="clear" w:color="auto" w:fill="auto"/>
          </w:tcPr>
          <w:p w:rsidR="00EE47A5" w:rsidRPr="00EE47A5" w:rsidRDefault="00EE47A5" w:rsidP="005F1ED8">
            <w:pPr>
              <w:rPr>
                <w:sz w:val="20"/>
                <w:szCs w:val="20"/>
              </w:rPr>
            </w:pPr>
            <w:r w:rsidRPr="00CE4EDB">
              <w:rPr>
                <w:sz w:val="20"/>
                <w:szCs w:val="20"/>
              </w:rPr>
              <w:t xml:space="preserve">DATE DE PRODUCTION </w:t>
            </w:r>
            <w:r w:rsidRPr="00A935AA">
              <w:rPr>
                <w:sz w:val="20"/>
                <w:szCs w:val="20"/>
              </w:rPr>
              <w:t xml:space="preserve">: </w:t>
            </w:r>
            <w:r>
              <w:rPr>
                <w:sz w:val="20"/>
                <w:szCs w:val="20"/>
              </w:rPr>
              <w:t>03</w:t>
            </w:r>
            <w:r w:rsidRPr="00A935AA">
              <w:rPr>
                <w:sz w:val="20"/>
                <w:szCs w:val="20"/>
              </w:rPr>
              <w:t>.0</w:t>
            </w:r>
            <w:r>
              <w:rPr>
                <w:sz w:val="20"/>
                <w:szCs w:val="20"/>
              </w:rPr>
              <w:t>2</w:t>
            </w:r>
            <w:r w:rsidRPr="00A935AA">
              <w:rPr>
                <w:sz w:val="20"/>
                <w:szCs w:val="20"/>
              </w:rPr>
              <w:t>.201</w:t>
            </w:r>
            <w:r>
              <w:rPr>
                <w:sz w:val="20"/>
                <w:szCs w:val="20"/>
              </w:rPr>
              <w:t xml:space="preserve">5 </w:t>
            </w:r>
            <w:r w:rsidR="00173D9D">
              <w:rPr>
                <w:sz w:val="20"/>
                <w:szCs w:val="20"/>
                <w:lang w:val="fr-CA"/>
              </w:rPr>
              <w:pict>
                <v:rect id="_x0000_i1029" style="width:108pt;height:1pt" o:hrpct="0" o:hralign="center" o:hrstd="t" o:hrnoshade="t" o:hr="t" fillcolor="black [3213]" stroked="f"/>
              </w:pict>
            </w:r>
          </w:p>
          <w:p w:rsidR="00EE47A5" w:rsidRPr="00EE47A5" w:rsidRDefault="00EE47A5" w:rsidP="005F1ED8">
            <w:pPr>
              <w:rPr>
                <w:sz w:val="20"/>
                <w:szCs w:val="20"/>
              </w:rPr>
            </w:pPr>
          </w:p>
          <w:p w:rsidR="00EE47A5" w:rsidRPr="00A935AA" w:rsidRDefault="00EE47A5" w:rsidP="005F1ED8">
            <w:pPr>
              <w:rPr>
                <w:b/>
                <w:sz w:val="20"/>
                <w:szCs w:val="20"/>
              </w:rPr>
            </w:pPr>
            <w:r>
              <w:rPr>
                <w:b/>
                <w:sz w:val="20"/>
                <w:szCs w:val="20"/>
              </w:rPr>
              <w:t>P.W.M. Loss Prevention Services Inc.</w:t>
            </w:r>
          </w:p>
          <w:p w:rsidR="00EE47A5" w:rsidRPr="00A935AA" w:rsidRDefault="00EE47A5" w:rsidP="005F1ED8">
            <w:pPr>
              <w:tabs>
                <w:tab w:val="left" w:pos="-1440"/>
                <w:tab w:val="left" w:pos="-720"/>
              </w:tabs>
              <w:rPr>
                <w:sz w:val="20"/>
                <w:szCs w:val="20"/>
              </w:rPr>
            </w:pPr>
            <w:r w:rsidRPr="00A935AA">
              <w:rPr>
                <w:sz w:val="20"/>
                <w:szCs w:val="20"/>
              </w:rPr>
              <w:tab/>
            </w:r>
          </w:p>
          <w:p w:rsidR="00EE47A5" w:rsidRPr="00A935AA" w:rsidRDefault="00EE47A5" w:rsidP="005F1ED8">
            <w:pPr>
              <w:tabs>
                <w:tab w:val="left" w:pos="-1440"/>
                <w:tab w:val="left" w:pos="-720"/>
              </w:tabs>
              <w:rPr>
                <w:sz w:val="20"/>
                <w:szCs w:val="20"/>
              </w:rPr>
            </w:pPr>
            <w:r w:rsidRPr="00A935AA">
              <w:rPr>
                <w:sz w:val="20"/>
                <w:szCs w:val="20"/>
              </w:rPr>
              <w:tab/>
              <w:t>v. (3</w:t>
            </w:r>
            <w:r>
              <w:rPr>
                <w:sz w:val="20"/>
                <w:szCs w:val="20"/>
              </w:rPr>
              <w:t>6327</w:t>
            </w:r>
            <w:r w:rsidRPr="00A935AA">
              <w:rPr>
                <w:sz w:val="20"/>
                <w:szCs w:val="20"/>
              </w:rPr>
              <w:t>)</w:t>
            </w:r>
          </w:p>
          <w:p w:rsidR="00EE47A5" w:rsidRPr="00A935AA" w:rsidRDefault="00EE47A5" w:rsidP="005F1ED8">
            <w:pPr>
              <w:tabs>
                <w:tab w:val="left" w:pos="-1440"/>
                <w:tab w:val="left" w:pos="-720"/>
              </w:tabs>
              <w:rPr>
                <w:sz w:val="20"/>
                <w:szCs w:val="20"/>
              </w:rPr>
            </w:pPr>
          </w:p>
          <w:p w:rsidR="00EE47A5" w:rsidRPr="00CE4EDB" w:rsidRDefault="00EE47A5" w:rsidP="005F1ED8">
            <w:pPr>
              <w:tabs>
                <w:tab w:val="left" w:pos="-1440"/>
                <w:tab w:val="left" w:pos="-720"/>
              </w:tabs>
              <w:rPr>
                <w:b/>
                <w:sz w:val="20"/>
                <w:szCs w:val="20"/>
              </w:rPr>
            </w:pPr>
            <w:r w:rsidRPr="00CE4EDB">
              <w:rPr>
                <w:b/>
                <w:sz w:val="20"/>
                <w:szCs w:val="20"/>
              </w:rPr>
              <w:t>Miguel Lay et al. (Alta.)</w:t>
            </w:r>
          </w:p>
          <w:p w:rsidR="00EE47A5" w:rsidRPr="00EE47A5" w:rsidRDefault="00EE47A5" w:rsidP="005F1ED8">
            <w:pPr>
              <w:tabs>
                <w:tab w:val="left" w:pos="-1440"/>
                <w:tab w:val="left" w:pos="-720"/>
              </w:tabs>
              <w:rPr>
                <w:sz w:val="20"/>
                <w:szCs w:val="20"/>
              </w:rPr>
            </w:pPr>
            <w:r w:rsidRPr="00CE4EDB">
              <w:rPr>
                <w:sz w:val="20"/>
                <w:szCs w:val="20"/>
              </w:rPr>
              <w:tab/>
            </w:r>
            <w:r w:rsidRPr="00EE47A5">
              <w:rPr>
                <w:sz w:val="20"/>
                <w:szCs w:val="20"/>
              </w:rPr>
              <w:t>Sarah Dolgoy</w:t>
            </w:r>
          </w:p>
          <w:p w:rsidR="00EE47A5" w:rsidRPr="00EE47A5" w:rsidRDefault="00EE47A5" w:rsidP="005F1ED8">
            <w:pPr>
              <w:tabs>
                <w:tab w:val="left" w:pos="-1440"/>
                <w:tab w:val="left" w:pos="-720"/>
              </w:tabs>
              <w:rPr>
                <w:sz w:val="20"/>
                <w:szCs w:val="20"/>
              </w:rPr>
            </w:pPr>
            <w:r w:rsidRPr="00EE47A5">
              <w:rPr>
                <w:sz w:val="20"/>
                <w:szCs w:val="20"/>
              </w:rPr>
              <w:tab/>
              <w:t>A.G. of Alberta</w:t>
            </w:r>
          </w:p>
          <w:p w:rsidR="00EE47A5" w:rsidRPr="00EE47A5" w:rsidRDefault="00EE47A5" w:rsidP="005F1ED8">
            <w:pPr>
              <w:tabs>
                <w:tab w:val="left" w:pos="-1440"/>
                <w:tab w:val="left" w:pos="-720"/>
              </w:tabs>
              <w:rPr>
                <w:sz w:val="20"/>
                <w:szCs w:val="20"/>
              </w:rPr>
            </w:pPr>
          </w:p>
          <w:p w:rsidR="00EE47A5" w:rsidRPr="00A935AA" w:rsidRDefault="00EE47A5" w:rsidP="005F1ED8">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2</w:t>
            </w:r>
            <w:r w:rsidRPr="00A935AA">
              <w:rPr>
                <w:sz w:val="20"/>
                <w:szCs w:val="20"/>
              </w:rPr>
              <w:t>.201</w:t>
            </w:r>
            <w:r>
              <w:rPr>
                <w:sz w:val="20"/>
                <w:szCs w:val="20"/>
              </w:rPr>
              <w:t>5</w:t>
            </w:r>
          </w:p>
          <w:p w:rsidR="00EE47A5" w:rsidRPr="00A935AA" w:rsidRDefault="00173D9D" w:rsidP="005F1ED8">
            <w:pPr>
              <w:rPr>
                <w:sz w:val="20"/>
                <w:szCs w:val="20"/>
              </w:rPr>
            </w:pPr>
            <w:r>
              <w:rPr>
                <w:sz w:val="20"/>
                <w:szCs w:val="20"/>
                <w:lang w:val="fr-CA"/>
              </w:rPr>
              <w:pict>
                <v:rect id="_x0000_i1030" style="width:108pt;height:1pt" o:hrpct="0" o:hralign="center" o:hrstd="t" o:hrnoshade="t" o:hr="t" fillcolor="black [3213]" stroked="f"/>
              </w:pict>
            </w:r>
          </w:p>
        </w:tc>
      </w:tr>
      <w:tr w:rsidR="00EE47A5" w:rsidRPr="00A935AA" w:rsidTr="003B3977">
        <w:trPr>
          <w:cantSplit/>
        </w:trPr>
        <w:tc>
          <w:tcPr>
            <w:tcW w:w="4320" w:type="dxa"/>
            <w:shd w:val="clear" w:color="auto" w:fill="auto"/>
          </w:tcPr>
          <w:p w:rsidR="00EE47A5" w:rsidRPr="00A935AA" w:rsidRDefault="00793ECF" w:rsidP="00793ECF">
            <w:pPr>
              <w:rPr>
                <w:b/>
                <w:sz w:val="20"/>
                <w:szCs w:val="20"/>
              </w:rPr>
            </w:pPr>
            <w:r>
              <w:rPr>
                <w:b/>
                <w:sz w:val="20"/>
                <w:szCs w:val="20"/>
              </w:rPr>
              <w:t>Outhonesavan</w:t>
            </w:r>
            <w:r w:rsidR="00832E3A">
              <w:rPr>
                <w:b/>
                <w:sz w:val="20"/>
                <w:szCs w:val="20"/>
              </w:rPr>
              <w:t xml:space="preserve"> K. Bounpraseuth</w:t>
            </w:r>
          </w:p>
          <w:p w:rsidR="00EE47A5" w:rsidRPr="00832E3A" w:rsidRDefault="00EE47A5" w:rsidP="00793ECF">
            <w:pPr>
              <w:tabs>
                <w:tab w:val="left" w:pos="-1440"/>
                <w:tab w:val="left" w:pos="-720"/>
              </w:tabs>
              <w:rPr>
                <w:sz w:val="20"/>
                <w:szCs w:val="20"/>
              </w:rPr>
            </w:pPr>
            <w:r w:rsidRPr="00A935AA">
              <w:rPr>
                <w:sz w:val="20"/>
                <w:szCs w:val="20"/>
              </w:rPr>
              <w:tab/>
            </w:r>
            <w:r w:rsidR="00832E3A" w:rsidRPr="00832E3A">
              <w:rPr>
                <w:sz w:val="20"/>
                <w:szCs w:val="20"/>
              </w:rPr>
              <w:t>Outhonesavan K. Bounpraseuth</w:t>
            </w:r>
          </w:p>
          <w:p w:rsidR="00EE47A5" w:rsidRPr="00A935AA" w:rsidRDefault="00EE47A5" w:rsidP="00793ECF">
            <w:pPr>
              <w:tabs>
                <w:tab w:val="left" w:pos="-1440"/>
                <w:tab w:val="left" w:pos="-720"/>
              </w:tabs>
              <w:rPr>
                <w:sz w:val="20"/>
                <w:szCs w:val="20"/>
              </w:rPr>
            </w:pPr>
          </w:p>
          <w:p w:rsidR="00EE47A5" w:rsidRPr="00A935AA" w:rsidRDefault="00EE47A5" w:rsidP="00793ECF">
            <w:pPr>
              <w:tabs>
                <w:tab w:val="left" w:pos="-1440"/>
                <w:tab w:val="left" w:pos="-720"/>
              </w:tabs>
              <w:rPr>
                <w:sz w:val="20"/>
                <w:szCs w:val="20"/>
              </w:rPr>
            </w:pPr>
            <w:r w:rsidRPr="00A935AA">
              <w:rPr>
                <w:sz w:val="20"/>
                <w:szCs w:val="20"/>
              </w:rPr>
              <w:tab/>
              <w:t>v. (3</w:t>
            </w:r>
            <w:r w:rsidR="00832E3A">
              <w:rPr>
                <w:sz w:val="20"/>
                <w:szCs w:val="20"/>
              </w:rPr>
              <w:t>6318</w:t>
            </w:r>
            <w:r w:rsidRPr="00A935AA">
              <w:rPr>
                <w:sz w:val="20"/>
                <w:szCs w:val="20"/>
              </w:rPr>
              <w:t>)</w:t>
            </w:r>
          </w:p>
          <w:p w:rsidR="00EE47A5" w:rsidRPr="00A935AA" w:rsidRDefault="00EE47A5" w:rsidP="00793ECF">
            <w:pPr>
              <w:tabs>
                <w:tab w:val="left" w:pos="-1440"/>
                <w:tab w:val="left" w:pos="-720"/>
              </w:tabs>
              <w:rPr>
                <w:sz w:val="20"/>
                <w:szCs w:val="20"/>
              </w:rPr>
            </w:pPr>
          </w:p>
          <w:p w:rsidR="00EE47A5" w:rsidRPr="00A935AA" w:rsidRDefault="00832E3A" w:rsidP="00793ECF">
            <w:pPr>
              <w:tabs>
                <w:tab w:val="left" w:pos="-1440"/>
                <w:tab w:val="left" w:pos="-720"/>
              </w:tabs>
              <w:rPr>
                <w:b/>
                <w:sz w:val="20"/>
                <w:szCs w:val="20"/>
              </w:rPr>
            </w:pPr>
            <w:r>
              <w:rPr>
                <w:b/>
                <w:sz w:val="20"/>
                <w:szCs w:val="20"/>
              </w:rPr>
              <w:t xml:space="preserve">York University </w:t>
            </w:r>
            <w:r w:rsidR="00EE47A5" w:rsidRPr="00A935AA">
              <w:rPr>
                <w:b/>
                <w:sz w:val="20"/>
                <w:szCs w:val="20"/>
              </w:rPr>
              <w:t>(</w:t>
            </w:r>
            <w:r w:rsidR="00EE47A5">
              <w:rPr>
                <w:b/>
                <w:sz w:val="20"/>
                <w:szCs w:val="20"/>
              </w:rPr>
              <w:t>Ont</w:t>
            </w:r>
            <w:r w:rsidR="00EE47A5" w:rsidRPr="00A935AA">
              <w:rPr>
                <w:b/>
                <w:sz w:val="20"/>
                <w:szCs w:val="20"/>
              </w:rPr>
              <w:t>.)</w:t>
            </w:r>
          </w:p>
          <w:p w:rsidR="00EE47A5" w:rsidRPr="00A935AA" w:rsidRDefault="00EE47A5" w:rsidP="00793ECF">
            <w:pPr>
              <w:tabs>
                <w:tab w:val="left" w:pos="-1440"/>
                <w:tab w:val="left" w:pos="-720"/>
              </w:tabs>
              <w:rPr>
                <w:sz w:val="20"/>
                <w:szCs w:val="20"/>
              </w:rPr>
            </w:pPr>
            <w:r w:rsidRPr="00A935AA">
              <w:rPr>
                <w:sz w:val="20"/>
                <w:szCs w:val="20"/>
              </w:rPr>
              <w:tab/>
            </w:r>
            <w:r w:rsidR="00832E3A">
              <w:rPr>
                <w:sz w:val="20"/>
                <w:szCs w:val="20"/>
              </w:rPr>
              <w:t>Sarah Jones</w:t>
            </w:r>
          </w:p>
          <w:p w:rsidR="00EE47A5" w:rsidRPr="00A935AA" w:rsidRDefault="00EE47A5" w:rsidP="00793ECF">
            <w:pPr>
              <w:tabs>
                <w:tab w:val="left" w:pos="-1440"/>
                <w:tab w:val="left" w:pos="-720"/>
              </w:tabs>
              <w:rPr>
                <w:sz w:val="20"/>
                <w:szCs w:val="20"/>
              </w:rPr>
            </w:pPr>
            <w:r w:rsidRPr="00A935AA">
              <w:rPr>
                <w:sz w:val="20"/>
                <w:szCs w:val="20"/>
              </w:rPr>
              <w:tab/>
            </w:r>
            <w:r w:rsidR="00832E3A">
              <w:rPr>
                <w:sz w:val="20"/>
                <w:szCs w:val="20"/>
              </w:rPr>
              <w:t>Thomas, Gold, Pettingill LLP</w:t>
            </w:r>
          </w:p>
          <w:p w:rsidR="00EE47A5" w:rsidRPr="00A935AA" w:rsidRDefault="00EE47A5" w:rsidP="00793ECF">
            <w:pPr>
              <w:tabs>
                <w:tab w:val="left" w:pos="-1440"/>
                <w:tab w:val="left" w:pos="-720"/>
              </w:tabs>
              <w:rPr>
                <w:sz w:val="20"/>
                <w:szCs w:val="20"/>
              </w:rPr>
            </w:pPr>
          </w:p>
          <w:p w:rsidR="00EE47A5" w:rsidRPr="00A935AA" w:rsidRDefault="00EE47A5" w:rsidP="00793ECF">
            <w:pPr>
              <w:rPr>
                <w:sz w:val="20"/>
                <w:szCs w:val="20"/>
              </w:rPr>
            </w:pPr>
            <w:r w:rsidRPr="00A935AA">
              <w:rPr>
                <w:sz w:val="20"/>
                <w:szCs w:val="20"/>
              </w:rPr>
              <w:t xml:space="preserve">FILING DATE: </w:t>
            </w:r>
            <w:r w:rsidR="00A81931">
              <w:rPr>
                <w:sz w:val="20"/>
                <w:szCs w:val="20"/>
              </w:rPr>
              <w:t>19</w:t>
            </w:r>
            <w:r w:rsidRPr="00A935AA">
              <w:rPr>
                <w:sz w:val="20"/>
                <w:szCs w:val="20"/>
              </w:rPr>
              <w:t>.0</w:t>
            </w:r>
            <w:r>
              <w:rPr>
                <w:sz w:val="20"/>
                <w:szCs w:val="20"/>
              </w:rPr>
              <w:t>2</w:t>
            </w:r>
            <w:r w:rsidRPr="00A935AA">
              <w:rPr>
                <w:sz w:val="20"/>
                <w:szCs w:val="20"/>
              </w:rPr>
              <w:t>.201</w:t>
            </w:r>
            <w:r w:rsidR="00A81931">
              <w:rPr>
                <w:sz w:val="20"/>
                <w:szCs w:val="20"/>
              </w:rPr>
              <w:t>5</w:t>
            </w:r>
          </w:p>
          <w:p w:rsidR="00EE47A5" w:rsidRPr="00A935AA" w:rsidRDefault="00173D9D" w:rsidP="00793ECF">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p w:rsidR="00EE47A5" w:rsidRPr="00A935AA" w:rsidRDefault="00EE47A5" w:rsidP="00242AEE">
            <w:pPr>
              <w:jc w:val="center"/>
              <w:rPr>
                <w:sz w:val="20"/>
                <w:szCs w:val="20"/>
              </w:rPr>
            </w:pPr>
          </w:p>
        </w:tc>
        <w:tc>
          <w:tcPr>
            <w:tcW w:w="4320" w:type="dxa"/>
            <w:shd w:val="clear" w:color="auto" w:fill="auto"/>
          </w:tcPr>
          <w:p w:rsidR="00EE47A5" w:rsidRDefault="00EE47A5" w:rsidP="00793ECF">
            <w:pPr>
              <w:rPr>
                <w:b/>
                <w:sz w:val="20"/>
                <w:szCs w:val="20"/>
              </w:rPr>
            </w:pPr>
          </w:p>
          <w:p w:rsidR="00832E3A" w:rsidRPr="00CE4EDB" w:rsidRDefault="00832E3A" w:rsidP="00793ECF">
            <w:pPr>
              <w:rPr>
                <w:b/>
                <w:sz w:val="20"/>
                <w:szCs w:val="20"/>
              </w:rPr>
            </w:pPr>
            <w:r w:rsidRPr="00CE4EDB">
              <w:rPr>
                <w:b/>
                <w:sz w:val="20"/>
                <w:szCs w:val="20"/>
              </w:rPr>
              <w:t>Jessy Domond</w:t>
            </w:r>
          </w:p>
          <w:p w:rsidR="00EE47A5" w:rsidRPr="00CE4EDB" w:rsidRDefault="00EE47A5" w:rsidP="00793ECF">
            <w:pPr>
              <w:tabs>
                <w:tab w:val="left" w:pos="-1440"/>
                <w:tab w:val="left" w:pos="-720"/>
              </w:tabs>
              <w:rPr>
                <w:sz w:val="20"/>
                <w:szCs w:val="20"/>
              </w:rPr>
            </w:pPr>
            <w:r w:rsidRPr="00CE4EDB">
              <w:rPr>
                <w:sz w:val="20"/>
                <w:szCs w:val="20"/>
              </w:rPr>
              <w:tab/>
            </w:r>
            <w:r w:rsidR="00832E3A" w:rsidRPr="00CE4EDB">
              <w:rPr>
                <w:sz w:val="20"/>
                <w:szCs w:val="20"/>
              </w:rPr>
              <w:t>Jessy Domond</w:t>
            </w:r>
          </w:p>
          <w:p w:rsidR="00832E3A" w:rsidRPr="00CE4EDB" w:rsidRDefault="00832E3A" w:rsidP="00793ECF">
            <w:pPr>
              <w:tabs>
                <w:tab w:val="left" w:pos="-1440"/>
                <w:tab w:val="left" w:pos="-720"/>
              </w:tabs>
              <w:rPr>
                <w:sz w:val="20"/>
                <w:szCs w:val="20"/>
              </w:rPr>
            </w:pPr>
          </w:p>
          <w:p w:rsidR="00EE47A5" w:rsidRPr="00CE4EDB" w:rsidRDefault="00EE47A5" w:rsidP="00793ECF">
            <w:pPr>
              <w:tabs>
                <w:tab w:val="left" w:pos="-1440"/>
                <w:tab w:val="left" w:pos="-720"/>
              </w:tabs>
              <w:rPr>
                <w:sz w:val="20"/>
                <w:szCs w:val="20"/>
              </w:rPr>
            </w:pPr>
            <w:r w:rsidRPr="00CE4EDB">
              <w:rPr>
                <w:sz w:val="20"/>
                <w:szCs w:val="20"/>
              </w:rPr>
              <w:tab/>
            </w:r>
            <w:r w:rsidR="00832E3A" w:rsidRPr="00CE4EDB">
              <w:rPr>
                <w:sz w:val="20"/>
                <w:szCs w:val="20"/>
              </w:rPr>
              <w:t>c</w:t>
            </w:r>
            <w:r w:rsidRPr="00CE4EDB">
              <w:rPr>
                <w:sz w:val="20"/>
                <w:szCs w:val="20"/>
              </w:rPr>
              <w:t>. (3</w:t>
            </w:r>
            <w:r w:rsidR="00832E3A" w:rsidRPr="00CE4EDB">
              <w:rPr>
                <w:sz w:val="20"/>
                <w:szCs w:val="20"/>
              </w:rPr>
              <w:t>6329</w:t>
            </w:r>
            <w:r w:rsidRPr="00CE4EDB">
              <w:rPr>
                <w:sz w:val="20"/>
                <w:szCs w:val="20"/>
              </w:rPr>
              <w:t>)</w:t>
            </w:r>
          </w:p>
          <w:p w:rsidR="00EE47A5" w:rsidRPr="00CE4EDB" w:rsidRDefault="00EE47A5" w:rsidP="00793ECF">
            <w:pPr>
              <w:tabs>
                <w:tab w:val="left" w:pos="-1440"/>
                <w:tab w:val="left" w:pos="-720"/>
              </w:tabs>
              <w:rPr>
                <w:sz w:val="20"/>
                <w:szCs w:val="20"/>
              </w:rPr>
            </w:pPr>
          </w:p>
          <w:p w:rsidR="00EE47A5" w:rsidRPr="00832E3A" w:rsidRDefault="00832E3A" w:rsidP="00793ECF">
            <w:pPr>
              <w:tabs>
                <w:tab w:val="left" w:pos="-1440"/>
                <w:tab w:val="left" w:pos="-720"/>
              </w:tabs>
              <w:rPr>
                <w:b/>
                <w:sz w:val="20"/>
                <w:szCs w:val="20"/>
                <w:lang w:val="fr-CA"/>
              </w:rPr>
            </w:pPr>
            <w:r w:rsidRPr="00832E3A">
              <w:rPr>
                <w:b/>
                <w:sz w:val="20"/>
                <w:szCs w:val="20"/>
                <w:lang w:val="fr-CA"/>
              </w:rPr>
              <w:t>Carra Tribunal d</w:t>
            </w:r>
            <w:r>
              <w:rPr>
                <w:b/>
                <w:sz w:val="20"/>
                <w:szCs w:val="20"/>
                <w:lang w:val="fr-CA"/>
              </w:rPr>
              <w:t>’</w:t>
            </w:r>
            <w:r w:rsidRPr="00832E3A">
              <w:rPr>
                <w:b/>
                <w:sz w:val="20"/>
                <w:szCs w:val="20"/>
                <w:lang w:val="fr-CA"/>
              </w:rPr>
              <w:t xml:space="preserve">arbitrage </w:t>
            </w:r>
            <w:r w:rsidR="00EE47A5" w:rsidRPr="00832E3A">
              <w:rPr>
                <w:b/>
                <w:sz w:val="20"/>
                <w:szCs w:val="20"/>
                <w:lang w:val="fr-CA"/>
              </w:rPr>
              <w:t>(</w:t>
            </w:r>
            <w:r w:rsidRPr="00832E3A">
              <w:rPr>
                <w:b/>
                <w:sz w:val="20"/>
                <w:szCs w:val="20"/>
                <w:lang w:val="fr-CA"/>
              </w:rPr>
              <w:t>Qc</w:t>
            </w:r>
            <w:r w:rsidR="00EE47A5" w:rsidRPr="00832E3A">
              <w:rPr>
                <w:b/>
                <w:sz w:val="20"/>
                <w:szCs w:val="20"/>
                <w:lang w:val="fr-CA"/>
              </w:rPr>
              <w:t>)</w:t>
            </w:r>
          </w:p>
          <w:p w:rsidR="00EE47A5" w:rsidRPr="00832E3A" w:rsidRDefault="00EE47A5" w:rsidP="00793ECF">
            <w:pPr>
              <w:tabs>
                <w:tab w:val="left" w:pos="-1440"/>
                <w:tab w:val="left" w:pos="-720"/>
              </w:tabs>
              <w:rPr>
                <w:sz w:val="20"/>
                <w:szCs w:val="20"/>
                <w:lang w:val="fr-CA"/>
              </w:rPr>
            </w:pPr>
            <w:r w:rsidRPr="00832E3A">
              <w:rPr>
                <w:sz w:val="20"/>
                <w:szCs w:val="20"/>
                <w:lang w:val="fr-CA"/>
              </w:rPr>
              <w:tab/>
            </w:r>
            <w:r w:rsidR="00832E3A" w:rsidRPr="00832E3A">
              <w:rPr>
                <w:sz w:val="20"/>
                <w:szCs w:val="20"/>
                <w:lang w:val="fr-CA"/>
              </w:rPr>
              <w:t>Louise Desrochers</w:t>
            </w:r>
          </w:p>
          <w:p w:rsidR="00EE47A5" w:rsidRPr="00832E3A" w:rsidRDefault="00EE47A5" w:rsidP="00793ECF">
            <w:pPr>
              <w:tabs>
                <w:tab w:val="left" w:pos="-1440"/>
                <w:tab w:val="left" w:pos="-720"/>
              </w:tabs>
              <w:rPr>
                <w:sz w:val="20"/>
                <w:szCs w:val="20"/>
                <w:lang w:val="fr-CA"/>
              </w:rPr>
            </w:pPr>
          </w:p>
          <w:p w:rsidR="00EE47A5" w:rsidRPr="00A935AA" w:rsidRDefault="00EE47A5" w:rsidP="00793ECF">
            <w:pPr>
              <w:rPr>
                <w:sz w:val="20"/>
                <w:szCs w:val="20"/>
              </w:rPr>
            </w:pPr>
            <w:r w:rsidRPr="00A935AA">
              <w:rPr>
                <w:sz w:val="20"/>
                <w:szCs w:val="20"/>
              </w:rPr>
              <w:t>FILING DATE: 2</w:t>
            </w:r>
            <w:r w:rsidR="00A81931">
              <w:rPr>
                <w:sz w:val="20"/>
                <w:szCs w:val="20"/>
              </w:rPr>
              <w:t>5</w:t>
            </w:r>
            <w:r w:rsidRPr="00A935AA">
              <w:rPr>
                <w:sz w:val="20"/>
                <w:szCs w:val="20"/>
              </w:rPr>
              <w:t>.0</w:t>
            </w:r>
            <w:r>
              <w:rPr>
                <w:sz w:val="20"/>
                <w:szCs w:val="20"/>
              </w:rPr>
              <w:t>2</w:t>
            </w:r>
            <w:r w:rsidRPr="00A935AA">
              <w:rPr>
                <w:sz w:val="20"/>
                <w:szCs w:val="20"/>
              </w:rPr>
              <w:t>.201</w:t>
            </w:r>
            <w:r w:rsidR="00A81931">
              <w:rPr>
                <w:sz w:val="20"/>
                <w:szCs w:val="20"/>
              </w:rPr>
              <w:t>5</w:t>
            </w:r>
          </w:p>
          <w:p w:rsidR="00EE47A5" w:rsidRPr="00A935AA" w:rsidRDefault="00173D9D" w:rsidP="00793ECF">
            <w:pPr>
              <w:rPr>
                <w:sz w:val="20"/>
                <w:szCs w:val="20"/>
              </w:rPr>
            </w:pPr>
            <w:r>
              <w:rPr>
                <w:sz w:val="20"/>
                <w:szCs w:val="20"/>
                <w:lang w:val="fr-CA"/>
              </w:rPr>
              <w:pict>
                <v:rect id="_x0000_i1032" style="width:108pt;height:1pt" o:hrpct="0" o:hralign="center" o:hrstd="t" o:hrnoshade="t" o:hr="t" fillcolor="black [3213]" stroked="f"/>
              </w:pict>
            </w: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C70B1">
          <w:headerReference w:type="default" r:id="rId17"/>
          <w:footerReference w:type="default" r:id="rId18"/>
          <w:headerReference w:type="first" r:id="rId19"/>
          <w:footerReference w:type="first" r:id="rId20"/>
          <w:pgSz w:w="12240" w:h="15840"/>
          <w:pgMar w:top="720" w:right="965" w:bottom="1080" w:left="1656" w:header="706" w:footer="706" w:gutter="0"/>
          <w:pgNumType w:start="52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73D9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6468A" w:rsidP="00CB3520">
      <w:pPr>
        <w:widowControl w:val="0"/>
        <w:rPr>
          <w:b/>
          <w:sz w:val="20"/>
          <w:szCs w:val="20"/>
        </w:rPr>
      </w:pPr>
      <w:r>
        <w:rPr>
          <w:b/>
          <w:sz w:val="20"/>
          <w:szCs w:val="20"/>
        </w:rPr>
        <w:t>M</w:t>
      </w:r>
      <w:r w:rsidR="00CB3520">
        <w:rPr>
          <w:b/>
          <w:sz w:val="20"/>
          <w:szCs w:val="20"/>
        </w:rPr>
        <w:t>AR</w:t>
      </w:r>
      <w:r>
        <w:rPr>
          <w:b/>
          <w:sz w:val="20"/>
          <w:szCs w:val="20"/>
        </w:rPr>
        <w:t>CH</w:t>
      </w:r>
      <w:r w:rsidR="00CB3520">
        <w:rPr>
          <w:b/>
          <w:sz w:val="20"/>
          <w:szCs w:val="20"/>
        </w:rPr>
        <w:t xml:space="preserve"> 2</w:t>
      </w:r>
      <w:r>
        <w:rPr>
          <w:b/>
          <w:sz w:val="20"/>
          <w:szCs w:val="20"/>
        </w:rPr>
        <w:t>3</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2</w:t>
      </w:r>
      <w:r>
        <w:rPr>
          <w:b/>
          <w:sz w:val="20"/>
          <w:szCs w:val="20"/>
        </w:rPr>
        <w:t>3</w:t>
      </w:r>
      <w:r w:rsidR="00CB3520">
        <w:rPr>
          <w:b/>
          <w:sz w:val="20"/>
          <w:szCs w:val="20"/>
        </w:rPr>
        <w:t xml:space="preserve"> </w:t>
      </w:r>
      <w:r>
        <w:rPr>
          <w:b/>
          <w:sz w:val="20"/>
          <w:szCs w:val="20"/>
        </w:rPr>
        <w:t>MA</w:t>
      </w:r>
      <w:r w:rsidR="00CB3520">
        <w:rPr>
          <w:b/>
          <w:sz w:val="20"/>
          <w:szCs w:val="20"/>
        </w:rPr>
        <w:t>R</w:t>
      </w:r>
      <w:r>
        <w:rPr>
          <w:b/>
          <w:sz w:val="20"/>
          <w:szCs w:val="20"/>
        </w:rPr>
        <w:t>S</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F71F50" w:rsidP="00CB3520">
      <w:pPr>
        <w:pStyle w:val="ListParagraph"/>
        <w:widowControl w:val="0"/>
        <w:numPr>
          <w:ilvl w:val="0"/>
          <w:numId w:val="1"/>
        </w:numPr>
        <w:ind w:hanging="720"/>
        <w:jc w:val="both"/>
        <w:rPr>
          <w:sz w:val="20"/>
          <w:szCs w:val="20"/>
        </w:rPr>
      </w:pPr>
      <w:r w:rsidRPr="00F71F50">
        <w:rPr>
          <w:i/>
          <w:sz w:val="20"/>
          <w:szCs w:val="20"/>
        </w:rPr>
        <w:t>Jeffrey Verdon v. Her Majesty the Queen</w:t>
      </w:r>
      <w:r w:rsidRPr="00F71F50">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6</w:t>
      </w:r>
      <w:r w:rsidR="0076468A">
        <w:rPr>
          <w:sz w:val="20"/>
          <w:szCs w:val="20"/>
        </w:rPr>
        <w:t>252</w:t>
      </w:r>
      <w:r w:rsidR="00CB3520" w:rsidRPr="00C50A5C">
        <w:rPr>
          <w:sz w:val="20"/>
          <w:szCs w:val="20"/>
        </w:rPr>
        <w:t>)</w:t>
      </w:r>
    </w:p>
    <w:p w:rsidR="00CB3520" w:rsidRPr="00C50A5C" w:rsidRDefault="00CB3520" w:rsidP="00CB3520">
      <w:pPr>
        <w:widowControl w:val="0"/>
        <w:jc w:val="both"/>
        <w:rPr>
          <w:sz w:val="20"/>
          <w:szCs w:val="20"/>
        </w:rPr>
      </w:pPr>
    </w:p>
    <w:p w:rsidR="00CB3520" w:rsidRPr="00F71F50" w:rsidRDefault="00F71F50" w:rsidP="00CB3520">
      <w:pPr>
        <w:pStyle w:val="ListParagraph"/>
        <w:widowControl w:val="0"/>
        <w:numPr>
          <w:ilvl w:val="0"/>
          <w:numId w:val="1"/>
        </w:numPr>
        <w:ind w:hanging="720"/>
        <w:jc w:val="both"/>
        <w:rPr>
          <w:sz w:val="20"/>
          <w:szCs w:val="20"/>
          <w:lang w:val="fr-CA"/>
        </w:rPr>
      </w:pPr>
      <w:r w:rsidRPr="00F71F50">
        <w:rPr>
          <w:i/>
          <w:sz w:val="20"/>
          <w:szCs w:val="20"/>
          <w:lang w:val="fr-CA"/>
        </w:rPr>
        <w:t>Kenauk Immobilière S.E.C. c. Serge Bruneau et autres</w:t>
      </w:r>
      <w:r w:rsidRPr="00F71F50">
        <w:rPr>
          <w:sz w:val="20"/>
          <w:szCs w:val="20"/>
          <w:lang w:val="fr-CA"/>
        </w:rPr>
        <w:t xml:space="preserve"> (Qc) (Civile) (Autorisation) </w:t>
      </w:r>
      <w:r w:rsidR="00CB3520" w:rsidRPr="00F71F50">
        <w:rPr>
          <w:sz w:val="20"/>
          <w:szCs w:val="20"/>
          <w:lang w:val="fr-CA"/>
        </w:rPr>
        <w:t>(36</w:t>
      </w:r>
      <w:r w:rsidR="0076468A" w:rsidRPr="00F71F50">
        <w:rPr>
          <w:sz w:val="20"/>
          <w:szCs w:val="20"/>
          <w:lang w:val="fr-CA"/>
        </w:rPr>
        <w:t>1</w:t>
      </w:r>
      <w:r w:rsidR="00CB3520" w:rsidRPr="00F71F50">
        <w:rPr>
          <w:sz w:val="20"/>
          <w:szCs w:val="20"/>
          <w:lang w:val="fr-CA"/>
        </w:rPr>
        <w:t>8</w:t>
      </w:r>
      <w:r w:rsidR="0076468A" w:rsidRPr="00F71F50">
        <w:rPr>
          <w:sz w:val="20"/>
          <w:szCs w:val="20"/>
          <w:lang w:val="fr-CA"/>
        </w:rPr>
        <w:t>0</w:t>
      </w:r>
      <w:r w:rsidR="00CB3520" w:rsidRPr="00F71F50">
        <w:rPr>
          <w:sz w:val="20"/>
          <w:szCs w:val="20"/>
          <w:lang w:val="fr-CA"/>
        </w:rPr>
        <w:t>)</w:t>
      </w:r>
    </w:p>
    <w:p w:rsidR="00CB3520" w:rsidRPr="00F71F50" w:rsidRDefault="00CB3520" w:rsidP="00CB3520">
      <w:pPr>
        <w:widowControl w:val="0"/>
        <w:jc w:val="both"/>
        <w:rPr>
          <w:sz w:val="20"/>
          <w:szCs w:val="20"/>
          <w:lang w:val="fr-CA"/>
        </w:rPr>
      </w:pPr>
    </w:p>
    <w:p w:rsidR="00CB3520" w:rsidRPr="00C50A5C" w:rsidRDefault="000740D0" w:rsidP="00CB3520">
      <w:pPr>
        <w:pStyle w:val="ListParagraph"/>
        <w:widowControl w:val="0"/>
        <w:numPr>
          <w:ilvl w:val="0"/>
          <w:numId w:val="1"/>
        </w:numPr>
        <w:ind w:hanging="720"/>
        <w:jc w:val="both"/>
        <w:rPr>
          <w:sz w:val="20"/>
          <w:szCs w:val="20"/>
        </w:rPr>
      </w:pPr>
      <w:r w:rsidRPr="000740D0">
        <w:rPr>
          <w:i/>
          <w:sz w:val="20"/>
          <w:szCs w:val="20"/>
        </w:rPr>
        <w:t>Enoch Cree Nation as represented by chief Ron Vincent Morin et al. v. Her Majesty the Queen in right of Canada as represented by the Attorney General of Canada, the Minister of Aboriginal Affairs and Northern Development, the Minister of Transport, the Minister of Environment et al.</w:t>
      </w:r>
      <w:r w:rsidRPr="00F71F50">
        <w:rPr>
          <w:sz w:val="20"/>
          <w:szCs w:val="20"/>
        </w:rPr>
        <w:t xml:space="preserve"> (F.C.) (Civil) (By Leave)</w:t>
      </w:r>
      <w:r w:rsidRPr="00940CAD">
        <w:rPr>
          <w:sz w:val="20"/>
          <w:szCs w:val="20"/>
        </w:rPr>
        <w:t xml:space="preserve"> </w:t>
      </w:r>
      <w:r w:rsidR="00CB3520" w:rsidRPr="00940CAD">
        <w:rPr>
          <w:sz w:val="20"/>
          <w:szCs w:val="20"/>
        </w:rPr>
        <w:t>(3</w:t>
      </w:r>
      <w:r w:rsidR="0076468A">
        <w:rPr>
          <w:sz w:val="20"/>
          <w:szCs w:val="20"/>
        </w:rPr>
        <w:t>6239</w:t>
      </w:r>
      <w:r w:rsidR="00CB3520" w:rsidRPr="00940CAD">
        <w:rPr>
          <w:sz w:val="20"/>
          <w:szCs w:val="20"/>
        </w:rPr>
        <w:t>)</w:t>
      </w:r>
    </w:p>
    <w:p w:rsidR="00CB3520" w:rsidRDefault="00CB3520" w:rsidP="00CB3520">
      <w:pPr>
        <w:widowControl w:val="0"/>
        <w:rPr>
          <w:sz w:val="20"/>
          <w:szCs w:val="20"/>
        </w:rPr>
      </w:pPr>
    </w:p>
    <w:p w:rsidR="0076468A" w:rsidRDefault="0076468A" w:rsidP="00CB3520">
      <w:pPr>
        <w:widowControl w:val="0"/>
        <w:rPr>
          <w:sz w:val="20"/>
          <w:szCs w:val="20"/>
        </w:rPr>
      </w:pPr>
    </w:p>
    <w:p w:rsidR="0076468A" w:rsidRPr="0076468A" w:rsidRDefault="0076468A" w:rsidP="0076468A">
      <w:pPr>
        <w:widowControl w:val="0"/>
        <w:jc w:val="center"/>
        <w:rPr>
          <w:b/>
          <w:sz w:val="20"/>
          <w:szCs w:val="20"/>
          <w:lang w:val="fr-CA"/>
        </w:rPr>
      </w:pPr>
      <w:r w:rsidRPr="0076468A">
        <w:rPr>
          <w:b/>
          <w:sz w:val="20"/>
          <w:szCs w:val="20"/>
          <w:lang w:val="fr-CA"/>
        </w:rPr>
        <w:t>CORAM: Abella, Karakatsanis and Côté JJ.</w:t>
      </w:r>
    </w:p>
    <w:p w:rsidR="0076468A" w:rsidRPr="00C50A5C" w:rsidRDefault="0076468A" w:rsidP="0076468A">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76468A" w:rsidRPr="0076468A" w:rsidRDefault="0076468A" w:rsidP="00CB3520">
      <w:pPr>
        <w:widowControl w:val="0"/>
        <w:rPr>
          <w:sz w:val="20"/>
          <w:szCs w:val="20"/>
          <w:lang w:val="fr-CA"/>
        </w:rPr>
      </w:pPr>
    </w:p>
    <w:p w:rsidR="00CB3520" w:rsidRPr="00C50A5C" w:rsidRDefault="000740D0" w:rsidP="00CB3520">
      <w:pPr>
        <w:pStyle w:val="ListParagraph"/>
        <w:widowControl w:val="0"/>
        <w:numPr>
          <w:ilvl w:val="0"/>
          <w:numId w:val="1"/>
        </w:numPr>
        <w:ind w:hanging="720"/>
        <w:jc w:val="both"/>
        <w:rPr>
          <w:sz w:val="20"/>
          <w:szCs w:val="20"/>
        </w:rPr>
      </w:pPr>
      <w:r w:rsidRPr="000740D0">
        <w:rPr>
          <w:i/>
          <w:sz w:val="20"/>
          <w:szCs w:val="20"/>
        </w:rPr>
        <w:t>Roberto Orellana Gonzalez v. Her Majesty the Queen in Right of the Province of British Columbia et al.</w:t>
      </w:r>
      <w:r w:rsidRPr="00F71F50">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5</w:t>
      </w:r>
      <w:r w:rsidR="0076468A">
        <w:rPr>
          <w:sz w:val="20"/>
          <w:szCs w:val="20"/>
        </w:rPr>
        <w:t>2</w:t>
      </w:r>
      <w:r w:rsidR="00CB3520">
        <w:rPr>
          <w:sz w:val="20"/>
          <w:szCs w:val="20"/>
        </w:rPr>
        <w:t>6</w:t>
      </w:r>
      <w:r w:rsidR="0076468A">
        <w:rPr>
          <w:sz w:val="20"/>
          <w:szCs w:val="20"/>
        </w:rPr>
        <w:t>3</w:t>
      </w:r>
      <w:r w:rsidR="00CB3520" w:rsidRPr="00C50A5C">
        <w:rPr>
          <w:sz w:val="20"/>
          <w:szCs w:val="20"/>
        </w:rPr>
        <w:t>)</w:t>
      </w:r>
    </w:p>
    <w:p w:rsidR="00CB3520" w:rsidRDefault="00CB3520" w:rsidP="00CB3520">
      <w:pPr>
        <w:widowControl w:val="0"/>
        <w:jc w:val="both"/>
        <w:rPr>
          <w:sz w:val="20"/>
          <w:szCs w:val="20"/>
        </w:rPr>
      </w:pPr>
    </w:p>
    <w:p w:rsidR="00CB3520" w:rsidRPr="000740D0" w:rsidRDefault="000740D0" w:rsidP="00CB3520">
      <w:pPr>
        <w:pStyle w:val="ListParagraph"/>
        <w:widowControl w:val="0"/>
        <w:numPr>
          <w:ilvl w:val="0"/>
          <w:numId w:val="1"/>
        </w:numPr>
        <w:ind w:hanging="720"/>
        <w:jc w:val="both"/>
        <w:rPr>
          <w:sz w:val="20"/>
          <w:szCs w:val="20"/>
          <w:lang w:val="fr-CA"/>
        </w:rPr>
      </w:pPr>
      <w:r w:rsidRPr="000740D0">
        <w:rPr>
          <w:i/>
          <w:sz w:val="20"/>
          <w:szCs w:val="20"/>
          <w:lang w:val="fr-CA"/>
        </w:rPr>
        <w:t>Succession de feu D.U.C. c. Régie des rentes du Québec</w:t>
      </w:r>
      <w:r w:rsidRPr="00F71F50">
        <w:rPr>
          <w:sz w:val="20"/>
          <w:szCs w:val="20"/>
          <w:lang w:val="fr-CA"/>
        </w:rPr>
        <w:t xml:space="preserve"> (Qc) (Civile) (Autorisation)</w:t>
      </w:r>
      <w:r w:rsidRPr="000740D0">
        <w:rPr>
          <w:sz w:val="20"/>
          <w:szCs w:val="20"/>
          <w:lang w:val="fr-CA"/>
        </w:rPr>
        <w:t xml:space="preserve"> </w:t>
      </w:r>
      <w:r w:rsidR="00CB3520" w:rsidRPr="000740D0">
        <w:rPr>
          <w:sz w:val="20"/>
          <w:szCs w:val="20"/>
          <w:lang w:val="fr-CA"/>
        </w:rPr>
        <w:t>(36</w:t>
      </w:r>
      <w:r w:rsidR="0076468A" w:rsidRPr="000740D0">
        <w:rPr>
          <w:sz w:val="20"/>
          <w:szCs w:val="20"/>
          <w:lang w:val="fr-CA"/>
        </w:rPr>
        <w:t>2</w:t>
      </w:r>
      <w:r w:rsidR="00CB3520" w:rsidRPr="000740D0">
        <w:rPr>
          <w:sz w:val="20"/>
          <w:szCs w:val="20"/>
          <w:lang w:val="fr-CA"/>
        </w:rPr>
        <w:t>3</w:t>
      </w:r>
      <w:r w:rsidR="0076468A" w:rsidRPr="000740D0">
        <w:rPr>
          <w:sz w:val="20"/>
          <w:szCs w:val="20"/>
          <w:lang w:val="fr-CA"/>
        </w:rPr>
        <w:t>6</w:t>
      </w:r>
      <w:r w:rsidR="00CB3520" w:rsidRPr="000740D0">
        <w:rPr>
          <w:sz w:val="20"/>
          <w:szCs w:val="20"/>
          <w:lang w:val="fr-CA"/>
        </w:rPr>
        <w:t>)</w:t>
      </w:r>
    </w:p>
    <w:p w:rsidR="00CB3520" w:rsidRPr="00C16CB3" w:rsidRDefault="00CB3520" w:rsidP="00CB3520">
      <w:pPr>
        <w:widowControl w:val="0"/>
        <w:jc w:val="both"/>
        <w:rPr>
          <w:sz w:val="20"/>
          <w:szCs w:val="20"/>
          <w:lang w:val="fr-CA"/>
        </w:rPr>
      </w:pPr>
    </w:p>
    <w:p w:rsidR="00CB3520" w:rsidRPr="00115C9E" w:rsidRDefault="000740D0" w:rsidP="00CB3520">
      <w:pPr>
        <w:pStyle w:val="ListParagraph"/>
        <w:widowControl w:val="0"/>
        <w:numPr>
          <w:ilvl w:val="0"/>
          <w:numId w:val="1"/>
        </w:numPr>
        <w:ind w:hanging="720"/>
        <w:jc w:val="both"/>
        <w:rPr>
          <w:sz w:val="20"/>
          <w:szCs w:val="20"/>
          <w:lang w:val="fr-CA"/>
        </w:rPr>
      </w:pPr>
      <w:r w:rsidRPr="000740D0">
        <w:rPr>
          <w:i/>
          <w:sz w:val="20"/>
          <w:szCs w:val="20"/>
          <w:lang w:val="fr-CA"/>
        </w:rPr>
        <w:t>Gabriel Genest c. Agence du revenu du Québec</w:t>
      </w:r>
      <w:r w:rsidRPr="00F71F50">
        <w:rPr>
          <w:sz w:val="20"/>
          <w:szCs w:val="20"/>
          <w:lang w:val="fr-CA"/>
        </w:rPr>
        <w:t xml:space="preserve"> (Qc) (Civile) (Autorisation)</w:t>
      </w:r>
      <w:r w:rsidRPr="00115C9E">
        <w:rPr>
          <w:sz w:val="20"/>
          <w:szCs w:val="20"/>
          <w:lang w:val="fr-CA"/>
        </w:rPr>
        <w:t xml:space="preserve"> </w:t>
      </w:r>
      <w:r w:rsidR="00CB3520" w:rsidRPr="00115C9E">
        <w:rPr>
          <w:sz w:val="20"/>
          <w:szCs w:val="20"/>
          <w:lang w:val="fr-CA"/>
        </w:rPr>
        <w:t>(3</w:t>
      </w:r>
      <w:r w:rsidR="00CB3520">
        <w:rPr>
          <w:sz w:val="20"/>
          <w:szCs w:val="20"/>
          <w:lang w:val="fr-CA"/>
        </w:rPr>
        <w:t>6</w:t>
      </w:r>
      <w:r>
        <w:rPr>
          <w:sz w:val="20"/>
          <w:szCs w:val="20"/>
          <w:lang w:val="fr-CA"/>
        </w:rPr>
        <w:t>160</w:t>
      </w:r>
      <w:r w:rsidR="00CB3520" w:rsidRPr="00115C9E">
        <w:rPr>
          <w:sz w:val="20"/>
          <w:szCs w:val="20"/>
          <w:lang w:val="fr-CA"/>
        </w:rPr>
        <w:t>)</w:t>
      </w:r>
    </w:p>
    <w:p w:rsidR="00CB3520" w:rsidRDefault="00CB3520" w:rsidP="00CB3520">
      <w:pPr>
        <w:widowControl w:val="0"/>
        <w:jc w:val="both"/>
        <w:rPr>
          <w:sz w:val="20"/>
          <w:szCs w:val="20"/>
          <w:lang w:val="fr-CA"/>
        </w:rPr>
      </w:pPr>
    </w:p>
    <w:p w:rsidR="0076468A" w:rsidRDefault="0076468A" w:rsidP="00CB3520">
      <w:pPr>
        <w:widowControl w:val="0"/>
        <w:jc w:val="both"/>
        <w:rPr>
          <w:sz w:val="20"/>
          <w:szCs w:val="20"/>
          <w:lang w:val="fr-CA"/>
        </w:rPr>
      </w:pPr>
    </w:p>
    <w:p w:rsidR="0076468A" w:rsidRPr="00C50A5C" w:rsidRDefault="0076468A" w:rsidP="0076468A">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76468A" w:rsidRPr="00C50A5C" w:rsidRDefault="0076468A" w:rsidP="0076468A">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76468A" w:rsidRPr="00115C9E" w:rsidRDefault="0076468A" w:rsidP="00CB3520">
      <w:pPr>
        <w:widowControl w:val="0"/>
        <w:jc w:val="both"/>
        <w:rPr>
          <w:sz w:val="20"/>
          <w:szCs w:val="20"/>
          <w:lang w:val="fr-CA"/>
        </w:rPr>
      </w:pPr>
    </w:p>
    <w:p w:rsidR="00CB3520" w:rsidRPr="009C5D38" w:rsidRDefault="000740D0" w:rsidP="00CB3520">
      <w:pPr>
        <w:pStyle w:val="ListParagraph"/>
        <w:widowControl w:val="0"/>
        <w:numPr>
          <w:ilvl w:val="0"/>
          <w:numId w:val="1"/>
        </w:numPr>
        <w:ind w:hanging="720"/>
        <w:jc w:val="both"/>
        <w:rPr>
          <w:sz w:val="20"/>
          <w:szCs w:val="20"/>
        </w:rPr>
      </w:pPr>
      <w:r w:rsidRPr="000740D0">
        <w:rPr>
          <w:i/>
          <w:sz w:val="20"/>
          <w:szCs w:val="20"/>
        </w:rPr>
        <w:t>Gail Morgan et al. v. Paragon Capital Corporation Ltd.</w:t>
      </w:r>
      <w:r w:rsidRPr="000740D0">
        <w:rPr>
          <w:sz w:val="20"/>
          <w:szCs w:val="20"/>
        </w:rPr>
        <w:t xml:space="preserve"> (Alta.) </w:t>
      </w:r>
      <w:r w:rsidRPr="00F71F50">
        <w:rPr>
          <w:sz w:val="20"/>
          <w:szCs w:val="20"/>
        </w:rPr>
        <w:t>(Civil) (By Leave)</w:t>
      </w:r>
      <w:r>
        <w:rPr>
          <w:sz w:val="20"/>
          <w:szCs w:val="20"/>
        </w:rPr>
        <w:t xml:space="preserve"> </w:t>
      </w:r>
      <w:r w:rsidR="00CB3520" w:rsidRPr="009C5D38">
        <w:rPr>
          <w:sz w:val="20"/>
          <w:szCs w:val="20"/>
        </w:rPr>
        <w:t>(3</w:t>
      </w:r>
      <w:r w:rsidR="0076468A">
        <w:rPr>
          <w:sz w:val="20"/>
          <w:szCs w:val="20"/>
        </w:rPr>
        <w:t>6242</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0740D0" w:rsidP="00CB3520">
      <w:pPr>
        <w:pStyle w:val="ListParagraph"/>
        <w:widowControl w:val="0"/>
        <w:numPr>
          <w:ilvl w:val="0"/>
          <w:numId w:val="1"/>
        </w:numPr>
        <w:ind w:hanging="720"/>
        <w:jc w:val="both"/>
        <w:rPr>
          <w:sz w:val="20"/>
          <w:szCs w:val="20"/>
          <w:lang w:val="fr-CA"/>
        </w:rPr>
      </w:pPr>
      <w:r w:rsidRPr="000740D0">
        <w:rPr>
          <w:i/>
          <w:sz w:val="20"/>
          <w:szCs w:val="20"/>
        </w:rPr>
        <w:t>Sudesh Mangal et al. v. William Osler Health Centre et al.</w:t>
      </w:r>
      <w:r w:rsidRPr="00F71F50">
        <w:rPr>
          <w:sz w:val="20"/>
          <w:szCs w:val="20"/>
        </w:rPr>
        <w:t xml:space="preserve"> (Ont.) (Civil) (By Leave)</w:t>
      </w:r>
      <w:r w:rsidRPr="00C50A5C">
        <w:rPr>
          <w:sz w:val="20"/>
          <w:szCs w:val="20"/>
          <w:lang w:val="fr-CA"/>
        </w:rPr>
        <w:t xml:space="preserve"> </w:t>
      </w:r>
      <w:r w:rsidR="00CB3520" w:rsidRPr="00C50A5C">
        <w:rPr>
          <w:sz w:val="20"/>
          <w:szCs w:val="20"/>
          <w:lang w:val="fr-CA"/>
        </w:rPr>
        <w:t>(3</w:t>
      </w:r>
      <w:r w:rsidR="00CB3520">
        <w:rPr>
          <w:sz w:val="20"/>
          <w:szCs w:val="20"/>
          <w:lang w:val="fr-CA"/>
        </w:rPr>
        <w:t>6</w:t>
      </w:r>
      <w:r w:rsidR="0076468A">
        <w:rPr>
          <w:sz w:val="20"/>
          <w:szCs w:val="20"/>
          <w:lang w:val="fr-CA"/>
        </w:rPr>
        <w:t>174</w:t>
      </w:r>
      <w:r w:rsidR="00CB3520" w:rsidRPr="00C50A5C">
        <w:rPr>
          <w:sz w:val="20"/>
          <w:szCs w:val="20"/>
          <w:lang w:val="fr-CA"/>
        </w:rPr>
        <w:t>)</w:t>
      </w:r>
    </w:p>
    <w:p w:rsidR="00CB3520" w:rsidRDefault="00CB3520" w:rsidP="00CB3520">
      <w:pPr>
        <w:widowControl w:val="0"/>
        <w:rPr>
          <w:sz w:val="20"/>
          <w:szCs w:val="20"/>
          <w:lang w:val="fr-CA"/>
        </w:rPr>
      </w:pPr>
    </w:p>
    <w:p w:rsidR="00CB3520" w:rsidRPr="000740D0" w:rsidRDefault="000740D0" w:rsidP="00CB3520">
      <w:pPr>
        <w:pStyle w:val="ListParagraph"/>
        <w:widowControl w:val="0"/>
        <w:numPr>
          <w:ilvl w:val="0"/>
          <w:numId w:val="1"/>
        </w:numPr>
        <w:ind w:hanging="720"/>
        <w:jc w:val="both"/>
        <w:rPr>
          <w:sz w:val="20"/>
          <w:szCs w:val="20"/>
        </w:rPr>
      </w:pPr>
      <w:r w:rsidRPr="000740D0">
        <w:rPr>
          <w:i/>
          <w:sz w:val="20"/>
          <w:szCs w:val="20"/>
        </w:rPr>
        <w:t>Behzad Najafi v. Minister of Public Safety and Emergency Preparedness</w:t>
      </w:r>
      <w:r w:rsidRPr="00F71F50">
        <w:rPr>
          <w:sz w:val="20"/>
          <w:szCs w:val="20"/>
        </w:rPr>
        <w:t xml:space="preserve"> (F.C.) (Civil) (By Leave)</w:t>
      </w:r>
      <w:r w:rsidRPr="000740D0">
        <w:rPr>
          <w:sz w:val="20"/>
          <w:szCs w:val="20"/>
        </w:rPr>
        <w:t xml:space="preserve"> </w:t>
      </w:r>
      <w:r w:rsidR="00CB3520" w:rsidRPr="000740D0">
        <w:rPr>
          <w:sz w:val="20"/>
          <w:szCs w:val="20"/>
        </w:rPr>
        <w:t>(362</w:t>
      </w:r>
      <w:r w:rsidR="0076468A" w:rsidRPr="000740D0">
        <w:rPr>
          <w:sz w:val="20"/>
          <w:szCs w:val="20"/>
        </w:rPr>
        <w:t>41</w:t>
      </w:r>
      <w:r w:rsidR="00CB3520" w:rsidRPr="000740D0">
        <w:rPr>
          <w:sz w:val="20"/>
          <w:szCs w:val="20"/>
        </w:rPr>
        <w:t>)</w:t>
      </w:r>
    </w:p>
    <w:p w:rsidR="00CB3520" w:rsidRDefault="00CB3520" w:rsidP="00CB3520">
      <w:pPr>
        <w:widowControl w:val="0"/>
        <w:jc w:val="both"/>
        <w:rPr>
          <w:sz w:val="20"/>
          <w:szCs w:val="20"/>
        </w:rPr>
      </w:pPr>
    </w:p>
    <w:p w:rsidR="002E2327" w:rsidRDefault="00173D9D"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173D9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3977D9" w:rsidP="000E2959">
      <w:pPr>
        <w:rPr>
          <w:b/>
          <w:sz w:val="20"/>
          <w:szCs w:val="20"/>
        </w:rPr>
      </w:pPr>
      <w:r>
        <w:rPr>
          <w:b/>
          <w:sz w:val="20"/>
          <w:szCs w:val="20"/>
        </w:rPr>
        <w:t>M</w:t>
      </w:r>
      <w:r w:rsidR="000E2959" w:rsidRPr="00C50A5C">
        <w:rPr>
          <w:b/>
          <w:sz w:val="20"/>
          <w:szCs w:val="20"/>
        </w:rPr>
        <w:t>A</w:t>
      </w:r>
      <w:r w:rsidR="00681F61">
        <w:rPr>
          <w:b/>
          <w:sz w:val="20"/>
          <w:szCs w:val="20"/>
        </w:rPr>
        <w:t>R</w:t>
      </w:r>
      <w:r>
        <w:rPr>
          <w:b/>
          <w:sz w:val="20"/>
          <w:szCs w:val="20"/>
        </w:rPr>
        <w:t>CH</w:t>
      </w:r>
      <w:r w:rsidR="000E2959" w:rsidRPr="00C50A5C">
        <w:rPr>
          <w:b/>
          <w:sz w:val="20"/>
          <w:szCs w:val="20"/>
        </w:rPr>
        <w:t xml:space="preserve"> 2</w:t>
      </w:r>
      <w:r>
        <w:rPr>
          <w:b/>
          <w:sz w:val="20"/>
          <w:szCs w:val="20"/>
        </w:rPr>
        <w:t>6</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6</w:t>
      </w:r>
      <w:r w:rsidR="000E2959" w:rsidRPr="00C50A5C">
        <w:rPr>
          <w:b/>
          <w:sz w:val="20"/>
          <w:szCs w:val="20"/>
        </w:rPr>
        <w:t xml:space="preserve"> </w:t>
      </w:r>
      <w:r>
        <w:rPr>
          <w:b/>
          <w:sz w:val="20"/>
          <w:szCs w:val="20"/>
        </w:rPr>
        <w:t>M</w:t>
      </w:r>
      <w:r w:rsidR="000E2959" w:rsidRPr="00C50A5C">
        <w:rPr>
          <w:b/>
          <w:sz w:val="20"/>
          <w:szCs w:val="20"/>
        </w:rPr>
        <w:t>A</w:t>
      </w:r>
      <w:r w:rsidR="00681F61">
        <w:rPr>
          <w:b/>
          <w:sz w:val="20"/>
          <w:szCs w:val="20"/>
        </w:rPr>
        <w:t>R</w:t>
      </w:r>
      <w:r>
        <w:rPr>
          <w:b/>
          <w:sz w:val="20"/>
          <w:szCs w:val="20"/>
        </w:rPr>
        <w:t>S</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43219" w:rsidRPr="008B6B35" w:rsidTr="00574799">
        <w:trPr>
          <w:cantSplit/>
        </w:trPr>
        <w:tc>
          <w:tcPr>
            <w:tcW w:w="1458" w:type="dxa"/>
          </w:tcPr>
          <w:p w:rsidR="00443219" w:rsidRPr="008B6B35" w:rsidRDefault="00443219" w:rsidP="00574799">
            <w:pPr>
              <w:rPr>
                <w:sz w:val="20"/>
                <w:szCs w:val="20"/>
              </w:rPr>
            </w:pPr>
            <w:r w:rsidRPr="008B6B35">
              <w:rPr>
                <w:rStyle w:val="SCCFileNumberChar"/>
                <w:sz w:val="20"/>
                <w:szCs w:val="20"/>
              </w:rPr>
              <w:t>36058</w:t>
            </w:r>
          </w:p>
          <w:p w:rsidR="00443219" w:rsidRPr="008B6B35" w:rsidRDefault="00443219" w:rsidP="00574799">
            <w:pPr>
              <w:rPr>
                <w:b/>
                <w:sz w:val="20"/>
                <w:szCs w:val="20"/>
                <w:lang w:val="fr-CA"/>
              </w:rPr>
            </w:pPr>
          </w:p>
        </w:tc>
        <w:tc>
          <w:tcPr>
            <w:tcW w:w="8118" w:type="dxa"/>
          </w:tcPr>
          <w:p w:rsidR="00443219" w:rsidRPr="008B6B35" w:rsidRDefault="00443219" w:rsidP="00574799">
            <w:pPr>
              <w:jc w:val="both"/>
              <w:rPr>
                <w:sz w:val="20"/>
                <w:szCs w:val="20"/>
              </w:rPr>
            </w:pPr>
            <w:r w:rsidRPr="008B6B35">
              <w:rPr>
                <w:rStyle w:val="SCCLsocChar"/>
                <w:sz w:val="20"/>
                <w:szCs w:val="20"/>
                <w:lang w:val="en-CA"/>
              </w:rPr>
              <w:t>Canad Corporation of Manitoba Ltd.</w:t>
            </w:r>
            <w:r w:rsidR="00457EB1">
              <w:rPr>
                <w:rStyle w:val="SCCLsocChar"/>
                <w:sz w:val="20"/>
                <w:szCs w:val="20"/>
                <w:lang w:val="en-CA"/>
              </w:rPr>
              <w:t xml:space="preserve"> and</w:t>
            </w:r>
            <w:r w:rsidRPr="008B6B35">
              <w:rPr>
                <w:rStyle w:val="SCCLsocChar"/>
                <w:sz w:val="20"/>
                <w:szCs w:val="20"/>
                <w:lang w:val="en-CA"/>
              </w:rPr>
              <w:t xml:space="preserve"> Canad Inns-Club Regent Casino Hotel Ltd. v. Lake Louise Limited Partnership AND BETWEEN Canad Corporation of Manitoba Ltd.</w:t>
            </w:r>
            <w:r w:rsidR="00457EB1">
              <w:rPr>
                <w:rStyle w:val="SCCLsocChar"/>
                <w:sz w:val="20"/>
                <w:szCs w:val="20"/>
                <w:lang w:val="en-CA"/>
              </w:rPr>
              <w:t xml:space="preserve"> and</w:t>
            </w:r>
            <w:r w:rsidRPr="008B6B35">
              <w:rPr>
                <w:rStyle w:val="SCCLsocChar"/>
                <w:sz w:val="20"/>
                <w:szCs w:val="20"/>
                <w:lang w:val="en-CA"/>
              </w:rPr>
              <w:t xml:space="preserve"> Canad Inns-Brandon Ltd. v. Lake Louise Limited Partnership</w:t>
            </w:r>
            <w:r w:rsidRPr="008B6B35">
              <w:rPr>
                <w:sz w:val="20"/>
                <w:szCs w:val="20"/>
              </w:rPr>
              <w:t xml:space="preserve"> (Man.) (Civil) (By Leave)</w:t>
            </w:r>
          </w:p>
          <w:p w:rsidR="00443219" w:rsidRPr="008B6B35" w:rsidRDefault="00443219" w:rsidP="00574799">
            <w:pPr>
              <w:jc w:val="both"/>
              <w:rPr>
                <w:sz w:val="20"/>
                <w:szCs w:val="20"/>
              </w:rPr>
            </w:pPr>
          </w:p>
        </w:tc>
      </w:tr>
      <w:tr w:rsidR="00443219" w:rsidRPr="008B6B35" w:rsidTr="00574799">
        <w:trPr>
          <w:cantSplit/>
        </w:trPr>
        <w:tc>
          <w:tcPr>
            <w:tcW w:w="1458" w:type="dxa"/>
          </w:tcPr>
          <w:p w:rsidR="00443219" w:rsidRPr="008B6B35" w:rsidRDefault="00443219" w:rsidP="00574799">
            <w:pPr>
              <w:rPr>
                <w:sz w:val="20"/>
                <w:szCs w:val="20"/>
              </w:rPr>
            </w:pPr>
            <w:r w:rsidRPr="008B6B35">
              <w:rPr>
                <w:sz w:val="20"/>
                <w:szCs w:val="20"/>
              </w:rPr>
              <w:t>Coram :</w:t>
            </w:r>
          </w:p>
        </w:tc>
        <w:tc>
          <w:tcPr>
            <w:tcW w:w="8118" w:type="dxa"/>
          </w:tcPr>
          <w:p w:rsidR="00443219" w:rsidRPr="008B6B35" w:rsidRDefault="00443219" w:rsidP="00574799">
            <w:pPr>
              <w:rPr>
                <w:sz w:val="20"/>
                <w:szCs w:val="20"/>
              </w:rPr>
            </w:pPr>
            <w:r w:rsidRPr="008B6B35">
              <w:rPr>
                <w:rStyle w:val="SCCCoramChar"/>
                <w:sz w:val="20"/>
                <w:szCs w:val="20"/>
                <w:lang w:val="en-CA"/>
              </w:rPr>
              <w:t>Rothstein, Cromwell and Moldaver JJ.</w:t>
            </w:r>
          </w:p>
          <w:p w:rsidR="00443219" w:rsidRPr="008B6B35" w:rsidRDefault="00443219" w:rsidP="00574799">
            <w:pPr>
              <w:rPr>
                <w:sz w:val="20"/>
                <w:szCs w:val="20"/>
                <w:u w:val="single"/>
              </w:rPr>
            </w:pPr>
          </w:p>
        </w:tc>
      </w:tr>
      <w:tr w:rsidR="00443219" w:rsidRPr="00173D9D" w:rsidTr="00574799">
        <w:trPr>
          <w:cantSplit/>
        </w:trPr>
        <w:tc>
          <w:tcPr>
            <w:tcW w:w="9576" w:type="dxa"/>
            <w:gridSpan w:val="2"/>
          </w:tcPr>
          <w:p w:rsidR="00443219" w:rsidRPr="008B6B35" w:rsidRDefault="00443219" w:rsidP="00574799">
            <w:pPr>
              <w:pStyle w:val="SCCShortJudgment"/>
              <w:rPr>
                <w:szCs w:val="20"/>
              </w:rPr>
            </w:pPr>
            <w:r w:rsidRPr="008B6B35">
              <w:rPr>
                <w:szCs w:val="20"/>
              </w:rPr>
              <w:t>The application for leave to appeal from the judgment of the Court of Appeal of Manitoba, Number AI 13-30-08004, 2014 MBCA 61, dated June 13, 2014, is dismissed with costs.</w:t>
            </w:r>
          </w:p>
          <w:p w:rsidR="00443219" w:rsidRPr="008B6B35" w:rsidRDefault="00443219" w:rsidP="00574799">
            <w:pPr>
              <w:pStyle w:val="SCCShortJudgment"/>
              <w:ind w:firstLine="0"/>
              <w:rPr>
                <w:szCs w:val="20"/>
              </w:rPr>
            </w:pPr>
          </w:p>
          <w:p w:rsidR="00443219" w:rsidRPr="008B6B35" w:rsidRDefault="00443219" w:rsidP="00574799">
            <w:pPr>
              <w:pStyle w:val="SCCShortJudgment"/>
              <w:rPr>
                <w:szCs w:val="20"/>
                <w:lang w:val="fr-CA"/>
              </w:rPr>
            </w:pPr>
            <w:r w:rsidRPr="008B6B35">
              <w:rPr>
                <w:szCs w:val="20"/>
                <w:lang w:val="fr-CA"/>
              </w:rPr>
              <w:t>La demande d’autorisation d’appel de l’arrêt de la Cour d’appel du Manitoba, numéro AI 13-30-08004, 2014 MBCA 61, daté du 13 juin 2014, est rejetée avec dépens.</w:t>
            </w:r>
          </w:p>
        </w:tc>
      </w:tr>
    </w:tbl>
    <w:p w:rsidR="003977D9" w:rsidRPr="00443219" w:rsidRDefault="003977D9" w:rsidP="000E2959">
      <w:pPr>
        <w:rPr>
          <w:sz w:val="20"/>
          <w:szCs w:val="20"/>
          <w:lang w:val="fr-CA"/>
        </w:rPr>
      </w:pPr>
    </w:p>
    <w:p w:rsidR="003977D9" w:rsidRPr="001B157C" w:rsidRDefault="003977D9" w:rsidP="003977D9">
      <w:pPr>
        <w:rPr>
          <w:sz w:val="20"/>
          <w:szCs w:val="20"/>
          <w:u w:val="single"/>
        </w:rPr>
      </w:pPr>
      <w:r w:rsidRPr="001B157C">
        <w:rPr>
          <w:sz w:val="20"/>
          <w:szCs w:val="20"/>
          <w:u w:val="single"/>
        </w:rPr>
        <w:t>CASE SUMMARY</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32B1" w:rsidRPr="008057D9" w:rsidTr="004B52FA">
        <w:tc>
          <w:tcPr>
            <w:tcW w:w="5000" w:type="pct"/>
            <w:gridSpan w:val="3"/>
          </w:tcPr>
          <w:p w:rsidR="004D32B1" w:rsidRPr="008057D9" w:rsidRDefault="004D32B1" w:rsidP="004B52FA">
            <w:pPr>
              <w:jc w:val="both"/>
              <w:rPr>
                <w:rFonts w:eastAsia="Calibri"/>
                <w:sz w:val="20"/>
              </w:rPr>
            </w:pPr>
            <w:r w:rsidRPr="008057D9">
              <w:rPr>
                <w:rFonts w:eastAsia="Calibri"/>
                <w:sz w:val="20"/>
              </w:rPr>
              <w:t>Contracts – Commercial contract – Interpretation – Standard of review – What is deference owed to a lower court and scope of review applicable to contractual interpretation – Whether case will provide definitive guidance to Canadian courts to ensure uniform application of deference owed to a lower court’s contractual interpretation process and with respect to rare circumstances in which a question of law can and should be extricated from the process.</w:t>
            </w:r>
          </w:p>
          <w:p w:rsidR="004D32B1" w:rsidRPr="008057D9" w:rsidRDefault="004D32B1" w:rsidP="004B52FA">
            <w:pPr>
              <w:jc w:val="both"/>
              <w:rPr>
                <w:rFonts w:eastAsia="Calibri"/>
                <w:sz w:val="20"/>
              </w:rPr>
            </w:pPr>
          </w:p>
        </w:tc>
      </w:tr>
      <w:tr w:rsidR="004D32B1" w:rsidRPr="008057D9" w:rsidTr="004B52FA">
        <w:tc>
          <w:tcPr>
            <w:tcW w:w="5000" w:type="pct"/>
            <w:gridSpan w:val="3"/>
          </w:tcPr>
          <w:p w:rsidR="004D32B1" w:rsidRPr="008057D9" w:rsidRDefault="004D32B1" w:rsidP="004B52FA">
            <w:pPr>
              <w:shd w:val="clear" w:color="auto" w:fill="FFFFFF"/>
              <w:jc w:val="both"/>
              <w:rPr>
                <w:sz w:val="20"/>
                <w:lang w:eastAsia="en-CA"/>
              </w:rPr>
            </w:pPr>
            <w:r w:rsidRPr="008057D9">
              <w:rPr>
                <w:sz w:val="20"/>
                <w:lang w:eastAsia="en-CA"/>
              </w:rPr>
              <w:t>Beginning in 1999, Canad Corporation of Manitoba Ltd. (“Canad”) and Lake Louise Limited Partnership (“Lake Louise”) entered into various agreements to construct, manage and share the profits of two hotels with video lottery terminals (“VLTs”) situated in Winnipeg and Brandon, Manitoba.  Canad had a 51 per cent interest in each hotel, while Lake Louise had a 49 per cent interest in each.  Two agreements governed each hotel.  The co-ownership agreement (“COA”), related to the respective rights and liabilities of each party.  Pursuant to the hotel management agreement (“HMA”) Canad was paid a management fee of either two or three per cent of the “Gross Revenues” of the hotels.  “Gross Revenues” was a defined term and included, in part, “all revenues and receipts of every kind”.  The agreements also stated that all calculations were to be made in accordance with generally accepted accounting principles (“GAAP”) “except if otherwise expressly provided herein.”  The joint venture operated without issue until a dispute arose in 2007.  Canad changed the calculation of its management fee pertaining to revenues from VLTs without notice to Lake Louise.  As a result, Lake Louise received substantially less revenue from the two hotels than in previous years.  For all fiscal years up to and including 2006, Canad had calculated its management fee with respect to the VLTs by including only the 20 per cent commission it received from the Manitoba Lottery Corporation as part of Gross Revenues.  In 2007, Canad began including as part of Gross Revenues, the coin-in or actual the amounts paid by the VLT players.  Canad then retroactively applied its new methodology to all prior years and claimed all of those increased amounts in the 2007 fiscal year.  Lake Louise commenced the actions, seeking, amongst other things, a declaration that Gross Revenues with respect to VLT revenues was to be calculated on the basis of the 20 per cent MLC commission, and not the coin-in.</w:t>
            </w:r>
          </w:p>
          <w:p w:rsidR="004D32B1" w:rsidRPr="008057D9" w:rsidRDefault="004D32B1" w:rsidP="004B52FA">
            <w:pPr>
              <w:jc w:val="both"/>
              <w:rPr>
                <w:rFonts w:eastAsia="Calibri"/>
                <w:sz w:val="20"/>
              </w:rPr>
            </w:pPr>
            <w:r w:rsidRPr="008057D9">
              <w:rPr>
                <w:rFonts w:eastAsia="Calibri"/>
                <w:sz w:val="20"/>
              </w:rPr>
              <w:t> </w:t>
            </w:r>
          </w:p>
        </w:tc>
      </w:tr>
      <w:tr w:rsidR="004D32B1" w:rsidRPr="008057D9" w:rsidTr="004B52FA">
        <w:tc>
          <w:tcPr>
            <w:tcW w:w="2427" w:type="pct"/>
          </w:tcPr>
          <w:p w:rsidR="004D32B1" w:rsidRPr="008057D9" w:rsidRDefault="004D32B1" w:rsidP="004B52FA">
            <w:pPr>
              <w:jc w:val="both"/>
              <w:rPr>
                <w:rFonts w:eastAsia="Calibri"/>
                <w:sz w:val="20"/>
              </w:rPr>
            </w:pPr>
            <w:r w:rsidRPr="008057D9">
              <w:rPr>
                <w:rFonts w:eastAsia="Calibri"/>
                <w:sz w:val="20"/>
              </w:rPr>
              <w:t>July 5, 2013</w:t>
            </w:r>
          </w:p>
          <w:p w:rsidR="004D32B1" w:rsidRPr="008057D9" w:rsidRDefault="004D32B1" w:rsidP="004B52FA">
            <w:pPr>
              <w:jc w:val="both"/>
              <w:rPr>
                <w:rFonts w:eastAsia="Calibri"/>
                <w:sz w:val="20"/>
              </w:rPr>
            </w:pPr>
            <w:r w:rsidRPr="008057D9">
              <w:rPr>
                <w:rFonts w:eastAsia="Calibri"/>
                <w:sz w:val="20"/>
              </w:rPr>
              <w:t>Court of Queen’s Bench of Manitoba</w:t>
            </w:r>
          </w:p>
          <w:p w:rsidR="004D32B1" w:rsidRPr="008057D9" w:rsidRDefault="004D32B1" w:rsidP="004B52FA">
            <w:pPr>
              <w:jc w:val="both"/>
              <w:rPr>
                <w:rFonts w:eastAsia="Calibri"/>
                <w:sz w:val="20"/>
              </w:rPr>
            </w:pPr>
            <w:r w:rsidRPr="008057D9">
              <w:rPr>
                <w:rFonts w:eastAsia="Calibri"/>
                <w:sz w:val="20"/>
              </w:rPr>
              <w:t>(Martin J.)</w:t>
            </w:r>
          </w:p>
          <w:p w:rsidR="004D32B1" w:rsidRPr="008057D9" w:rsidRDefault="00173D9D" w:rsidP="004B52FA">
            <w:pPr>
              <w:jc w:val="both"/>
              <w:rPr>
                <w:rFonts w:eastAsia="Calibri"/>
                <w:sz w:val="20"/>
              </w:rPr>
            </w:pPr>
            <w:hyperlink r:id="rId25" w:history="1">
              <w:r w:rsidR="004D32B1" w:rsidRPr="008057D9">
                <w:rPr>
                  <w:rFonts w:eastAsia="Calibri"/>
                  <w:color w:val="0000FF"/>
                  <w:sz w:val="20"/>
                  <w:u w:val="single"/>
                </w:rPr>
                <w:t>2013 MBQB 67</w:t>
              </w:r>
            </w:hyperlink>
          </w:p>
          <w:p w:rsidR="004D32B1" w:rsidRPr="008057D9" w:rsidRDefault="004D32B1" w:rsidP="004B52FA">
            <w:pPr>
              <w:jc w:val="both"/>
              <w:rPr>
                <w:rFonts w:eastAsia="Calibri"/>
                <w:sz w:val="20"/>
              </w:rPr>
            </w:pPr>
          </w:p>
        </w:tc>
        <w:tc>
          <w:tcPr>
            <w:tcW w:w="243" w:type="pct"/>
          </w:tcPr>
          <w:p w:rsidR="004D32B1" w:rsidRPr="008057D9" w:rsidRDefault="004D32B1" w:rsidP="004B52FA">
            <w:pPr>
              <w:jc w:val="both"/>
              <w:rPr>
                <w:rFonts w:eastAsia="Calibri"/>
                <w:sz w:val="20"/>
              </w:rPr>
            </w:pPr>
          </w:p>
        </w:tc>
        <w:tc>
          <w:tcPr>
            <w:tcW w:w="2330" w:type="pct"/>
          </w:tcPr>
          <w:p w:rsidR="004D32B1" w:rsidRPr="008057D9" w:rsidRDefault="004D32B1" w:rsidP="004B52FA">
            <w:pPr>
              <w:jc w:val="both"/>
              <w:rPr>
                <w:rFonts w:eastAsia="Calibri"/>
                <w:sz w:val="20"/>
              </w:rPr>
            </w:pPr>
            <w:r w:rsidRPr="008057D9">
              <w:rPr>
                <w:rFonts w:eastAsia="Calibri"/>
                <w:sz w:val="20"/>
              </w:rPr>
              <w:t>Order permitting applicant to calculate management fees based in part on amount of “coin-in” generated by VLTs operated in parties’ hotels but not retroactively</w:t>
            </w:r>
          </w:p>
          <w:p w:rsidR="004D32B1" w:rsidRPr="008057D9" w:rsidRDefault="004D32B1" w:rsidP="004B52FA">
            <w:pPr>
              <w:jc w:val="both"/>
              <w:rPr>
                <w:rFonts w:eastAsia="Calibri"/>
                <w:sz w:val="20"/>
              </w:rPr>
            </w:pPr>
          </w:p>
        </w:tc>
      </w:tr>
      <w:tr w:rsidR="004D32B1" w:rsidRPr="008057D9" w:rsidTr="00443219">
        <w:trPr>
          <w:cantSplit/>
        </w:trPr>
        <w:tc>
          <w:tcPr>
            <w:tcW w:w="2427" w:type="pct"/>
          </w:tcPr>
          <w:p w:rsidR="004D32B1" w:rsidRPr="008057D9" w:rsidRDefault="004D32B1" w:rsidP="004B52FA">
            <w:pPr>
              <w:jc w:val="both"/>
              <w:rPr>
                <w:rFonts w:eastAsia="Calibri"/>
                <w:sz w:val="20"/>
              </w:rPr>
            </w:pPr>
            <w:r w:rsidRPr="008057D9">
              <w:rPr>
                <w:rFonts w:eastAsia="Calibri"/>
                <w:sz w:val="20"/>
              </w:rPr>
              <w:lastRenderedPageBreak/>
              <w:t>June 13, 2014</w:t>
            </w:r>
          </w:p>
          <w:p w:rsidR="004D32B1" w:rsidRPr="008057D9" w:rsidRDefault="004D32B1" w:rsidP="004B52FA">
            <w:pPr>
              <w:jc w:val="both"/>
              <w:rPr>
                <w:rFonts w:eastAsia="Calibri"/>
                <w:sz w:val="20"/>
              </w:rPr>
            </w:pPr>
            <w:r w:rsidRPr="008057D9">
              <w:rPr>
                <w:rFonts w:eastAsia="Calibri"/>
                <w:sz w:val="20"/>
              </w:rPr>
              <w:t>Court of Appeal of Manitoba</w:t>
            </w:r>
          </w:p>
          <w:p w:rsidR="004D32B1" w:rsidRPr="008057D9" w:rsidRDefault="004D32B1" w:rsidP="004B52FA">
            <w:pPr>
              <w:jc w:val="both"/>
              <w:rPr>
                <w:rFonts w:eastAsia="Calibri"/>
                <w:sz w:val="20"/>
              </w:rPr>
            </w:pPr>
            <w:r w:rsidRPr="008057D9">
              <w:rPr>
                <w:rFonts w:eastAsia="Calibri"/>
                <w:sz w:val="20"/>
              </w:rPr>
              <w:t>(Chartier C.J.M., Beard [dissenting] and Mainella JJ.A.)</w:t>
            </w:r>
          </w:p>
          <w:p w:rsidR="004D32B1" w:rsidRPr="008057D9" w:rsidRDefault="00173D9D" w:rsidP="004B52FA">
            <w:pPr>
              <w:jc w:val="both"/>
              <w:rPr>
                <w:rFonts w:eastAsia="Calibri"/>
                <w:sz w:val="20"/>
              </w:rPr>
            </w:pPr>
            <w:hyperlink r:id="rId26" w:history="1">
              <w:r w:rsidR="004D32B1" w:rsidRPr="008057D9">
                <w:rPr>
                  <w:rFonts w:eastAsia="Calibri"/>
                  <w:color w:val="0000FF"/>
                  <w:sz w:val="20"/>
                  <w:u w:val="single"/>
                </w:rPr>
                <w:t>2014 MBCA 61</w:t>
              </w:r>
            </w:hyperlink>
          </w:p>
          <w:p w:rsidR="004D32B1" w:rsidRPr="008057D9" w:rsidRDefault="004D32B1" w:rsidP="004B52FA">
            <w:pPr>
              <w:jc w:val="both"/>
              <w:rPr>
                <w:rFonts w:eastAsia="Calibri"/>
                <w:sz w:val="20"/>
              </w:rPr>
            </w:pPr>
          </w:p>
        </w:tc>
        <w:tc>
          <w:tcPr>
            <w:tcW w:w="243" w:type="pct"/>
          </w:tcPr>
          <w:p w:rsidR="004D32B1" w:rsidRPr="008057D9" w:rsidRDefault="004D32B1" w:rsidP="004B52FA">
            <w:pPr>
              <w:jc w:val="both"/>
              <w:rPr>
                <w:rFonts w:eastAsia="Calibri"/>
                <w:sz w:val="20"/>
              </w:rPr>
            </w:pPr>
          </w:p>
        </w:tc>
        <w:tc>
          <w:tcPr>
            <w:tcW w:w="2330" w:type="pct"/>
          </w:tcPr>
          <w:p w:rsidR="004D32B1" w:rsidRPr="008057D9" w:rsidRDefault="004D32B1" w:rsidP="004B52FA">
            <w:pPr>
              <w:jc w:val="both"/>
              <w:rPr>
                <w:rFonts w:eastAsia="Calibri"/>
                <w:sz w:val="20"/>
              </w:rPr>
            </w:pPr>
            <w:r w:rsidRPr="008057D9">
              <w:rPr>
                <w:rFonts w:eastAsia="Calibri"/>
                <w:sz w:val="20"/>
              </w:rPr>
              <w:t>Respondent’s appeal allowed</w:t>
            </w:r>
          </w:p>
          <w:p w:rsidR="004D32B1" w:rsidRPr="008057D9" w:rsidRDefault="004D32B1" w:rsidP="004B52FA">
            <w:pPr>
              <w:jc w:val="both"/>
              <w:rPr>
                <w:rFonts w:eastAsia="Calibri"/>
                <w:sz w:val="20"/>
              </w:rPr>
            </w:pPr>
          </w:p>
        </w:tc>
      </w:tr>
      <w:tr w:rsidR="004D32B1" w:rsidRPr="008057D9" w:rsidTr="00443219">
        <w:trPr>
          <w:cantSplit/>
        </w:trPr>
        <w:tc>
          <w:tcPr>
            <w:tcW w:w="2427" w:type="pct"/>
          </w:tcPr>
          <w:p w:rsidR="004D32B1" w:rsidRPr="008057D9" w:rsidRDefault="004D32B1" w:rsidP="004B52FA">
            <w:pPr>
              <w:jc w:val="both"/>
              <w:rPr>
                <w:rFonts w:eastAsia="Calibri"/>
                <w:sz w:val="20"/>
              </w:rPr>
            </w:pPr>
            <w:r w:rsidRPr="008057D9">
              <w:rPr>
                <w:rFonts w:eastAsia="Calibri"/>
                <w:sz w:val="20"/>
              </w:rPr>
              <w:t>September 11, 2014</w:t>
            </w:r>
          </w:p>
          <w:p w:rsidR="004D32B1" w:rsidRPr="008057D9" w:rsidRDefault="004D32B1" w:rsidP="004B52FA">
            <w:pPr>
              <w:jc w:val="both"/>
              <w:rPr>
                <w:rFonts w:eastAsia="Calibri"/>
                <w:sz w:val="20"/>
              </w:rPr>
            </w:pPr>
            <w:r w:rsidRPr="008057D9">
              <w:rPr>
                <w:rFonts w:eastAsia="Calibri"/>
                <w:sz w:val="20"/>
              </w:rPr>
              <w:t>Supreme Court of Canada</w:t>
            </w:r>
          </w:p>
        </w:tc>
        <w:tc>
          <w:tcPr>
            <w:tcW w:w="243" w:type="pct"/>
          </w:tcPr>
          <w:p w:rsidR="004D32B1" w:rsidRPr="008057D9" w:rsidRDefault="004D32B1" w:rsidP="004B52FA">
            <w:pPr>
              <w:jc w:val="both"/>
              <w:rPr>
                <w:rFonts w:eastAsia="Calibri"/>
                <w:sz w:val="20"/>
              </w:rPr>
            </w:pPr>
          </w:p>
        </w:tc>
        <w:tc>
          <w:tcPr>
            <w:tcW w:w="2330" w:type="pct"/>
          </w:tcPr>
          <w:p w:rsidR="004D32B1" w:rsidRPr="008057D9" w:rsidRDefault="004D32B1" w:rsidP="004B52FA">
            <w:pPr>
              <w:jc w:val="both"/>
              <w:rPr>
                <w:rFonts w:eastAsia="Calibri"/>
                <w:sz w:val="20"/>
              </w:rPr>
            </w:pPr>
            <w:r w:rsidRPr="008057D9">
              <w:rPr>
                <w:rFonts w:eastAsia="Calibri"/>
                <w:sz w:val="20"/>
              </w:rPr>
              <w:t>Application for leave to appeal filed</w:t>
            </w:r>
          </w:p>
        </w:tc>
      </w:tr>
    </w:tbl>
    <w:p w:rsidR="003977D9" w:rsidRDefault="003977D9" w:rsidP="000E2959">
      <w:pPr>
        <w:rPr>
          <w:sz w:val="20"/>
          <w:szCs w:val="20"/>
        </w:rPr>
      </w:pPr>
    </w:p>
    <w:p w:rsidR="003977D9" w:rsidRPr="00C50A5C" w:rsidRDefault="00173D9D" w:rsidP="003977D9">
      <w:pPr>
        <w:rPr>
          <w:sz w:val="20"/>
          <w:szCs w:val="20"/>
        </w:rPr>
      </w:pPr>
      <w:r>
        <w:rPr>
          <w:sz w:val="20"/>
          <w:szCs w:val="20"/>
          <w:lang w:val="fr-CA"/>
        </w:rPr>
        <w:pict>
          <v:rect id="_x0000_i1038" style="width:2in;height:1pt" o:hrpct="0" o:hralign="center" o:hrstd="t" o:hrnoshade="t" o:hr="t" fillcolor="black [3213]" stroked="f"/>
        </w:pict>
      </w:r>
    </w:p>
    <w:p w:rsidR="003977D9" w:rsidRDefault="003977D9" w:rsidP="003977D9">
      <w:pPr>
        <w:rPr>
          <w:sz w:val="20"/>
          <w:szCs w:val="20"/>
        </w:rPr>
      </w:pPr>
    </w:p>
    <w:p w:rsidR="003977D9" w:rsidRPr="001B157C" w:rsidRDefault="003977D9" w:rsidP="003977D9">
      <w:pPr>
        <w:rPr>
          <w:sz w:val="20"/>
          <w:szCs w:val="20"/>
          <w:u w:val="single"/>
          <w:lang w:val="fr-CA"/>
        </w:rPr>
      </w:pPr>
      <w:r w:rsidRPr="001B157C">
        <w:rPr>
          <w:sz w:val="20"/>
          <w:szCs w:val="20"/>
          <w:u w:val="single"/>
          <w:lang w:val="fr-CA"/>
        </w:rPr>
        <w:t>RÉSUMÉ DE L’AFFAIRE</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D32B1" w:rsidRPr="00EC49A7" w:rsidTr="004B52FA">
        <w:tc>
          <w:tcPr>
            <w:tcW w:w="5000" w:type="pct"/>
            <w:gridSpan w:val="3"/>
          </w:tcPr>
          <w:p w:rsidR="004D32B1" w:rsidRPr="008057D9" w:rsidRDefault="004D32B1" w:rsidP="004B52FA">
            <w:pPr>
              <w:jc w:val="both"/>
              <w:rPr>
                <w:rFonts w:eastAsia="Calibri"/>
                <w:sz w:val="20"/>
                <w:lang w:val="fr-CA"/>
              </w:rPr>
            </w:pPr>
            <w:r w:rsidRPr="008057D9">
              <w:rPr>
                <w:rFonts w:eastAsia="Calibri"/>
                <w:sz w:val="20"/>
                <w:lang w:val="fr-CA"/>
              </w:rPr>
              <w:t>Contrats – Contrat commercial – Interprétation – Norme de contrôle – Quelle déférence doit être accordée à l’endroit de la juridiction inférieure et quelle est la portée du contrôle applicable à l’interprétation contractuelle? – La présente affaire fournira-t-elle aux tribunaux canadiens des indications définitives qui assureront l’application uniforme de la déférence qui doit être accordée à l’exercice d’interprétation contractuelle par une juridiction inférieure et en ce qui concerne les rares circonstances dans lesquelles il sera possible ou nécessaire d’isoler une question de droit au cours de l’exercice d’interprétation?</w:t>
            </w:r>
          </w:p>
          <w:p w:rsidR="004D32B1" w:rsidRPr="008057D9" w:rsidRDefault="004D32B1" w:rsidP="004B52FA">
            <w:pPr>
              <w:jc w:val="both"/>
              <w:rPr>
                <w:rFonts w:eastAsia="Calibri"/>
                <w:sz w:val="20"/>
                <w:lang w:val="fr-CA"/>
              </w:rPr>
            </w:pPr>
          </w:p>
        </w:tc>
      </w:tr>
      <w:tr w:rsidR="004D32B1" w:rsidRPr="00EC49A7" w:rsidTr="004B52FA">
        <w:tc>
          <w:tcPr>
            <w:tcW w:w="5000" w:type="pct"/>
            <w:gridSpan w:val="3"/>
          </w:tcPr>
          <w:p w:rsidR="004D32B1" w:rsidRPr="008057D9" w:rsidRDefault="004D32B1" w:rsidP="004B52FA">
            <w:pPr>
              <w:shd w:val="clear" w:color="auto" w:fill="FFFFFF"/>
              <w:jc w:val="both"/>
              <w:rPr>
                <w:sz w:val="20"/>
                <w:lang w:val="fr-CA" w:eastAsia="en-CA"/>
              </w:rPr>
            </w:pPr>
            <w:r w:rsidRPr="008057D9">
              <w:rPr>
                <w:sz w:val="20"/>
                <w:lang w:val="fr-CA" w:eastAsia="en-CA"/>
              </w:rPr>
              <w:t>À partir de 1999, Canad Corporation of Manitoba Ltd. (« Canad ») et Lake Louise Limited Partnership (« Lake Louise ») ont conclu divers contrats ayant pour objet la construction, la gestion et le partage des bénéfices de deux hôtels équipés d’appareils de loterie vidéo (« ALV ») situés à Winnipeg et à Brandon (Manitoba).  Canad avait une participation de 51 pour cent dans chaque hôtel, tandis que Lake Louise avait une participation de 49 pour cent dans chacun d’eux.  Deux contrats régissaient chaque hôtel.  Le contrat de copropriété (« CC »), avait trait aux droits et obligations respectifs de chaque partie.  Aux termes du contrat de gestion hôtelière (« CGH »), Canad avait droit à des honoraires de gestion de deux et de trois pour cent, respectivement, du [</w:t>
            </w:r>
            <w:r w:rsidRPr="008057D9">
              <w:rPr>
                <w:smallCaps/>
                <w:sz w:val="20"/>
                <w:lang w:val="fr-CA" w:eastAsia="en-CA"/>
              </w:rPr>
              <w:t>traduction</w:t>
            </w:r>
            <w:r w:rsidRPr="008057D9">
              <w:rPr>
                <w:sz w:val="20"/>
                <w:lang w:val="fr-CA" w:eastAsia="en-CA"/>
              </w:rPr>
              <w:t>] « chiffre d’affaires brut » des hôtels.  L’expression « chiffre d’affaires brut » était un terme défini et comprenait notamment [</w:t>
            </w:r>
            <w:r w:rsidRPr="008057D9">
              <w:rPr>
                <w:smallCaps/>
                <w:sz w:val="20"/>
                <w:lang w:val="fr-CA" w:eastAsia="en-CA"/>
              </w:rPr>
              <w:t>traduction</w:t>
            </w:r>
            <w:r w:rsidRPr="008057D9">
              <w:rPr>
                <w:sz w:val="20"/>
                <w:lang w:val="fr-CA" w:eastAsia="en-CA"/>
              </w:rPr>
              <w:t>] « tous les produits et recettes de quelque sorte que ce soit ».  Les contrats prévoyaient également que tous les calculs devaient être effectués conformément aux principes comptables généralement reconnus (« PCGR ») [</w:t>
            </w:r>
            <w:r w:rsidRPr="008057D9">
              <w:rPr>
                <w:smallCaps/>
                <w:sz w:val="20"/>
                <w:lang w:val="fr-CA" w:eastAsia="en-CA"/>
              </w:rPr>
              <w:t>traduction</w:t>
            </w:r>
            <w:r w:rsidRPr="008057D9">
              <w:rPr>
                <w:sz w:val="20"/>
                <w:lang w:val="fr-CA" w:eastAsia="en-CA"/>
              </w:rPr>
              <w:t>] « à moins de disposition expresse contraire des présentes ».  La coentreprise a été exploitée sans problème jusqu’à ce qu’un différend survienne en 2007.  Canad a modifié le calcul de ses honoraires de gestion à l’égard des recettes tirées des ALV sans en avoir avisé Lake Louise.  En conséquence, Lake Louise a touché considérablement moins de revenus des deux hôtels que dans les années précédentes.  Pour tous les exercices financiers jusqu’en 2006 inclusivement, Canad avait calculé ses honoraires de gestion à l’égard des ALV en n’incluant que la commission de 20 pour cent qu’elle recevait de la Société manitobaine des loteries (« SML ») dans le calcul de son chiffre d’affaires brut.  En 2007, Canad a commencé à inclure, dans le calcul du chiffre d’affaires brut, les entrées d’argent ALV, soit les montants réellement payés par les joueurs d’ALV.  Canad a ensuite rétroactivement imputé sa nouvelle méthode à toutes les années précédentes et a réclamé tous ces montants majorés dans l’exercice financier de 2007.  Lake Louise a intenté les actions, sollicitant notamment un jugement déclarant que le chiffre d’affaires à l’égard des recettes d’ALV devait être calculé en fonction de la commission de 20 pour cent de la SML, et non en fonction des entrées d’argent.</w:t>
            </w:r>
          </w:p>
          <w:p w:rsidR="004D32B1" w:rsidRPr="008057D9" w:rsidRDefault="004D32B1" w:rsidP="004B52FA">
            <w:pPr>
              <w:jc w:val="both"/>
              <w:rPr>
                <w:rFonts w:eastAsia="Calibri"/>
                <w:sz w:val="20"/>
                <w:lang w:val="fr-CA"/>
              </w:rPr>
            </w:pPr>
            <w:r w:rsidRPr="008057D9">
              <w:rPr>
                <w:rFonts w:eastAsia="Calibri"/>
                <w:sz w:val="20"/>
                <w:lang w:val="fr-CA"/>
              </w:rPr>
              <w:t> </w:t>
            </w:r>
          </w:p>
        </w:tc>
      </w:tr>
      <w:tr w:rsidR="004D32B1" w:rsidRPr="00EC49A7" w:rsidTr="004B52FA">
        <w:tc>
          <w:tcPr>
            <w:tcW w:w="2427" w:type="pct"/>
          </w:tcPr>
          <w:p w:rsidR="004D32B1" w:rsidRPr="008057D9" w:rsidRDefault="004D32B1" w:rsidP="004B52FA">
            <w:pPr>
              <w:jc w:val="both"/>
              <w:rPr>
                <w:rFonts w:eastAsia="Calibri"/>
                <w:sz w:val="20"/>
                <w:lang w:val="fr-CA"/>
              </w:rPr>
            </w:pPr>
            <w:r w:rsidRPr="008057D9">
              <w:rPr>
                <w:rFonts w:eastAsia="Calibri"/>
                <w:sz w:val="20"/>
                <w:lang w:val="fr-CA"/>
              </w:rPr>
              <w:t>5 juillet 2013</w:t>
            </w:r>
          </w:p>
          <w:p w:rsidR="004D32B1" w:rsidRPr="008057D9" w:rsidRDefault="004D32B1" w:rsidP="004B52FA">
            <w:pPr>
              <w:jc w:val="both"/>
              <w:rPr>
                <w:rFonts w:eastAsia="Calibri"/>
                <w:sz w:val="20"/>
                <w:lang w:val="fr-CA"/>
              </w:rPr>
            </w:pPr>
            <w:r w:rsidRPr="008057D9">
              <w:rPr>
                <w:rFonts w:eastAsia="Calibri"/>
                <w:sz w:val="20"/>
                <w:lang w:val="fr-CA"/>
              </w:rPr>
              <w:t>Cour du Banc de la Reine du Manitoba</w:t>
            </w:r>
          </w:p>
          <w:p w:rsidR="004D32B1" w:rsidRPr="008057D9" w:rsidRDefault="004D32B1" w:rsidP="004B52FA">
            <w:pPr>
              <w:jc w:val="both"/>
              <w:rPr>
                <w:rFonts w:eastAsia="Calibri"/>
                <w:sz w:val="20"/>
                <w:lang w:val="fr-CA"/>
              </w:rPr>
            </w:pPr>
            <w:r w:rsidRPr="008057D9">
              <w:rPr>
                <w:rFonts w:eastAsia="Calibri"/>
                <w:sz w:val="20"/>
                <w:lang w:val="fr-CA"/>
              </w:rPr>
              <w:t>(Juge Martin)</w:t>
            </w:r>
          </w:p>
          <w:p w:rsidR="004D32B1" w:rsidRPr="008057D9" w:rsidRDefault="00173D9D" w:rsidP="004B52FA">
            <w:pPr>
              <w:jc w:val="both"/>
              <w:rPr>
                <w:rFonts w:eastAsia="Calibri"/>
                <w:sz w:val="20"/>
                <w:lang w:val="fr-CA"/>
              </w:rPr>
            </w:pPr>
            <w:hyperlink r:id="rId27" w:history="1">
              <w:r w:rsidR="004D32B1" w:rsidRPr="008057D9">
                <w:rPr>
                  <w:rFonts w:eastAsia="Calibri"/>
                  <w:color w:val="0000FF"/>
                  <w:sz w:val="20"/>
                  <w:u w:val="single"/>
                  <w:lang w:val="fr-CA"/>
                </w:rPr>
                <w:t>2013 MBQB 67</w:t>
              </w:r>
            </w:hyperlink>
          </w:p>
          <w:p w:rsidR="004D32B1" w:rsidRPr="008057D9" w:rsidRDefault="004D32B1" w:rsidP="004B52FA">
            <w:pPr>
              <w:jc w:val="both"/>
              <w:rPr>
                <w:rFonts w:eastAsia="Calibri"/>
                <w:sz w:val="20"/>
                <w:lang w:val="fr-CA"/>
              </w:rPr>
            </w:pPr>
          </w:p>
        </w:tc>
        <w:tc>
          <w:tcPr>
            <w:tcW w:w="243" w:type="pct"/>
          </w:tcPr>
          <w:p w:rsidR="004D32B1" w:rsidRPr="008057D9" w:rsidRDefault="004D32B1" w:rsidP="004B52FA">
            <w:pPr>
              <w:jc w:val="both"/>
              <w:rPr>
                <w:rFonts w:eastAsia="Calibri"/>
                <w:sz w:val="20"/>
                <w:lang w:val="fr-CA"/>
              </w:rPr>
            </w:pPr>
          </w:p>
        </w:tc>
        <w:tc>
          <w:tcPr>
            <w:tcW w:w="2330" w:type="pct"/>
          </w:tcPr>
          <w:p w:rsidR="004D32B1" w:rsidRPr="008057D9" w:rsidRDefault="004D32B1" w:rsidP="004B52FA">
            <w:pPr>
              <w:jc w:val="both"/>
              <w:rPr>
                <w:rFonts w:eastAsia="Calibri"/>
                <w:sz w:val="20"/>
                <w:lang w:val="fr-CA"/>
              </w:rPr>
            </w:pPr>
            <w:r w:rsidRPr="008057D9">
              <w:rPr>
                <w:rFonts w:eastAsia="Calibri"/>
                <w:sz w:val="20"/>
                <w:lang w:val="fr-CA"/>
              </w:rPr>
              <w:t xml:space="preserve">Ordonnance permettant à la demanderesse de calculer les honoraires de gestion partiellement en fonction des « entrées d’argent » produites par les ALV exploités dans les hôtels des parties, mais non rétroactivement </w:t>
            </w:r>
          </w:p>
          <w:p w:rsidR="004D32B1" w:rsidRPr="008057D9" w:rsidRDefault="004D32B1" w:rsidP="004B52FA">
            <w:pPr>
              <w:jc w:val="both"/>
              <w:rPr>
                <w:rFonts w:eastAsia="Calibri"/>
                <w:sz w:val="20"/>
                <w:lang w:val="fr-CA"/>
              </w:rPr>
            </w:pPr>
          </w:p>
        </w:tc>
      </w:tr>
      <w:tr w:rsidR="004D32B1" w:rsidRPr="008057D9" w:rsidTr="004B52FA">
        <w:tc>
          <w:tcPr>
            <w:tcW w:w="2427" w:type="pct"/>
          </w:tcPr>
          <w:p w:rsidR="004D32B1" w:rsidRPr="008057D9" w:rsidRDefault="004D32B1" w:rsidP="004B52FA">
            <w:pPr>
              <w:jc w:val="both"/>
              <w:rPr>
                <w:rFonts w:eastAsia="Calibri"/>
                <w:sz w:val="20"/>
                <w:lang w:val="fr-CA"/>
              </w:rPr>
            </w:pPr>
            <w:r w:rsidRPr="008057D9">
              <w:rPr>
                <w:rFonts w:eastAsia="Calibri"/>
                <w:sz w:val="20"/>
                <w:lang w:val="fr-CA"/>
              </w:rPr>
              <w:t>13 juin 2014</w:t>
            </w:r>
          </w:p>
          <w:p w:rsidR="004D32B1" w:rsidRPr="008057D9" w:rsidRDefault="004D32B1" w:rsidP="004B52FA">
            <w:pPr>
              <w:jc w:val="both"/>
              <w:rPr>
                <w:rFonts w:eastAsia="Calibri"/>
                <w:sz w:val="20"/>
                <w:lang w:val="fr-CA"/>
              </w:rPr>
            </w:pPr>
            <w:r w:rsidRPr="008057D9">
              <w:rPr>
                <w:rFonts w:eastAsia="Calibri"/>
                <w:sz w:val="20"/>
                <w:lang w:val="fr-CA"/>
              </w:rPr>
              <w:t>Cour d’appel du Manitoba</w:t>
            </w:r>
          </w:p>
          <w:p w:rsidR="004D32B1" w:rsidRPr="008057D9" w:rsidRDefault="004D32B1" w:rsidP="004B52FA">
            <w:pPr>
              <w:jc w:val="both"/>
              <w:rPr>
                <w:rFonts w:eastAsia="Calibri"/>
                <w:sz w:val="20"/>
                <w:lang w:val="fr-CA"/>
              </w:rPr>
            </w:pPr>
            <w:r w:rsidRPr="008057D9">
              <w:rPr>
                <w:rFonts w:eastAsia="Calibri"/>
                <w:sz w:val="20"/>
                <w:lang w:val="fr-CA"/>
              </w:rPr>
              <w:t>(Juge en chef Chartier, juges Beard [dissidente] et Mainella)</w:t>
            </w:r>
          </w:p>
          <w:p w:rsidR="004D32B1" w:rsidRPr="008057D9" w:rsidRDefault="00173D9D" w:rsidP="004B52FA">
            <w:pPr>
              <w:jc w:val="both"/>
              <w:rPr>
                <w:rFonts w:eastAsia="Calibri"/>
                <w:sz w:val="20"/>
                <w:lang w:val="fr-CA"/>
              </w:rPr>
            </w:pPr>
            <w:hyperlink r:id="rId28" w:history="1">
              <w:r w:rsidR="004D32B1" w:rsidRPr="008057D9">
                <w:rPr>
                  <w:rFonts w:eastAsia="Calibri"/>
                  <w:color w:val="0000FF"/>
                  <w:sz w:val="20"/>
                  <w:u w:val="single"/>
                  <w:lang w:val="fr-CA"/>
                </w:rPr>
                <w:t>2014 MBCA 61</w:t>
              </w:r>
            </w:hyperlink>
          </w:p>
          <w:p w:rsidR="004D32B1" w:rsidRPr="008057D9" w:rsidRDefault="004D32B1" w:rsidP="004B52FA">
            <w:pPr>
              <w:jc w:val="both"/>
              <w:rPr>
                <w:rFonts w:eastAsia="Calibri"/>
                <w:sz w:val="20"/>
                <w:lang w:val="fr-CA"/>
              </w:rPr>
            </w:pPr>
          </w:p>
        </w:tc>
        <w:tc>
          <w:tcPr>
            <w:tcW w:w="243" w:type="pct"/>
          </w:tcPr>
          <w:p w:rsidR="004D32B1" w:rsidRPr="008057D9" w:rsidRDefault="004D32B1" w:rsidP="004B52FA">
            <w:pPr>
              <w:jc w:val="both"/>
              <w:rPr>
                <w:rFonts w:eastAsia="Calibri"/>
                <w:sz w:val="20"/>
                <w:lang w:val="fr-CA"/>
              </w:rPr>
            </w:pPr>
          </w:p>
        </w:tc>
        <w:tc>
          <w:tcPr>
            <w:tcW w:w="2330" w:type="pct"/>
          </w:tcPr>
          <w:p w:rsidR="004D32B1" w:rsidRPr="008057D9" w:rsidRDefault="004D32B1" w:rsidP="004B52FA">
            <w:pPr>
              <w:jc w:val="both"/>
              <w:rPr>
                <w:rFonts w:eastAsia="Calibri"/>
                <w:sz w:val="20"/>
                <w:lang w:val="fr-CA"/>
              </w:rPr>
            </w:pPr>
            <w:r w:rsidRPr="008057D9">
              <w:rPr>
                <w:rFonts w:eastAsia="Calibri"/>
                <w:sz w:val="20"/>
                <w:lang w:val="fr-CA"/>
              </w:rPr>
              <w:t>Arrêt accueillant l’appel de l’intimée</w:t>
            </w:r>
          </w:p>
          <w:p w:rsidR="004D32B1" w:rsidRPr="008057D9" w:rsidRDefault="004D32B1" w:rsidP="004B52FA">
            <w:pPr>
              <w:jc w:val="both"/>
              <w:rPr>
                <w:rFonts w:eastAsia="Calibri"/>
                <w:sz w:val="20"/>
                <w:lang w:val="fr-CA"/>
              </w:rPr>
            </w:pPr>
          </w:p>
        </w:tc>
      </w:tr>
      <w:tr w:rsidR="004D32B1" w:rsidRPr="00EC49A7" w:rsidTr="004B52FA">
        <w:tc>
          <w:tcPr>
            <w:tcW w:w="2427" w:type="pct"/>
          </w:tcPr>
          <w:p w:rsidR="004D32B1" w:rsidRPr="008057D9" w:rsidRDefault="004D32B1" w:rsidP="004B52FA">
            <w:pPr>
              <w:jc w:val="both"/>
              <w:rPr>
                <w:rFonts w:eastAsia="Calibri"/>
                <w:sz w:val="20"/>
                <w:lang w:val="fr-CA"/>
              </w:rPr>
            </w:pPr>
            <w:r w:rsidRPr="008057D9">
              <w:rPr>
                <w:rFonts w:eastAsia="Calibri"/>
                <w:sz w:val="20"/>
                <w:lang w:val="fr-CA"/>
              </w:rPr>
              <w:lastRenderedPageBreak/>
              <w:t>11 septembre 2014</w:t>
            </w:r>
          </w:p>
          <w:p w:rsidR="004D32B1" w:rsidRPr="008057D9" w:rsidRDefault="004D32B1" w:rsidP="004B52FA">
            <w:pPr>
              <w:jc w:val="both"/>
              <w:rPr>
                <w:rFonts w:eastAsia="Calibri"/>
                <w:sz w:val="20"/>
                <w:lang w:val="fr-CA"/>
              </w:rPr>
            </w:pPr>
            <w:r w:rsidRPr="008057D9">
              <w:rPr>
                <w:rFonts w:eastAsia="Calibri"/>
                <w:sz w:val="20"/>
                <w:lang w:val="fr-CA"/>
              </w:rPr>
              <w:t>Cour suprême du Canada</w:t>
            </w:r>
          </w:p>
        </w:tc>
        <w:tc>
          <w:tcPr>
            <w:tcW w:w="243" w:type="pct"/>
          </w:tcPr>
          <w:p w:rsidR="004D32B1" w:rsidRPr="008057D9" w:rsidRDefault="004D32B1" w:rsidP="004B52FA">
            <w:pPr>
              <w:jc w:val="both"/>
              <w:rPr>
                <w:rFonts w:eastAsia="Calibri"/>
                <w:sz w:val="20"/>
                <w:lang w:val="fr-CA"/>
              </w:rPr>
            </w:pPr>
          </w:p>
        </w:tc>
        <w:tc>
          <w:tcPr>
            <w:tcW w:w="2330" w:type="pct"/>
          </w:tcPr>
          <w:p w:rsidR="004D32B1" w:rsidRPr="008057D9" w:rsidRDefault="004D32B1" w:rsidP="004B52FA">
            <w:pPr>
              <w:jc w:val="both"/>
              <w:rPr>
                <w:rFonts w:eastAsia="Calibri"/>
                <w:sz w:val="20"/>
                <w:lang w:val="fr-CA"/>
              </w:rPr>
            </w:pPr>
            <w:r w:rsidRPr="008057D9">
              <w:rPr>
                <w:rFonts w:eastAsia="Calibri"/>
                <w:sz w:val="20"/>
                <w:lang w:val="fr-CA"/>
              </w:rPr>
              <w:t>Dépôt de la demande d’autorisation d’appel</w:t>
            </w:r>
          </w:p>
        </w:tc>
      </w:tr>
    </w:tbl>
    <w:p w:rsidR="003977D9" w:rsidRPr="004D32B1" w:rsidRDefault="003977D9" w:rsidP="000E2959">
      <w:pPr>
        <w:rPr>
          <w:sz w:val="20"/>
          <w:szCs w:val="20"/>
          <w:lang w:val="fr-CA"/>
        </w:rPr>
      </w:pPr>
    </w:p>
    <w:p w:rsidR="003977D9" w:rsidRDefault="00173D9D" w:rsidP="000E2959">
      <w:pPr>
        <w:rPr>
          <w:sz w:val="20"/>
          <w:szCs w:val="20"/>
          <w:lang w:val="fr-CA"/>
        </w:rPr>
      </w:pPr>
      <w:r>
        <w:rPr>
          <w:sz w:val="20"/>
          <w:szCs w:val="20"/>
          <w:lang w:val="fr-CA"/>
        </w:rPr>
        <w:pict>
          <v:rect id="_x0000_i1039" style="width:2in;height:1pt" o:hrpct="0" o:hralign="center" o:hrstd="t" o:hrnoshade="t" o:hr="t" fillcolor="black [3213]" stroked="f"/>
        </w:pict>
      </w:r>
    </w:p>
    <w:p w:rsidR="003977D9" w:rsidRDefault="003977D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1F56" w:rsidRPr="00032B5D" w:rsidTr="00574799">
        <w:trPr>
          <w:cantSplit/>
        </w:trPr>
        <w:tc>
          <w:tcPr>
            <w:tcW w:w="1458" w:type="dxa"/>
          </w:tcPr>
          <w:p w:rsidR="00481F56" w:rsidRPr="00032B5D" w:rsidRDefault="00481F56" w:rsidP="00574799">
            <w:pPr>
              <w:rPr>
                <w:sz w:val="20"/>
                <w:szCs w:val="20"/>
              </w:rPr>
            </w:pPr>
            <w:r w:rsidRPr="00032B5D">
              <w:rPr>
                <w:rStyle w:val="SCCFileNumberChar"/>
                <w:sz w:val="20"/>
                <w:szCs w:val="20"/>
              </w:rPr>
              <w:t>36127</w:t>
            </w:r>
          </w:p>
          <w:p w:rsidR="00481F56" w:rsidRPr="00032B5D" w:rsidRDefault="00481F56" w:rsidP="00574799">
            <w:pPr>
              <w:rPr>
                <w:b/>
                <w:sz w:val="20"/>
                <w:szCs w:val="20"/>
                <w:lang w:val="fr-CA"/>
              </w:rPr>
            </w:pPr>
          </w:p>
        </w:tc>
        <w:tc>
          <w:tcPr>
            <w:tcW w:w="8118" w:type="dxa"/>
          </w:tcPr>
          <w:p w:rsidR="00481F56" w:rsidRPr="00032B5D" w:rsidRDefault="00481F56" w:rsidP="00574799">
            <w:pPr>
              <w:rPr>
                <w:sz w:val="20"/>
                <w:szCs w:val="20"/>
              </w:rPr>
            </w:pPr>
            <w:r w:rsidRPr="00032B5D">
              <w:rPr>
                <w:rStyle w:val="SCCLsocChar"/>
                <w:sz w:val="20"/>
                <w:szCs w:val="20"/>
              </w:rPr>
              <w:t>Peter Kaynes v. BP, PLC</w:t>
            </w:r>
            <w:r w:rsidRPr="00032B5D">
              <w:rPr>
                <w:sz w:val="20"/>
                <w:szCs w:val="20"/>
                <w:lang w:val="fr-CA"/>
              </w:rPr>
              <w:t xml:space="preserve"> (Ont.) </w:t>
            </w:r>
            <w:r w:rsidRPr="00032B5D">
              <w:rPr>
                <w:sz w:val="20"/>
                <w:szCs w:val="20"/>
              </w:rPr>
              <w:t>(Civil) (By Leave)</w:t>
            </w:r>
          </w:p>
          <w:p w:rsidR="00481F56" w:rsidRPr="00032B5D" w:rsidRDefault="00481F56" w:rsidP="00574799">
            <w:pPr>
              <w:rPr>
                <w:sz w:val="20"/>
                <w:szCs w:val="20"/>
              </w:rPr>
            </w:pPr>
          </w:p>
        </w:tc>
      </w:tr>
      <w:tr w:rsidR="00481F56" w:rsidRPr="00032B5D" w:rsidTr="00574799">
        <w:trPr>
          <w:cantSplit/>
        </w:trPr>
        <w:tc>
          <w:tcPr>
            <w:tcW w:w="1458" w:type="dxa"/>
          </w:tcPr>
          <w:p w:rsidR="00481F56" w:rsidRPr="00032B5D" w:rsidRDefault="00481F56" w:rsidP="00574799">
            <w:pPr>
              <w:rPr>
                <w:sz w:val="20"/>
                <w:szCs w:val="20"/>
              </w:rPr>
            </w:pPr>
            <w:r w:rsidRPr="00032B5D">
              <w:rPr>
                <w:sz w:val="20"/>
                <w:szCs w:val="20"/>
              </w:rPr>
              <w:t>Coram :</w:t>
            </w:r>
          </w:p>
        </w:tc>
        <w:tc>
          <w:tcPr>
            <w:tcW w:w="8118" w:type="dxa"/>
          </w:tcPr>
          <w:p w:rsidR="00481F56" w:rsidRPr="00032B5D" w:rsidRDefault="00481F56" w:rsidP="00574799">
            <w:pPr>
              <w:rPr>
                <w:sz w:val="20"/>
                <w:szCs w:val="20"/>
              </w:rPr>
            </w:pPr>
            <w:r w:rsidRPr="00481F56">
              <w:rPr>
                <w:rStyle w:val="SCCCoramChar"/>
                <w:sz w:val="20"/>
                <w:szCs w:val="20"/>
                <w:lang w:val="en-CA"/>
              </w:rPr>
              <w:t>Rothstein, Cromwell and Moldaver JJ.</w:t>
            </w:r>
          </w:p>
          <w:p w:rsidR="00481F56" w:rsidRPr="00032B5D" w:rsidRDefault="00481F56" w:rsidP="00574799">
            <w:pPr>
              <w:rPr>
                <w:sz w:val="20"/>
                <w:szCs w:val="20"/>
                <w:u w:val="single"/>
              </w:rPr>
            </w:pPr>
          </w:p>
        </w:tc>
      </w:tr>
      <w:tr w:rsidR="00481F56" w:rsidRPr="00EC49A7" w:rsidTr="00574799">
        <w:trPr>
          <w:cantSplit/>
        </w:trPr>
        <w:tc>
          <w:tcPr>
            <w:tcW w:w="9576" w:type="dxa"/>
            <w:gridSpan w:val="2"/>
          </w:tcPr>
          <w:p w:rsidR="00481F56" w:rsidRPr="00032B5D" w:rsidRDefault="00481F56" w:rsidP="00574799">
            <w:pPr>
              <w:pStyle w:val="SCCShortJudgment"/>
              <w:rPr>
                <w:szCs w:val="20"/>
              </w:rPr>
            </w:pPr>
            <w:r w:rsidRPr="00032B5D">
              <w:rPr>
                <w:szCs w:val="20"/>
              </w:rPr>
              <w:t>The application for leave to appeal from the judgment of the Court of Appeal for Ontario, Number C57876, 2014 ONCA 580, dated August 14, 2014 is dismissed with costs.</w:t>
            </w:r>
          </w:p>
          <w:p w:rsidR="00481F56" w:rsidRPr="00032B5D" w:rsidRDefault="00481F56" w:rsidP="00574799">
            <w:pPr>
              <w:pStyle w:val="SCCShortJudgment"/>
              <w:ind w:firstLine="0"/>
              <w:rPr>
                <w:szCs w:val="20"/>
              </w:rPr>
            </w:pPr>
          </w:p>
          <w:p w:rsidR="00481F56" w:rsidRPr="00032B5D" w:rsidRDefault="00481F56" w:rsidP="00574799">
            <w:pPr>
              <w:pStyle w:val="SCCShortJudgment"/>
              <w:rPr>
                <w:szCs w:val="20"/>
                <w:lang w:val="fr-CA"/>
              </w:rPr>
            </w:pPr>
            <w:r w:rsidRPr="00032B5D">
              <w:rPr>
                <w:szCs w:val="20"/>
                <w:lang w:val="fr-CA"/>
              </w:rPr>
              <w:t>La demande d’autorisation d’appel de l’arrêt de la Cour d’appel de l’Ontario, numéro C57876, 2014 ONCA 580, daté du 14 août 2014, est rejetée avec dépens.</w:t>
            </w:r>
          </w:p>
        </w:tc>
      </w:tr>
    </w:tbl>
    <w:p w:rsidR="003977D9" w:rsidRPr="00481F56" w:rsidRDefault="003977D9" w:rsidP="003977D9">
      <w:pPr>
        <w:rPr>
          <w:sz w:val="20"/>
          <w:szCs w:val="20"/>
          <w:lang w:val="fr-CA"/>
        </w:rPr>
      </w:pPr>
    </w:p>
    <w:p w:rsidR="003977D9" w:rsidRPr="001B157C" w:rsidRDefault="003977D9" w:rsidP="003977D9">
      <w:pPr>
        <w:rPr>
          <w:sz w:val="20"/>
          <w:szCs w:val="20"/>
          <w:u w:val="single"/>
        </w:rPr>
      </w:pPr>
      <w:r w:rsidRPr="001B157C">
        <w:rPr>
          <w:sz w:val="20"/>
          <w:szCs w:val="20"/>
          <w:u w:val="single"/>
        </w:rPr>
        <w:t>CASE SUMMARY</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7C79" w:rsidRPr="008057D9" w:rsidTr="004B52FA">
        <w:tc>
          <w:tcPr>
            <w:tcW w:w="5000" w:type="pct"/>
            <w:gridSpan w:val="3"/>
          </w:tcPr>
          <w:p w:rsidR="00B27C79" w:rsidRPr="008057D9" w:rsidRDefault="00B27C79" w:rsidP="004B52FA">
            <w:pPr>
              <w:jc w:val="both"/>
              <w:rPr>
                <w:rFonts w:eastAsia="Calibri"/>
                <w:sz w:val="20"/>
              </w:rPr>
            </w:pPr>
            <w:r w:rsidRPr="008057D9">
              <w:rPr>
                <w:rFonts w:eastAsia="Calibri"/>
                <w:sz w:val="20"/>
              </w:rPr>
              <w:t xml:space="preserve">Private international law – </w:t>
            </w:r>
            <w:r w:rsidRPr="008057D9">
              <w:rPr>
                <w:rFonts w:eastAsia="Calibri"/>
                <w:i/>
                <w:sz w:val="20"/>
              </w:rPr>
              <w:t>Forum non conveniens</w:t>
            </w:r>
            <w:r w:rsidRPr="008057D9">
              <w:rPr>
                <w:rFonts w:eastAsia="Calibri"/>
                <w:sz w:val="20"/>
              </w:rPr>
              <w:t xml:space="preserve"> – Comity – Whether the Court of Appeal misconstrued the scope and content of the principle of comity in finding that it requires a Canadian court to decline to exercise its jurisdiction over a statutory claim under the </w:t>
            </w:r>
            <w:r w:rsidRPr="008057D9">
              <w:rPr>
                <w:rFonts w:eastAsia="Calibri"/>
                <w:i/>
                <w:sz w:val="20"/>
              </w:rPr>
              <w:t>Ontario Securities Act</w:t>
            </w:r>
            <w:r w:rsidRPr="008057D9">
              <w:rPr>
                <w:rFonts w:eastAsia="Calibri"/>
                <w:sz w:val="20"/>
              </w:rPr>
              <w:t xml:space="preserve">, R.S.O. 1990, c. S.5, if the securities in question were purchased on a foreign exchange – Whether the Court of Appeal altered the </w:t>
            </w:r>
            <w:r w:rsidRPr="008057D9">
              <w:rPr>
                <w:rFonts w:eastAsia="Calibri"/>
                <w:i/>
                <w:sz w:val="20"/>
              </w:rPr>
              <w:t>forum non conveniens</w:t>
            </w:r>
            <w:r w:rsidRPr="008057D9">
              <w:rPr>
                <w:rFonts w:eastAsia="Calibri"/>
                <w:sz w:val="20"/>
              </w:rPr>
              <w:t xml:space="preserve"> test by elevating comity to a separate and independent basis for declining jurisdiction.</w:t>
            </w:r>
          </w:p>
        </w:tc>
      </w:tr>
      <w:tr w:rsidR="00B27C79" w:rsidRPr="008057D9" w:rsidTr="004B52FA">
        <w:tc>
          <w:tcPr>
            <w:tcW w:w="5000" w:type="pct"/>
            <w:gridSpan w:val="3"/>
          </w:tcPr>
          <w:p w:rsidR="00B27C79" w:rsidRPr="008057D9" w:rsidRDefault="00B27C79" w:rsidP="004B52FA">
            <w:pPr>
              <w:jc w:val="both"/>
              <w:rPr>
                <w:rFonts w:eastAsia="Calibri"/>
                <w:sz w:val="20"/>
              </w:rPr>
            </w:pPr>
          </w:p>
        </w:tc>
      </w:tr>
      <w:tr w:rsidR="00B27C79" w:rsidRPr="008057D9" w:rsidTr="004B52FA">
        <w:tc>
          <w:tcPr>
            <w:tcW w:w="5000" w:type="pct"/>
            <w:gridSpan w:val="3"/>
          </w:tcPr>
          <w:p w:rsidR="00B27C79" w:rsidRPr="008057D9" w:rsidRDefault="00B27C79" w:rsidP="004B52FA">
            <w:pPr>
              <w:jc w:val="both"/>
              <w:rPr>
                <w:rFonts w:eastAsia="Calibri"/>
                <w:sz w:val="20"/>
              </w:rPr>
            </w:pPr>
            <w:r w:rsidRPr="008057D9">
              <w:rPr>
                <w:rFonts w:eastAsia="Calibri"/>
                <w:sz w:val="20"/>
              </w:rPr>
              <w:t xml:space="preserve">The applicant, Mr. Kaynes, brought a proposed class action for secondary market misrepresentation against the respondent, BP, alleging that it made various misrepresentations in documents it sent to its shareholders.  The proposed class consisted of all residents of Canada who acquired BP securities between May 9, 2007 and May 28, 2010, regardless of whether those securities were purchased on the Toronto Stock Exchange, the New York Stock Exchange or European exchanges, and who held some or all of them through the end of the class period. However, the proposed class excluded those who acquired their shares on the New York Stock Exchange and who did not opt out of a parallel proceeding underway in the United States based on the same alleged misrepresentation.  Before the leave and certification motions were heard, BP moved for a stay of proceedings on the basis that, with the exception of the claims made by those who purchased securities on the Toronto Stock Exchange, Ontario did not have jurisdiction over the dispute.  Alternatively, BP claimed that if Ontario did have jurisdiction </w:t>
            </w:r>
            <w:r w:rsidRPr="008057D9">
              <w:rPr>
                <w:rFonts w:eastAsia="Calibri"/>
                <w:i/>
                <w:sz w:val="20"/>
              </w:rPr>
              <w:t>simpliciter</w:t>
            </w:r>
            <w:r w:rsidRPr="008057D9">
              <w:rPr>
                <w:rFonts w:eastAsia="Calibri"/>
                <w:sz w:val="20"/>
              </w:rPr>
              <w:t xml:space="preserve">, it should decline to exercise that jurisdiction on grounds of </w:t>
            </w:r>
            <w:r w:rsidRPr="008057D9">
              <w:rPr>
                <w:rFonts w:eastAsia="Calibri"/>
                <w:i/>
                <w:sz w:val="20"/>
              </w:rPr>
              <w:t>forum non conveniens</w:t>
            </w:r>
            <w:r w:rsidRPr="008057D9">
              <w:rPr>
                <w:rFonts w:eastAsia="Calibri"/>
                <w:sz w:val="20"/>
              </w:rPr>
              <w:t>.  The motions judge dismissed BP’s motion.  The Court of Appeal allowed the appeal and stayed the proceedings.  In its view, while the motions judge was right to find that Ontario had jurisdiction, she erred by failing to decline jurisdiction.  In particular, the Court concluded that the motions judge failed to take into account the principle of comity in assessing the effect of exercising Ontario jurisdiction, and erred in law with respect to the related issue of avoiding a multiplicity of proceedings.</w:t>
            </w:r>
          </w:p>
          <w:p w:rsidR="00B27C79" w:rsidRPr="008057D9" w:rsidRDefault="00B27C79" w:rsidP="004B52FA">
            <w:pPr>
              <w:jc w:val="both"/>
              <w:rPr>
                <w:rFonts w:eastAsia="Calibri"/>
                <w:sz w:val="20"/>
              </w:rPr>
            </w:pPr>
          </w:p>
        </w:tc>
      </w:tr>
      <w:tr w:rsidR="00B27C79" w:rsidRPr="008057D9" w:rsidTr="004B52FA">
        <w:tc>
          <w:tcPr>
            <w:tcW w:w="2427" w:type="pct"/>
          </w:tcPr>
          <w:p w:rsidR="00B27C79" w:rsidRPr="008057D9" w:rsidRDefault="00B27C79" w:rsidP="004B52FA">
            <w:pPr>
              <w:jc w:val="both"/>
              <w:rPr>
                <w:rFonts w:eastAsia="Calibri"/>
                <w:sz w:val="20"/>
              </w:rPr>
            </w:pPr>
            <w:r w:rsidRPr="008057D9">
              <w:rPr>
                <w:rFonts w:eastAsia="Calibri"/>
                <w:sz w:val="20"/>
              </w:rPr>
              <w:t>October 9, 2013</w:t>
            </w:r>
          </w:p>
          <w:p w:rsidR="00B27C79" w:rsidRPr="008057D9" w:rsidRDefault="00B27C79" w:rsidP="004B52FA">
            <w:pPr>
              <w:jc w:val="both"/>
              <w:rPr>
                <w:rFonts w:eastAsia="Calibri"/>
                <w:sz w:val="20"/>
              </w:rPr>
            </w:pPr>
            <w:r w:rsidRPr="008057D9">
              <w:rPr>
                <w:rFonts w:eastAsia="Calibri"/>
                <w:sz w:val="20"/>
              </w:rPr>
              <w:t>Ontario Superior Court of Justice</w:t>
            </w:r>
          </w:p>
          <w:p w:rsidR="00B27C79" w:rsidRPr="008057D9" w:rsidRDefault="00B27C79" w:rsidP="004B52FA">
            <w:pPr>
              <w:jc w:val="both"/>
              <w:rPr>
                <w:rFonts w:eastAsia="Calibri"/>
                <w:sz w:val="20"/>
              </w:rPr>
            </w:pPr>
            <w:r w:rsidRPr="008057D9">
              <w:rPr>
                <w:rFonts w:eastAsia="Calibri"/>
                <w:sz w:val="20"/>
              </w:rPr>
              <w:t>(Conway J.)</w:t>
            </w:r>
          </w:p>
          <w:p w:rsidR="00B27C79" w:rsidRPr="008057D9" w:rsidRDefault="00173D9D" w:rsidP="004B52FA">
            <w:pPr>
              <w:jc w:val="both"/>
              <w:rPr>
                <w:rFonts w:eastAsia="Calibri"/>
                <w:sz w:val="20"/>
              </w:rPr>
            </w:pPr>
            <w:hyperlink r:id="rId29" w:history="1">
              <w:r w:rsidR="00B27C79" w:rsidRPr="008057D9">
                <w:rPr>
                  <w:rFonts w:eastAsia="Calibri"/>
                  <w:color w:val="0000FF"/>
                  <w:sz w:val="20"/>
                  <w:u w:val="single"/>
                </w:rPr>
                <w:t>2013 ONSC 5802</w:t>
              </w:r>
            </w:hyperlink>
          </w:p>
          <w:p w:rsidR="00B27C79" w:rsidRPr="008057D9" w:rsidRDefault="00B27C79" w:rsidP="004B52FA">
            <w:pPr>
              <w:jc w:val="both"/>
              <w:rPr>
                <w:rFonts w:eastAsia="Calibri"/>
                <w:sz w:val="20"/>
              </w:rPr>
            </w:pPr>
          </w:p>
        </w:tc>
        <w:tc>
          <w:tcPr>
            <w:tcW w:w="243" w:type="pct"/>
          </w:tcPr>
          <w:p w:rsidR="00B27C79" w:rsidRPr="008057D9" w:rsidRDefault="00B27C79" w:rsidP="004B52FA">
            <w:pPr>
              <w:jc w:val="both"/>
              <w:rPr>
                <w:rFonts w:eastAsia="Calibri"/>
                <w:sz w:val="20"/>
              </w:rPr>
            </w:pPr>
          </w:p>
        </w:tc>
        <w:tc>
          <w:tcPr>
            <w:tcW w:w="2330" w:type="pct"/>
          </w:tcPr>
          <w:p w:rsidR="00B27C79" w:rsidRPr="008057D9" w:rsidRDefault="00B27C79" w:rsidP="004B52FA">
            <w:pPr>
              <w:jc w:val="both"/>
              <w:rPr>
                <w:rFonts w:eastAsia="Calibri"/>
                <w:sz w:val="20"/>
              </w:rPr>
            </w:pPr>
            <w:r w:rsidRPr="008057D9">
              <w:rPr>
                <w:rFonts w:eastAsia="Calibri"/>
                <w:sz w:val="20"/>
              </w:rPr>
              <w:t>Respondent’s motion seeking stay of proceedings dismissed</w:t>
            </w:r>
          </w:p>
          <w:p w:rsidR="00B27C79" w:rsidRPr="008057D9" w:rsidRDefault="00B27C79" w:rsidP="004B52FA">
            <w:pPr>
              <w:jc w:val="both"/>
              <w:rPr>
                <w:rFonts w:eastAsia="Calibri"/>
                <w:sz w:val="20"/>
              </w:rPr>
            </w:pPr>
          </w:p>
        </w:tc>
      </w:tr>
      <w:tr w:rsidR="00B27C79" w:rsidRPr="008057D9" w:rsidTr="004B52FA">
        <w:tc>
          <w:tcPr>
            <w:tcW w:w="2427" w:type="pct"/>
          </w:tcPr>
          <w:p w:rsidR="00B27C79" w:rsidRPr="008057D9" w:rsidRDefault="00B27C79" w:rsidP="004B52FA">
            <w:pPr>
              <w:jc w:val="both"/>
              <w:rPr>
                <w:rFonts w:eastAsia="Calibri"/>
                <w:sz w:val="20"/>
              </w:rPr>
            </w:pPr>
            <w:r w:rsidRPr="008057D9">
              <w:rPr>
                <w:rFonts w:eastAsia="Calibri"/>
                <w:sz w:val="20"/>
              </w:rPr>
              <w:t>August 14, 2014</w:t>
            </w:r>
          </w:p>
          <w:p w:rsidR="00B27C79" w:rsidRPr="008057D9" w:rsidRDefault="00B27C79" w:rsidP="004B52FA">
            <w:pPr>
              <w:jc w:val="both"/>
              <w:rPr>
                <w:rFonts w:eastAsia="Calibri"/>
                <w:sz w:val="20"/>
              </w:rPr>
            </w:pPr>
            <w:r w:rsidRPr="008057D9">
              <w:rPr>
                <w:rFonts w:eastAsia="Calibri"/>
                <w:sz w:val="20"/>
              </w:rPr>
              <w:t>Court of Appeal for Ontario</w:t>
            </w:r>
          </w:p>
          <w:p w:rsidR="00B27C79" w:rsidRPr="008057D9" w:rsidRDefault="00B27C79" w:rsidP="004B52FA">
            <w:pPr>
              <w:jc w:val="both"/>
              <w:rPr>
                <w:rFonts w:eastAsia="Calibri"/>
                <w:sz w:val="20"/>
              </w:rPr>
            </w:pPr>
            <w:r w:rsidRPr="008057D9">
              <w:rPr>
                <w:rFonts w:eastAsia="Calibri"/>
                <w:sz w:val="20"/>
              </w:rPr>
              <w:t>(Sharpe, Simmons and Benotto JJ.A.)</w:t>
            </w:r>
          </w:p>
          <w:p w:rsidR="00B27C79" w:rsidRPr="008057D9" w:rsidRDefault="00173D9D" w:rsidP="004B52FA">
            <w:pPr>
              <w:jc w:val="both"/>
              <w:rPr>
                <w:rFonts w:eastAsia="Calibri"/>
                <w:sz w:val="20"/>
              </w:rPr>
            </w:pPr>
            <w:hyperlink r:id="rId30" w:history="1">
              <w:r w:rsidR="00B27C79" w:rsidRPr="008057D9">
                <w:rPr>
                  <w:rFonts w:eastAsia="Calibri"/>
                  <w:color w:val="0000FF"/>
                  <w:sz w:val="20"/>
                  <w:u w:val="single"/>
                </w:rPr>
                <w:t>2014 ONCA 580</w:t>
              </w:r>
            </w:hyperlink>
          </w:p>
          <w:p w:rsidR="00B27C79" w:rsidRPr="008057D9" w:rsidRDefault="00B27C79" w:rsidP="004B52FA">
            <w:pPr>
              <w:jc w:val="both"/>
              <w:rPr>
                <w:rFonts w:eastAsia="Calibri"/>
                <w:sz w:val="20"/>
              </w:rPr>
            </w:pPr>
          </w:p>
        </w:tc>
        <w:tc>
          <w:tcPr>
            <w:tcW w:w="243" w:type="pct"/>
          </w:tcPr>
          <w:p w:rsidR="00B27C79" w:rsidRPr="008057D9" w:rsidRDefault="00B27C79" w:rsidP="004B52FA">
            <w:pPr>
              <w:jc w:val="both"/>
              <w:rPr>
                <w:rFonts w:eastAsia="Calibri"/>
                <w:sz w:val="20"/>
              </w:rPr>
            </w:pPr>
          </w:p>
        </w:tc>
        <w:tc>
          <w:tcPr>
            <w:tcW w:w="2330" w:type="pct"/>
          </w:tcPr>
          <w:p w:rsidR="00B27C79" w:rsidRPr="008057D9" w:rsidRDefault="00B27C79" w:rsidP="004B52FA">
            <w:pPr>
              <w:jc w:val="both"/>
              <w:rPr>
                <w:rFonts w:eastAsia="Calibri"/>
                <w:sz w:val="20"/>
              </w:rPr>
            </w:pPr>
            <w:r w:rsidRPr="008057D9">
              <w:rPr>
                <w:rFonts w:eastAsia="Calibri"/>
                <w:sz w:val="20"/>
              </w:rPr>
              <w:t>Appeal allowed; proceedings stayed</w:t>
            </w:r>
          </w:p>
          <w:p w:rsidR="00B27C79" w:rsidRPr="008057D9" w:rsidRDefault="00B27C79" w:rsidP="004B52FA">
            <w:pPr>
              <w:jc w:val="both"/>
              <w:rPr>
                <w:rFonts w:eastAsia="Calibri"/>
                <w:sz w:val="20"/>
              </w:rPr>
            </w:pPr>
          </w:p>
        </w:tc>
      </w:tr>
      <w:tr w:rsidR="00B27C79" w:rsidRPr="008057D9" w:rsidTr="00481F56">
        <w:trPr>
          <w:cantSplit/>
        </w:trPr>
        <w:tc>
          <w:tcPr>
            <w:tcW w:w="2427" w:type="pct"/>
          </w:tcPr>
          <w:p w:rsidR="00B27C79" w:rsidRPr="008057D9" w:rsidRDefault="00B27C79" w:rsidP="004B52FA">
            <w:pPr>
              <w:jc w:val="both"/>
              <w:rPr>
                <w:rFonts w:eastAsia="Calibri"/>
                <w:sz w:val="20"/>
              </w:rPr>
            </w:pPr>
            <w:r w:rsidRPr="008057D9">
              <w:rPr>
                <w:rFonts w:eastAsia="Calibri"/>
                <w:sz w:val="20"/>
              </w:rPr>
              <w:lastRenderedPageBreak/>
              <w:t>October 14, 2014</w:t>
            </w:r>
          </w:p>
          <w:p w:rsidR="00B27C79" w:rsidRPr="008057D9" w:rsidRDefault="00B27C79" w:rsidP="004B52FA">
            <w:pPr>
              <w:jc w:val="both"/>
              <w:rPr>
                <w:rFonts w:eastAsia="Calibri"/>
                <w:sz w:val="20"/>
              </w:rPr>
            </w:pPr>
            <w:r w:rsidRPr="008057D9">
              <w:rPr>
                <w:rFonts w:eastAsia="Calibri"/>
                <w:sz w:val="20"/>
              </w:rPr>
              <w:t>Supreme Court of Canada</w:t>
            </w:r>
          </w:p>
        </w:tc>
        <w:tc>
          <w:tcPr>
            <w:tcW w:w="243" w:type="pct"/>
          </w:tcPr>
          <w:p w:rsidR="00B27C79" w:rsidRPr="008057D9" w:rsidRDefault="00B27C79" w:rsidP="004B52FA">
            <w:pPr>
              <w:jc w:val="both"/>
              <w:rPr>
                <w:rFonts w:eastAsia="Calibri"/>
                <w:sz w:val="20"/>
              </w:rPr>
            </w:pPr>
          </w:p>
        </w:tc>
        <w:tc>
          <w:tcPr>
            <w:tcW w:w="2330" w:type="pct"/>
          </w:tcPr>
          <w:p w:rsidR="00B27C79" w:rsidRPr="008057D9" w:rsidRDefault="00B27C79" w:rsidP="004B52FA">
            <w:pPr>
              <w:jc w:val="both"/>
              <w:rPr>
                <w:rFonts w:eastAsia="Calibri"/>
                <w:sz w:val="20"/>
              </w:rPr>
            </w:pPr>
            <w:r w:rsidRPr="008057D9">
              <w:rPr>
                <w:rFonts w:eastAsia="Calibri"/>
                <w:sz w:val="20"/>
              </w:rPr>
              <w:t>Application for leave to appeal filed</w:t>
            </w:r>
          </w:p>
          <w:p w:rsidR="00B27C79" w:rsidRPr="008057D9" w:rsidRDefault="00B27C79" w:rsidP="004B52FA">
            <w:pPr>
              <w:jc w:val="both"/>
              <w:rPr>
                <w:rFonts w:eastAsia="Calibri"/>
                <w:sz w:val="20"/>
              </w:rPr>
            </w:pPr>
          </w:p>
        </w:tc>
      </w:tr>
    </w:tbl>
    <w:p w:rsidR="003977D9" w:rsidRDefault="003977D9" w:rsidP="003977D9">
      <w:pPr>
        <w:rPr>
          <w:sz w:val="20"/>
          <w:szCs w:val="20"/>
        </w:rPr>
      </w:pPr>
    </w:p>
    <w:p w:rsidR="003977D9" w:rsidRPr="00C50A5C" w:rsidRDefault="00173D9D" w:rsidP="003977D9">
      <w:pPr>
        <w:rPr>
          <w:sz w:val="20"/>
          <w:szCs w:val="20"/>
        </w:rPr>
      </w:pPr>
      <w:r>
        <w:rPr>
          <w:sz w:val="20"/>
          <w:szCs w:val="20"/>
          <w:lang w:val="fr-CA"/>
        </w:rPr>
        <w:pict>
          <v:rect id="_x0000_i1040" style="width:2in;height:1pt" o:hrpct="0" o:hralign="center" o:hrstd="t" o:hrnoshade="t" o:hr="t" fillcolor="black [3213]" stroked="f"/>
        </w:pict>
      </w:r>
    </w:p>
    <w:p w:rsidR="003977D9" w:rsidRDefault="003977D9" w:rsidP="003977D9">
      <w:pPr>
        <w:rPr>
          <w:sz w:val="20"/>
          <w:szCs w:val="20"/>
        </w:rPr>
      </w:pPr>
    </w:p>
    <w:p w:rsidR="003977D9" w:rsidRPr="001B157C" w:rsidRDefault="003977D9" w:rsidP="003977D9">
      <w:pPr>
        <w:rPr>
          <w:sz w:val="20"/>
          <w:szCs w:val="20"/>
          <w:u w:val="single"/>
          <w:lang w:val="fr-CA"/>
        </w:rPr>
      </w:pPr>
      <w:r w:rsidRPr="001B157C">
        <w:rPr>
          <w:sz w:val="20"/>
          <w:szCs w:val="20"/>
          <w:u w:val="single"/>
          <w:lang w:val="fr-CA"/>
        </w:rPr>
        <w:t>RÉSUMÉ DE L’AFFAIRE</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7C79" w:rsidRPr="00EC49A7" w:rsidTr="004B52FA">
        <w:tc>
          <w:tcPr>
            <w:tcW w:w="5000" w:type="pct"/>
            <w:gridSpan w:val="3"/>
          </w:tcPr>
          <w:p w:rsidR="00B27C79" w:rsidRPr="008057D9" w:rsidRDefault="00B27C79" w:rsidP="004B52FA">
            <w:pPr>
              <w:jc w:val="both"/>
              <w:rPr>
                <w:rFonts w:eastAsia="Calibri"/>
                <w:sz w:val="20"/>
                <w:lang w:val="fr-CA"/>
              </w:rPr>
            </w:pPr>
            <w:r w:rsidRPr="008057D9">
              <w:rPr>
                <w:rFonts w:eastAsia="Calibri"/>
                <w:sz w:val="20"/>
                <w:lang w:val="fr-CA"/>
              </w:rPr>
              <w:t xml:space="preserve">Droit international privé – </w:t>
            </w:r>
            <w:r w:rsidRPr="008057D9">
              <w:rPr>
                <w:rFonts w:eastAsia="Calibri"/>
                <w:i/>
                <w:sz w:val="20"/>
                <w:lang w:val="fr-CA"/>
              </w:rPr>
              <w:t>Forum non conveniens</w:t>
            </w:r>
            <w:r w:rsidRPr="008057D9">
              <w:rPr>
                <w:rFonts w:eastAsia="Calibri"/>
                <w:sz w:val="20"/>
                <w:lang w:val="fr-CA"/>
              </w:rPr>
              <w:t xml:space="preserve"> – Courtoisie – La Cour d’appel a-t-elle mal interprété la portée et le contenu du principe de la courtoisie en concluant que ce principe oblige un tribunal canadien à décliner compétence à l’égard d’une demande relative aux manquements aux obligations légales prévues dans la </w:t>
            </w:r>
            <w:r w:rsidRPr="008057D9">
              <w:rPr>
                <w:rFonts w:eastAsia="Calibri"/>
                <w:i/>
                <w:sz w:val="20"/>
                <w:lang w:val="fr-CA"/>
              </w:rPr>
              <w:t>Loi sur les valeurs mobilières</w:t>
            </w:r>
            <w:r w:rsidRPr="008057D9">
              <w:rPr>
                <w:rFonts w:eastAsia="Calibri"/>
                <w:sz w:val="20"/>
                <w:lang w:val="fr-CA"/>
              </w:rPr>
              <w:t xml:space="preserve">, L.R.O. 1990, ch. S.5, si les valeurs mobilières en question ont été achetées à une bourse étrangère? – La Cour d’appel a-t-elle altéré le critère du </w:t>
            </w:r>
            <w:r w:rsidRPr="008057D9">
              <w:rPr>
                <w:rFonts w:eastAsia="Calibri"/>
                <w:i/>
                <w:sz w:val="20"/>
                <w:lang w:val="fr-CA"/>
              </w:rPr>
              <w:t>forum non conveniens</w:t>
            </w:r>
            <w:r w:rsidRPr="008057D9">
              <w:rPr>
                <w:rFonts w:eastAsia="Calibri"/>
                <w:sz w:val="20"/>
                <w:lang w:val="fr-CA"/>
              </w:rPr>
              <w:t xml:space="preserve"> en faisant de la courtoisie un motif distinct et indépendant pour décliner compétence?</w:t>
            </w:r>
          </w:p>
        </w:tc>
      </w:tr>
      <w:tr w:rsidR="00B27C79" w:rsidRPr="00EC49A7" w:rsidTr="004B52FA">
        <w:tc>
          <w:tcPr>
            <w:tcW w:w="5000" w:type="pct"/>
            <w:gridSpan w:val="3"/>
          </w:tcPr>
          <w:p w:rsidR="00B27C79" w:rsidRPr="008057D9" w:rsidRDefault="00B27C79" w:rsidP="004B52FA">
            <w:pPr>
              <w:jc w:val="both"/>
              <w:rPr>
                <w:rFonts w:eastAsia="Calibri"/>
                <w:sz w:val="20"/>
                <w:lang w:val="fr-CA"/>
              </w:rPr>
            </w:pPr>
          </w:p>
        </w:tc>
      </w:tr>
      <w:tr w:rsidR="00B27C79" w:rsidRPr="00EC49A7" w:rsidTr="004B52FA">
        <w:tc>
          <w:tcPr>
            <w:tcW w:w="5000" w:type="pct"/>
            <w:gridSpan w:val="3"/>
          </w:tcPr>
          <w:p w:rsidR="00B27C79" w:rsidRPr="008057D9" w:rsidRDefault="00B27C79" w:rsidP="004B52FA">
            <w:pPr>
              <w:jc w:val="both"/>
              <w:rPr>
                <w:rFonts w:eastAsia="Calibri"/>
                <w:sz w:val="20"/>
                <w:lang w:val="fr-CA"/>
              </w:rPr>
            </w:pPr>
            <w:r w:rsidRPr="008057D9">
              <w:rPr>
                <w:rFonts w:eastAsia="Calibri"/>
                <w:sz w:val="20"/>
                <w:lang w:val="fr-CA"/>
              </w:rPr>
              <w:t xml:space="preserve">Le demandeur, M. Kaynes, a intenté contre l’intimée BP un recours collectif projeté pour présentation inexacte des faits sur le marché secondaire, alléguant que BP avait fait diverses présentations inexactes des faits dans des documents envoyés à ses actionnaires.  Le recours collectif projeté groupait tous les résidents du Canada qui avaient acquis des valeurs mobilières de BP entre le 9 mai 2007 et le 28 mai 2010 et ce, que ces valeurs aient été achetées à la Bourse de Toronto, à la Bourse de New York ou à des bourses européennes, et qui ont détenu ces valeurs, ou certaines d’entre elles, jusqu’à la fin de la période visée par le recours.  Toutefois, le groupe projeté excluait ceux qui avaient acquis leurs actions à la Bourse de New York et qui ne s’étaient pas soustraits d’une instance parallèle, en cours aux États-Unis, fondée sur les mêmes présentations inexactes des faits alléguées.  Avant l’instruction des motions en autorisation et en certification, BP a présenté une motion en suspension d’instance, faisant observer qu’à l’exception des demandes présentées par ceux qui avaient acheté les valeurs mobilières à la Bourse de Toronto, l’Ontario n’avait pas compétence à l’égard du litige.  Subsidiairement, BP a fait valoir que si l’Ontario avait compétence, elle devait la décliner pour cause de </w:t>
            </w:r>
            <w:r w:rsidRPr="008057D9">
              <w:rPr>
                <w:rFonts w:eastAsia="Calibri"/>
                <w:i/>
                <w:sz w:val="20"/>
                <w:lang w:val="fr-CA"/>
              </w:rPr>
              <w:t>forum non conveniens</w:t>
            </w:r>
            <w:r w:rsidRPr="008057D9">
              <w:rPr>
                <w:rFonts w:eastAsia="Calibri"/>
                <w:sz w:val="20"/>
                <w:lang w:val="fr-CA"/>
              </w:rPr>
              <w:t>.  La juge de première instance a rejeté la motion de BP.  La Cour d’appel a accueilli l’appel et ordonné la suspension de l’instance.  À son avis, même si la juge de première instance avait eu raison de conclure que l’Ontario avait compétence, elle avait eu tort de ne pas décliner compétence.  En particulier, la Cour a conclu que la juge de première instance avait omis de prendre en considération le principe de la courtoisie dans son appréciation de l’effet qu’aurait l’exercice de la compétence de l’Ontario, et qu’elle avait commis une erreur de droit relativement à la question connexe d’éviter une multiplicité d’instances.</w:t>
            </w:r>
          </w:p>
          <w:p w:rsidR="00B27C79" w:rsidRPr="008057D9" w:rsidRDefault="00B27C79" w:rsidP="004B52FA">
            <w:pPr>
              <w:jc w:val="both"/>
              <w:rPr>
                <w:rFonts w:eastAsia="Calibri"/>
                <w:sz w:val="20"/>
                <w:lang w:val="fr-CA"/>
              </w:rPr>
            </w:pPr>
          </w:p>
        </w:tc>
      </w:tr>
      <w:tr w:rsidR="00B27C79" w:rsidRPr="00EC49A7" w:rsidTr="004B52FA">
        <w:tc>
          <w:tcPr>
            <w:tcW w:w="2427" w:type="pct"/>
          </w:tcPr>
          <w:p w:rsidR="00B27C79" w:rsidRPr="008057D9" w:rsidRDefault="00B27C79" w:rsidP="004B52FA">
            <w:pPr>
              <w:jc w:val="both"/>
              <w:rPr>
                <w:rFonts w:eastAsia="Calibri"/>
                <w:sz w:val="20"/>
                <w:lang w:val="fr-CA"/>
              </w:rPr>
            </w:pPr>
            <w:r w:rsidRPr="008057D9">
              <w:rPr>
                <w:rFonts w:eastAsia="Calibri"/>
                <w:sz w:val="20"/>
                <w:lang w:val="fr-CA"/>
              </w:rPr>
              <w:t>9 octobre 2013</w:t>
            </w:r>
          </w:p>
          <w:p w:rsidR="00B27C79" w:rsidRPr="008057D9" w:rsidRDefault="00B27C79" w:rsidP="004B52FA">
            <w:pPr>
              <w:jc w:val="both"/>
              <w:rPr>
                <w:rFonts w:eastAsia="Calibri"/>
                <w:sz w:val="20"/>
                <w:lang w:val="fr-CA"/>
              </w:rPr>
            </w:pPr>
            <w:r w:rsidRPr="008057D9">
              <w:rPr>
                <w:rFonts w:eastAsia="Calibri"/>
                <w:sz w:val="20"/>
                <w:lang w:val="fr-CA"/>
              </w:rPr>
              <w:t>Cour supérieure de justice de l’Ontario</w:t>
            </w:r>
          </w:p>
          <w:p w:rsidR="00B27C79" w:rsidRPr="008057D9" w:rsidRDefault="00B27C79" w:rsidP="004B52FA">
            <w:pPr>
              <w:jc w:val="both"/>
              <w:rPr>
                <w:rFonts w:eastAsia="Calibri"/>
                <w:sz w:val="20"/>
                <w:lang w:val="fr-CA"/>
              </w:rPr>
            </w:pPr>
            <w:r w:rsidRPr="008057D9">
              <w:rPr>
                <w:rFonts w:eastAsia="Calibri"/>
                <w:sz w:val="20"/>
                <w:lang w:val="fr-CA"/>
              </w:rPr>
              <w:t>(Juge Conway)</w:t>
            </w:r>
          </w:p>
          <w:p w:rsidR="00B27C79" w:rsidRPr="008057D9" w:rsidRDefault="00173D9D" w:rsidP="004B52FA">
            <w:pPr>
              <w:jc w:val="both"/>
              <w:rPr>
                <w:rFonts w:eastAsia="Calibri"/>
                <w:sz w:val="20"/>
                <w:lang w:val="fr-CA"/>
              </w:rPr>
            </w:pPr>
            <w:hyperlink r:id="rId31" w:history="1">
              <w:r w:rsidR="00B27C79" w:rsidRPr="008057D9">
                <w:rPr>
                  <w:rFonts w:eastAsia="Calibri"/>
                  <w:color w:val="0000FF"/>
                  <w:sz w:val="20"/>
                  <w:u w:val="single"/>
                  <w:lang w:val="fr-CA"/>
                </w:rPr>
                <w:t>2013 ONSC 5802</w:t>
              </w:r>
            </w:hyperlink>
          </w:p>
          <w:p w:rsidR="00B27C79" w:rsidRPr="008057D9" w:rsidRDefault="00B27C79" w:rsidP="004B52FA">
            <w:pPr>
              <w:jc w:val="both"/>
              <w:rPr>
                <w:rFonts w:eastAsia="Calibri"/>
                <w:sz w:val="20"/>
                <w:lang w:val="fr-CA"/>
              </w:rPr>
            </w:pPr>
          </w:p>
        </w:tc>
        <w:tc>
          <w:tcPr>
            <w:tcW w:w="243" w:type="pct"/>
          </w:tcPr>
          <w:p w:rsidR="00B27C79" w:rsidRPr="008057D9" w:rsidRDefault="00B27C79" w:rsidP="004B52FA">
            <w:pPr>
              <w:jc w:val="both"/>
              <w:rPr>
                <w:rFonts w:eastAsia="Calibri"/>
                <w:sz w:val="20"/>
                <w:lang w:val="fr-CA"/>
              </w:rPr>
            </w:pPr>
          </w:p>
        </w:tc>
        <w:tc>
          <w:tcPr>
            <w:tcW w:w="2330" w:type="pct"/>
          </w:tcPr>
          <w:p w:rsidR="00B27C79" w:rsidRPr="008057D9" w:rsidRDefault="00B27C79" w:rsidP="004B52FA">
            <w:pPr>
              <w:jc w:val="both"/>
              <w:rPr>
                <w:rFonts w:eastAsia="Calibri"/>
                <w:sz w:val="20"/>
                <w:lang w:val="fr-CA"/>
              </w:rPr>
            </w:pPr>
            <w:r w:rsidRPr="008057D9">
              <w:rPr>
                <w:rFonts w:eastAsia="Calibri"/>
                <w:sz w:val="20"/>
                <w:lang w:val="fr-CA"/>
              </w:rPr>
              <w:t>Rejet de la motion de l’intimée en suspension de l’instance</w:t>
            </w:r>
          </w:p>
          <w:p w:rsidR="00B27C79" w:rsidRPr="008057D9" w:rsidRDefault="00B27C79" w:rsidP="004B52FA">
            <w:pPr>
              <w:jc w:val="both"/>
              <w:rPr>
                <w:rFonts w:eastAsia="Calibri"/>
                <w:sz w:val="20"/>
                <w:lang w:val="fr-CA"/>
              </w:rPr>
            </w:pPr>
          </w:p>
        </w:tc>
      </w:tr>
      <w:tr w:rsidR="00B27C79" w:rsidRPr="00EC49A7" w:rsidTr="004B52FA">
        <w:tc>
          <w:tcPr>
            <w:tcW w:w="2427" w:type="pct"/>
          </w:tcPr>
          <w:p w:rsidR="00B27C79" w:rsidRPr="008057D9" w:rsidRDefault="00B27C79" w:rsidP="004B52FA">
            <w:pPr>
              <w:jc w:val="both"/>
              <w:rPr>
                <w:rFonts w:eastAsia="Calibri"/>
                <w:sz w:val="20"/>
                <w:lang w:val="fr-CA"/>
              </w:rPr>
            </w:pPr>
            <w:r w:rsidRPr="008057D9">
              <w:rPr>
                <w:rFonts w:eastAsia="Calibri"/>
                <w:sz w:val="20"/>
                <w:lang w:val="fr-CA"/>
              </w:rPr>
              <w:t>14 août 2014</w:t>
            </w:r>
          </w:p>
          <w:p w:rsidR="00B27C79" w:rsidRPr="008057D9" w:rsidRDefault="00B27C79" w:rsidP="004B52FA">
            <w:pPr>
              <w:jc w:val="both"/>
              <w:rPr>
                <w:rFonts w:eastAsia="Calibri"/>
                <w:sz w:val="20"/>
                <w:lang w:val="fr-CA"/>
              </w:rPr>
            </w:pPr>
            <w:r w:rsidRPr="008057D9">
              <w:rPr>
                <w:rFonts w:eastAsia="Calibri"/>
                <w:sz w:val="20"/>
                <w:lang w:val="fr-CA"/>
              </w:rPr>
              <w:t>Cour d’appel de l’Ontario</w:t>
            </w:r>
          </w:p>
          <w:p w:rsidR="00B27C79" w:rsidRPr="008057D9" w:rsidRDefault="00B27C79" w:rsidP="004B52FA">
            <w:pPr>
              <w:jc w:val="both"/>
              <w:rPr>
                <w:rFonts w:eastAsia="Calibri"/>
                <w:sz w:val="20"/>
                <w:lang w:val="fr-CA"/>
              </w:rPr>
            </w:pPr>
            <w:r w:rsidRPr="008057D9">
              <w:rPr>
                <w:rFonts w:eastAsia="Calibri"/>
                <w:sz w:val="20"/>
                <w:lang w:val="fr-CA"/>
              </w:rPr>
              <w:t>(Juges Sharpe, Simmons et Benotto)</w:t>
            </w:r>
          </w:p>
          <w:p w:rsidR="00B27C79" w:rsidRPr="008057D9" w:rsidRDefault="00173D9D" w:rsidP="004B52FA">
            <w:pPr>
              <w:jc w:val="both"/>
              <w:rPr>
                <w:rFonts w:eastAsia="Calibri"/>
                <w:sz w:val="20"/>
                <w:lang w:val="fr-CA"/>
              </w:rPr>
            </w:pPr>
            <w:hyperlink r:id="rId32" w:history="1">
              <w:r w:rsidR="00B27C79" w:rsidRPr="008057D9">
                <w:rPr>
                  <w:rFonts w:eastAsia="Calibri"/>
                  <w:color w:val="0000FF"/>
                  <w:sz w:val="20"/>
                  <w:u w:val="single"/>
                  <w:lang w:val="fr-CA"/>
                </w:rPr>
                <w:t>2014 ONCA 580</w:t>
              </w:r>
            </w:hyperlink>
          </w:p>
          <w:p w:rsidR="00B27C79" w:rsidRPr="008057D9" w:rsidRDefault="00B27C79" w:rsidP="004B52FA">
            <w:pPr>
              <w:jc w:val="both"/>
              <w:rPr>
                <w:rFonts w:eastAsia="Calibri"/>
                <w:sz w:val="20"/>
                <w:lang w:val="fr-CA"/>
              </w:rPr>
            </w:pPr>
          </w:p>
        </w:tc>
        <w:tc>
          <w:tcPr>
            <w:tcW w:w="243" w:type="pct"/>
          </w:tcPr>
          <w:p w:rsidR="00B27C79" w:rsidRPr="008057D9" w:rsidRDefault="00B27C79" w:rsidP="004B52FA">
            <w:pPr>
              <w:jc w:val="both"/>
              <w:rPr>
                <w:rFonts w:eastAsia="Calibri"/>
                <w:sz w:val="20"/>
                <w:lang w:val="fr-CA"/>
              </w:rPr>
            </w:pPr>
          </w:p>
        </w:tc>
        <w:tc>
          <w:tcPr>
            <w:tcW w:w="2330" w:type="pct"/>
          </w:tcPr>
          <w:p w:rsidR="00B27C79" w:rsidRPr="008057D9" w:rsidRDefault="00B27C79" w:rsidP="004B52FA">
            <w:pPr>
              <w:jc w:val="both"/>
              <w:rPr>
                <w:rFonts w:eastAsia="Calibri"/>
                <w:sz w:val="20"/>
                <w:lang w:val="fr-CA"/>
              </w:rPr>
            </w:pPr>
            <w:r w:rsidRPr="008057D9">
              <w:rPr>
                <w:rFonts w:eastAsia="Calibri"/>
                <w:sz w:val="20"/>
                <w:lang w:val="fr-CA"/>
              </w:rPr>
              <w:t>Arrêt accueillant l’appel; suspension de l’instance</w:t>
            </w:r>
          </w:p>
          <w:p w:rsidR="00B27C79" w:rsidRPr="008057D9" w:rsidRDefault="00B27C79" w:rsidP="004B52FA">
            <w:pPr>
              <w:jc w:val="both"/>
              <w:rPr>
                <w:rFonts w:eastAsia="Calibri"/>
                <w:sz w:val="20"/>
                <w:lang w:val="fr-CA"/>
              </w:rPr>
            </w:pPr>
          </w:p>
        </w:tc>
      </w:tr>
      <w:tr w:rsidR="00B27C79" w:rsidRPr="00EC49A7" w:rsidTr="004B52FA">
        <w:tc>
          <w:tcPr>
            <w:tcW w:w="2427" w:type="pct"/>
          </w:tcPr>
          <w:p w:rsidR="00B27C79" w:rsidRPr="008057D9" w:rsidRDefault="00B27C79" w:rsidP="004B52FA">
            <w:pPr>
              <w:jc w:val="both"/>
              <w:rPr>
                <w:rFonts w:eastAsia="Calibri"/>
                <w:sz w:val="20"/>
                <w:lang w:val="fr-CA"/>
              </w:rPr>
            </w:pPr>
            <w:r w:rsidRPr="008057D9">
              <w:rPr>
                <w:rFonts w:eastAsia="Calibri"/>
                <w:sz w:val="20"/>
                <w:lang w:val="fr-CA"/>
              </w:rPr>
              <w:t>14 octobre 2014</w:t>
            </w:r>
          </w:p>
          <w:p w:rsidR="00B27C79" w:rsidRPr="008057D9" w:rsidRDefault="00B27C79" w:rsidP="004B52FA">
            <w:pPr>
              <w:jc w:val="both"/>
              <w:rPr>
                <w:rFonts w:eastAsia="Calibri"/>
                <w:sz w:val="20"/>
                <w:lang w:val="fr-CA"/>
              </w:rPr>
            </w:pPr>
            <w:r w:rsidRPr="008057D9">
              <w:rPr>
                <w:rFonts w:eastAsia="Calibri"/>
                <w:sz w:val="20"/>
                <w:lang w:val="fr-CA"/>
              </w:rPr>
              <w:t>Cour suprême du Canada</w:t>
            </w:r>
          </w:p>
        </w:tc>
        <w:tc>
          <w:tcPr>
            <w:tcW w:w="243" w:type="pct"/>
          </w:tcPr>
          <w:p w:rsidR="00B27C79" w:rsidRPr="008057D9" w:rsidRDefault="00B27C79" w:rsidP="004B52FA">
            <w:pPr>
              <w:jc w:val="both"/>
              <w:rPr>
                <w:rFonts w:eastAsia="Calibri"/>
                <w:sz w:val="20"/>
                <w:lang w:val="fr-CA"/>
              </w:rPr>
            </w:pPr>
          </w:p>
        </w:tc>
        <w:tc>
          <w:tcPr>
            <w:tcW w:w="2330" w:type="pct"/>
          </w:tcPr>
          <w:p w:rsidR="00B27C79" w:rsidRPr="008057D9" w:rsidRDefault="00B27C79" w:rsidP="004B52FA">
            <w:pPr>
              <w:jc w:val="both"/>
              <w:rPr>
                <w:rFonts w:eastAsia="Calibri"/>
                <w:sz w:val="20"/>
                <w:lang w:val="fr-CA"/>
              </w:rPr>
            </w:pPr>
            <w:r w:rsidRPr="008057D9">
              <w:rPr>
                <w:rFonts w:eastAsia="Calibri"/>
                <w:sz w:val="20"/>
                <w:lang w:val="fr-CA"/>
              </w:rPr>
              <w:t>Dépôt de la demande d’autorisation d’appel</w:t>
            </w:r>
          </w:p>
          <w:p w:rsidR="00B27C79" w:rsidRPr="008057D9" w:rsidRDefault="00B27C79" w:rsidP="004B52FA">
            <w:pPr>
              <w:jc w:val="both"/>
              <w:rPr>
                <w:rFonts w:eastAsia="Calibri"/>
                <w:sz w:val="20"/>
                <w:lang w:val="fr-CA"/>
              </w:rPr>
            </w:pPr>
          </w:p>
        </w:tc>
      </w:tr>
    </w:tbl>
    <w:p w:rsidR="003977D9" w:rsidRPr="00B27C79" w:rsidRDefault="003977D9" w:rsidP="003977D9">
      <w:pPr>
        <w:rPr>
          <w:sz w:val="20"/>
          <w:szCs w:val="20"/>
          <w:lang w:val="fr-CA"/>
        </w:rPr>
      </w:pPr>
    </w:p>
    <w:p w:rsidR="003977D9" w:rsidRDefault="00173D9D" w:rsidP="003977D9">
      <w:pPr>
        <w:rPr>
          <w:sz w:val="20"/>
          <w:szCs w:val="20"/>
          <w:lang w:val="fr-CA"/>
        </w:rPr>
      </w:pPr>
      <w:r>
        <w:rPr>
          <w:sz w:val="20"/>
          <w:szCs w:val="20"/>
          <w:lang w:val="fr-CA"/>
        </w:rPr>
        <w:pict>
          <v:rect id="_x0000_i1041" style="width:2in;height:1pt" o:hrpct="0" o:hralign="center" o:hrstd="t" o:hrnoshade="t" o:hr="t" fillcolor="black [3213]" stroked="f"/>
        </w:pict>
      </w:r>
    </w:p>
    <w:p w:rsidR="003977D9" w:rsidRDefault="003977D9" w:rsidP="003977D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1F56" w:rsidRPr="00032B5D" w:rsidTr="00574799">
        <w:trPr>
          <w:cantSplit/>
        </w:trPr>
        <w:tc>
          <w:tcPr>
            <w:tcW w:w="1458" w:type="dxa"/>
          </w:tcPr>
          <w:p w:rsidR="00481F56" w:rsidRPr="00032B5D" w:rsidRDefault="00481F56" w:rsidP="00574799">
            <w:pPr>
              <w:rPr>
                <w:sz w:val="20"/>
                <w:szCs w:val="20"/>
              </w:rPr>
            </w:pPr>
            <w:r w:rsidRPr="00032B5D">
              <w:rPr>
                <w:rStyle w:val="SCCFileNumberChar"/>
                <w:sz w:val="20"/>
                <w:szCs w:val="20"/>
              </w:rPr>
              <w:lastRenderedPageBreak/>
              <w:t>36140</w:t>
            </w:r>
          </w:p>
          <w:p w:rsidR="00481F56" w:rsidRPr="00032B5D" w:rsidRDefault="00481F56" w:rsidP="00574799">
            <w:pPr>
              <w:rPr>
                <w:b/>
                <w:sz w:val="20"/>
                <w:szCs w:val="20"/>
                <w:lang w:val="fr-CA"/>
              </w:rPr>
            </w:pPr>
          </w:p>
        </w:tc>
        <w:tc>
          <w:tcPr>
            <w:tcW w:w="8118" w:type="dxa"/>
          </w:tcPr>
          <w:p w:rsidR="00481F56" w:rsidRPr="00032B5D" w:rsidRDefault="00481F56" w:rsidP="00574799">
            <w:pPr>
              <w:jc w:val="both"/>
              <w:rPr>
                <w:sz w:val="20"/>
                <w:szCs w:val="20"/>
              </w:rPr>
            </w:pPr>
            <w:r w:rsidRPr="00481F56">
              <w:rPr>
                <w:rStyle w:val="SCCLsocChar"/>
                <w:sz w:val="20"/>
                <w:szCs w:val="20"/>
                <w:lang w:val="en-CA"/>
              </w:rPr>
              <w:t>Alberta Securities Commission v. Gayle Marie Walton AND BETWEEN Alberta Securities Commission v. John Herbert Holtby AND BETWEEN Alberta Securities Commission v. Kenneth Michael Burdeyney AND BETWEEN Alberta Securities Commission v. Randall George Kowalchuk AND BETWEEN Alberta Securities Commission v. John Jacob Shepert</w:t>
            </w:r>
            <w:r w:rsidRPr="00032B5D">
              <w:rPr>
                <w:sz w:val="20"/>
                <w:szCs w:val="20"/>
              </w:rPr>
              <w:t xml:space="preserve"> (Alta.) (Civil) (By Leave)</w:t>
            </w:r>
          </w:p>
          <w:p w:rsidR="00481F56" w:rsidRPr="00032B5D" w:rsidRDefault="00481F56" w:rsidP="00574799">
            <w:pPr>
              <w:jc w:val="both"/>
              <w:rPr>
                <w:sz w:val="20"/>
                <w:szCs w:val="20"/>
              </w:rPr>
            </w:pPr>
          </w:p>
        </w:tc>
      </w:tr>
      <w:tr w:rsidR="00481F56" w:rsidRPr="00032B5D" w:rsidTr="00574799">
        <w:trPr>
          <w:cantSplit/>
        </w:trPr>
        <w:tc>
          <w:tcPr>
            <w:tcW w:w="1458" w:type="dxa"/>
          </w:tcPr>
          <w:p w:rsidR="00481F56" w:rsidRPr="00032B5D" w:rsidRDefault="00481F56" w:rsidP="00574799">
            <w:pPr>
              <w:rPr>
                <w:sz w:val="20"/>
                <w:szCs w:val="20"/>
              </w:rPr>
            </w:pPr>
            <w:r w:rsidRPr="00032B5D">
              <w:rPr>
                <w:sz w:val="20"/>
                <w:szCs w:val="20"/>
              </w:rPr>
              <w:t>Coram :</w:t>
            </w:r>
          </w:p>
        </w:tc>
        <w:tc>
          <w:tcPr>
            <w:tcW w:w="8118" w:type="dxa"/>
          </w:tcPr>
          <w:p w:rsidR="00481F56" w:rsidRPr="00032B5D" w:rsidRDefault="00481F56" w:rsidP="00574799">
            <w:pPr>
              <w:rPr>
                <w:sz w:val="20"/>
                <w:szCs w:val="20"/>
              </w:rPr>
            </w:pPr>
            <w:r w:rsidRPr="00481F56">
              <w:rPr>
                <w:rStyle w:val="SCCCoramChar"/>
                <w:sz w:val="20"/>
                <w:szCs w:val="20"/>
                <w:lang w:val="en-CA"/>
              </w:rPr>
              <w:t>McLachlin C.J. and Wagner and Gascon JJ.</w:t>
            </w:r>
          </w:p>
          <w:p w:rsidR="00481F56" w:rsidRPr="00032B5D" w:rsidRDefault="00481F56" w:rsidP="00574799">
            <w:pPr>
              <w:rPr>
                <w:sz w:val="20"/>
                <w:szCs w:val="20"/>
                <w:u w:val="single"/>
              </w:rPr>
            </w:pPr>
          </w:p>
        </w:tc>
      </w:tr>
      <w:tr w:rsidR="00481F56" w:rsidRPr="00EC49A7" w:rsidTr="00574799">
        <w:trPr>
          <w:cantSplit/>
        </w:trPr>
        <w:tc>
          <w:tcPr>
            <w:tcW w:w="9576" w:type="dxa"/>
            <w:gridSpan w:val="2"/>
          </w:tcPr>
          <w:p w:rsidR="00481F56" w:rsidRPr="00032B5D" w:rsidRDefault="00481F56" w:rsidP="00574799">
            <w:pPr>
              <w:pStyle w:val="SCCShortJudgment"/>
              <w:rPr>
                <w:szCs w:val="20"/>
              </w:rPr>
            </w:pPr>
            <w:r w:rsidRPr="00032B5D">
              <w:rPr>
                <w:szCs w:val="20"/>
              </w:rPr>
              <w:t>The application for leave to appeal from the judgment of the Court of Appeal of Alberta (Calgary), Numbers 1301-0201-AC, 1301-0207-AC, 1301-0209-AC, 1301-0210-AC, and 1301-0253-AC, 2014 ABCA 273, dated August 29, 2014, is dismissed with costs to the respondents Gayle Marie Walton, John Herbert Holtby, Kenneth Michael Burdeyney and John Jacob Shepert.</w:t>
            </w:r>
          </w:p>
          <w:p w:rsidR="00481F56" w:rsidRPr="00032B5D" w:rsidRDefault="00481F56" w:rsidP="00574799">
            <w:pPr>
              <w:pStyle w:val="SCCShortJudgment"/>
              <w:ind w:firstLine="0"/>
              <w:rPr>
                <w:szCs w:val="20"/>
              </w:rPr>
            </w:pPr>
          </w:p>
          <w:p w:rsidR="00481F56" w:rsidRPr="00032B5D" w:rsidRDefault="00481F56" w:rsidP="00225C96">
            <w:pPr>
              <w:pStyle w:val="SCCShortJudgment"/>
              <w:rPr>
                <w:szCs w:val="20"/>
                <w:lang w:val="fr-CA"/>
              </w:rPr>
            </w:pPr>
            <w:r w:rsidRPr="00032B5D">
              <w:rPr>
                <w:szCs w:val="20"/>
                <w:lang w:val="fr-CA"/>
              </w:rPr>
              <w:t>La demande d’autorisation d’appel de l’arrêt de la Cour d'appel de l’Alberta (Calgary), numéros 1301-0201-AC, 1301-0207-AC, 1301-0209-AC, 1301-0210-AC, et 1301-0253-AC, 2014 ABCA 273, daté du 29 août 2014, est rejetée avec dépens en faveur des intimés Gayle Marie Walton, John Herbert Holtby, Kenneth Michael Burdeyney et John Jacob Shepert.</w:t>
            </w:r>
          </w:p>
        </w:tc>
      </w:tr>
    </w:tbl>
    <w:p w:rsidR="003977D9" w:rsidRPr="00481F56" w:rsidRDefault="003977D9" w:rsidP="003977D9">
      <w:pPr>
        <w:rPr>
          <w:sz w:val="20"/>
          <w:szCs w:val="20"/>
          <w:lang w:val="fr-CA"/>
        </w:rPr>
      </w:pPr>
    </w:p>
    <w:p w:rsidR="003977D9" w:rsidRPr="001B157C" w:rsidRDefault="003977D9" w:rsidP="003977D9">
      <w:pPr>
        <w:rPr>
          <w:sz w:val="20"/>
          <w:szCs w:val="20"/>
          <w:u w:val="single"/>
        </w:rPr>
      </w:pPr>
      <w:r w:rsidRPr="001B157C">
        <w:rPr>
          <w:sz w:val="20"/>
          <w:szCs w:val="20"/>
          <w:u w:val="single"/>
        </w:rPr>
        <w:t>CASE SUMMARY</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3E52" w:rsidRPr="008057D9" w:rsidTr="004B52FA">
        <w:tc>
          <w:tcPr>
            <w:tcW w:w="5000" w:type="pct"/>
            <w:gridSpan w:val="3"/>
          </w:tcPr>
          <w:p w:rsidR="00BC3E52" w:rsidRPr="008057D9" w:rsidRDefault="00BC3E52" w:rsidP="004B52FA">
            <w:pPr>
              <w:jc w:val="both"/>
              <w:rPr>
                <w:rFonts w:eastAsia="Calibri"/>
                <w:sz w:val="20"/>
              </w:rPr>
            </w:pPr>
            <w:r w:rsidRPr="008057D9">
              <w:rPr>
                <w:rFonts w:eastAsia="Calibri"/>
                <w:sz w:val="20"/>
              </w:rPr>
              <w:t xml:space="preserve">Administrative law — Appeals — Standard of review — Alberta Securities Commission — Commission finding respondents contravened Alberta’s securities laws — Commission ordering sanctions — Court of Appeal allowing appeals in part — What standard of proof applies in Canada to find that an individual has breached insider trading, tipping or encouraging laws? What evidence is required to prove illegal insider trading, tipping, or encouraging under provincial and territorial securities laws? How is deferential standard of review to be applied in practice? What principles and objectives should inform provincial and territorial commissions across Canada in assessing sanctions — </w:t>
            </w:r>
            <w:r w:rsidRPr="008057D9">
              <w:rPr>
                <w:rFonts w:eastAsia="Calibri"/>
                <w:i/>
                <w:sz w:val="20"/>
              </w:rPr>
              <w:t>Securities Act</w:t>
            </w:r>
            <w:r w:rsidRPr="008057D9">
              <w:rPr>
                <w:rFonts w:eastAsia="Calibri"/>
                <w:sz w:val="20"/>
              </w:rPr>
              <w:t xml:space="preserve">, R.S.A. 2000, c. S-4.  </w:t>
            </w:r>
          </w:p>
        </w:tc>
      </w:tr>
      <w:tr w:rsidR="00BC3E52" w:rsidRPr="008057D9" w:rsidTr="004B52FA">
        <w:tc>
          <w:tcPr>
            <w:tcW w:w="5000" w:type="pct"/>
            <w:gridSpan w:val="3"/>
          </w:tcPr>
          <w:p w:rsidR="00BC3E52" w:rsidRPr="008057D9" w:rsidRDefault="00BC3E52" w:rsidP="004B52FA">
            <w:pPr>
              <w:jc w:val="both"/>
              <w:rPr>
                <w:rFonts w:eastAsia="Calibri"/>
                <w:sz w:val="20"/>
              </w:rPr>
            </w:pPr>
          </w:p>
        </w:tc>
      </w:tr>
      <w:tr w:rsidR="00BC3E52" w:rsidRPr="008057D9" w:rsidTr="004B52FA">
        <w:tc>
          <w:tcPr>
            <w:tcW w:w="5000" w:type="pct"/>
            <w:gridSpan w:val="3"/>
          </w:tcPr>
          <w:p w:rsidR="00BC3E52" w:rsidRPr="008057D9" w:rsidRDefault="00BC3E52" w:rsidP="004B52FA">
            <w:pPr>
              <w:jc w:val="both"/>
              <w:rPr>
                <w:rFonts w:eastAsia="Calibri"/>
                <w:sz w:val="20"/>
                <w:lang w:eastAsia="en-CA"/>
              </w:rPr>
            </w:pPr>
            <w:r w:rsidRPr="008057D9">
              <w:rPr>
                <w:rFonts w:eastAsia="Calibri"/>
                <w:sz w:val="20"/>
              </w:rPr>
              <w:t>The Alberta Securities Commission found the respondents (and others) contravened Alberta securities law and found them liable for breaches including insider trading and other various types of improper conduct under the</w:t>
            </w:r>
            <w:r w:rsidRPr="008057D9">
              <w:rPr>
                <w:rFonts w:eastAsia="Calibri"/>
                <w:i/>
                <w:sz w:val="20"/>
              </w:rPr>
              <w:t xml:space="preserve"> Securities Act</w:t>
            </w:r>
            <w:r w:rsidRPr="008057D9">
              <w:rPr>
                <w:rFonts w:eastAsia="Calibri"/>
                <w:sz w:val="20"/>
              </w:rPr>
              <w:t xml:space="preserve">, R.S.A. 2000, c. S-4, with respect to the shares of Eveready Inc.  The Commission imposed sanctions. The respondents appealed the findings as well as the sanctions. </w:t>
            </w:r>
          </w:p>
          <w:p w:rsidR="00BC3E52" w:rsidRPr="008057D9" w:rsidRDefault="00BC3E52" w:rsidP="004B52FA">
            <w:pPr>
              <w:jc w:val="both"/>
              <w:rPr>
                <w:rFonts w:eastAsia="Calibri"/>
                <w:sz w:val="20"/>
              </w:rPr>
            </w:pPr>
          </w:p>
          <w:p w:rsidR="00BC3E52" w:rsidRPr="008057D9" w:rsidRDefault="00BC3E52" w:rsidP="004B52FA">
            <w:pPr>
              <w:jc w:val="both"/>
              <w:rPr>
                <w:rFonts w:eastAsia="Calibri"/>
                <w:sz w:val="20"/>
              </w:rPr>
            </w:pPr>
            <w:r w:rsidRPr="008057D9">
              <w:rPr>
                <w:rFonts w:eastAsia="Calibri"/>
                <w:sz w:val="20"/>
              </w:rPr>
              <w:t xml:space="preserve">At the Court of Appeal, all of the appeals were allowed except for the appeal by Mr. Holtby which was allowed in part and the appeal of Mr. Kowalchuk was dismissed.  The appeals of Mr. Holtby and Mr. Kowalchuk from the sanction decision was also allowed and remitted back to the Commission to be reconsidered.   </w:t>
            </w: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February 11, 2013</w:t>
            </w:r>
          </w:p>
          <w:p w:rsidR="00BC3E52" w:rsidRPr="008057D9" w:rsidRDefault="00BC3E52" w:rsidP="004B52FA">
            <w:pPr>
              <w:jc w:val="both"/>
              <w:rPr>
                <w:rFonts w:eastAsia="Calibri"/>
                <w:sz w:val="20"/>
              </w:rPr>
            </w:pPr>
            <w:r w:rsidRPr="008057D9">
              <w:rPr>
                <w:rFonts w:eastAsia="Calibri"/>
                <w:sz w:val="20"/>
              </w:rPr>
              <w:t>Alberta Securities Commission</w:t>
            </w:r>
          </w:p>
          <w:p w:rsidR="00BC3E52" w:rsidRPr="008057D9" w:rsidRDefault="00BC3E52" w:rsidP="004B52FA">
            <w:pPr>
              <w:jc w:val="both"/>
              <w:rPr>
                <w:rFonts w:eastAsia="Calibri"/>
                <w:sz w:val="20"/>
              </w:rPr>
            </w:pPr>
            <w:r w:rsidRPr="008057D9">
              <w:rPr>
                <w:rFonts w:eastAsia="Calibri"/>
                <w:sz w:val="20"/>
              </w:rPr>
              <w:t xml:space="preserve">(Glenda A. Campbell, Q.C., Richard A. Shaw, </w:t>
            </w:r>
          </w:p>
          <w:p w:rsidR="00BC3E52" w:rsidRPr="008057D9" w:rsidRDefault="00BC3E52" w:rsidP="004B52FA">
            <w:pPr>
              <w:jc w:val="both"/>
              <w:rPr>
                <w:rFonts w:eastAsia="Calibri"/>
                <w:sz w:val="20"/>
              </w:rPr>
            </w:pPr>
            <w:r w:rsidRPr="008057D9">
              <w:rPr>
                <w:rFonts w:eastAsia="Calibri"/>
                <w:sz w:val="20"/>
              </w:rPr>
              <w:t xml:space="preserve">Q.C., and Fred R.N. Snell, FCA) </w:t>
            </w:r>
          </w:p>
          <w:p w:rsidR="00BC3E52" w:rsidRPr="008057D9" w:rsidRDefault="00173D9D" w:rsidP="004B52FA">
            <w:pPr>
              <w:jc w:val="both"/>
              <w:rPr>
                <w:rFonts w:eastAsia="Calibri"/>
                <w:sz w:val="20"/>
              </w:rPr>
            </w:pPr>
            <w:hyperlink r:id="rId33" w:history="1">
              <w:r w:rsidR="00BC3E52" w:rsidRPr="008057D9">
                <w:rPr>
                  <w:rFonts w:eastAsia="Calibri"/>
                  <w:color w:val="0000FF"/>
                  <w:sz w:val="20"/>
                  <w:u w:val="single"/>
                </w:rPr>
                <w:t>2013 ABASC 45</w:t>
              </w:r>
            </w:hyperlink>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 xml:space="preserve">Respondents found to have contravened Alberta securities law and found liable for insider trading and other various types of improper conduct with respect to the shares of Eveready Inc. </w:t>
            </w: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June 27, 2013</w:t>
            </w:r>
          </w:p>
          <w:p w:rsidR="00BC3E52" w:rsidRPr="008057D9" w:rsidRDefault="00BC3E52" w:rsidP="004B52FA">
            <w:pPr>
              <w:jc w:val="both"/>
              <w:rPr>
                <w:rFonts w:eastAsia="Calibri"/>
                <w:sz w:val="20"/>
              </w:rPr>
            </w:pPr>
            <w:r w:rsidRPr="008057D9">
              <w:rPr>
                <w:rFonts w:eastAsia="Calibri"/>
                <w:sz w:val="20"/>
              </w:rPr>
              <w:t>Alberta Securities Commission</w:t>
            </w:r>
          </w:p>
          <w:p w:rsidR="00BC3E52" w:rsidRPr="008057D9" w:rsidRDefault="00BC3E52" w:rsidP="004B52FA">
            <w:pPr>
              <w:jc w:val="both"/>
              <w:rPr>
                <w:rFonts w:eastAsia="Calibri"/>
                <w:sz w:val="20"/>
              </w:rPr>
            </w:pPr>
            <w:r w:rsidRPr="008057D9">
              <w:rPr>
                <w:rFonts w:eastAsia="Calibri"/>
                <w:sz w:val="20"/>
              </w:rPr>
              <w:t xml:space="preserve">(Glenda A. Campbell, Q.C., Richard A. Shaw, </w:t>
            </w:r>
          </w:p>
          <w:p w:rsidR="00BC3E52" w:rsidRPr="008057D9" w:rsidRDefault="00BC3E52" w:rsidP="004B52FA">
            <w:pPr>
              <w:jc w:val="both"/>
              <w:rPr>
                <w:rFonts w:eastAsia="Calibri"/>
                <w:sz w:val="20"/>
              </w:rPr>
            </w:pPr>
            <w:r w:rsidRPr="008057D9">
              <w:rPr>
                <w:rFonts w:eastAsia="Calibri"/>
                <w:sz w:val="20"/>
              </w:rPr>
              <w:t>Q.C., and Fred R.N. Snell, FCA)</w:t>
            </w:r>
          </w:p>
          <w:p w:rsidR="00BC3E52" w:rsidRPr="008057D9" w:rsidRDefault="00173D9D" w:rsidP="004B52FA">
            <w:pPr>
              <w:jc w:val="both"/>
              <w:rPr>
                <w:rFonts w:eastAsia="Calibri"/>
                <w:sz w:val="20"/>
              </w:rPr>
            </w:pPr>
            <w:hyperlink r:id="rId34" w:history="1">
              <w:r w:rsidR="00BC3E52" w:rsidRPr="008057D9">
                <w:rPr>
                  <w:rFonts w:eastAsia="Calibri"/>
                  <w:color w:val="0000FF"/>
                  <w:sz w:val="20"/>
                  <w:u w:val="single"/>
                </w:rPr>
                <w:t>2013 ABASC 273</w:t>
              </w:r>
            </w:hyperlink>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Sanctions and costs ordered against respondents.</w:t>
            </w:r>
          </w:p>
        </w:tc>
      </w:tr>
      <w:tr w:rsidR="00BC3E52" w:rsidRPr="008057D9" w:rsidTr="00481F56">
        <w:trPr>
          <w:cantSplit/>
        </w:trPr>
        <w:tc>
          <w:tcPr>
            <w:tcW w:w="2427" w:type="pct"/>
          </w:tcPr>
          <w:p w:rsidR="00BC3E52" w:rsidRPr="008057D9" w:rsidRDefault="00BC3E52" w:rsidP="004B52FA">
            <w:pPr>
              <w:jc w:val="both"/>
              <w:rPr>
                <w:rFonts w:eastAsia="Calibri"/>
                <w:sz w:val="20"/>
              </w:rPr>
            </w:pPr>
            <w:r w:rsidRPr="008057D9">
              <w:rPr>
                <w:rFonts w:eastAsia="Calibri"/>
                <w:sz w:val="20"/>
              </w:rPr>
              <w:lastRenderedPageBreak/>
              <w:t>August 29, 2014</w:t>
            </w:r>
          </w:p>
          <w:p w:rsidR="00BC3E52" w:rsidRPr="008057D9" w:rsidRDefault="00BC3E52" w:rsidP="004B52FA">
            <w:pPr>
              <w:jc w:val="both"/>
              <w:rPr>
                <w:rFonts w:eastAsia="Calibri"/>
                <w:sz w:val="20"/>
              </w:rPr>
            </w:pPr>
            <w:r w:rsidRPr="008057D9">
              <w:rPr>
                <w:rFonts w:eastAsia="Calibri"/>
                <w:sz w:val="20"/>
              </w:rPr>
              <w:t>Court of Appeal of Alberta (Calgary)</w:t>
            </w:r>
          </w:p>
          <w:p w:rsidR="00BC3E52" w:rsidRPr="008057D9" w:rsidRDefault="00BC3E52" w:rsidP="004B52FA">
            <w:pPr>
              <w:jc w:val="both"/>
              <w:rPr>
                <w:rFonts w:eastAsia="Calibri"/>
                <w:sz w:val="20"/>
              </w:rPr>
            </w:pPr>
            <w:r w:rsidRPr="008057D9">
              <w:rPr>
                <w:rFonts w:eastAsia="Calibri"/>
                <w:sz w:val="20"/>
              </w:rPr>
              <w:t>(Martin, Slatter and Nation JJ.A.)</w:t>
            </w:r>
          </w:p>
          <w:p w:rsidR="00BC3E52" w:rsidRPr="008057D9" w:rsidRDefault="00173D9D" w:rsidP="004B52FA">
            <w:pPr>
              <w:jc w:val="both"/>
              <w:rPr>
                <w:rFonts w:eastAsia="Calibri"/>
                <w:sz w:val="20"/>
              </w:rPr>
            </w:pPr>
            <w:hyperlink r:id="rId35" w:history="1">
              <w:r w:rsidR="00BC3E52" w:rsidRPr="008057D9">
                <w:rPr>
                  <w:rFonts w:eastAsia="Calibri"/>
                  <w:color w:val="0000FF"/>
                  <w:sz w:val="20"/>
                  <w:u w:val="single"/>
                </w:rPr>
                <w:t>2014 ABCA 273</w:t>
              </w:r>
            </w:hyperlink>
          </w:p>
          <w:p w:rsidR="00BC3E52" w:rsidRPr="008057D9" w:rsidRDefault="00BC3E52" w:rsidP="004B52FA">
            <w:pPr>
              <w:jc w:val="both"/>
              <w:rPr>
                <w:rFonts w:eastAsia="Calibri"/>
                <w:sz w:val="20"/>
              </w:rPr>
            </w:pPr>
            <w:r w:rsidRPr="008057D9">
              <w:rPr>
                <w:rFonts w:eastAsia="Calibri"/>
                <w:sz w:val="20"/>
              </w:rPr>
              <w:t>File Nos: 1301-0201-AC; 1301-0207-AC; 1301-0209-AC; 1301-0210-AC and 1301-0253-AC.</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 xml:space="preserve">Appeals of Shepert, Burdeyney and Walton allowed and findings of culpability and sanctions against them set aside; Appeal of Holtby from merits decision allowed in part; Appeal of Kowalchuk from merits decision dismissed; Appeals of Kowalchuk and Holtby from Sanction decision allowed and issue remitted back to Commission.  </w:t>
            </w:r>
          </w:p>
          <w:p w:rsidR="00BC3E52" w:rsidRPr="008057D9" w:rsidRDefault="00BC3E52" w:rsidP="004B52FA">
            <w:pPr>
              <w:jc w:val="both"/>
              <w:rPr>
                <w:rFonts w:eastAsia="Calibri"/>
                <w:sz w:val="20"/>
              </w:rPr>
            </w:pPr>
          </w:p>
        </w:tc>
      </w:tr>
      <w:tr w:rsidR="00BC3E52" w:rsidRPr="008057D9" w:rsidTr="00481F56">
        <w:trPr>
          <w:cantSplit/>
        </w:trPr>
        <w:tc>
          <w:tcPr>
            <w:tcW w:w="2427" w:type="pct"/>
          </w:tcPr>
          <w:p w:rsidR="00BC3E52" w:rsidRPr="008057D9" w:rsidRDefault="00BC3E52" w:rsidP="004B52FA">
            <w:pPr>
              <w:jc w:val="both"/>
              <w:rPr>
                <w:rFonts w:eastAsia="Calibri"/>
                <w:sz w:val="20"/>
              </w:rPr>
            </w:pPr>
            <w:r w:rsidRPr="008057D9">
              <w:rPr>
                <w:rFonts w:eastAsia="Calibri"/>
                <w:sz w:val="20"/>
              </w:rPr>
              <w:t>December 19, 2014</w:t>
            </w:r>
          </w:p>
          <w:p w:rsidR="00BC3E52" w:rsidRPr="008057D9" w:rsidRDefault="00BC3E52" w:rsidP="004B52FA">
            <w:pPr>
              <w:jc w:val="both"/>
              <w:rPr>
                <w:rFonts w:eastAsia="Calibri"/>
                <w:sz w:val="20"/>
              </w:rPr>
            </w:pPr>
            <w:r w:rsidRPr="008057D9">
              <w:rPr>
                <w:rFonts w:eastAsia="Calibri"/>
                <w:sz w:val="20"/>
              </w:rPr>
              <w:t>Court of Appeal of Alberta (Calgary)</w:t>
            </w:r>
          </w:p>
          <w:p w:rsidR="00BC3E52" w:rsidRPr="008057D9" w:rsidRDefault="00BC3E52" w:rsidP="004B52FA">
            <w:pPr>
              <w:jc w:val="both"/>
              <w:rPr>
                <w:rFonts w:eastAsia="Calibri"/>
                <w:sz w:val="20"/>
              </w:rPr>
            </w:pPr>
            <w:r w:rsidRPr="008057D9">
              <w:rPr>
                <w:rFonts w:eastAsia="Calibri"/>
                <w:sz w:val="20"/>
              </w:rPr>
              <w:t>(Martin, Slatter and Nation JJ.A.)</w:t>
            </w:r>
          </w:p>
          <w:p w:rsidR="00BC3E52" w:rsidRPr="008057D9" w:rsidRDefault="00173D9D" w:rsidP="004B52FA">
            <w:pPr>
              <w:jc w:val="both"/>
              <w:rPr>
                <w:rFonts w:eastAsia="Calibri"/>
                <w:sz w:val="20"/>
              </w:rPr>
            </w:pPr>
            <w:hyperlink r:id="rId36" w:history="1">
              <w:r w:rsidR="00BC3E52" w:rsidRPr="008057D9">
                <w:rPr>
                  <w:rFonts w:eastAsia="Calibri"/>
                  <w:color w:val="0000FF"/>
                  <w:sz w:val="20"/>
                  <w:u w:val="single"/>
                </w:rPr>
                <w:t>2014 ABCA 446</w:t>
              </w:r>
            </w:hyperlink>
          </w:p>
          <w:p w:rsidR="00BC3E52" w:rsidRPr="008057D9" w:rsidRDefault="00BC3E52" w:rsidP="004B52FA">
            <w:pPr>
              <w:jc w:val="both"/>
              <w:rPr>
                <w:rFonts w:eastAsia="Calibri"/>
                <w:sz w:val="20"/>
              </w:rPr>
            </w:pPr>
            <w:r w:rsidRPr="008057D9">
              <w:rPr>
                <w:rFonts w:eastAsia="Calibri"/>
                <w:sz w:val="20"/>
              </w:rPr>
              <w:t>File Nos: 1301-0201-AC; 1301-0207-AC; 1301-0209-AC; 1301-0210-AC and 1301-0253-AC</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Application for leave to appeal filed.</w:t>
            </w:r>
          </w:p>
          <w:p w:rsidR="00BC3E52" w:rsidRPr="008057D9" w:rsidRDefault="00BC3E52" w:rsidP="004B52FA">
            <w:pPr>
              <w:jc w:val="both"/>
              <w:rPr>
                <w:rFonts w:eastAsia="Calibri"/>
                <w:sz w:val="20"/>
              </w:rPr>
            </w:pPr>
            <w:r w:rsidRPr="008057D9">
              <w:rPr>
                <w:rFonts w:eastAsia="Calibri"/>
                <w:sz w:val="20"/>
              </w:rPr>
              <w:t xml:space="preserve">Application for Advice and Directions; Confirmation that findings that Bert Holtby tipped Dale Holtby and Kenneth Burdeyney are set aside.  </w:t>
            </w:r>
          </w:p>
        </w:tc>
      </w:tr>
      <w:tr w:rsidR="00BC3E52" w:rsidRPr="008057D9" w:rsidTr="00481F56">
        <w:trPr>
          <w:cantSplit/>
        </w:trPr>
        <w:tc>
          <w:tcPr>
            <w:tcW w:w="2427" w:type="pct"/>
          </w:tcPr>
          <w:p w:rsidR="00BC3E52" w:rsidRPr="008057D9" w:rsidRDefault="00BC3E52" w:rsidP="004B52FA">
            <w:pPr>
              <w:jc w:val="both"/>
              <w:rPr>
                <w:rFonts w:eastAsia="Calibri"/>
                <w:sz w:val="20"/>
              </w:rPr>
            </w:pPr>
            <w:r w:rsidRPr="008057D9">
              <w:rPr>
                <w:rFonts w:eastAsia="Calibri"/>
                <w:sz w:val="20"/>
              </w:rPr>
              <w:t>October 24, 2014</w:t>
            </w:r>
          </w:p>
          <w:p w:rsidR="00BC3E52" w:rsidRPr="008057D9" w:rsidRDefault="00BC3E52" w:rsidP="004B52FA">
            <w:pPr>
              <w:jc w:val="both"/>
              <w:rPr>
                <w:rFonts w:eastAsia="Calibri"/>
                <w:sz w:val="20"/>
              </w:rPr>
            </w:pPr>
            <w:r w:rsidRPr="008057D9">
              <w:rPr>
                <w:rFonts w:eastAsia="Calibri"/>
                <w:sz w:val="20"/>
              </w:rPr>
              <w:t>Supreme Court of Canada</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Application for leave to appeal filed.</w:t>
            </w:r>
          </w:p>
          <w:p w:rsidR="00BC3E52" w:rsidRPr="008057D9" w:rsidRDefault="00BC3E52" w:rsidP="004B52FA">
            <w:pPr>
              <w:jc w:val="both"/>
              <w:rPr>
                <w:rFonts w:eastAsia="Calibri"/>
                <w:sz w:val="20"/>
              </w:rPr>
            </w:pPr>
          </w:p>
        </w:tc>
      </w:tr>
      <w:tr w:rsidR="00BC3E52" w:rsidRPr="008057D9" w:rsidTr="00481F56">
        <w:trPr>
          <w:cantSplit/>
        </w:trPr>
        <w:tc>
          <w:tcPr>
            <w:tcW w:w="2427" w:type="pct"/>
          </w:tcPr>
          <w:p w:rsidR="00BC3E52" w:rsidRPr="008057D9" w:rsidRDefault="00BC3E52" w:rsidP="004B52FA">
            <w:pPr>
              <w:jc w:val="both"/>
              <w:rPr>
                <w:rFonts w:eastAsia="Calibri"/>
                <w:sz w:val="20"/>
              </w:rPr>
            </w:pPr>
            <w:r w:rsidRPr="008057D9">
              <w:rPr>
                <w:rFonts w:eastAsia="Calibri"/>
                <w:sz w:val="20"/>
              </w:rPr>
              <w:t>November 26, 2014</w:t>
            </w:r>
          </w:p>
          <w:p w:rsidR="00BC3E52" w:rsidRPr="008057D9" w:rsidRDefault="00BC3E52" w:rsidP="004B52FA">
            <w:pPr>
              <w:jc w:val="both"/>
              <w:rPr>
                <w:rFonts w:eastAsia="Calibri"/>
                <w:sz w:val="20"/>
              </w:rPr>
            </w:pPr>
            <w:r w:rsidRPr="008057D9">
              <w:rPr>
                <w:rFonts w:eastAsia="Calibri"/>
                <w:sz w:val="20"/>
              </w:rPr>
              <w:t>Supreme Court of Canada</w:t>
            </w: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Conditional application for leave to cross-appeal filed.</w:t>
            </w:r>
          </w:p>
        </w:tc>
      </w:tr>
    </w:tbl>
    <w:p w:rsidR="003977D9" w:rsidRDefault="003977D9" w:rsidP="003977D9">
      <w:pPr>
        <w:rPr>
          <w:sz w:val="20"/>
          <w:szCs w:val="20"/>
        </w:rPr>
      </w:pPr>
    </w:p>
    <w:p w:rsidR="003977D9" w:rsidRPr="00C50A5C" w:rsidRDefault="00173D9D" w:rsidP="003977D9">
      <w:pPr>
        <w:rPr>
          <w:sz w:val="20"/>
          <w:szCs w:val="20"/>
        </w:rPr>
      </w:pPr>
      <w:r>
        <w:rPr>
          <w:sz w:val="20"/>
          <w:szCs w:val="20"/>
          <w:lang w:val="fr-CA"/>
        </w:rPr>
        <w:pict>
          <v:rect id="_x0000_i1042" style="width:2in;height:1pt" o:hrpct="0" o:hralign="center" o:hrstd="t" o:hrnoshade="t" o:hr="t" fillcolor="black [3213]" stroked="f"/>
        </w:pict>
      </w:r>
    </w:p>
    <w:p w:rsidR="003977D9" w:rsidRDefault="003977D9" w:rsidP="003977D9">
      <w:pPr>
        <w:rPr>
          <w:sz w:val="20"/>
          <w:szCs w:val="20"/>
        </w:rPr>
      </w:pPr>
    </w:p>
    <w:p w:rsidR="003977D9" w:rsidRPr="001B157C" w:rsidRDefault="003977D9" w:rsidP="003977D9">
      <w:pPr>
        <w:rPr>
          <w:sz w:val="20"/>
          <w:szCs w:val="20"/>
          <w:u w:val="single"/>
          <w:lang w:val="fr-CA"/>
        </w:rPr>
      </w:pPr>
      <w:r w:rsidRPr="001B157C">
        <w:rPr>
          <w:sz w:val="20"/>
          <w:szCs w:val="20"/>
          <w:u w:val="single"/>
          <w:lang w:val="fr-CA"/>
        </w:rPr>
        <w:t>RÉSUMÉ DE L’AFFAIRE</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3E52" w:rsidRPr="008057D9" w:rsidTr="004B52FA">
        <w:tc>
          <w:tcPr>
            <w:tcW w:w="5000" w:type="pct"/>
            <w:gridSpan w:val="3"/>
          </w:tcPr>
          <w:p w:rsidR="00BC3E52" w:rsidRPr="008057D9" w:rsidRDefault="00BC3E52" w:rsidP="004B52FA">
            <w:pPr>
              <w:jc w:val="both"/>
              <w:rPr>
                <w:rFonts w:eastAsia="Calibri"/>
                <w:sz w:val="20"/>
                <w:lang w:val="fr-CA"/>
              </w:rPr>
            </w:pPr>
            <w:r w:rsidRPr="008057D9">
              <w:rPr>
                <w:rFonts w:eastAsia="Calibri"/>
                <w:sz w:val="20"/>
                <w:lang w:val="fr-CA"/>
              </w:rPr>
              <w:t xml:space="preserve">Droit administratif — Appels — Norme de contrôle — Commission des valeurs mobilières de l’Alberta — La Commission a conclu que les intimés avaient contrevenu aux lois albertaines sur les valeurs mobilières — La Commission a ordonné des sanctions — La Cour d’appel a accueilli les appels en partie — Au Canada, quelle norme de preuve s’applique pour conclure qu’un particulier a violé les lois sur le  délit d’initié, la communication de renseignements ou l’incitation? Quelle preuve est nécessaire pour prouver le délit d’initié, la communication de renseignements ou l’incitation en application des lois provinciales et territoriales sur les valeurs mobilières? Comment la norme de contrôle qui commande la déférence doit-elle être appliquée en pratique? Sur quels principes et objectifs les commissions provinciales et territoriales canadiennes doivent-elles s’appuyer dans l’évaluation des sanctions? — </w:t>
            </w:r>
            <w:r w:rsidRPr="008057D9">
              <w:rPr>
                <w:rFonts w:eastAsia="Calibri"/>
                <w:i/>
                <w:sz w:val="20"/>
                <w:lang w:val="fr-CA"/>
              </w:rPr>
              <w:t>Securities Act</w:t>
            </w:r>
            <w:r w:rsidRPr="008057D9">
              <w:rPr>
                <w:rFonts w:eastAsia="Calibri"/>
                <w:sz w:val="20"/>
                <w:lang w:val="fr-CA"/>
              </w:rPr>
              <w:t xml:space="preserve">, R.S.A. 2000, ch. S-4.  </w:t>
            </w:r>
          </w:p>
        </w:tc>
      </w:tr>
      <w:tr w:rsidR="00BC3E52" w:rsidRPr="008057D9" w:rsidTr="004B52FA">
        <w:tc>
          <w:tcPr>
            <w:tcW w:w="5000" w:type="pct"/>
            <w:gridSpan w:val="3"/>
          </w:tcPr>
          <w:p w:rsidR="00BC3E52" w:rsidRPr="008057D9" w:rsidRDefault="00BC3E52" w:rsidP="004B52FA">
            <w:pPr>
              <w:jc w:val="both"/>
              <w:rPr>
                <w:rFonts w:eastAsia="Calibri"/>
                <w:sz w:val="20"/>
                <w:lang w:val="fr-CA"/>
              </w:rPr>
            </w:pPr>
          </w:p>
        </w:tc>
      </w:tr>
      <w:tr w:rsidR="00BC3E52" w:rsidRPr="00EC49A7" w:rsidTr="004B52FA">
        <w:tc>
          <w:tcPr>
            <w:tcW w:w="5000" w:type="pct"/>
            <w:gridSpan w:val="3"/>
          </w:tcPr>
          <w:p w:rsidR="00BC3E52" w:rsidRPr="008057D9" w:rsidRDefault="00BC3E52" w:rsidP="004B52FA">
            <w:pPr>
              <w:jc w:val="both"/>
              <w:rPr>
                <w:rFonts w:eastAsia="Calibri"/>
                <w:sz w:val="20"/>
                <w:lang w:val="fr-CA" w:eastAsia="en-CA"/>
              </w:rPr>
            </w:pPr>
            <w:r w:rsidRPr="008057D9">
              <w:rPr>
                <w:rFonts w:eastAsia="Calibri"/>
                <w:sz w:val="20"/>
                <w:lang w:val="fr-CA"/>
              </w:rPr>
              <w:t xml:space="preserve">La Commission des valeurs mobilières de l’Alberta a conclu que les intimés (et d’autres) avaient contrevenu à la loi albertaine sur les valeurs mobilières et elle les a déclarés coupables de violations, notamment de délit d’initié et de divers autres types d’inconduite en vertu de la </w:t>
            </w:r>
            <w:r w:rsidRPr="008057D9">
              <w:rPr>
                <w:rFonts w:eastAsia="Calibri"/>
                <w:i/>
                <w:sz w:val="20"/>
                <w:lang w:val="fr-CA"/>
              </w:rPr>
              <w:t>Securities Act</w:t>
            </w:r>
            <w:r w:rsidRPr="008057D9">
              <w:rPr>
                <w:rFonts w:eastAsia="Calibri"/>
                <w:sz w:val="20"/>
                <w:lang w:val="fr-CA"/>
              </w:rPr>
              <w:t xml:space="preserve">, R.S.A. 2000, ch. S-4, à l’égard des actions d’Eveready Inc.  La Commission a imposé des sanctions.  Les intimés ont interjeté appel des conclusions et des sanctions. </w:t>
            </w:r>
          </w:p>
          <w:p w:rsidR="00BC3E52" w:rsidRPr="008057D9" w:rsidRDefault="00BC3E52" w:rsidP="004B52FA">
            <w:pPr>
              <w:jc w:val="both"/>
              <w:rPr>
                <w:rFonts w:eastAsia="Calibri"/>
                <w:sz w:val="20"/>
                <w:lang w:val="fr-CA"/>
              </w:rPr>
            </w:pPr>
          </w:p>
          <w:p w:rsidR="00BC3E52" w:rsidRPr="008057D9" w:rsidRDefault="00BC3E52" w:rsidP="004B52FA">
            <w:pPr>
              <w:jc w:val="both"/>
              <w:rPr>
                <w:rFonts w:eastAsia="Calibri"/>
                <w:sz w:val="20"/>
                <w:lang w:val="fr-CA"/>
              </w:rPr>
            </w:pPr>
            <w:r w:rsidRPr="008057D9">
              <w:rPr>
                <w:rFonts w:eastAsia="Calibri"/>
                <w:sz w:val="20"/>
                <w:lang w:val="fr-CA"/>
              </w:rPr>
              <w:t xml:space="preserve">À la Cour d’appel, tous les appels ont été accueillis, à l’exception de l’appel de M. Holtby, qui a été accueilli en partie, et de l’appel de M. Kowalchuk, qui a été rejeté.  Les appels interjetés par M. Holtby et M. Kowalchuk de la décision imposant la sanction ont également été accueillis et la question a été renvoyée à la Commission pour qu’elle la réexamine.   </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11 février 2013</w:t>
            </w:r>
          </w:p>
          <w:p w:rsidR="00BC3E52" w:rsidRPr="008057D9" w:rsidRDefault="00BC3E52" w:rsidP="004B52FA">
            <w:pPr>
              <w:jc w:val="both"/>
              <w:rPr>
                <w:rFonts w:eastAsia="Calibri"/>
                <w:sz w:val="20"/>
                <w:lang w:val="fr-CA"/>
              </w:rPr>
            </w:pPr>
            <w:r w:rsidRPr="008057D9">
              <w:rPr>
                <w:rFonts w:eastAsia="Calibri"/>
                <w:sz w:val="20"/>
                <w:lang w:val="fr-CA"/>
              </w:rPr>
              <w:t>Commission des valeurs mobilières de l’Alberta</w:t>
            </w:r>
          </w:p>
          <w:p w:rsidR="00BC3E52" w:rsidRPr="008057D9" w:rsidRDefault="00BC3E52" w:rsidP="004B52FA">
            <w:pPr>
              <w:jc w:val="both"/>
              <w:rPr>
                <w:rFonts w:eastAsia="Calibri"/>
                <w:sz w:val="20"/>
              </w:rPr>
            </w:pPr>
            <w:r w:rsidRPr="008057D9">
              <w:rPr>
                <w:rFonts w:eastAsia="Calibri"/>
                <w:sz w:val="20"/>
              </w:rPr>
              <w:t>(M</w:t>
            </w:r>
            <w:r w:rsidRPr="008057D9">
              <w:rPr>
                <w:rFonts w:eastAsia="Calibri"/>
                <w:sz w:val="20"/>
                <w:vertAlign w:val="superscript"/>
              </w:rPr>
              <w:t>e</w:t>
            </w:r>
            <w:r w:rsidRPr="008057D9">
              <w:rPr>
                <w:rFonts w:eastAsia="Calibri"/>
                <w:sz w:val="20"/>
              </w:rPr>
              <w:t xml:space="preserve"> Glenda A. Campbell, c.r., M</w:t>
            </w:r>
            <w:r w:rsidRPr="008057D9">
              <w:rPr>
                <w:rFonts w:eastAsia="Calibri"/>
                <w:sz w:val="20"/>
                <w:vertAlign w:val="superscript"/>
              </w:rPr>
              <w:t>e</w:t>
            </w:r>
            <w:r w:rsidRPr="008057D9">
              <w:rPr>
                <w:rFonts w:eastAsia="Calibri"/>
                <w:sz w:val="20"/>
              </w:rPr>
              <w:t xml:space="preserve"> Richard A. Shaw, c.r. et M. Fred R.N. Snell, FCA) </w:t>
            </w:r>
          </w:p>
          <w:p w:rsidR="00BC3E52" w:rsidRPr="008057D9" w:rsidRDefault="00173D9D" w:rsidP="004B52FA">
            <w:pPr>
              <w:jc w:val="both"/>
              <w:rPr>
                <w:rFonts w:eastAsia="Calibri"/>
                <w:sz w:val="20"/>
                <w:lang w:val="fr-CA"/>
              </w:rPr>
            </w:pPr>
            <w:hyperlink r:id="rId37" w:history="1">
              <w:r w:rsidR="00BC3E52" w:rsidRPr="008057D9">
                <w:rPr>
                  <w:rFonts w:eastAsia="Calibri"/>
                  <w:color w:val="0000FF"/>
                  <w:sz w:val="20"/>
                  <w:u w:val="single"/>
                  <w:lang w:val="fr-CA"/>
                </w:rPr>
                <w:t>2013 ABASC 45</w:t>
              </w:r>
            </w:hyperlink>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 xml:space="preserve">Décision statuant que les intimés ont contrevenu à la loi albertaine sur les valeurs mobilières et qu’ils sont coupables de délit d’initié et de divers autres types d’inconduite à l’égard des actions d’Eveready Inc. </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lastRenderedPageBreak/>
              <w:t>27 juin 2013</w:t>
            </w:r>
          </w:p>
          <w:p w:rsidR="00BC3E52" w:rsidRPr="008057D9" w:rsidRDefault="00BC3E52" w:rsidP="004B52FA">
            <w:pPr>
              <w:jc w:val="both"/>
              <w:rPr>
                <w:rFonts w:eastAsia="Calibri"/>
                <w:sz w:val="20"/>
                <w:lang w:val="fr-CA"/>
              </w:rPr>
            </w:pPr>
            <w:r w:rsidRPr="008057D9">
              <w:rPr>
                <w:rFonts w:eastAsia="Calibri"/>
                <w:sz w:val="20"/>
                <w:lang w:val="fr-CA"/>
              </w:rPr>
              <w:t>Commission des valeurs mobilières de l’Alberta</w:t>
            </w:r>
          </w:p>
          <w:p w:rsidR="00BC3E52" w:rsidRPr="008057D9" w:rsidRDefault="00BC3E52" w:rsidP="004B52FA">
            <w:pPr>
              <w:jc w:val="both"/>
              <w:rPr>
                <w:rFonts w:eastAsia="Calibri"/>
                <w:sz w:val="20"/>
              </w:rPr>
            </w:pPr>
            <w:r w:rsidRPr="008057D9">
              <w:rPr>
                <w:rFonts w:eastAsia="Calibri"/>
                <w:sz w:val="20"/>
              </w:rPr>
              <w:t>(M</w:t>
            </w:r>
            <w:r w:rsidRPr="008057D9">
              <w:rPr>
                <w:rFonts w:eastAsia="Calibri"/>
                <w:sz w:val="20"/>
                <w:vertAlign w:val="superscript"/>
              </w:rPr>
              <w:t>e</w:t>
            </w:r>
            <w:r w:rsidRPr="008057D9">
              <w:rPr>
                <w:rFonts w:eastAsia="Calibri"/>
                <w:sz w:val="20"/>
              </w:rPr>
              <w:t xml:space="preserve"> Glenda A. Campbell, c.r., M</w:t>
            </w:r>
            <w:r w:rsidRPr="008057D9">
              <w:rPr>
                <w:rFonts w:eastAsia="Calibri"/>
                <w:sz w:val="20"/>
                <w:vertAlign w:val="superscript"/>
              </w:rPr>
              <w:t>e</w:t>
            </w:r>
            <w:r w:rsidRPr="008057D9">
              <w:rPr>
                <w:rFonts w:eastAsia="Calibri"/>
                <w:sz w:val="20"/>
              </w:rPr>
              <w:t xml:space="preserve"> Richard A. Shaw, c.r. et M. Fred R.N. Snell, FCA)</w:t>
            </w:r>
          </w:p>
          <w:p w:rsidR="00BC3E52" w:rsidRPr="008057D9" w:rsidRDefault="00173D9D" w:rsidP="004B52FA">
            <w:pPr>
              <w:jc w:val="both"/>
              <w:rPr>
                <w:rFonts w:eastAsia="Calibri"/>
                <w:sz w:val="20"/>
                <w:lang w:val="fr-CA"/>
              </w:rPr>
            </w:pPr>
            <w:hyperlink r:id="rId38" w:history="1">
              <w:r w:rsidR="00BC3E52" w:rsidRPr="008057D9">
                <w:rPr>
                  <w:rFonts w:eastAsia="Calibri"/>
                  <w:color w:val="0000FF"/>
                  <w:sz w:val="20"/>
                  <w:u w:val="single"/>
                  <w:lang w:val="fr-CA"/>
                </w:rPr>
                <w:t>2013 ABASC 273</w:t>
              </w:r>
            </w:hyperlink>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Décision imposant des sanctions aux intimés et les condamnant aux dépens.</w:t>
            </w: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29 août 2014</w:t>
            </w:r>
          </w:p>
          <w:p w:rsidR="00BC3E52" w:rsidRPr="008057D9" w:rsidRDefault="00BC3E52" w:rsidP="004B52FA">
            <w:pPr>
              <w:jc w:val="both"/>
              <w:rPr>
                <w:rFonts w:eastAsia="Calibri"/>
                <w:sz w:val="20"/>
                <w:lang w:val="fr-CA"/>
              </w:rPr>
            </w:pPr>
            <w:r w:rsidRPr="008057D9">
              <w:rPr>
                <w:rFonts w:eastAsia="Calibri"/>
                <w:sz w:val="20"/>
                <w:lang w:val="fr-CA"/>
              </w:rPr>
              <w:t>Cour d’appel de l’Alberta (Calgary)</w:t>
            </w:r>
          </w:p>
          <w:p w:rsidR="00BC3E52" w:rsidRPr="008057D9" w:rsidRDefault="00BC3E52" w:rsidP="004B52FA">
            <w:pPr>
              <w:jc w:val="both"/>
              <w:rPr>
                <w:rFonts w:eastAsia="Calibri"/>
                <w:sz w:val="20"/>
                <w:lang w:val="fr-CA"/>
              </w:rPr>
            </w:pPr>
            <w:r w:rsidRPr="008057D9">
              <w:rPr>
                <w:rFonts w:eastAsia="Calibri"/>
                <w:sz w:val="20"/>
                <w:lang w:val="fr-CA"/>
              </w:rPr>
              <w:t>(Juges Martin, Slatter et Nation)</w:t>
            </w:r>
          </w:p>
          <w:p w:rsidR="00BC3E52" w:rsidRPr="008057D9" w:rsidRDefault="00173D9D" w:rsidP="004B52FA">
            <w:pPr>
              <w:jc w:val="both"/>
              <w:rPr>
                <w:rFonts w:eastAsia="Calibri"/>
                <w:sz w:val="20"/>
                <w:lang w:val="fr-CA"/>
              </w:rPr>
            </w:pPr>
            <w:hyperlink r:id="rId39" w:history="1">
              <w:r w:rsidR="00BC3E52" w:rsidRPr="008057D9">
                <w:rPr>
                  <w:rFonts w:eastAsia="Calibri"/>
                  <w:color w:val="0000FF"/>
                  <w:sz w:val="20"/>
                  <w:u w:val="single"/>
                  <w:lang w:val="fr-CA"/>
                </w:rPr>
                <w:t>2014 ABCA 273</w:t>
              </w:r>
            </w:hyperlink>
          </w:p>
          <w:p w:rsidR="00BC3E52" w:rsidRPr="008057D9" w:rsidRDefault="00BC3E52" w:rsidP="004B52FA">
            <w:pPr>
              <w:jc w:val="both"/>
              <w:rPr>
                <w:rFonts w:eastAsia="Calibri"/>
                <w:sz w:val="20"/>
                <w:lang w:val="fr-CA"/>
              </w:rPr>
            </w:pPr>
            <w:r w:rsidRPr="008057D9">
              <w:rPr>
                <w:rFonts w:eastAsia="Calibri"/>
                <w:sz w:val="20"/>
                <w:lang w:val="fr-CA"/>
              </w:rPr>
              <w:t>N</w:t>
            </w:r>
            <w:r w:rsidRPr="008057D9">
              <w:rPr>
                <w:rFonts w:eastAsia="Calibri"/>
                <w:sz w:val="20"/>
                <w:vertAlign w:val="superscript"/>
                <w:lang w:val="fr-CA"/>
              </w:rPr>
              <w:t>os</w:t>
            </w:r>
            <w:r w:rsidRPr="008057D9">
              <w:rPr>
                <w:rFonts w:eastAsia="Calibri"/>
                <w:sz w:val="20"/>
                <w:lang w:val="fr-CA"/>
              </w:rPr>
              <w:t xml:space="preserve"> du greffe : 1301-0201-AC; 1301-0207-AC; 1301-0209-AC; 1301-0210-AC et 1301-0253-AC.</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 xml:space="preserve">Arrêt accueillant les appels de M. Shepert, M. Burdeyney et Mme Walton et annulation des verdicts de culpabilité et des sanctions prononcés contre eux; arrêt accueillant en partie l’appel de M. Holtby de la décision sur le fond; rejet de l’appel de M. Kowalchuk de la décision sur le fond; arrêt accueillant les appels de MM. Kowalchuk et Holtby de la décision portant sur la sanction et renvoi de la question à la Commission.  </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19 décembre 2014</w:t>
            </w:r>
          </w:p>
          <w:p w:rsidR="00BC3E52" w:rsidRPr="008057D9" w:rsidRDefault="00BC3E52" w:rsidP="004B52FA">
            <w:pPr>
              <w:jc w:val="both"/>
              <w:rPr>
                <w:rFonts w:eastAsia="Calibri"/>
                <w:sz w:val="20"/>
                <w:lang w:val="fr-CA"/>
              </w:rPr>
            </w:pPr>
            <w:r w:rsidRPr="008057D9">
              <w:rPr>
                <w:rFonts w:eastAsia="Calibri"/>
                <w:sz w:val="20"/>
                <w:lang w:val="fr-CA"/>
              </w:rPr>
              <w:t>Cour d’appel de l’Alberta (Calgary)</w:t>
            </w:r>
          </w:p>
          <w:p w:rsidR="00BC3E52" w:rsidRPr="008057D9" w:rsidRDefault="00BC3E52" w:rsidP="004B52FA">
            <w:pPr>
              <w:jc w:val="both"/>
              <w:rPr>
                <w:rFonts w:eastAsia="Calibri"/>
                <w:sz w:val="20"/>
                <w:lang w:val="fr-CA"/>
              </w:rPr>
            </w:pPr>
            <w:r w:rsidRPr="008057D9">
              <w:rPr>
                <w:rFonts w:eastAsia="Calibri"/>
                <w:sz w:val="20"/>
                <w:lang w:val="fr-CA"/>
              </w:rPr>
              <w:t>(Juges Martin, Slatter et Nation)</w:t>
            </w:r>
          </w:p>
          <w:p w:rsidR="00BC3E52" w:rsidRPr="008057D9" w:rsidRDefault="00173D9D" w:rsidP="004B52FA">
            <w:pPr>
              <w:jc w:val="both"/>
              <w:rPr>
                <w:rFonts w:eastAsia="Calibri"/>
                <w:sz w:val="20"/>
                <w:lang w:val="fr-CA"/>
              </w:rPr>
            </w:pPr>
            <w:hyperlink r:id="rId40" w:history="1">
              <w:r w:rsidR="00BC3E52" w:rsidRPr="008057D9">
                <w:rPr>
                  <w:rFonts w:eastAsia="Calibri"/>
                  <w:color w:val="0000FF"/>
                  <w:sz w:val="20"/>
                  <w:u w:val="single"/>
                  <w:lang w:val="fr-CA"/>
                </w:rPr>
                <w:t>2014 ABCA 446</w:t>
              </w:r>
            </w:hyperlink>
          </w:p>
          <w:p w:rsidR="00BC3E52" w:rsidRPr="008057D9" w:rsidRDefault="00BC3E52" w:rsidP="004B52FA">
            <w:pPr>
              <w:jc w:val="both"/>
              <w:rPr>
                <w:rFonts w:eastAsia="Calibri"/>
                <w:sz w:val="20"/>
                <w:lang w:val="fr-CA"/>
              </w:rPr>
            </w:pPr>
            <w:r w:rsidRPr="008057D9">
              <w:rPr>
                <w:rFonts w:eastAsia="Calibri"/>
                <w:sz w:val="20"/>
                <w:lang w:val="fr-CA"/>
              </w:rPr>
              <w:t>N</w:t>
            </w:r>
            <w:r w:rsidRPr="008057D9">
              <w:rPr>
                <w:rFonts w:eastAsia="Calibri"/>
                <w:sz w:val="20"/>
                <w:vertAlign w:val="superscript"/>
                <w:lang w:val="fr-CA"/>
              </w:rPr>
              <w:t>os</w:t>
            </w:r>
            <w:r w:rsidRPr="008057D9">
              <w:rPr>
                <w:rFonts w:eastAsia="Calibri"/>
                <w:sz w:val="20"/>
                <w:lang w:val="fr-CA"/>
              </w:rPr>
              <w:t xml:space="preserve"> du greffe : 1301-0201-AC; 1301-0207-AC; 1301-0209-AC; 1301-0210-AC et 1301-0253-AC</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Dépôt de la demande d’autorisation d’appel.</w:t>
            </w:r>
          </w:p>
          <w:p w:rsidR="00BC3E52" w:rsidRPr="008057D9" w:rsidRDefault="00BC3E52" w:rsidP="004B52FA">
            <w:pPr>
              <w:jc w:val="both"/>
              <w:rPr>
                <w:rFonts w:eastAsia="Calibri"/>
                <w:sz w:val="20"/>
                <w:lang w:val="fr-CA"/>
              </w:rPr>
            </w:pPr>
            <w:r w:rsidRPr="008057D9">
              <w:rPr>
                <w:rFonts w:eastAsia="Calibri"/>
                <w:sz w:val="20"/>
                <w:lang w:val="fr-CA"/>
              </w:rPr>
              <w:t xml:space="preserve">Demande de directives; confirmation de l’annulation des conclusions selon lesquelles Bert Holtby avait communiqué des renseignements à Dale Holtby et à Kenneth Burdeyney.  </w:t>
            </w: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24 octobre 2014</w:t>
            </w:r>
          </w:p>
          <w:p w:rsidR="00BC3E52" w:rsidRPr="008057D9" w:rsidRDefault="00BC3E52" w:rsidP="004B52FA">
            <w:pPr>
              <w:jc w:val="both"/>
              <w:rPr>
                <w:rFonts w:eastAsia="Calibri"/>
                <w:sz w:val="20"/>
                <w:lang w:val="fr-CA"/>
              </w:rPr>
            </w:pPr>
            <w:r w:rsidRPr="008057D9">
              <w:rPr>
                <w:rFonts w:eastAsia="Calibri"/>
                <w:sz w:val="20"/>
                <w:lang w:val="fr-CA"/>
              </w:rPr>
              <w:t>Cour suprême du Canada</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Dépôt de la demande d’autorisation d’appel.</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26 novembre 2014</w:t>
            </w:r>
          </w:p>
          <w:p w:rsidR="00BC3E52" w:rsidRPr="008057D9" w:rsidRDefault="00BC3E52" w:rsidP="004B52FA">
            <w:pPr>
              <w:jc w:val="both"/>
              <w:rPr>
                <w:rFonts w:eastAsia="Calibri"/>
                <w:sz w:val="20"/>
                <w:lang w:val="fr-CA"/>
              </w:rPr>
            </w:pPr>
            <w:r w:rsidRPr="008057D9">
              <w:rPr>
                <w:rFonts w:eastAsia="Calibri"/>
                <w:sz w:val="20"/>
                <w:lang w:val="fr-CA"/>
              </w:rPr>
              <w:t>Cour suprême du Canada</w:t>
            </w: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Dépôt de la demande conditionnelle d’autorisation d’appel incident.</w:t>
            </w:r>
          </w:p>
        </w:tc>
      </w:tr>
    </w:tbl>
    <w:p w:rsidR="003977D9" w:rsidRPr="00BC3E52" w:rsidRDefault="003977D9" w:rsidP="003977D9">
      <w:pPr>
        <w:rPr>
          <w:sz w:val="20"/>
          <w:szCs w:val="20"/>
          <w:lang w:val="fr-CA"/>
        </w:rPr>
      </w:pPr>
    </w:p>
    <w:p w:rsidR="003977D9" w:rsidRDefault="00173D9D" w:rsidP="003977D9">
      <w:pPr>
        <w:rPr>
          <w:sz w:val="20"/>
          <w:szCs w:val="20"/>
          <w:lang w:val="fr-CA"/>
        </w:rPr>
      </w:pPr>
      <w:r>
        <w:rPr>
          <w:sz w:val="20"/>
          <w:szCs w:val="20"/>
          <w:lang w:val="fr-CA"/>
        </w:rPr>
        <w:pict>
          <v:rect id="_x0000_i1043" style="width:2in;height:1pt" o:hrpct="0" o:hralign="center" o:hrstd="t" o:hrnoshade="t" o:hr="t" fillcolor="black [3213]" stroked="f"/>
        </w:pict>
      </w:r>
    </w:p>
    <w:p w:rsidR="003977D9" w:rsidRDefault="003977D9" w:rsidP="003977D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4799" w:rsidRPr="00032B5D" w:rsidTr="00574799">
        <w:trPr>
          <w:cantSplit/>
        </w:trPr>
        <w:tc>
          <w:tcPr>
            <w:tcW w:w="1458" w:type="dxa"/>
          </w:tcPr>
          <w:p w:rsidR="00574799" w:rsidRPr="00032B5D" w:rsidRDefault="00574799" w:rsidP="00574799">
            <w:pPr>
              <w:rPr>
                <w:sz w:val="20"/>
                <w:szCs w:val="20"/>
              </w:rPr>
            </w:pPr>
            <w:r w:rsidRPr="00032B5D">
              <w:rPr>
                <w:rStyle w:val="SCCFileNumberChar"/>
                <w:sz w:val="20"/>
                <w:szCs w:val="20"/>
              </w:rPr>
              <w:t>36143</w:t>
            </w:r>
          </w:p>
          <w:p w:rsidR="00574799" w:rsidRPr="00032B5D" w:rsidRDefault="00574799" w:rsidP="00574799">
            <w:pPr>
              <w:rPr>
                <w:b/>
                <w:sz w:val="20"/>
                <w:szCs w:val="20"/>
                <w:lang w:val="fr-CA"/>
              </w:rPr>
            </w:pPr>
          </w:p>
        </w:tc>
        <w:tc>
          <w:tcPr>
            <w:tcW w:w="8118" w:type="dxa"/>
          </w:tcPr>
          <w:p w:rsidR="00574799" w:rsidRPr="00032B5D" w:rsidRDefault="00574799" w:rsidP="00574799">
            <w:pPr>
              <w:jc w:val="both"/>
              <w:rPr>
                <w:sz w:val="20"/>
                <w:szCs w:val="20"/>
              </w:rPr>
            </w:pPr>
            <w:r w:rsidRPr="00032B5D">
              <w:rPr>
                <w:rStyle w:val="SCCLsocChar"/>
                <w:sz w:val="20"/>
                <w:szCs w:val="20"/>
                <w:lang w:val="en-CA"/>
              </w:rPr>
              <w:t>Scottish &amp; York Insurance Co. Limited/ Compagnie d</w:t>
            </w:r>
            <w:r w:rsidR="00854663">
              <w:rPr>
                <w:rStyle w:val="SCCLsocChar"/>
                <w:sz w:val="20"/>
                <w:szCs w:val="20"/>
                <w:lang w:val="en-CA"/>
              </w:rPr>
              <w:t>’</w:t>
            </w:r>
            <w:r w:rsidRPr="00032B5D">
              <w:rPr>
                <w:rStyle w:val="SCCLsocChar"/>
                <w:sz w:val="20"/>
                <w:szCs w:val="20"/>
                <w:lang w:val="en-CA"/>
              </w:rPr>
              <w:t>Assurance Scottish &amp; York Limitée v. Clement Drover</w:t>
            </w:r>
            <w:r w:rsidR="00854663">
              <w:rPr>
                <w:rStyle w:val="SCCLsocChar"/>
                <w:sz w:val="20"/>
                <w:szCs w:val="20"/>
                <w:lang w:val="en-CA"/>
              </w:rPr>
              <w:t xml:space="preserve"> and</w:t>
            </w:r>
            <w:r w:rsidRPr="00032B5D">
              <w:rPr>
                <w:rStyle w:val="SCCLsocChar"/>
                <w:sz w:val="20"/>
                <w:szCs w:val="20"/>
                <w:lang w:val="en-CA"/>
              </w:rPr>
              <w:t xml:space="preserve"> Eileen Drover</w:t>
            </w:r>
            <w:r w:rsidRPr="00032B5D">
              <w:rPr>
                <w:sz w:val="20"/>
                <w:szCs w:val="20"/>
              </w:rPr>
              <w:t xml:space="preserve"> (N.L.) (Civil) (By Leave)</w:t>
            </w:r>
          </w:p>
          <w:p w:rsidR="00574799" w:rsidRPr="00032B5D" w:rsidRDefault="00574799" w:rsidP="00574799">
            <w:pPr>
              <w:jc w:val="both"/>
              <w:rPr>
                <w:sz w:val="20"/>
                <w:szCs w:val="20"/>
              </w:rPr>
            </w:pPr>
          </w:p>
        </w:tc>
      </w:tr>
      <w:tr w:rsidR="00574799" w:rsidRPr="00032B5D" w:rsidTr="00574799">
        <w:trPr>
          <w:cantSplit/>
        </w:trPr>
        <w:tc>
          <w:tcPr>
            <w:tcW w:w="1458" w:type="dxa"/>
          </w:tcPr>
          <w:p w:rsidR="00574799" w:rsidRPr="00032B5D" w:rsidRDefault="00574799" w:rsidP="00574799">
            <w:pPr>
              <w:rPr>
                <w:sz w:val="20"/>
                <w:szCs w:val="20"/>
              </w:rPr>
            </w:pPr>
            <w:r w:rsidRPr="00032B5D">
              <w:rPr>
                <w:sz w:val="20"/>
                <w:szCs w:val="20"/>
              </w:rPr>
              <w:t>Coram :</w:t>
            </w:r>
          </w:p>
        </w:tc>
        <w:tc>
          <w:tcPr>
            <w:tcW w:w="8118" w:type="dxa"/>
          </w:tcPr>
          <w:p w:rsidR="00574799" w:rsidRPr="00032B5D" w:rsidRDefault="00574799" w:rsidP="00574799">
            <w:pPr>
              <w:rPr>
                <w:sz w:val="20"/>
                <w:szCs w:val="20"/>
              </w:rPr>
            </w:pPr>
            <w:r w:rsidRPr="00574799">
              <w:rPr>
                <w:rStyle w:val="SCCCoramChar"/>
                <w:sz w:val="20"/>
                <w:szCs w:val="20"/>
                <w:lang w:val="en-CA"/>
              </w:rPr>
              <w:t>Rothstein, Cromwell and Moldaver JJ.</w:t>
            </w:r>
          </w:p>
          <w:p w:rsidR="00574799" w:rsidRPr="00032B5D" w:rsidRDefault="00574799" w:rsidP="00574799">
            <w:pPr>
              <w:rPr>
                <w:sz w:val="20"/>
                <w:szCs w:val="20"/>
                <w:u w:val="single"/>
              </w:rPr>
            </w:pPr>
          </w:p>
        </w:tc>
      </w:tr>
      <w:tr w:rsidR="00574799" w:rsidRPr="00EC49A7" w:rsidTr="00574799">
        <w:trPr>
          <w:cantSplit/>
        </w:trPr>
        <w:tc>
          <w:tcPr>
            <w:tcW w:w="9576" w:type="dxa"/>
            <w:gridSpan w:val="2"/>
          </w:tcPr>
          <w:p w:rsidR="00574799" w:rsidRPr="00032B5D" w:rsidRDefault="00574799" w:rsidP="00574799">
            <w:pPr>
              <w:pStyle w:val="SCCShortJudgment"/>
              <w:rPr>
                <w:szCs w:val="20"/>
              </w:rPr>
            </w:pPr>
            <w:r w:rsidRPr="00032B5D">
              <w:rPr>
                <w:szCs w:val="20"/>
              </w:rPr>
              <w:t>The motion for an extension of time to serve and file the respondents’ response is granted. The application for leave to appeal from the judgment of the Supreme Court of Newfoundland and Labrador - Court of Appeal, Number 13/80, 2014 NLCA 31, dated August 27, 2014, is dismissed with costs.</w:t>
            </w:r>
          </w:p>
          <w:p w:rsidR="00574799" w:rsidRPr="00032B5D" w:rsidRDefault="00574799" w:rsidP="00574799">
            <w:pPr>
              <w:pStyle w:val="SCCShortJudgment"/>
              <w:ind w:firstLine="0"/>
              <w:rPr>
                <w:szCs w:val="20"/>
              </w:rPr>
            </w:pPr>
          </w:p>
          <w:p w:rsidR="00574799" w:rsidRPr="00032B5D" w:rsidRDefault="00574799" w:rsidP="00574799">
            <w:pPr>
              <w:pStyle w:val="SCCShortJudgment"/>
              <w:rPr>
                <w:szCs w:val="20"/>
                <w:lang w:val="fr-CA"/>
              </w:rPr>
            </w:pPr>
            <w:r w:rsidRPr="00032B5D">
              <w:rPr>
                <w:szCs w:val="20"/>
                <w:lang w:val="fr-CA"/>
              </w:rPr>
              <w:t>La requête en prorogation du délai de signification et de dépôt de la réponse des intimés est accueillie. La demande d’autorisation d’appel de l’arrêt de la Cour suprême de Terre-Neuve-et-Labrador - Cour d’appel, numéro 13/80, 2014 NLCA 31, daté du 27 août 2014, est rejetée avec dépens.</w:t>
            </w:r>
          </w:p>
        </w:tc>
      </w:tr>
    </w:tbl>
    <w:p w:rsidR="003977D9" w:rsidRPr="00574799" w:rsidRDefault="003977D9" w:rsidP="003977D9">
      <w:pPr>
        <w:rPr>
          <w:sz w:val="20"/>
          <w:szCs w:val="20"/>
          <w:lang w:val="fr-CA"/>
        </w:rPr>
      </w:pPr>
    </w:p>
    <w:p w:rsidR="003977D9" w:rsidRPr="001B157C" w:rsidRDefault="003977D9" w:rsidP="003977D9">
      <w:pPr>
        <w:rPr>
          <w:sz w:val="20"/>
          <w:szCs w:val="20"/>
          <w:u w:val="single"/>
        </w:rPr>
      </w:pPr>
      <w:r w:rsidRPr="001B157C">
        <w:rPr>
          <w:sz w:val="20"/>
          <w:szCs w:val="20"/>
          <w:u w:val="single"/>
        </w:rPr>
        <w:t>CASE SUMMARY</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3E52" w:rsidRPr="008057D9" w:rsidTr="004B52FA">
        <w:tc>
          <w:tcPr>
            <w:tcW w:w="5000" w:type="pct"/>
            <w:gridSpan w:val="3"/>
          </w:tcPr>
          <w:p w:rsidR="00BC3E52" w:rsidRPr="008057D9" w:rsidRDefault="00BC3E52" w:rsidP="004B52FA">
            <w:pPr>
              <w:jc w:val="both"/>
              <w:rPr>
                <w:rFonts w:eastAsia="Calibri"/>
                <w:sz w:val="20"/>
              </w:rPr>
            </w:pPr>
            <w:r w:rsidRPr="008057D9">
              <w:rPr>
                <w:rFonts w:eastAsia="Calibri"/>
                <w:sz w:val="20"/>
              </w:rPr>
              <w:t xml:space="preserve">Insurance law – Automobile insurance – Third party action against insurer for coverage under policy’s Family Protection Endorsement – Meaning of “principally dependent” parent – Whether insurers should be held liable under Family Protection Endorsement of motor vehicle policy to relatives on holiday paid for by policy holder. </w:t>
            </w:r>
          </w:p>
          <w:p w:rsidR="00BC3E52" w:rsidRPr="008057D9" w:rsidRDefault="00BC3E52" w:rsidP="004B52FA">
            <w:pPr>
              <w:jc w:val="both"/>
              <w:rPr>
                <w:rFonts w:eastAsia="Calibri"/>
                <w:sz w:val="20"/>
              </w:rPr>
            </w:pPr>
          </w:p>
        </w:tc>
      </w:tr>
      <w:tr w:rsidR="00BC3E52" w:rsidRPr="008057D9" w:rsidTr="004B52FA">
        <w:tc>
          <w:tcPr>
            <w:tcW w:w="5000" w:type="pct"/>
            <w:gridSpan w:val="3"/>
          </w:tcPr>
          <w:p w:rsidR="00BC3E52" w:rsidRPr="008057D9" w:rsidRDefault="00BC3E52" w:rsidP="004B52FA">
            <w:pPr>
              <w:jc w:val="both"/>
              <w:rPr>
                <w:rFonts w:eastAsia="Calibri"/>
                <w:sz w:val="20"/>
              </w:rPr>
            </w:pPr>
            <w:r w:rsidRPr="008057D9">
              <w:rPr>
                <w:rFonts w:eastAsia="Calibri"/>
                <w:sz w:val="20"/>
              </w:rPr>
              <w:lastRenderedPageBreak/>
              <w:t>The respondents, Clement and Eileen Drover, had accepted their son’s offer of an all-expense-paid vacation to Florida from Newfoundland in return for their looking after his four children as needed.  The vehicle rented and driven by their son, Wade Drover, was rear-ended as the family drove from Orlando airport to their rental vacation home.  Injured parties included the respondents.  The Drovers sued for coverage under the S.E.F. 44 Endorsement and Supplement of their son’s automobile insurance policy on the grounds that, as a result of their agreement with him, they were “principally dependent” upon their son while in Florida, as required by the policy Endorsement.  The insurer, Scottish &amp; York, applied for a summary trial and dismissal of the claim, arguing the parents were neither residing with their son nor principally dependent upon him.</w:t>
            </w:r>
          </w:p>
        </w:tc>
      </w:tr>
      <w:tr w:rsidR="00BC3E52" w:rsidRPr="008057D9" w:rsidTr="004B52FA">
        <w:tc>
          <w:tcPr>
            <w:tcW w:w="5000" w:type="pct"/>
            <w:gridSpan w:val="3"/>
          </w:tcPr>
          <w:p w:rsidR="00BC3E52" w:rsidRPr="008057D9" w:rsidRDefault="00BC3E52" w:rsidP="004B52FA">
            <w:pPr>
              <w:jc w:val="both"/>
              <w:rPr>
                <w:rFonts w:eastAsia="Calibri"/>
                <w:sz w:val="20"/>
              </w:rPr>
            </w:pPr>
          </w:p>
          <w:p w:rsidR="00BC3E52" w:rsidRPr="008057D9" w:rsidRDefault="00BC3E52" w:rsidP="004B52FA">
            <w:pPr>
              <w:jc w:val="both"/>
              <w:rPr>
                <w:rFonts w:eastAsia="Calibri"/>
                <w:sz w:val="20"/>
              </w:rPr>
            </w:pPr>
            <w:r w:rsidRPr="008057D9">
              <w:rPr>
                <w:rFonts w:eastAsia="Calibri"/>
                <w:sz w:val="20"/>
              </w:rPr>
              <w:t>The Newfoundland and Labrador Supreme Court, Trial Division, dismissed the insurer’s application for summary judgment with costs on a party and party basis.  The majority of the Court of Appeal (White J.A., dissenting) dismissed the insurer’s appeal and the cross-appeal on costs.</w:t>
            </w: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October 28, 2013</w:t>
            </w:r>
          </w:p>
          <w:p w:rsidR="00BC3E52" w:rsidRPr="008057D9" w:rsidRDefault="00BC3E52" w:rsidP="004B52FA">
            <w:pPr>
              <w:jc w:val="both"/>
              <w:rPr>
                <w:rFonts w:eastAsia="Calibri"/>
                <w:sz w:val="20"/>
              </w:rPr>
            </w:pPr>
            <w:r w:rsidRPr="008057D9">
              <w:rPr>
                <w:rFonts w:eastAsia="Calibri"/>
                <w:sz w:val="20"/>
              </w:rPr>
              <w:t xml:space="preserve">Supreme Court of Newfoundland &amp; Labrador, </w:t>
            </w:r>
          </w:p>
          <w:p w:rsidR="00BC3E52" w:rsidRPr="008057D9" w:rsidRDefault="00BC3E52" w:rsidP="004B52FA">
            <w:pPr>
              <w:jc w:val="both"/>
              <w:rPr>
                <w:rFonts w:eastAsia="Calibri"/>
                <w:sz w:val="20"/>
              </w:rPr>
            </w:pPr>
            <w:r w:rsidRPr="008057D9">
              <w:rPr>
                <w:rFonts w:eastAsia="Calibri"/>
                <w:sz w:val="20"/>
              </w:rPr>
              <w:t>Trial Division</w:t>
            </w:r>
          </w:p>
          <w:p w:rsidR="00BC3E52" w:rsidRPr="008057D9" w:rsidRDefault="00BC3E52" w:rsidP="004B52FA">
            <w:pPr>
              <w:jc w:val="both"/>
              <w:rPr>
                <w:rFonts w:eastAsia="Calibri"/>
                <w:sz w:val="20"/>
              </w:rPr>
            </w:pPr>
            <w:r w:rsidRPr="008057D9">
              <w:rPr>
                <w:rFonts w:eastAsia="Calibri"/>
                <w:sz w:val="20"/>
              </w:rPr>
              <w:t>(Halley J.)</w:t>
            </w:r>
          </w:p>
          <w:p w:rsidR="00BC3E52" w:rsidRPr="008057D9" w:rsidRDefault="00BC3E52" w:rsidP="004B52FA">
            <w:pPr>
              <w:jc w:val="both"/>
              <w:rPr>
                <w:rFonts w:eastAsia="Calibri"/>
                <w:sz w:val="20"/>
              </w:rPr>
            </w:pPr>
            <w:r w:rsidRPr="008057D9">
              <w:rPr>
                <w:rFonts w:eastAsia="Calibri"/>
                <w:sz w:val="20"/>
              </w:rPr>
              <w:t xml:space="preserve">Neutral citation: </w:t>
            </w:r>
            <w:hyperlink r:id="rId41" w:history="1">
              <w:r w:rsidRPr="008057D9">
                <w:rPr>
                  <w:rFonts w:eastAsia="Calibri"/>
                  <w:color w:val="0000FF"/>
                  <w:sz w:val="20"/>
                  <w:u w:val="single"/>
                </w:rPr>
                <w:t>2013 NLTD(G) 150</w:t>
              </w:r>
            </w:hyperlink>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Applicant’s application for summary judgment, dismissed with party and party costs.</w:t>
            </w: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August 27, 2014</w:t>
            </w:r>
          </w:p>
          <w:p w:rsidR="00BC3E52" w:rsidRPr="008057D9" w:rsidRDefault="00BC3E52" w:rsidP="004B52FA">
            <w:pPr>
              <w:jc w:val="both"/>
              <w:rPr>
                <w:rFonts w:eastAsia="Calibri"/>
                <w:sz w:val="20"/>
              </w:rPr>
            </w:pPr>
            <w:r w:rsidRPr="008057D9">
              <w:rPr>
                <w:rFonts w:eastAsia="Calibri"/>
                <w:sz w:val="20"/>
              </w:rPr>
              <w:t xml:space="preserve">Supreme Court of Newfoundland and </w:t>
            </w:r>
          </w:p>
          <w:p w:rsidR="00BC3E52" w:rsidRPr="008057D9" w:rsidRDefault="00BC3E52" w:rsidP="004B52FA">
            <w:pPr>
              <w:jc w:val="both"/>
              <w:rPr>
                <w:rFonts w:eastAsia="Calibri"/>
                <w:sz w:val="20"/>
              </w:rPr>
            </w:pPr>
            <w:r w:rsidRPr="008057D9">
              <w:rPr>
                <w:rFonts w:eastAsia="Calibri"/>
                <w:sz w:val="20"/>
              </w:rPr>
              <w:t>Labrador – Court of Appeal</w:t>
            </w:r>
          </w:p>
          <w:p w:rsidR="00BC3E52" w:rsidRPr="008057D9" w:rsidRDefault="00BC3E52" w:rsidP="004B52FA">
            <w:pPr>
              <w:jc w:val="both"/>
              <w:rPr>
                <w:rFonts w:eastAsia="Calibri"/>
                <w:sz w:val="20"/>
              </w:rPr>
            </w:pPr>
            <w:r w:rsidRPr="008057D9">
              <w:rPr>
                <w:rFonts w:eastAsia="Calibri"/>
                <w:sz w:val="20"/>
              </w:rPr>
              <w:t>(Barry, Hoegg and White (dissenting) JJ.A.)</w:t>
            </w:r>
          </w:p>
          <w:p w:rsidR="00BC3E52" w:rsidRPr="008057D9" w:rsidRDefault="00BC3E52" w:rsidP="004B52FA">
            <w:pPr>
              <w:jc w:val="both"/>
              <w:rPr>
                <w:rFonts w:eastAsia="Calibri"/>
                <w:sz w:val="20"/>
              </w:rPr>
            </w:pPr>
            <w:r w:rsidRPr="008057D9">
              <w:rPr>
                <w:rFonts w:eastAsia="Calibri"/>
                <w:sz w:val="20"/>
              </w:rPr>
              <w:t xml:space="preserve">Neutral citation: </w:t>
            </w:r>
            <w:hyperlink r:id="rId42" w:history="1">
              <w:r w:rsidRPr="008057D9">
                <w:rPr>
                  <w:rFonts w:eastAsia="Calibri"/>
                  <w:color w:val="0000FF"/>
                  <w:sz w:val="20"/>
                  <w:u w:val="single"/>
                </w:rPr>
                <w:t>2014 NLCA 31</w:t>
              </w:r>
            </w:hyperlink>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Applicant’s appeal, dismissed with party and party costs (White J.A. dissenting).</w:t>
            </w:r>
          </w:p>
          <w:p w:rsidR="00BC3E52" w:rsidRPr="008057D9" w:rsidRDefault="00BC3E52" w:rsidP="004B52FA">
            <w:pPr>
              <w:jc w:val="both"/>
              <w:rPr>
                <w:rFonts w:eastAsia="Calibri"/>
                <w:sz w:val="20"/>
              </w:rPr>
            </w:pPr>
          </w:p>
          <w:p w:rsidR="00BC3E52" w:rsidRPr="008057D9" w:rsidRDefault="00BC3E52" w:rsidP="004B52FA">
            <w:pPr>
              <w:jc w:val="both"/>
              <w:rPr>
                <w:rFonts w:eastAsia="Calibri"/>
                <w:sz w:val="20"/>
              </w:rPr>
            </w:pP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October 24, 2014</w:t>
            </w:r>
          </w:p>
          <w:p w:rsidR="00BC3E52" w:rsidRPr="008057D9" w:rsidRDefault="00BC3E52" w:rsidP="004B52FA">
            <w:pPr>
              <w:jc w:val="both"/>
              <w:rPr>
                <w:rFonts w:eastAsia="Calibri"/>
                <w:sz w:val="20"/>
              </w:rPr>
            </w:pPr>
            <w:r w:rsidRPr="008057D9">
              <w:rPr>
                <w:rFonts w:eastAsia="Calibri"/>
                <w:sz w:val="20"/>
              </w:rPr>
              <w:t>Supreme Court of Canada</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Application for leave to appeal, filed.</w:t>
            </w:r>
          </w:p>
          <w:p w:rsidR="00BC3E52" w:rsidRPr="008057D9" w:rsidRDefault="00BC3E52" w:rsidP="004B52FA">
            <w:pPr>
              <w:jc w:val="both"/>
              <w:rPr>
                <w:rFonts w:eastAsia="Calibri"/>
                <w:sz w:val="20"/>
              </w:rPr>
            </w:pP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December 11, 2014</w:t>
            </w:r>
          </w:p>
          <w:p w:rsidR="00BC3E52" w:rsidRPr="008057D9" w:rsidRDefault="00BC3E52" w:rsidP="004B52FA">
            <w:pPr>
              <w:jc w:val="both"/>
              <w:rPr>
                <w:rFonts w:eastAsia="Calibri"/>
                <w:sz w:val="20"/>
              </w:rPr>
            </w:pPr>
            <w:r w:rsidRPr="008057D9">
              <w:rPr>
                <w:rFonts w:eastAsia="Calibri"/>
                <w:sz w:val="20"/>
              </w:rPr>
              <w:t>Supreme Court of Canada</w:t>
            </w: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Respondents’ motion to extend time to file response to application for leave to appeal, filed.</w:t>
            </w:r>
          </w:p>
        </w:tc>
      </w:tr>
    </w:tbl>
    <w:p w:rsidR="003977D9" w:rsidRDefault="003977D9" w:rsidP="003977D9">
      <w:pPr>
        <w:rPr>
          <w:sz w:val="20"/>
          <w:szCs w:val="20"/>
        </w:rPr>
      </w:pPr>
    </w:p>
    <w:p w:rsidR="003977D9" w:rsidRPr="00C50A5C" w:rsidRDefault="00173D9D" w:rsidP="003977D9">
      <w:pPr>
        <w:rPr>
          <w:sz w:val="20"/>
          <w:szCs w:val="20"/>
        </w:rPr>
      </w:pPr>
      <w:r>
        <w:rPr>
          <w:sz w:val="20"/>
          <w:szCs w:val="20"/>
          <w:lang w:val="fr-CA"/>
        </w:rPr>
        <w:pict>
          <v:rect id="_x0000_i1044" style="width:2in;height:1pt" o:hrpct="0" o:hralign="center" o:hrstd="t" o:hrnoshade="t" o:hr="t" fillcolor="black [3213]" stroked="f"/>
        </w:pict>
      </w:r>
    </w:p>
    <w:p w:rsidR="003977D9" w:rsidRDefault="003977D9" w:rsidP="003977D9">
      <w:pPr>
        <w:rPr>
          <w:sz w:val="20"/>
          <w:szCs w:val="20"/>
        </w:rPr>
      </w:pPr>
    </w:p>
    <w:p w:rsidR="003977D9" w:rsidRPr="001B157C" w:rsidRDefault="003977D9" w:rsidP="003977D9">
      <w:pPr>
        <w:rPr>
          <w:sz w:val="20"/>
          <w:szCs w:val="20"/>
          <w:u w:val="single"/>
          <w:lang w:val="fr-CA"/>
        </w:rPr>
      </w:pPr>
      <w:r w:rsidRPr="001B157C">
        <w:rPr>
          <w:sz w:val="20"/>
          <w:szCs w:val="20"/>
          <w:u w:val="single"/>
          <w:lang w:val="fr-CA"/>
        </w:rPr>
        <w:t>RÉSUMÉ DE L’AFFAIRE</w:t>
      </w:r>
    </w:p>
    <w:p w:rsidR="003977D9" w:rsidRDefault="003977D9" w:rsidP="003977D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3E52" w:rsidRPr="00EC49A7" w:rsidTr="004B52FA">
        <w:tc>
          <w:tcPr>
            <w:tcW w:w="5000" w:type="pct"/>
            <w:gridSpan w:val="3"/>
          </w:tcPr>
          <w:p w:rsidR="00BC3E52" w:rsidRPr="008057D9" w:rsidRDefault="00BC3E52" w:rsidP="004B52FA">
            <w:pPr>
              <w:jc w:val="both"/>
              <w:rPr>
                <w:rFonts w:eastAsia="Calibri"/>
                <w:sz w:val="20"/>
                <w:lang w:val="fr-CA"/>
              </w:rPr>
            </w:pPr>
            <w:r w:rsidRPr="008057D9">
              <w:rPr>
                <w:rFonts w:eastAsia="Calibri"/>
                <w:sz w:val="20"/>
                <w:lang w:val="fr-CA"/>
              </w:rPr>
              <w:t>Droit des assurances – Assurance automobile – Recours en garantie contre un assureur fondé sur l’avenant de protection familiale stipulé dans la police – En ce qui concerne un parent, sens de l’expression [</w:t>
            </w:r>
            <w:r w:rsidRPr="008057D9">
              <w:rPr>
                <w:rFonts w:eastAsia="Calibri"/>
                <w:smallCaps/>
                <w:sz w:val="20"/>
                <w:lang w:val="fr-CA"/>
              </w:rPr>
              <w:t>traduction</w:t>
            </w:r>
            <w:r w:rsidRPr="008057D9">
              <w:rPr>
                <w:rFonts w:eastAsia="Calibri"/>
                <w:sz w:val="20"/>
                <w:lang w:val="fr-CA"/>
              </w:rPr>
              <w:t xml:space="preserve">] « principalement à charge » – Les assureurs doivent-ils être tenus responsables, en application de l’avenant de protection familiale stipulé dans une police d’assurance automobile, envers les membres d’une famille en vacances payées par le titulaire de la police? </w:t>
            </w:r>
          </w:p>
          <w:p w:rsidR="00BC3E52" w:rsidRPr="008057D9" w:rsidRDefault="00BC3E52" w:rsidP="004B52FA">
            <w:pPr>
              <w:jc w:val="both"/>
              <w:rPr>
                <w:rFonts w:eastAsia="Calibri"/>
                <w:sz w:val="20"/>
                <w:lang w:val="fr-CA"/>
              </w:rPr>
            </w:pPr>
          </w:p>
        </w:tc>
      </w:tr>
      <w:tr w:rsidR="00BC3E52" w:rsidRPr="00EC49A7" w:rsidTr="004B52FA">
        <w:tc>
          <w:tcPr>
            <w:tcW w:w="5000" w:type="pct"/>
            <w:gridSpan w:val="3"/>
          </w:tcPr>
          <w:p w:rsidR="00BC3E52" w:rsidRPr="008057D9" w:rsidRDefault="00BC3E52" w:rsidP="004B52FA">
            <w:pPr>
              <w:jc w:val="both"/>
              <w:rPr>
                <w:rFonts w:eastAsia="Calibri"/>
                <w:sz w:val="20"/>
                <w:lang w:val="fr-CA"/>
              </w:rPr>
            </w:pPr>
            <w:r w:rsidRPr="008057D9">
              <w:rPr>
                <w:rFonts w:eastAsia="Calibri"/>
                <w:sz w:val="20"/>
                <w:lang w:val="fr-CA"/>
              </w:rPr>
              <w:t>Les intimés, Clement et Eileen Drover, avaient accepté l’offre de leur fils de passer des vacances toutes dépenses payées en Floride à partir de Terre-Neuve en échange de quoi ils allaient garder ses quatre enfants au besoin.  Le véhicule loué et conduit par leur fils, Wade Drover, a été embouti à l’arrière alors que la famille se dirigeait de l’aéroport d’Orlando vers leur maison de villégiature de location.  Les intimés faisaient partie des blessés.  Les Drover ont intenté un recours en garantie fondé sur l’avenant S.E.F. 44 à la police d’assurance automobile de leur fils, plaidant que, en conséquence de leur entente avec lui, ils étaient « principalement à charge » de leur fils pendant qu’ils se trouvaient en Floride, comme l’exige l’avenant à la police.  L’assureur, Scottish &amp; York, a demandé un procès par voie sommaire et le rejet du recours, plaidant que les parents ne résidaient pas avec leur fils et qu’ils n’étaient pas non plus principalement à sa charge.</w:t>
            </w:r>
          </w:p>
        </w:tc>
      </w:tr>
      <w:tr w:rsidR="00BC3E52" w:rsidRPr="00EC49A7" w:rsidTr="004B52FA">
        <w:tc>
          <w:tcPr>
            <w:tcW w:w="5000" w:type="pct"/>
            <w:gridSpan w:val="3"/>
          </w:tcPr>
          <w:p w:rsidR="00BC3E52" w:rsidRPr="008057D9" w:rsidRDefault="00BC3E52" w:rsidP="004B52FA">
            <w:pPr>
              <w:jc w:val="both"/>
              <w:rPr>
                <w:rFonts w:eastAsia="Calibri"/>
                <w:sz w:val="20"/>
                <w:lang w:val="fr-CA"/>
              </w:rPr>
            </w:pPr>
          </w:p>
          <w:p w:rsidR="00BC3E52" w:rsidRPr="008057D9" w:rsidRDefault="00BC3E52" w:rsidP="004B52FA">
            <w:pPr>
              <w:jc w:val="both"/>
              <w:rPr>
                <w:rFonts w:eastAsia="Calibri"/>
                <w:sz w:val="20"/>
                <w:lang w:val="fr-CA"/>
              </w:rPr>
            </w:pPr>
            <w:r w:rsidRPr="008057D9">
              <w:rPr>
                <w:rFonts w:eastAsia="Calibri"/>
                <w:sz w:val="20"/>
                <w:lang w:val="fr-CA"/>
              </w:rPr>
              <w:t>La Cour suprême de Terre-Neuve-et-Labrador, Section de première instance, a rejeté la demande de jugement sommaire avec dépens entre parties.  Les juges majoritaires de la Cour d’appel (le juge White dissident) a rejeté l’appel de l’assureur et l’appel incident quant aux dépens.</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28 octobre 2013</w:t>
            </w:r>
          </w:p>
          <w:p w:rsidR="00BC3E52" w:rsidRPr="008057D9" w:rsidRDefault="00BC3E52" w:rsidP="004B52FA">
            <w:pPr>
              <w:jc w:val="both"/>
              <w:rPr>
                <w:rFonts w:eastAsia="Calibri"/>
                <w:sz w:val="20"/>
                <w:lang w:val="fr-CA"/>
              </w:rPr>
            </w:pPr>
            <w:r w:rsidRPr="008057D9">
              <w:rPr>
                <w:rFonts w:eastAsia="Calibri"/>
                <w:sz w:val="20"/>
                <w:lang w:val="fr-CA"/>
              </w:rPr>
              <w:t xml:space="preserve">Cour suprême de Terre-Neuve-et-Labrador, </w:t>
            </w:r>
          </w:p>
          <w:p w:rsidR="00BC3E52" w:rsidRPr="008057D9" w:rsidRDefault="00BC3E52" w:rsidP="004B52FA">
            <w:pPr>
              <w:jc w:val="both"/>
              <w:rPr>
                <w:rFonts w:eastAsia="Calibri"/>
                <w:sz w:val="20"/>
                <w:lang w:val="fr-CA"/>
              </w:rPr>
            </w:pPr>
            <w:r w:rsidRPr="008057D9">
              <w:rPr>
                <w:rFonts w:eastAsia="Calibri"/>
                <w:sz w:val="20"/>
                <w:lang w:val="fr-CA"/>
              </w:rPr>
              <w:t>Section de première instance</w:t>
            </w:r>
          </w:p>
          <w:p w:rsidR="00BC3E52" w:rsidRPr="008057D9" w:rsidRDefault="00BC3E52" w:rsidP="004B52FA">
            <w:pPr>
              <w:jc w:val="both"/>
              <w:rPr>
                <w:rFonts w:eastAsia="Calibri"/>
                <w:sz w:val="20"/>
                <w:lang w:val="fr-CA"/>
              </w:rPr>
            </w:pPr>
            <w:r w:rsidRPr="008057D9">
              <w:rPr>
                <w:rFonts w:eastAsia="Calibri"/>
                <w:sz w:val="20"/>
                <w:lang w:val="fr-CA"/>
              </w:rPr>
              <w:t>(Juge Halley)</w:t>
            </w:r>
          </w:p>
          <w:p w:rsidR="00BC3E52" w:rsidRPr="008057D9" w:rsidRDefault="00BC3E52" w:rsidP="004B52FA">
            <w:pPr>
              <w:jc w:val="both"/>
              <w:rPr>
                <w:rFonts w:eastAsia="Calibri"/>
                <w:sz w:val="20"/>
                <w:lang w:val="fr-CA"/>
              </w:rPr>
            </w:pPr>
            <w:r w:rsidRPr="008057D9">
              <w:rPr>
                <w:rFonts w:eastAsia="Calibri"/>
                <w:sz w:val="20"/>
                <w:lang w:val="fr-CA"/>
              </w:rPr>
              <w:t xml:space="preserve">Référence neutre : </w:t>
            </w:r>
            <w:hyperlink r:id="rId43" w:history="1">
              <w:r w:rsidRPr="008057D9">
                <w:rPr>
                  <w:rFonts w:eastAsia="Calibri"/>
                  <w:color w:val="0000FF"/>
                  <w:sz w:val="20"/>
                  <w:u w:val="single"/>
                  <w:lang w:val="fr-CA"/>
                </w:rPr>
                <w:t>2013 NLTD(G) 150</w:t>
              </w:r>
            </w:hyperlink>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Rejet de la demande de la demanderesse en jugement sommaire avec dépens entre parties.</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27 août 2014</w:t>
            </w:r>
          </w:p>
          <w:p w:rsidR="00BC3E52" w:rsidRPr="008057D9" w:rsidRDefault="00BC3E52" w:rsidP="004B52FA">
            <w:pPr>
              <w:jc w:val="both"/>
              <w:rPr>
                <w:rFonts w:eastAsia="Calibri"/>
                <w:sz w:val="20"/>
                <w:lang w:val="fr-CA"/>
              </w:rPr>
            </w:pPr>
            <w:r w:rsidRPr="008057D9">
              <w:rPr>
                <w:rFonts w:eastAsia="Calibri"/>
                <w:sz w:val="20"/>
                <w:lang w:val="fr-CA"/>
              </w:rPr>
              <w:t>Cour suprême de Terre-Neuve-et-Labrador – Cour d’appel</w:t>
            </w:r>
          </w:p>
          <w:p w:rsidR="00BC3E52" w:rsidRPr="008057D9" w:rsidRDefault="00BC3E52" w:rsidP="004B52FA">
            <w:pPr>
              <w:jc w:val="both"/>
              <w:rPr>
                <w:rFonts w:eastAsia="Calibri"/>
                <w:sz w:val="20"/>
              </w:rPr>
            </w:pPr>
            <w:r w:rsidRPr="008057D9">
              <w:rPr>
                <w:rFonts w:eastAsia="Calibri"/>
                <w:sz w:val="20"/>
              </w:rPr>
              <w:t>(Juges Barry, Hoegg et White)</w:t>
            </w:r>
          </w:p>
          <w:p w:rsidR="00BC3E52" w:rsidRPr="008057D9" w:rsidRDefault="00BC3E52" w:rsidP="004B52FA">
            <w:pPr>
              <w:jc w:val="both"/>
              <w:rPr>
                <w:rFonts w:eastAsia="Calibri"/>
                <w:sz w:val="20"/>
                <w:lang w:val="fr-CA"/>
              </w:rPr>
            </w:pPr>
            <w:r w:rsidRPr="008057D9">
              <w:rPr>
                <w:rFonts w:eastAsia="Calibri"/>
                <w:sz w:val="20"/>
                <w:lang w:val="fr-CA"/>
              </w:rPr>
              <w:t xml:space="preserve">Référence neutre : </w:t>
            </w:r>
            <w:hyperlink r:id="rId44" w:history="1">
              <w:r w:rsidRPr="008057D9">
                <w:rPr>
                  <w:rFonts w:eastAsia="Calibri"/>
                  <w:color w:val="0000FF"/>
                  <w:sz w:val="20"/>
                  <w:u w:val="single"/>
                  <w:lang w:val="fr-CA"/>
                </w:rPr>
                <w:t>2014 NLCA 31</w:t>
              </w:r>
            </w:hyperlink>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Rejet de l’appel de la demanderesse (le juge White dissident).</w:t>
            </w:r>
          </w:p>
          <w:p w:rsidR="00BC3E52" w:rsidRPr="008057D9" w:rsidRDefault="00BC3E52" w:rsidP="004B52FA">
            <w:pPr>
              <w:jc w:val="both"/>
              <w:rPr>
                <w:rFonts w:eastAsia="Calibri"/>
                <w:sz w:val="20"/>
                <w:lang w:val="fr-CA"/>
              </w:rPr>
            </w:pPr>
          </w:p>
          <w:p w:rsidR="00BC3E52" w:rsidRPr="008057D9" w:rsidRDefault="00BC3E52" w:rsidP="004B52FA">
            <w:pPr>
              <w:jc w:val="both"/>
              <w:rPr>
                <w:rFonts w:eastAsia="Calibri"/>
                <w:sz w:val="20"/>
                <w:lang w:val="fr-CA"/>
              </w:rPr>
            </w:pP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24 octobre 2014</w:t>
            </w:r>
          </w:p>
          <w:p w:rsidR="00BC3E52" w:rsidRPr="008057D9" w:rsidRDefault="00BC3E52" w:rsidP="004B52FA">
            <w:pPr>
              <w:jc w:val="both"/>
              <w:rPr>
                <w:rFonts w:eastAsia="Calibri"/>
                <w:sz w:val="20"/>
                <w:lang w:val="fr-CA"/>
              </w:rPr>
            </w:pPr>
            <w:r w:rsidRPr="008057D9">
              <w:rPr>
                <w:rFonts w:eastAsia="Calibri"/>
                <w:sz w:val="20"/>
                <w:lang w:val="fr-CA"/>
              </w:rPr>
              <w:t>Cour suprême du Canada</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Dépôt de la demande d’autorisation d’appel.</w:t>
            </w:r>
          </w:p>
          <w:p w:rsidR="00BC3E52" w:rsidRPr="008057D9" w:rsidRDefault="00BC3E52" w:rsidP="004B52FA">
            <w:pPr>
              <w:jc w:val="both"/>
              <w:rPr>
                <w:rFonts w:eastAsia="Calibri"/>
                <w:sz w:val="20"/>
                <w:lang w:val="fr-CA"/>
              </w:rPr>
            </w:pP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11 décembre 2014</w:t>
            </w:r>
          </w:p>
          <w:p w:rsidR="00BC3E52" w:rsidRPr="008057D9" w:rsidRDefault="00BC3E52" w:rsidP="004B52FA">
            <w:pPr>
              <w:jc w:val="both"/>
              <w:rPr>
                <w:rFonts w:eastAsia="Calibri"/>
                <w:sz w:val="20"/>
                <w:lang w:val="fr-CA"/>
              </w:rPr>
            </w:pPr>
            <w:r w:rsidRPr="008057D9">
              <w:rPr>
                <w:rFonts w:eastAsia="Calibri"/>
                <w:sz w:val="20"/>
                <w:lang w:val="fr-CA"/>
              </w:rPr>
              <w:t>Cour suprême du Canada</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Dépôt de la requête des intimés en prorogation du délai de dépôt de la réponse à la demande d’autorisation d’appel.</w:t>
            </w:r>
          </w:p>
        </w:tc>
      </w:tr>
    </w:tbl>
    <w:p w:rsidR="003977D9" w:rsidRPr="00BC3E52" w:rsidRDefault="003977D9" w:rsidP="003977D9">
      <w:pPr>
        <w:rPr>
          <w:sz w:val="20"/>
          <w:szCs w:val="20"/>
          <w:lang w:val="fr-CA"/>
        </w:rPr>
      </w:pPr>
    </w:p>
    <w:p w:rsidR="003977D9" w:rsidRDefault="00173D9D" w:rsidP="003977D9">
      <w:pPr>
        <w:rPr>
          <w:sz w:val="20"/>
          <w:szCs w:val="20"/>
          <w:lang w:val="fr-CA"/>
        </w:rPr>
      </w:pPr>
      <w:r>
        <w:rPr>
          <w:sz w:val="20"/>
          <w:szCs w:val="20"/>
          <w:lang w:val="fr-CA"/>
        </w:rPr>
        <w:pict>
          <v:rect id="_x0000_i1045" style="width:2in;height:1pt" o:hrpct="0" o:hralign="center" o:hrstd="t" o:hrnoshade="t" o:hr="t" fillcolor="black [3213]" stroked="f"/>
        </w:pict>
      </w:r>
    </w:p>
    <w:p w:rsidR="003977D9" w:rsidRDefault="003977D9" w:rsidP="003977D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4799" w:rsidRPr="00032B5D" w:rsidTr="00574799">
        <w:trPr>
          <w:cantSplit/>
        </w:trPr>
        <w:tc>
          <w:tcPr>
            <w:tcW w:w="1458" w:type="dxa"/>
          </w:tcPr>
          <w:p w:rsidR="00574799" w:rsidRPr="00032B5D" w:rsidRDefault="00574799" w:rsidP="00574799">
            <w:pPr>
              <w:rPr>
                <w:sz w:val="20"/>
                <w:szCs w:val="20"/>
              </w:rPr>
            </w:pPr>
            <w:r w:rsidRPr="00032B5D">
              <w:rPr>
                <w:rStyle w:val="SCCFileNumberChar"/>
                <w:sz w:val="20"/>
                <w:szCs w:val="20"/>
              </w:rPr>
              <w:t>36157</w:t>
            </w:r>
          </w:p>
          <w:p w:rsidR="00574799" w:rsidRPr="00032B5D" w:rsidRDefault="00574799" w:rsidP="00574799">
            <w:pPr>
              <w:rPr>
                <w:b/>
                <w:sz w:val="20"/>
                <w:szCs w:val="20"/>
                <w:lang w:val="fr-CA"/>
              </w:rPr>
            </w:pPr>
          </w:p>
        </w:tc>
        <w:tc>
          <w:tcPr>
            <w:tcW w:w="8118" w:type="dxa"/>
          </w:tcPr>
          <w:p w:rsidR="00574799" w:rsidRPr="00032B5D" w:rsidRDefault="00574799" w:rsidP="00574799">
            <w:pPr>
              <w:jc w:val="both"/>
              <w:rPr>
                <w:sz w:val="20"/>
                <w:szCs w:val="20"/>
              </w:rPr>
            </w:pPr>
            <w:r w:rsidRPr="00574799">
              <w:rPr>
                <w:rStyle w:val="SCCLsocChar"/>
                <w:sz w:val="20"/>
                <w:szCs w:val="20"/>
                <w:lang w:val="en-CA"/>
              </w:rPr>
              <w:t>ELS Marketing Inc., Core Logistics International Inc., Core Logistics International Inc. carrying on business as ELS Marketing Limited Partnership and ELS Marketing Limited Patnership v. WestJet</w:t>
            </w:r>
            <w:r w:rsidRPr="00032B5D">
              <w:rPr>
                <w:sz w:val="20"/>
                <w:szCs w:val="20"/>
              </w:rPr>
              <w:t xml:space="preserve"> (Alta.) (Civil) (By Leave)</w:t>
            </w:r>
          </w:p>
          <w:p w:rsidR="00574799" w:rsidRPr="00032B5D" w:rsidRDefault="00574799" w:rsidP="00574799">
            <w:pPr>
              <w:jc w:val="both"/>
              <w:rPr>
                <w:sz w:val="20"/>
                <w:szCs w:val="20"/>
              </w:rPr>
            </w:pPr>
          </w:p>
        </w:tc>
      </w:tr>
      <w:tr w:rsidR="00574799" w:rsidRPr="00032B5D" w:rsidTr="00574799">
        <w:trPr>
          <w:cantSplit/>
        </w:trPr>
        <w:tc>
          <w:tcPr>
            <w:tcW w:w="1458" w:type="dxa"/>
          </w:tcPr>
          <w:p w:rsidR="00574799" w:rsidRPr="00032B5D" w:rsidRDefault="00574799" w:rsidP="00574799">
            <w:pPr>
              <w:rPr>
                <w:sz w:val="20"/>
                <w:szCs w:val="20"/>
              </w:rPr>
            </w:pPr>
            <w:r w:rsidRPr="00032B5D">
              <w:rPr>
                <w:sz w:val="20"/>
                <w:szCs w:val="20"/>
              </w:rPr>
              <w:t>Coram :</w:t>
            </w:r>
          </w:p>
        </w:tc>
        <w:tc>
          <w:tcPr>
            <w:tcW w:w="8118" w:type="dxa"/>
          </w:tcPr>
          <w:p w:rsidR="00574799" w:rsidRPr="00032B5D" w:rsidRDefault="00574799" w:rsidP="00574799">
            <w:pPr>
              <w:rPr>
                <w:sz w:val="20"/>
                <w:szCs w:val="20"/>
              </w:rPr>
            </w:pPr>
            <w:r w:rsidRPr="00574799">
              <w:rPr>
                <w:rStyle w:val="SCCCoramChar"/>
                <w:sz w:val="20"/>
                <w:szCs w:val="20"/>
                <w:lang w:val="en-CA"/>
              </w:rPr>
              <w:t>McLachlin C.J. and Wagner and Gascon JJ.</w:t>
            </w:r>
          </w:p>
          <w:p w:rsidR="00574799" w:rsidRPr="00032B5D" w:rsidRDefault="00574799" w:rsidP="00574799">
            <w:pPr>
              <w:rPr>
                <w:sz w:val="20"/>
                <w:szCs w:val="20"/>
                <w:u w:val="single"/>
              </w:rPr>
            </w:pPr>
          </w:p>
        </w:tc>
      </w:tr>
      <w:tr w:rsidR="00574799" w:rsidRPr="00EC49A7" w:rsidTr="00574799">
        <w:trPr>
          <w:cantSplit/>
        </w:trPr>
        <w:tc>
          <w:tcPr>
            <w:tcW w:w="9576" w:type="dxa"/>
            <w:gridSpan w:val="2"/>
          </w:tcPr>
          <w:p w:rsidR="00574799" w:rsidRPr="00032B5D" w:rsidRDefault="00574799" w:rsidP="00574799">
            <w:pPr>
              <w:pStyle w:val="SCCShortJudgment"/>
              <w:rPr>
                <w:szCs w:val="20"/>
              </w:rPr>
            </w:pPr>
            <w:r w:rsidRPr="00032B5D">
              <w:rPr>
                <w:szCs w:val="20"/>
              </w:rPr>
              <w:t>The motion for an extension of time to serve and file the application for leave to appeal is granted.  The motion for an extension of time to serve and file the respondent’s response is granted.  The application for leave to appeal from the judgment of the Court of Appeal of Alberta (Calgary), Number 1401-0029-AC, 2014 ABCA 299, dated September 11, 2014, is dismissed with costs.</w:t>
            </w:r>
          </w:p>
          <w:p w:rsidR="00574799" w:rsidRPr="00032B5D" w:rsidRDefault="00574799" w:rsidP="00574799">
            <w:pPr>
              <w:pStyle w:val="SCCShortJudgment"/>
              <w:ind w:firstLine="0"/>
              <w:rPr>
                <w:szCs w:val="20"/>
              </w:rPr>
            </w:pPr>
          </w:p>
          <w:p w:rsidR="00574799" w:rsidRPr="00032B5D" w:rsidRDefault="00574799" w:rsidP="00574799">
            <w:pPr>
              <w:pStyle w:val="SCCShortJudgment"/>
              <w:rPr>
                <w:szCs w:val="20"/>
                <w:lang w:val="fr-CA"/>
              </w:rPr>
            </w:pPr>
            <w:r w:rsidRPr="00032B5D">
              <w:rPr>
                <w:szCs w:val="20"/>
                <w:lang w:val="fr-CA"/>
              </w:rPr>
              <w:t>La requête en prorogation du délai de signification et de dépôt de la demande d’autorisation d’appel est accueillie.  La requête en prorogation du délai de signification et de dépôt de la réponse de l’intimée est accueillie.  La demande d’autorisation d’appel de l’arrêt de la Cour d’appel de l’Alberta (Calgary), numéro 1401-0029-AC, 2014 ABCA 299, daté du 11 septembre 2014, est rejetée avec dépens.</w:t>
            </w:r>
          </w:p>
        </w:tc>
      </w:tr>
    </w:tbl>
    <w:p w:rsidR="004D32B1" w:rsidRPr="00574799"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3E52" w:rsidRPr="008057D9" w:rsidTr="004B52FA">
        <w:tc>
          <w:tcPr>
            <w:tcW w:w="5000" w:type="pct"/>
            <w:gridSpan w:val="3"/>
          </w:tcPr>
          <w:p w:rsidR="00BC3E52" w:rsidRPr="008057D9" w:rsidRDefault="00BC3E52" w:rsidP="004B52FA">
            <w:pPr>
              <w:jc w:val="both"/>
              <w:rPr>
                <w:rFonts w:eastAsia="Calibri"/>
                <w:sz w:val="20"/>
              </w:rPr>
            </w:pPr>
            <w:r w:rsidRPr="008057D9">
              <w:rPr>
                <w:rFonts w:eastAsia="Calibri"/>
                <w:sz w:val="20"/>
              </w:rPr>
              <w:t>Courts — Discretion — Whether a court of appeal has the discretion to render its own judgment nugatory — Whether a court of appeal has the discretion to ignore a determinative issue — Whether the Court of Appeal ignored the issue of equitable set-off.</w:t>
            </w:r>
          </w:p>
        </w:tc>
      </w:tr>
      <w:tr w:rsidR="00BC3E52" w:rsidRPr="008057D9" w:rsidTr="004B52FA">
        <w:tc>
          <w:tcPr>
            <w:tcW w:w="5000" w:type="pct"/>
            <w:gridSpan w:val="3"/>
          </w:tcPr>
          <w:p w:rsidR="00BC3E52" w:rsidRPr="008057D9" w:rsidRDefault="00BC3E52" w:rsidP="004B52FA">
            <w:pPr>
              <w:jc w:val="both"/>
              <w:rPr>
                <w:rFonts w:eastAsia="Calibri"/>
                <w:sz w:val="20"/>
              </w:rPr>
            </w:pPr>
          </w:p>
        </w:tc>
      </w:tr>
      <w:tr w:rsidR="00BC3E52" w:rsidRPr="008057D9" w:rsidTr="004B52FA">
        <w:tc>
          <w:tcPr>
            <w:tcW w:w="5000" w:type="pct"/>
            <w:gridSpan w:val="3"/>
          </w:tcPr>
          <w:p w:rsidR="00BC3E52" w:rsidRPr="008057D9" w:rsidRDefault="00BC3E52" w:rsidP="004B52FA">
            <w:pPr>
              <w:jc w:val="both"/>
              <w:rPr>
                <w:rFonts w:eastAsia="Calibri"/>
                <w:sz w:val="20"/>
              </w:rPr>
            </w:pPr>
            <w:r w:rsidRPr="008057D9">
              <w:rPr>
                <w:rFonts w:eastAsia="Calibri"/>
                <w:sz w:val="20"/>
              </w:rPr>
              <w:t xml:space="preserve">WestJet contracted with ELS to administer the shipping of cargo on its aircrafts from 1996 to September 30, 2009.  In </w:t>
            </w:r>
            <w:r w:rsidRPr="008057D9">
              <w:rPr>
                <w:rFonts w:eastAsia="Calibri"/>
                <w:sz w:val="20"/>
              </w:rPr>
              <w:lastRenderedPageBreak/>
              <w:t xml:space="preserve">April 2009, WestJet purported to extend the agreement to September 30, 2010.  However, on September 1, 2009, WestJet communicated its decision to terminate the agreement as of December 31, 2009.  WestJet sued ELS for damages for breach of contract.  It alleged, </w:t>
            </w:r>
            <w:r w:rsidRPr="008057D9">
              <w:rPr>
                <w:rFonts w:eastAsia="Calibri"/>
                <w:i/>
                <w:sz w:val="20"/>
              </w:rPr>
              <w:t>inter alia</w:t>
            </w:r>
            <w:r w:rsidRPr="008057D9">
              <w:rPr>
                <w:rFonts w:eastAsia="Calibri"/>
                <w:sz w:val="20"/>
              </w:rPr>
              <w:t xml:space="preserve">, that ELS was in breach of contract by not remitting monies owing in a timely fashion and by not fulfilling its financial record keeping and reporting responsibilities. ELS argued that WestJet was in breach of contract when it terminated the Agreement as of December 31, 2009, because it had earlier extended the Agreement to September 30, 2010.  It also said that the termination gave WestJet a monopoly over the air cargo market in Canada.  In its counterclaim, it sought a declaration that WestJet had violated the </w:t>
            </w:r>
            <w:r w:rsidRPr="008057D9">
              <w:rPr>
                <w:rFonts w:eastAsia="Calibri"/>
                <w:i/>
                <w:sz w:val="20"/>
              </w:rPr>
              <w:t>Competition Act</w:t>
            </w:r>
            <w:r w:rsidRPr="008057D9">
              <w:rPr>
                <w:rFonts w:eastAsia="Calibri"/>
                <w:sz w:val="20"/>
              </w:rPr>
              <w:t>, R.S.C. 1985, c. 34.  Case Management was ordered.  When ELS did not comply with an order that it seek summary trial and judgment on the summary trial, the Case Management Judge directed that an application for summary trial and the judgment in the “main claim” proceed together on May 1, 2013.  WestJet then applied for summary trial.</w:t>
            </w:r>
          </w:p>
          <w:p w:rsidR="00BC3E52" w:rsidRPr="008057D9" w:rsidRDefault="00BC3E52" w:rsidP="004B52FA">
            <w:pPr>
              <w:jc w:val="both"/>
              <w:rPr>
                <w:rFonts w:eastAsia="Calibri"/>
                <w:sz w:val="20"/>
              </w:rPr>
            </w:pPr>
          </w:p>
          <w:p w:rsidR="00BC3E52" w:rsidRPr="008057D9" w:rsidRDefault="00BC3E52" w:rsidP="004B52FA">
            <w:pPr>
              <w:jc w:val="both"/>
              <w:rPr>
                <w:rFonts w:eastAsia="Calibri"/>
                <w:sz w:val="20"/>
              </w:rPr>
            </w:pPr>
            <w:r w:rsidRPr="008057D9">
              <w:rPr>
                <w:rFonts w:eastAsia="Calibri"/>
                <w:sz w:val="20"/>
              </w:rPr>
              <w:t xml:space="preserve">Jones J. granted judgment in favour of WestJet and dismissed ELS’s counterclaim based on breach of contract and equitable set-off without prejudice to ELS’s ability to pursue its counterclaim based on the </w:t>
            </w:r>
            <w:r w:rsidRPr="008057D9">
              <w:rPr>
                <w:rFonts w:eastAsia="Calibri"/>
                <w:i/>
                <w:sz w:val="20"/>
              </w:rPr>
              <w:t>Competition Act</w:t>
            </w:r>
            <w:r w:rsidRPr="008057D9">
              <w:rPr>
                <w:rFonts w:eastAsia="Calibri"/>
                <w:sz w:val="20"/>
              </w:rPr>
              <w:t xml:space="preserve"> in a separate proceeding.  The Court of Appeal allowed the appeal in part, setting aside the dismissal of the counterclaim, and sending the whole appeal to trial.  It dismissed an application for leave to reargue a portion of the appeal.</w:t>
            </w: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lastRenderedPageBreak/>
              <w:t>November 13, 2014</w:t>
            </w:r>
          </w:p>
          <w:p w:rsidR="00BC3E52" w:rsidRPr="008057D9" w:rsidRDefault="00BC3E52" w:rsidP="004B52FA">
            <w:pPr>
              <w:jc w:val="both"/>
              <w:rPr>
                <w:rFonts w:eastAsia="Calibri"/>
                <w:sz w:val="20"/>
              </w:rPr>
            </w:pPr>
            <w:r w:rsidRPr="008057D9">
              <w:rPr>
                <w:rFonts w:eastAsia="Calibri"/>
                <w:sz w:val="20"/>
              </w:rPr>
              <w:t>Court of Queen’s Bench of Alberta</w:t>
            </w:r>
          </w:p>
          <w:p w:rsidR="00BC3E52" w:rsidRPr="008057D9" w:rsidRDefault="00BC3E52" w:rsidP="004B52FA">
            <w:pPr>
              <w:jc w:val="both"/>
              <w:rPr>
                <w:rFonts w:eastAsia="Calibri"/>
                <w:sz w:val="20"/>
              </w:rPr>
            </w:pPr>
            <w:r w:rsidRPr="008057D9">
              <w:rPr>
                <w:rFonts w:eastAsia="Calibri"/>
                <w:sz w:val="20"/>
              </w:rPr>
              <w:t>(Jones J.)</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 xml:space="preserve">Summary judgment against ELS in the amount of $2,233,632.30 plus interest; ELS’s counterclaims with respect breach of contract and equitable setoff dismissed without prejudice to their right to pursue counterclaims based on the </w:t>
            </w:r>
            <w:r w:rsidRPr="008057D9">
              <w:rPr>
                <w:rFonts w:eastAsia="Calibri"/>
                <w:i/>
                <w:sz w:val="20"/>
              </w:rPr>
              <w:t>Competition Act</w:t>
            </w:r>
            <w:r w:rsidRPr="008057D9">
              <w:rPr>
                <w:rFonts w:eastAsia="Calibri"/>
                <w:sz w:val="20"/>
              </w:rPr>
              <w:t>, R.S.C. 1985, c. 34, in a separate proceeding</w:t>
            </w:r>
          </w:p>
          <w:p w:rsidR="00BC3E52" w:rsidRPr="008057D9" w:rsidRDefault="00BC3E52" w:rsidP="004B52FA">
            <w:pPr>
              <w:jc w:val="both"/>
              <w:rPr>
                <w:rFonts w:eastAsia="Calibri"/>
                <w:sz w:val="20"/>
              </w:rPr>
            </w:pP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September 11, 2014</w:t>
            </w:r>
          </w:p>
          <w:p w:rsidR="00BC3E52" w:rsidRPr="008057D9" w:rsidRDefault="00BC3E52" w:rsidP="004B52FA">
            <w:pPr>
              <w:jc w:val="both"/>
              <w:rPr>
                <w:rFonts w:eastAsia="Calibri"/>
                <w:sz w:val="20"/>
              </w:rPr>
            </w:pPr>
            <w:r w:rsidRPr="008057D9">
              <w:rPr>
                <w:rFonts w:eastAsia="Calibri"/>
                <w:sz w:val="20"/>
              </w:rPr>
              <w:t>Court of Appeal of Alberta (Calgary)</w:t>
            </w:r>
          </w:p>
          <w:p w:rsidR="00BC3E52" w:rsidRPr="008057D9" w:rsidRDefault="00BC3E52" w:rsidP="004B52FA">
            <w:pPr>
              <w:jc w:val="both"/>
              <w:rPr>
                <w:rFonts w:eastAsia="Calibri"/>
                <w:sz w:val="20"/>
              </w:rPr>
            </w:pPr>
            <w:r w:rsidRPr="008057D9">
              <w:rPr>
                <w:rFonts w:eastAsia="Calibri"/>
                <w:sz w:val="20"/>
              </w:rPr>
              <w:t>(Costigan, Watson, Slatter JJ.A.)</w:t>
            </w:r>
          </w:p>
          <w:p w:rsidR="00BC3E52" w:rsidRPr="008057D9" w:rsidRDefault="00173D9D" w:rsidP="004B52FA">
            <w:pPr>
              <w:jc w:val="both"/>
              <w:rPr>
                <w:rFonts w:eastAsia="Calibri"/>
                <w:sz w:val="20"/>
              </w:rPr>
            </w:pPr>
            <w:hyperlink r:id="rId45" w:history="1">
              <w:r w:rsidR="00BC3E52" w:rsidRPr="008057D9">
                <w:rPr>
                  <w:rFonts w:eastAsia="Calibri"/>
                  <w:color w:val="0000FF"/>
                  <w:sz w:val="20"/>
                  <w:u w:val="single"/>
                </w:rPr>
                <w:t>2014 ABCA 299</w:t>
              </w:r>
            </w:hyperlink>
            <w:r w:rsidR="00BC3E52" w:rsidRPr="008057D9">
              <w:rPr>
                <w:rFonts w:eastAsia="Calibri"/>
                <w:sz w:val="20"/>
              </w:rPr>
              <w:t>; 1401-0029-AC</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Appeal allowed in part: dismissal of counterclaim set aside, whole of counterclaim sent to trial, appeal otherwise dismissed</w:t>
            </w: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November 5, 2014</w:t>
            </w:r>
          </w:p>
          <w:p w:rsidR="00BC3E52" w:rsidRPr="008057D9" w:rsidRDefault="00BC3E52" w:rsidP="004B52FA">
            <w:pPr>
              <w:jc w:val="both"/>
              <w:rPr>
                <w:rFonts w:eastAsia="Calibri"/>
                <w:sz w:val="20"/>
              </w:rPr>
            </w:pPr>
            <w:r w:rsidRPr="008057D9">
              <w:rPr>
                <w:rFonts w:eastAsia="Calibri"/>
                <w:sz w:val="20"/>
              </w:rPr>
              <w:t>Supreme Court of Canada</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Motion for extension of time to file and serve application for leave to appeal filed</w:t>
            </w: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November 12, 2014</w:t>
            </w:r>
          </w:p>
          <w:p w:rsidR="00BC3E52" w:rsidRPr="008057D9" w:rsidRDefault="00BC3E52" w:rsidP="004B52FA">
            <w:pPr>
              <w:jc w:val="both"/>
              <w:rPr>
                <w:rFonts w:eastAsia="Calibri"/>
                <w:sz w:val="20"/>
              </w:rPr>
            </w:pPr>
            <w:r w:rsidRPr="008057D9">
              <w:rPr>
                <w:rFonts w:eastAsia="Calibri"/>
                <w:sz w:val="20"/>
              </w:rPr>
              <w:t>Court of Appeal of Alberta (Calgary)</w:t>
            </w:r>
          </w:p>
          <w:p w:rsidR="00BC3E52" w:rsidRPr="008057D9" w:rsidRDefault="00BC3E52" w:rsidP="004B52FA">
            <w:pPr>
              <w:jc w:val="both"/>
              <w:rPr>
                <w:rFonts w:eastAsia="Calibri"/>
                <w:sz w:val="20"/>
              </w:rPr>
            </w:pPr>
            <w:r w:rsidRPr="008057D9">
              <w:rPr>
                <w:rFonts w:eastAsia="Calibri"/>
                <w:sz w:val="20"/>
              </w:rPr>
              <w:t>(Costigan, Watson and Slatter JJ.A.)</w:t>
            </w:r>
          </w:p>
          <w:p w:rsidR="00BC3E52" w:rsidRPr="008057D9" w:rsidRDefault="00173D9D" w:rsidP="004B52FA">
            <w:pPr>
              <w:jc w:val="both"/>
              <w:rPr>
                <w:rFonts w:eastAsia="Calibri"/>
                <w:sz w:val="20"/>
              </w:rPr>
            </w:pPr>
            <w:hyperlink r:id="rId46" w:history="1">
              <w:r w:rsidR="00BC3E52" w:rsidRPr="008057D9">
                <w:rPr>
                  <w:rFonts w:eastAsia="Calibri"/>
                  <w:color w:val="0000FF"/>
                  <w:sz w:val="20"/>
                  <w:u w:val="single"/>
                </w:rPr>
                <w:t>2014 ABCA 372</w:t>
              </w:r>
            </w:hyperlink>
            <w:r w:rsidR="00BC3E52" w:rsidRPr="008057D9">
              <w:rPr>
                <w:rFonts w:eastAsia="Calibri"/>
                <w:sz w:val="20"/>
              </w:rPr>
              <w:t>, 1401-0029-AC</w:t>
            </w:r>
          </w:p>
          <w:p w:rsidR="00BC3E52" w:rsidRPr="008057D9" w:rsidRDefault="00BC3E52" w:rsidP="004B52FA">
            <w:pPr>
              <w:jc w:val="both"/>
              <w:rPr>
                <w:rFonts w:eastAsia="Calibri"/>
                <w:sz w:val="20"/>
              </w:rPr>
            </w:pP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Application for leave to reargue dismissed</w:t>
            </w:r>
          </w:p>
        </w:tc>
      </w:tr>
      <w:tr w:rsidR="00BC3E52" w:rsidRPr="008057D9" w:rsidTr="004B52FA">
        <w:tc>
          <w:tcPr>
            <w:tcW w:w="2427" w:type="pct"/>
          </w:tcPr>
          <w:p w:rsidR="00BC3E52" w:rsidRPr="008057D9" w:rsidRDefault="00BC3E52" w:rsidP="004B52FA">
            <w:pPr>
              <w:jc w:val="both"/>
              <w:rPr>
                <w:rFonts w:eastAsia="Calibri"/>
                <w:sz w:val="20"/>
              </w:rPr>
            </w:pPr>
            <w:r w:rsidRPr="008057D9">
              <w:rPr>
                <w:rFonts w:eastAsia="Calibri"/>
                <w:sz w:val="20"/>
              </w:rPr>
              <w:t>November 21, 2014</w:t>
            </w:r>
          </w:p>
          <w:p w:rsidR="00BC3E52" w:rsidRPr="008057D9" w:rsidRDefault="00BC3E52" w:rsidP="004B52FA">
            <w:pPr>
              <w:jc w:val="both"/>
              <w:rPr>
                <w:rFonts w:eastAsia="Calibri"/>
                <w:sz w:val="20"/>
              </w:rPr>
            </w:pPr>
            <w:r w:rsidRPr="008057D9">
              <w:rPr>
                <w:rFonts w:eastAsia="Calibri"/>
                <w:sz w:val="20"/>
              </w:rPr>
              <w:t>Supreme Court of Canada</w:t>
            </w:r>
          </w:p>
        </w:tc>
        <w:tc>
          <w:tcPr>
            <w:tcW w:w="243" w:type="pct"/>
          </w:tcPr>
          <w:p w:rsidR="00BC3E52" w:rsidRPr="008057D9" w:rsidRDefault="00BC3E52" w:rsidP="004B52FA">
            <w:pPr>
              <w:jc w:val="both"/>
              <w:rPr>
                <w:rFonts w:eastAsia="Calibri"/>
                <w:sz w:val="20"/>
              </w:rPr>
            </w:pPr>
          </w:p>
        </w:tc>
        <w:tc>
          <w:tcPr>
            <w:tcW w:w="2330" w:type="pct"/>
          </w:tcPr>
          <w:p w:rsidR="00BC3E52" w:rsidRPr="008057D9" w:rsidRDefault="00BC3E52" w:rsidP="004B52FA">
            <w:pPr>
              <w:jc w:val="both"/>
              <w:rPr>
                <w:rFonts w:eastAsia="Calibri"/>
                <w:sz w:val="20"/>
              </w:rPr>
            </w:pPr>
            <w:r w:rsidRPr="008057D9">
              <w:rPr>
                <w:rFonts w:eastAsia="Calibri"/>
                <w:sz w:val="20"/>
              </w:rPr>
              <w:t>Application for leave to appeal filed</w:t>
            </w:r>
          </w:p>
          <w:p w:rsidR="00BC3E52" w:rsidRPr="008057D9" w:rsidRDefault="00BC3E52" w:rsidP="004B52FA">
            <w:pPr>
              <w:jc w:val="both"/>
              <w:rPr>
                <w:rFonts w:eastAsia="Calibri"/>
                <w:sz w:val="20"/>
              </w:rPr>
            </w:pP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46"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3E52" w:rsidRPr="00EC49A7" w:rsidTr="004B52FA">
        <w:tc>
          <w:tcPr>
            <w:tcW w:w="5000" w:type="pct"/>
            <w:gridSpan w:val="3"/>
          </w:tcPr>
          <w:p w:rsidR="00BC3E52" w:rsidRPr="008057D9" w:rsidRDefault="00BC3E52" w:rsidP="004B52FA">
            <w:pPr>
              <w:jc w:val="both"/>
              <w:rPr>
                <w:rFonts w:eastAsia="Calibri"/>
                <w:sz w:val="20"/>
                <w:lang w:val="fr-CA"/>
              </w:rPr>
            </w:pPr>
            <w:r w:rsidRPr="008057D9">
              <w:rPr>
                <w:rFonts w:eastAsia="Calibri"/>
                <w:sz w:val="20"/>
                <w:lang w:val="fr-CA"/>
              </w:rPr>
              <w:t>Tribunaux — Pouvoir discrétionnaire — Une cour d’appel a-t-elle le pouvoir discrétionnaire de rendre son propre arrêt inopérant? — Une cour d’appel a-t-elle le pouvoir discrétionnaire de faire abstraction d’une question décisive? — La Cour d’appel a-t-elle fait abstraction de la question de la compensation en equity?</w:t>
            </w:r>
          </w:p>
        </w:tc>
      </w:tr>
      <w:tr w:rsidR="00BC3E52" w:rsidRPr="00EC49A7" w:rsidTr="004B52FA">
        <w:tc>
          <w:tcPr>
            <w:tcW w:w="5000" w:type="pct"/>
            <w:gridSpan w:val="3"/>
          </w:tcPr>
          <w:p w:rsidR="00BC3E52" w:rsidRPr="008057D9" w:rsidRDefault="00BC3E52" w:rsidP="004B52FA">
            <w:pPr>
              <w:jc w:val="both"/>
              <w:rPr>
                <w:rFonts w:eastAsia="Calibri"/>
                <w:sz w:val="20"/>
                <w:lang w:val="fr-CA"/>
              </w:rPr>
            </w:pPr>
          </w:p>
        </w:tc>
      </w:tr>
      <w:tr w:rsidR="00BC3E52" w:rsidRPr="00EC49A7" w:rsidTr="004B52FA">
        <w:tc>
          <w:tcPr>
            <w:tcW w:w="5000" w:type="pct"/>
            <w:gridSpan w:val="3"/>
          </w:tcPr>
          <w:p w:rsidR="00BC3E52" w:rsidRPr="008057D9" w:rsidRDefault="00BC3E52" w:rsidP="004B52FA">
            <w:pPr>
              <w:jc w:val="both"/>
              <w:rPr>
                <w:rFonts w:eastAsia="Calibri"/>
                <w:sz w:val="20"/>
                <w:lang w:val="fr-CA"/>
              </w:rPr>
            </w:pPr>
            <w:r w:rsidRPr="008057D9">
              <w:rPr>
                <w:rFonts w:eastAsia="Calibri"/>
                <w:sz w:val="20"/>
                <w:lang w:val="fr-CA"/>
              </w:rPr>
              <w:t xml:space="preserve">WestJet a conclu avec ELS un contrat pour administrer le transport de marchandises à bord de ses aéronefs de 1996 au 30 septembre 2009.  En avril 2009, WestJet a prétendu avoir prolongé le contrat jusqu’au 30 septembre 2010.  </w:t>
            </w:r>
            <w:r w:rsidRPr="008057D9">
              <w:rPr>
                <w:rFonts w:eastAsia="Calibri"/>
                <w:sz w:val="20"/>
                <w:lang w:val="fr-CA"/>
              </w:rPr>
              <w:lastRenderedPageBreak/>
              <w:t>Toutefois, le 1</w:t>
            </w:r>
            <w:r w:rsidRPr="008057D9">
              <w:rPr>
                <w:rFonts w:eastAsia="Calibri"/>
                <w:sz w:val="20"/>
                <w:vertAlign w:val="superscript"/>
                <w:lang w:val="fr-CA"/>
              </w:rPr>
              <w:t>er</w:t>
            </w:r>
            <w:r w:rsidRPr="008057D9">
              <w:rPr>
                <w:rFonts w:eastAsia="Calibri"/>
                <w:sz w:val="20"/>
                <w:lang w:val="fr-CA"/>
              </w:rPr>
              <w:t xml:space="preserve"> septembre 2009, WestJet a communiqué sa décision de résilier le contrat en date du 31 décembre 2009.  WestJet a poursuivi ELS en dommages-intérêts pour violation de contrat.  WestJet a allégué entre autres qu’ELS avait violé le contrat en omettant d’avoir versé des sommes d’argent dues en temps opportun et en omettant d’avoir remplir ses obligations en matière de tenue et de communication d’information financière.  ELS a plaidé que WestJet avait violé le contrat lorsqu’elle a résilié le contrat en date du 31 décembre 2009, vu qu’elle avait précédemment prolongé le contrat jusqu’au 30 septembre 2010.  ELS a affirmé en outre que la résiliation conférait à WestJet un monopole dans le marché du transport aérien des marchandises au Canada.  Dans sa demande reconventionnelle, ELS a demandé un jugement déclarant que WestJet avait violé la </w:t>
            </w:r>
            <w:r w:rsidRPr="008057D9">
              <w:rPr>
                <w:rFonts w:eastAsia="Calibri"/>
                <w:i/>
                <w:sz w:val="20"/>
                <w:lang w:val="fr-CA"/>
              </w:rPr>
              <w:t>Loi sur la concurrence</w:t>
            </w:r>
            <w:r w:rsidRPr="008057D9">
              <w:rPr>
                <w:rFonts w:eastAsia="Calibri"/>
                <w:sz w:val="20"/>
                <w:lang w:val="fr-CA"/>
              </w:rPr>
              <w:t>, L.R.C. 1985, ch. 34.  La gestion de l’instance a été ordonnée.  Lorsqu’ELS ne s’est pas conformée à une ordonnance l’enjoignant de demander un procès sommaire et un jugement sur procès sommaire, le juge responsable de la gestion de l’instance a ordonné qu’une demande de jugement sommaire et que le jugement sur la [</w:t>
            </w:r>
            <w:r w:rsidRPr="008057D9">
              <w:rPr>
                <w:rFonts w:eastAsia="Calibri"/>
                <w:smallCaps/>
                <w:sz w:val="20"/>
                <w:lang w:val="fr-CA"/>
              </w:rPr>
              <w:t>traduction</w:t>
            </w:r>
            <w:r w:rsidRPr="008057D9">
              <w:rPr>
                <w:rFonts w:eastAsia="Calibri"/>
                <w:sz w:val="20"/>
                <w:lang w:val="fr-CA"/>
              </w:rPr>
              <w:t>] « demande principale » procèdent ensemble le 1</w:t>
            </w:r>
            <w:r w:rsidRPr="008057D9">
              <w:rPr>
                <w:rFonts w:eastAsia="Calibri"/>
                <w:sz w:val="20"/>
                <w:vertAlign w:val="superscript"/>
                <w:lang w:val="fr-CA"/>
              </w:rPr>
              <w:t>er</w:t>
            </w:r>
            <w:r w:rsidRPr="008057D9">
              <w:rPr>
                <w:rFonts w:eastAsia="Calibri"/>
                <w:sz w:val="20"/>
                <w:lang w:val="fr-CA"/>
              </w:rPr>
              <w:t> mai 2013.  WestJet a ensuite demandé un jugement sommaire.</w:t>
            </w:r>
          </w:p>
          <w:p w:rsidR="00BC3E52" w:rsidRPr="008057D9" w:rsidRDefault="00BC3E52" w:rsidP="004B52FA">
            <w:pPr>
              <w:jc w:val="both"/>
              <w:rPr>
                <w:rFonts w:eastAsia="Calibri"/>
                <w:sz w:val="20"/>
                <w:lang w:val="fr-CA"/>
              </w:rPr>
            </w:pPr>
          </w:p>
          <w:p w:rsidR="00BC3E52" w:rsidRPr="008057D9" w:rsidRDefault="00BC3E52" w:rsidP="004B52FA">
            <w:pPr>
              <w:jc w:val="both"/>
              <w:rPr>
                <w:rFonts w:eastAsia="Calibri"/>
                <w:sz w:val="20"/>
                <w:lang w:val="fr-CA"/>
              </w:rPr>
            </w:pPr>
            <w:r w:rsidRPr="008057D9">
              <w:rPr>
                <w:rFonts w:eastAsia="Calibri"/>
                <w:sz w:val="20"/>
                <w:lang w:val="fr-CA"/>
              </w:rPr>
              <w:t xml:space="preserve">Le juge Jones a rendu un jugement en faveur de WestJet et a rejeté la demande reconventionnelle d’ELS en violation de contrat et en compensation en equity, sous réserve de la faculté d’ELS de poursuivre sa demande reconventionnelle fondée sur la </w:t>
            </w:r>
            <w:r w:rsidRPr="008057D9">
              <w:rPr>
                <w:rFonts w:eastAsia="Calibri"/>
                <w:i/>
                <w:sz w:val="20"/>
                <w:lang w:val="fr-CA"/>
              </w:rPr>
              <w:t>Loi sur la concurrence</w:t>
            </w:r>
            <w:r w:rsidRPr="008057D9">
              <w:rPr>
                <w:rFonts w:eastAsia="Calibri"/>
                <w:sz w:val="20"/>
                <w:lang w:val="fr-CA"/>
              </w:rPr>
              <w:t xml:space="preserve"> dans une instance distincte.  La Cour d’appel a accueilli l’appel en partie, annulant le rejet de la demande reconventionnelle et renvoyant l’appel au complet à procès.  Elle a rejeté une demande d’autorisation d’appel de présenter de nouvelles observations à l’égard d’une partie de l’appel.</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lastRenderedPageBreak/>
              <w:t>13 novembre 2014</w:t>
            </w:r>
          </w:p>
          <w:p w:rsidR="00BC3E52" w:rsidRPr="008057D9" w:rsidRDefault="00BC3E52" w:rsidP="004B52FA">
            <w:pPr>
              <w:jc w:val="both"/>
              <w:rPr>
                <w:rFonts w:eastAsia="Calibri"/>
                <w:sz w:val="20"/>
                <w:lang w:val="fr-CA"/>
              </w:rPr>
            </w:pPr>
            <w:r w:rsidRPr="008057D9">
              <w:rPr>
                <w:rFonts w:eastAsia="Calibri"/>
                <w:sz w:val="20"/>
                <w:lang w:val="fr-CA"/>
              </w:rPr>
              <w:t>Cour du Banc de la Reine de l’Alberta</w:t>
            </w:r>
          </w:p>
          <w:p w:rsidR="00BC3E52" w:rsidRPr="008057D9" w:rsidRDefault="00BC3E52" w:rsidP="004B52FA">
            <w:pPr>
              <w:jc w:val="both"/>
              <w:rPr>
                <w:rFonts w:eastAsia="Calibri"/>
                <w:sz w:val="20"/>
                <w:lang w:val="fr-CA"/>
              </w:rPr>
            </w:pPr>
            <w:r w:rsidRPr="008057D9">
              <w:rPr>
                <w:rFonts w:eastAsia="Calibri"/>
                <w:sz w:val="20"/>
                <w:lang w:val="fr-CA"/>
              </w:rPr>
              <w:t>(Juge Jones)</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 xml:space="preserve">Jugement sommaire contre ELS au montant de 2 233 632,30 $ plus les intérêts; rejet des demandes reconventionnelles d’ELS en violation de contrat et en compensation en equity, sous réserve de son droit de poursuivre des demandes reconventionnelles fondées sur la </w:t>
            </w:r>
            <w:r w:rsidRPr="008057D9">
              <w:rPr>
                <w:rFonts w:eastAsia="Calibri"/>
                <w:i/>
                <w:sz w:val="20"/>
                <w:lang w:val="fr-CA"/>
              </w:rPr>
              <w:t>Loi sur la concurrence</w:t>
            </w:r>
            <w:r w:rsidRPr="008057D9">
              <w:rPr>
                <w:rFonts w:eastAsia="Calibri"/>
                <w:sz w:val="20"/>
                <w:lang w:val="fr-CA"/>
              </w:rPr>
              <w:t>, L.R.C. 1985, ch. 34, dans une instance distincte</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11 septembre 2014</w:t>
            </w:r>
          </w:p>
          <w:p w:rsidR="00BC3E52" w:rsidRPr="008057D9" w:rsidRDefault="00BC3E52" w:rsidP="004B52FA">
            <w:pPr>
              <w:jc w:val="both"/>
              <w:rPr>
                <w:rFonts w:eastAsia="Calibri"/>
                <w:sz w:val="20"/>
                <w:lang w:val="fr-CA"/>
              </w:rPr>
            </w:pPr>
            <w:r w:rsidRPr="008057D9">
              <w:rPr>
                <w:rFonts w:eastAsia="Calibri"/>
                <w:sz w:val="20"/>
                <w:lang w:val="fr-CA"/>
              </w:rPr>
              <w:t>Cour d’appel de l’Alberta (Calgary)</w:t>
            </w:r>
          </w:p>
          <w:p w:rsidR="00BC3E52" w:rsidRPr="008057D9" w:rsidRDefault="00BC3E52" w:rsidP="004B52FA">
            <w:pPr>
              <w:jc w:val="both"/>
              <w:rPr>
                <w:rFonts w:eastAsia="Calibri"/>
                <w:sz w:val="20"/>
                <w:lang w:val="fr-CA"/>
              </w:rPr>
            </w:pPr>
            <w:r w:rsidRPr="008057D9">
              <w:rPr>
                <w:rFonts w:eastAsia="Calibri"/>
                <w:sz w:val="20"/>
                <w:lang w:val="fr-CA"/>
              </w:rPr>
              <w:t>(Juges Costigan, Watson et Slatter)</w:t>
            </w:r>
          </w:p>
          <w:p w:rsidR="00BC3E52" w:rsidRPr="008057D9" w:rsidRDefault="00173D9D" w:rsidP="004B52FA">
            <w:pPr>
              <w:jc w:val="both"/>
              <w:rPr>
                <w:rFonts w:eastAsia="Calibri"/>
                <w:sz w:val="20"/>
                <w:lang w:val="fr-CA"/>
              </w:rPr>
            </w:pPr>
            <w:hyperlink r:id="rId47" w:history="1">
              <w:r w:rsidR="00BC3E52" w:rsidRPr="008057D9">
                <w:rPr>
                  <w:rFonts w:eastAsia="Calibri"/>
                  <w:color w:val="0000FF"/>
                  <w:sz w:val="20"/>
                  <w:u w:val="single"/>
                  <w:lang w:val="fr-CA"/>
                </w:rPr>
                <w:t>2014 ABCA 299</w:t>
              </w:r>
            </w:hyperlink>
            <w:r w:rsidR="00BC3E52" w:rsidRPr="008057D9">
              <w:rPr>
                <w:rFonts w:eastAsia="Calibri"/>
                <w:sz w:val="20"/>
                <w:lang w:val="fr-CA"/>
              </w:rPr>
              <w:t>; 1401-0029-AC</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Arrêt accueillant l’appel en partie : annulation du rejet de la demande reconventionnelle, renvoi de la demande reconventionnelle à procès, rejet de l’appel pour le reste</w:t>
            </w: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5 novembre 2014</w:t>
            </w:r>
          </w:p>
          <w:p w:rsidR="00BC3E52" w:rsidRPr="008057D9" w:rsidRDefault="00BC3E52" w:rsidP="004B52FA">
            <w:pPr>
              <w:jc w:val="both"/>
              <w:rPr>
                <w:rFonts w:eastAsia="Calibri"/>
                <w:sz w:val="20"/>
                <w:lang w:val="fr-CA"/>
              </w:rPr>
            </w:pPr>
            <w:r w:rsidRPr="008057D9">
              <w:rPr>
                <w:rFonts w:eastAsia="Calibri"/>
                <w:sz w:val="20"/>
                <w:lang w:val="fr-CA"/>
              </w:rPr>
              <w:t>Cour suprême du Canada</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Dépôt de la requête en prorogation du délai de dépôt et de signification de la demande d’autorisation d’appel</w:t>
            </w:r>
          </w:p>
          <w:p w:rsidR="00BC3E52" w:rsidRPr="008057D9" w:rsidRDefault="00BC3E52" w:rsidP="004B52FA">
            <w:pPr>
              <w:jc w:val="both"/>
              <w:rPr>
                <w:rFonts w:eastAsia="Calibri"/>
                <w:sz w:val="20"/>
                <w:lang w:val="fr-CA"/>
              </w:rPr>
            </w:pP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12 novembre 2014</w:t>
            </w:r>
          </w:p>
          <w:p w:rsidR="00BC3E52" w:rsidRPr="008057D9" w:rsidRDefault="00BC3E52" w:rsidP="004B52FA">
            <w:pPr>
              <w:jc w:val="both"/>
              <w:rPr>
                <w:rFonts w:eastAsia="Calibri"/>
                <w:sz w:val="20"/>
                <w:lang w:val="fr-CA"/>
              </w:rPr>
            </w:pPr>
            <w:r w:rsidRPr="008057D9">
              <w:rPr>
                <w:rFonts w:eastAsia="Calibri"/>
                <w:sz w:val="20"/>
                <w:lang w:val="fr-CA"/>
              </w:rPr>
              <w:t>Cour d’appel de l’Alberta (Calgary)</w:t>
            </w:r>
          </w:p>
          <w:p w:rsidR="00BC3E52" w:rsidRPr="008057D9" w:rsidRDefault="00BC3E52" w:rsidP="004B52FA">
            <w:pPr>
              <w:jc w:val="both"/>
              <w:rPr>
                <w:rFonts w:eastAsia="Calibri"/>
                <w:sz w:val="20"/>
                <w:lang w:val="fr-CA"/>
              </w:rPr>
            </w:pPr>
            <w:r w:rsidRPr="008057D9">
              <w:rPr>
                <w:rFonts w:eastAsia="Calibri"/>
                <w:sz w:val="20"/>
                <w:lang w:val="fr-CA"/>
              </w:rPr>
              <w:t>(Juges Costigan, Watson et Slatter)</w:t>
            </w:r>
          </w:p>
          <w:p w:rsidR="00BC3E52" w:rsidRPr="008057D9" w:rsidRDefault="00173D9D" w:rsidP="004B52FA">
            <w:pPr>
              <w:jc w:val="both"/>
              <w:rPr>
                <w:rFonts w:eastAsia="Calibri"/>
                <w:sz w:val="20"/>
                <w:lang w:val="fr-CA"/>
              </w:rPr>
            </w:pPr>
            <w:hyperlink r:id="rId48" w:history="1">
              <w:r w:rsidR="00BC3E52" w:rsidRPr="008057D9">
                <w:rPr>
                  <w:rFonts w:eastAsia="Calibri"/>
                  <w:color w:val="0000FF"/>
                  <w:sz w:val="20"/>
                  <w:u w:val="single"/>
                  <w:lang w:val="fr-CA"/>
                </w:rPr>
                <w:t>2014 ABCA 372</w:t>
              </w:r>
            </w:hyperlink>
            <w:r w:rsidR="00BC3E52" w:rsidRPr="008057D9">
              <w:rPr>
                <w:rFonts w:eastAsia="Calibri"/>
                <w:sz w:val="20"/>
                <w:lang w:val="fr-CA"/>
              </w:rPr>
              <w:t>, 1401-0029-AC</w:t>
            </w:r>
          </w:p>
          <w:p w:rsidR="00BC3E52" w:rsidRPr="008057D9" w:rsidRDefault="00BC3E52" w:rsidP="004B52FA">
            <w:pPr>
              <w:jc w:val="both"/>
              <w:rPr>
                <w:rFonts w:eastAsia="Calibri"/>
                <w:sz w:val="20"/>
                <w:lang w:val="fr-CA"/>
              </w:rPr>
            </w:pP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Rejet de la demande d’autorisation de présenter de nouvelles observations</w:t>
            </w:r>
          </w:p>
        </w:tc>
      </w:tr>
      <w:tr w:rsidR="00BC3E52" w:rsidRPr="00EC49A7" w:rsidTr="004B52FA">
        <w:tc>
          <w:tcPr>
            <w:tcW w:w="2427" w:type="pct"/>
          </w:tcPr>
          <w:p w:rsidR="00BC3E52" w:rsidRPr="008057D9" w:rsidRDefault="00BC3E52" w:rsidP="004B52FA">
            <w:pPr>
              <w:jc w:val="both"/>
              <w:rPr>
                <w:rFonts w:eastAsia="Calibri"/>
                <w:sz w:val="20"/>
                <w:lang w:val="fr-CA"/>
              </w:rPr>
            </w:pPr>
            <w:r w:rsidRPr="008057D9">
              <w:rPr>
                <w:rFonts w:eastAsia="Calibri"/>
                <w:sz w:val="20"/>
                <w:lang w:val="fr-CA"/>
              </w:rPr>
              <w:t>21 novembre 2014</w:t>
            </w:r>
          </w:p>
          <w:p w:rsidR="00BC3E52" w:rsidRPr="008057D9" w:rsidRDefault="00BC3E52" w:rsidP="004B52FA">
            <w:pPr>
              <w:jc w:val="both"/>
              <w:rPr>
                <w:rFonts w:eastAsia="Calibri"/>
                <w:sz w:val="20"/>
                <w:lang w:val="fr-CA"/>
              </w:rPr>
            </w:pPr>
            <w:r w:rsidRPr="008057D9">
              <w:rPr>
                <w:rFonts w:eastAsia="Calibri"/>
                <w:sz w:val="20"/>
                <w:lang w:val="fr-CA"/>
              </w:rPr>
              <w:t>Cour suprême du Canada</w:t>
            </w:r>
          </w:p>
        </w:tc>
        <w:tc>
          <w:tcPr>
            <w:tcW w:w="243" w:type="pct"/>
          </w:tcPr>
          <w:p w:rsidR="00BC3E52" w:rsidRPr="008057D9" w:rsidRDefault="00BC3E52" w:rsidP="004B52FA">
            <w:pPr>
              <w:jc w:val="both"/>
              <w:rPr>
                <w:rFonts w:eastAsia="Calibri"/>
                <w:sz w:val="20"/>
                <w:lang w:val="fr-CA"/>
              </w:rPr>
            </w:pPr>
          </w:p>
        </w:tc>
        <w:tc>
          <w:tcPr>
            <w:tcW w:w="2330" w:type="pct"/>
          </w:tcPr>
          <w:p w:rsidR="00BC3E52" w:rsidRPr="008057D9" w:rsidRDefault="00BC3E52" w:rsidP="004B52FA">
            <w:pPr>
              <w:jc w:val="both"/>
              <w:rPr>
                <w:rFonts w:eastAsia="Calibri"/>
                <w:sz w:val="20"/>
                <w:lang w:val="fr-CA"/>
              </w:rPr>
            </w:pPr>
            <w:r w:rsidRPr="008057D9">
              <w:rPr>
                <w:rFonts w:eastAsia="Calibri"/>
                <w:sz w:val="20"/>
                <w:lang w:val="fr-CA"/>
              </w:rPr>
              <w:t>Dépôt de la demande d’autorisation d’appel</w:t>
            </w:r>
          </w:p>
          <w:p w:rsidR="00BC3E52" w:rsidRPr="008057D9" w:rsidRDefault="00BC3E52" w:rsidP="004B52FA">
            <w:pPr>
              <w:jc w:val="both"/>
              <w:rPr>
                <w:rFonts w:eastAsia="Calibri"/>
                <w:sz w:val="20"/>
                <w:lang w:val="fr-CA"/>
              </w:rPr>
            </w:pPr>
          </w:p>
        </w:tc>
      </w:tr>
    </w:tbl>
    <w:p w:rsidR="004D32B1" w:rsidRPr="00BC3E52"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47" style="width:2in;height:1pt" o:hrpct="0" o:hralign="center" o:hrstd="t" o:hrnoshade="t" o:hr="t" fillcolor="black [3213]" stroked="f"/>
        </w:pict>
      </w:r>
    </w:p>
    <w:p w:rsidR="004D32B1" w:rsidRDefault="004D32B1" w:rsidP="004D32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43219" w:rsidRPr="008B6B35" w:rsidTr="00D84AAE">
        <w:tc>
          <w:tcPr>
            <w:tcW w:w="1458" w:type="dxa"/>
          </w:tcPr>
          <w:p w:rsidR="00443219" w:rsidRPr="008B6B35" w:rsidRDefault="00443219" w:rsidP="00574799">
            <w:pPr>
              <w:rPr>
                <w:sz w:val="20"/>
                <w:szCs w:val="20"/>
              </w:rPr>
            </w:pPr>
            <w:r w:rsidRPr="008B6B35">
              <w:rPr>
                <w:rStyle w:val="SCCFileNumberChar"/>
                <w:sz w:val="20"/>
                <w:szCs w:val="20"/>
              </w:rPr>
              <w:t>36170</w:t>
            </w:r>
          </w:p>
          <w:p w:rsidR="00443219" w:rsidRPr="008B6B35" w:rsidRDefault="00443219" w:rsidP="00574799">
            <w:pPr>
              <w:rPr>
                <w:b/>
                <w:sz w:val="20"/>
                <w:szCs w:val="20"/>
                <w:lang w:val="fr-CA"/>
              </w:rPr>
            </w:pPr>
          </w:p>
        </w:tc>
        <w:tc>
          <w:tcPr>
            <w:tcW w:w="8118" w:type="dxa"/>
          </w:tcPr>
          <w:p w:rsidR="00443219" w:rsidRPr="008B6B35" w:rsidRDefault="00443219" w:rsidP="00574799">
            <w:pPr>
              <w:rPr>
                <w:sz w:val="20"/>
                <w:szCs w:val="20"/>
              </w:rPr>
            </w:pPr>
            <w:r w:rsidRPr="008B6B35">
              <w:rPr>
                <w:rStyle w:val="SCCLsocChar"/>
                <w:sz w:val="20"/>
                <w:szCs w:val="20"/>
                <w:lang w:val="en-CA"/>
              </w:rPr>
              <w:t>R.M. v. Her Majesty the Queen</w:t>
            </w:r>
            <w:r w:rsidRPr="008B6B35">
              <w:rPr>
                <w:sz w:val="20"/>
                <w:szCs w:val="20"/>
              </w:rPr>
              <w:t xml:space="preserve"> (Ont.) (Criminal) (By Leave)</w:t>
            </w:r>
          </w:p>
          <w:p w:rsidR="00443219" w:rsidRPr="008B6B35" w:rsidRDefault="00443219" w:rsidP="00574799">
            <w:pPr>
              <w:rPr>
                <w:sz w:val="20"/>
                <w:szCs w:val="20"/>
              </w:rPr>
            </w:pPr>
          </w:p>
        </w:tc>
      </w:tr>
      <w:tr w:rsidR="00443219" w:rsidRPr="008B6B35" w:rsidTr="00D84AAE">
        <w:tc>
          <w:tcPr>
            <w:tcW w:w="1458" w:type="dxa"/>
          </w:tcPr>
          <w:p w:rsidR="00443219" w:rsidRPr="008B6B35" w:rsidRDefault="00443219" w:rsidP="00574799">
            <w:pPr>
              <w:rPr>
                <w:sz w:val="20"/>
                <w:szCs w:val="20"/>
              </w:rPr>
            </w:pPr>
            <w:r w:rsidRPr="008B6B35">
              <w:rPr>
                <w:sz w:val="20"/>
                <w:szCs w:val="20"/>
              </w:rPr>
              <w:t>Coram :</w:t>
            </w:r>
          </w:p>
        </w:tc>
        <w:tc>
          <w:tcPr>
            <w:tcW w:w="8118" w:type="dxa"/>
          </w:tcPr>
          <w:p w:rsidR="00443219" w:rsidRPr="008B6B35" w:rsidRDefault="00443219" w:rsidP="00574799">
            <w:pPr>
              <w:rPr>
                <w:sz w:val="20"/>
                <w:szCs w:val="20"/>
              </w:rPr>
            </w:pPr>
            <w:r w:rsidRPr="008B6B35">
              <w:rPr>
                <w:rStyle w:val="SCCCoramChar"/>
                <w:sz w:val="20"/>
                <w:szCs w:val="20"/>
                <w:lang w:val="en-CA"/>
              </w:rPr>
              <w:t>Rothstein, Cromwell and Moldaver JJ.</w:t>
            </w:r>
          </w:p>
          <w:p w:rsidR="00443219" w:rsidRPr="008B6B35" w:rsidRDefault="00443219" w:rsidP="00574799">
            <w:pPr>
              <w:rPr>
                <w:sz w:val="20"/>
                <w:szCs w:val="20"/>
                <w:u w:val="single"/>
              </w:rPr>
            </w:pPr>
          </w:p>
        </w:tc>
      </w:tr>
      <w:tr w:rsidR="00443219" w:rsidRPr="00EC49A7" w:rsidTr="00D84AAE">
        <w:tc>
          <w:tcPr>
            <w:tcW w:w="9576" w:type="dxa"/>
            <w:gridSpan w:val="2"/>
          </w:tcPr>
          <w:p w:rsidR="00443219" w:rsidRPr="008B6B35" w:rsidRDefault="00443219" w:rsidP="00574799">
            <w:pPr>
              <w:pStyle w:val="SCCShortJudgment"/>
              <w:rPr>
                <w:szCs w:val="20"/>
              </w:rPr>
            </w:pPr>
            <w:r w:rsidRPr="008B6B35">
              <w:rPr>
                <w:szCs w:val="20"/>
              </w:rPr>
              <w:t xml:space="preserve">The application for leave to appeal from the judgment of the Court of Appeal for Ontario, Number C57526, </w:t>
            </w:r>
            <w:r w:rsidRPr="008B6B35">
              <w:rPr>
                <w:szCs w:val="20"/>
              </w:rPr>
              <w:lastRenderedPageBreak/>
              <w:t>2014 ONCA 785, dated November 7, 2014, is dismissed.</w:t>
            </w:r>
          </w:p>
          <w:p w:rsidR="00443219" w:rsidRPr="008B6B35" w:rsidRDefault="00443219" w:rsidP="00574799">
            <w:pPr>
              <w:pStyle w:val="SCCShortJudgment"/>
              <w:ind w:firstLine="0"/>
              <w:rPr>
                <w:szCs w:val="20"/>
              </w:rPr>
            </w:pPr>
          </w:p>
          <w:p w:rsidR="00443219" w:rsidRPr="008B6B35" w:rsidRDefault="00443219" w:rsidP="00574799">
            <w:pPr>
              <w:pStyle w:val="SCCShortJudgment"/>
              <w:rPr>
                <w:szCs w:val="20"/>
                <w:lang w:val="fr-CA"/>
              </w:rPr>
            </w:pPr>
            <w:r w:rsidRPr="008B6B35">
              <w:rPr>
                <w:szCs w:val="20"/>
                <w:lang w:val="fr-CA"/>
              </w:rPr>
              <w:t>La demande d’autorisation d’appel de l’arrêt de la Cour d’appel de l’Ontario, numéro C57526, 2014 ONCA 785, daté du 7 novembre 2014, est rejetée.</w:t>
            </w:r>
          </w:p>
        </w:tc>
      </w:tr>
    </w:tbl>
    <w:p w:rsidR="004D32B1" w:rsidRPr="00443219"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0B88" w:rsidRPr="008057D9" w:rsidTr="004B52FA">
        <w:tc>
          <w:tcPr>
            <w:tcW w:w="5000" w:type="pct"/>
            <w:gridSpan w:val="3"/>
          </w:tcPr>
          <w:p w:rsidR="00D10B88" w:rsidRPr="008057D9" w:rsidRDefault="00D10B88" w:rsidP="004B52FA">
            <w:pPr>
              <w:jc w:val="both"/>
              <w:rPr>
                <w:rFonts w:eastAsia="Calibri"/>
                <w:smallCaps/>
                <w:sz w:val="20"/>
              </w:rPr>
            </w:pPr>
            <w:r w:rsidRPr="008057D9">
              <w:rPr>
                <w:rFonts w:eastAsia="Calibri"/>
                <w:smallCaps/>
                <w:sz w:val="20"/>
              </w:rPr>
              <w:t>(</w:t>
            </w:r>
            <w:r w:rsidRPr="00244D40">
              <w:rPr>
                <w:rFonts w:eastAsia="Calibri"/>
                <w:smallCaps/>
                <w:sz w:val="20"/>
              </w:rPr>
              <w:t xml:space="preserve">Publication </w:t>
            </w:r>
            <w:r>
              <w:rPr>
                <w:rFonts w:eastAsia="Calibri"/>
                <w:smallCaps/>
                <w:sz w:val="20"/>
              </w:rPr>
              <w:t>B</w:t>
            </w:r>
            <w:r w:rsidRPr="00244D40">
              <w:rPr>
                <w:rFonts w:eastAsia="Calibri"/>
                <w:smallCaps/>
                <w:sz w:val="20"/>
              </w:rPr>
              <w:t xml:space="preserve">an in </w:t>
            </w:r>
            <w:r>
              <w:rPr>
                <w:rFonts w:eastAsia="Calibri"/>
                <w:smallCaps/>
                <w:sz w:val="20"/>
              </w:rPr>
              <w:t>C</w:t>
            </w:r>
            <w:r w:rsidRPr="00244D40">
              <w:rPr>
                <w:rFonts w:eastAsia="Calibri"/>
                <w:smallCaps/>
                <w:sz w:val="20"/>
              </w:rPr>
              <w:t>ase</w:t>
            </w:r>
            <w:r w:rsidRPr="008057D9">
              <w:rPr>
                <w:rFonts w:eastAsia="Calibri"/>
                <w:smallCaps/>
                <w:sz w:val="20"/>
              </w:rPr>
              <w:t>) (</w:t>
            </w:r>
            <w:r w:rsidRPr="00244D40">
              <w:rPr>
                <w:rFonts w:eastAsia="Calibri"/>
                <w:smallCaps/>
                <w:sz w:val="20"/>
              </w:rPr>
              <w:t xml:space="preserve">Publication </w:t>
            </w:r>
            <w:r>
              <w:rPr>
                <w:rFonts w:eastAsia="Calibri"/>
                <w:smallCaps/>
                <w:sz w:val="20"/>
              </w:rPr>
              <w:t>B</w:t>
            </w:r>
            <w:r w:rsidRPr="00244D40">
              <w:rPr>
                <w:rFonts w:eastAsia="Calibri"/>
                <w:smallCaps/>
                <w:sz w:val="20"/>
              </w:rPr>
              <w:t xml:space="preserve">an on </w:t>
            </w:r>
            <w:r>
              <w:rPr>
                <w:rFonts w:eastAsia="Calibri"/>
                <w:smallCaps/>
                <w:sz w:val="20"/>
              </w:rPr>
              <w:t>P</w:t>
            </w:r>
            <w:r w:rsidRPr="00244D40">
              <w:rPr>
                <w:rFonts w:eastAsia="Calibri"/>
                <w:smallCaps/>
                <w:sz w:val="20"/>
              </w:rPr>
              <w:t>arty</w:t>
            </w:r>
            <w:r w:rsidRPr="008057D9">
              <w:rPr>
                <w:rFonts w:eastAsia="Calibri"/>
                <w:smallCaps/>
                <w:sz w:val="20"/>
              </w:rPr>
              <w:t>)</w:t>
            </w:r>
          </w:p>
          <w:p w:rsidR="00D10B88" w:rsidRPr="008057D9" w:rsidRDefault="00D10B88" w:rsidP="004B52FA">
            <w:pPr>
              <w:jc w:val="both"/>
              <w:rPr>
                <w:rFonts w:eastAsia="Calibri"/>
                <w:sz w:val="20"/>
              </w:rPr>
            </w:pPr>
          </w:p>
          <w:p w:rsidR="00D10B88" w:rsidRPr="008057D9" w:rsidRDefault="00D10B88" w:rsidP="004B52FA">
            <w:pPr>
              <w:jc w:val="both"/>
              <w:rPr>
                <w:rFonts w:eastAsia="Calibri"/>
                <w:sz w:val="20"/>
              </w:rPr>
            </w:pPr>
            <w:r w:rsidRPr="008057D9">
              <w:rPr>
                <w:rFonts w:eastAsia="Calibri"/>
                <w:sz w:val="20"/>
              </w:rPr>
              <w:t xml:space="preserve">Criminal law – Sexual assault and sexual exploitation – Evidence – Assessment – Appellate review – Whether the Court of Appeal erred by affirming an approach to the evidence which undermined the burden of proof and is inconsistent with jurisprudence from this Court – Whether the Court of Appeal erred by substituting its own reasoning for the trial judge’s legally erroneous reasoning – </w:t>
            </w:r>
            <w:r w:rsidRPr="008057D9">
              <w:rPr>
                <w:rFonts w:eastAsia="Calibri"/>
                <w:i/>
                <w:sz w:val="20"/>
              </w:rPr>
              <w:t>R. v. J.J.R.D.</w:t>
            </w:r>
            <w:r w:rsidRPr="008057D9">
              <w:rPr>
                <w:rFonts w:eastAsia="Calibri"/>
                <w:sz w:val="20"/>
              </w:rPr>
              <w:t>, 2006 CanLII 40088 (ON CA).</w:t>
            </w:r>
          </w:p>
          <w:p w:rsidR="00D10B88" w:rsidRPr="008057D9" w:rsidRDefault="00D10B88" w:rsidP="004B52FA">
            <w:pPr>
              <w:jc w:val="both"/>
              <w:rPr>
                <w:rFonts w:eastAsia="Calibri"/>
                <w:sz w:val="20"/>
              </w:rPr>
            </w:pPr>
          </w:p>
        </w:tc>
      </w:tr>
      <w:tr w:rsidR="00D10B88" w:rsidRPr="008057D9" w:rsidTr="004B52FA">
        <w:tc>
          <w:tcPr>
            <w:tcW w:w="5000" w:type="pct"/>
            <w:gridSpan w:val="3"/>
          </w:tcPr>
          <w:p w:rsidR="00D10B88" w:rsidRPr="008057D9" w:rsidRDefault="00D10B88" w:rsidP="004B52FA">
            <w:pPr>
              <w:jc w:val="both"/>
              <w:rPr>
                <w:rFonts w:eastAsia="Calibri"/>
                <w:sz w:val="20"/>
              </w:rPr>
            </w:pPr>
            <w:r w:rsidRPr="008057D9">
              <w:rPr>
                <w:rFonts w:eastAsia="Calibri"/>
                <w:sz w:val="20"/>
              </w:rPr>
              <w:t>The applicant, R.M., was convicted of sexual assault and sexual exploitation in respect of the complainant, his foster child.  R.M. testified at trial and denied ever having sexual contact with the complainant.  The complainant also testified at trial.  On appeal, R.M. argued, among other things, that the trial judge reversed the burden of proof when assessing his evidence.  The Court of Appeal unanimously dismissed the appeal.</w:t>
            </w:r>
          </w:p>
        </w:tc>
      </w:tr>
      <w:tr w:rsidR="00D10B88" w:rsidRPr="008057D9" w:rsidTr="004B52FA">
        <w:tc>
          <w:tcPr>
            <w:tcW w:w="5000" w:type="pct"/>
            <w:gridSpan w:val="3"/>
          </w:tcPr>
          <w:p w:rsidR="00D10B88" w:rsidRPr="008057D9" w:rsidRDefault="00D10B88" w:rsidP="004B52FA">
            <w:pPr>
              <w:jc w:val="both"/>
              <w:rPr>
                <w:rFonts w:eastAsia="Calibri"/>
                <w:sz w:val="20"/>
              </w:rPr>
            </w:pPr>
          </w:p>
        </w:tc>
      </w:tr>
      <w:tr w:rsidR="00D10B88" w:rsidRPr="008057D9" w:rsidTr="004B52FA">
        <w:tc>
          <w:tcPr>
            <w:tcW w:w="2427" w:type="pct"/>
          </w:tcPr>
          <w:p w:rsidR="00D10B88" w:rsidRPr="008057D9" w:rsidRDefault="00D10B88" w:rsidP="004B52FA">
            <w:pPr>
              <w:jc w:val="both"/>
              <w:rPr>
                <w:rFonts w:eastAsia="Calibri"/>
                <w:sz w:val="20"/>
              </w:rPr>
            </w:pPr>
            <w:r w:rsidRPr="008057D9">
              <w:rPr>
                <w:rFonts w:eastAsia="Calibri"/>
                <w:sz w:val="20"/>
              </w:rPr>
              <w:t>June 5, 2013</w:t>
            </w:r>
          </w:p>
          <w:p w:rsidR="00D10B88" w:rsidRPr="008057D9" w:rsidRDefault="00D10B88" w:rsidP="004B52FA">
            <w:pPr>
              <w:jc w:val="both"/>
              <w:rPr>
                <w:rFonts w:eastAsia="Calibri"/>
                <w:sz w:val="20"/>
              </w:rPr>
            </w:pPr>
            <w:r w:rsidRPr="008057D9">
              <w:rPr>
                <w:rFonts w:eastAsia="Calibri"/>
                <w:sz w:val="20"/>
              </w:rPr>
              <w:t>Ontario Superior Court of Justice</w:t>
            </w:r>
          </w:p>
          <w:p w:rsidR="00D10B88" w:rsidRPr="008057D9" w:rsidRDefault="00D10B88" w:rsidP="004B52FA">
            <w:pPr>
              <w:jc w:val="both"/>
              <w:rPr>
                <w:rFonts w:eastAsia="Calibri"/>
                <w:sz w:val="20"/>
              </w:rPr>
            </w:pPr>
            <w:r w:rsidRPr="008057D9">
              <w:rPr>
                <w:rFonts w:eastAsia="Calibri"/>
                <w:sz w:val="20"/>
              </w:rPr>
              <w:t>(Wilson J.)</w:t>
            </w:r>
          </w:p>
          <w:p w:rsidR="00D10B88" w:rsidRPr="008057D9" w:rsidRDefault="00D10B88" w:rsidP="004B52FA">
            <w:pPr>
              <w:jc w:val="both"/>
              <w:rPr>
                <w:rFonts w:eastAsia="Calibri"/>
                <w:sz w:val="20"/>
              </w:rPr>
            </w:pPr>
          </w:p>
        </w:tc>
        <w:tc>
          <w:tcPr>
            <w:tcW w:w="243" w:type="pct"/>
          </w:tcPr>
          <w:p w:rsidR="00D10B88" w:rsidRPr="008057D9" w:rsidRDefault="00D10B88" w:rsidP="004B52FA">
            <w:pPr>
              <w:jc w:val="both"/>
              <w:rPr>
                <w:rFonts w:eastAsia="Calibri"/>
                <w:sz w:val="20"/>
              </w:rPr>
            </w:pPr>
          </w:p>
        </w:tc>
        <w:tc>
          <w:tcPr>
            <w:tcW w:w="2330" w:type="pct"/>
          </w:tcPr>
          <w:p w:rsidR="00D10B88" w:rsidRPr="008057D9" w:rsidRDefault="00D10B88" w:rsidP="004B52FA">
            <w:pPr>
              <w:jc w:val="both"/>
              <w:rPr>
                <w:rFonts w:eastAsia="Calibri"/>
                <w:sz w:val="20"/>
              </w:rPr>
            </w:pPr>
            <w:r w:rsidRPr="008057D9">
              <w:rPr>
                <w:rFonts w:eastAsia="Calibri"/>
                <w:sz w:val="20"/>
              </w:rPr>
              <w:t>Applicant convicted of one count of sexual assault and two counts of sexual exploitation</w:t>
            </w:r>
          </w:p>
          <w:p w:rsidR="00D10B88" w:rsidRPr="008057D9" w:rsidRDefault="00D10B88" w:rsidP="004B52FA">
            <w:pPr>
              <w:jc w:val="both"/>
              <w:rPr>
                <w:rFonts w:eastAsia="Calibri"/>
                <w:sz w:val="20"/>
              </w:rPr>
            </w:pPr>
          </w:p>
        </w:tc>
      </w:tr>
      <w:tr w:rsidR="00D10B88" w:rsidRPr="008057D9" w:rsidTr="004B52FA">
        <w:tc>
          <w:tcPr>
            <w:tcW w:w="2427" w:type="pct"/>
          </w:tcPr>
          <w:p w:rsidR="00D10B88" w:rsidRPr="008057D9" w:rsidRDefault="00D10B88" w:rsidP="004B52FA">
            <w:pPr>
              <w:jc w:val="both"/>
              <w:rPr>
                <w:rFonts w:eastAsia="Calibri"/>
                <w:sz w:val="20"/>
              </w:rPr>
            </w:pPr>
            <w:r w:rsidRPr="008057D9">
              <w:rPr>
                <w:rFonts w:eastAsia="Calibri"/>
                <w:sz w:val="20"/>
              </w:rPr>
              <w:t>November 7, 2014</w:t>
            </w:r>
          </w:p>
          <w:p w:rsidR="00D10B88" w:rsidRPr="008057D9" w:rsidRDefault="00D10B88" w:rsidP="004B52FA">
            <w:pPr>
              <w:jc w:val="both"/>
              <w:rPr>
                <w:rFonts w:eastAsia="Calibri"/>
                <w:sz w:val="20"/>
              </w:rPr>
            </w:pPr>
            <w:r w:rsidRPr="008057D9">
              <w:rPr>
                <w:rFonts w:eastAsia="Calibri"/>
                <w:sz w:val="20"/>
              </w:rPr>
              <w:t>Court of Appeal for Ontario</w:t>
            </w:r>
          </w:p>
          <w:p w:rsidR="00D10B88" w:rsidRPr="008057D9" w:rsidRDefault="00D10B88" w:rsidP="004B52FA">
            <w:pPr>
              <w:jc w:val="both"/>
              <w:rPr>
                <w:rFonts w:eastAsia="Calibri"/>
                <w:sz w:val="20"/>
              </w:rPr>
            </w:pPr>
            <w:r w:rsidRPr="008057D9">
              <w:rPr>
                <w:rFonts w:eastAsia="Calibri"/>
                <w:sz w:val="20"/>
              </w:rPr>
              <w:t>(Cronk, Gillese and Tulloch JJ.A.)</w:t>
            </w:r>
          </w:p>
          <w:p w:rsidR="00D10B88" w:rsidRPr="008057D9" w:rsidRDefault="00173D9D" w:rsidP="004B52FA">
            <w:pPr>
              <w:jc w:val="both"/>
              <w:rPr>
                <w:rFonts w:eastAsia="Calibri"/>
                <w:sz w:val="20"/>
              </w:rPr>
            </w:pPr>
            <w:hyperlink r:id="rId49" w:history="1">
              <w:r w:rsidR="00D10B88" w:rsidRPr="008057D9">
                <w:rPr>
                  <w:rFonts w:eastAsia="Calibri"/>
                  <w:color w:val="0000FF"/>
                  <w:sz w:val="20"/>
                  <w:u w:val="single"/>
                </w:rPr>
                <w:t>2014 ONCA 785</w:t>
              </w:r>
            </w:hyperlink>
          </w:p>
          <w:p w:rsidR="00D10B88" w:rsidRPr="008057D9" w:rsidRDefault="00D10B88" w:rsidP="004B52FA">
            <w:pPr>
              <w:jc w:val="both"/>
              <w:rPr>
                <w:rFonts w:eastAsia="Calibri"/>
                <w:sz w:val="20"/>
              </w:rPr>
            </w:pPr>
          </w:p>
        </w:tc>
        <w:tc>
          <w:tcPr>
            <w:tcW w:w="243" w:type="pct"/>
          </w:tcPr>
          <w:p w:rsidR="00D10B88" w:rsidRPr="008057D9" w:rsidRDefault="00D10B88" w:rsidP="004B52FA">
            <w:pPr>
              <w:jc w:val="both"/>
              <w:rPr>
                <w:rFonts w:eastAsia="Calibri"/>
                <w:sz w:val="20"/>
              </w:rPr>
            </w:pPr>
          </w:p>
        </w:tc>
        <w:tc>
          <w:tcPr>
            <w:tcW w:w="2330" w:type="pct"/>
          </w:tcPr>
          <w:p w:rsidR="00D10B88" w:rsidRPr="008057D9" w:rsidRDefault="00D10B88" w:rsidP="004B52FA">
            <w:pPr>
              <w:jc w:val="both"/>
              <w:rPr>
                <w:rFonts w:eastAsia="Calibri"/>
                <w:sz w:val="20"/>
              </w:rPr>
            </w:pPr>
            <w:r w:rsidRPr="008057D9">
              <w:rPr>
                <w:rFonts w:eastAsia="Calibri"/>
                <w:sz w:val="20"/>
              </w:rPr>
              <w:t>Appeal dismissed</w:t>
            </w:r>
          </w:p>
          <w:p w:rsidR="00D10B88" w:rsidRPr="008057D9" w:rsidRDefault="00D10B88" w:rsidP="004B52FA">
            <w:pPr>
              <w:jc w:val="both"/>
              <w:rPr>
                <w:rFonts w:eastAsia="Calibri"/>
                <w:sz w:val="20"/>
              </w:rPr>
            </w:pPr>
          </w:p>
        </w:tc>
      </w:tr>
      <w:tr w:rsidR="00D10B88" w:rsidRPr="008057D9" w:rsidTr="004B52FA">
        <w:tc>
          <w:tcPr>
            <w:tcW w:w="2427" w:type="pct"/>
          </w:tcPr>
          <w:p w:rsidR="00D10B88" w:rsidRPr="008057D9" w:rsidRDefault="00D10B88" w:rsidP="004B52FA">
            <w:pPr>
              <w:jc w:val="both"/>
              <w:rPr>
                <w:rFonts w:eastAsia="Calibri"/>
                <w:sz w:val="20"/>
              </w:rPr>
            </w:pPr>
            <w:r w:rsidRPr="008057D9">
              <w:rPr>
                <w:rFonts w:eastAsia="Calibri"/>
                <w:sz w:val="20"/>
              </w:rPr>
              <w:t>December 17, 2014</w:t>
            </w:r>
          </w:p>
          <w:p w:rsidR="00D10B88" w:rsidRPr="008057D9" w:rsidRDefault="00D10B88" w:rsidP="004B52FA">
            <w:pPr>
              <w:jc w:val="both"/>
              <w:rPr>
                <w:rFonts w:eastAsia="Calibri"/>
                <w:sz w:val="20"/>
              </w:rPr>
            </w:pPr>
            <w:r w:rsidRPr="008057D9">
              <w:rPr>
                <w:rFonts w:eastAsia="Calibri"/>
                <w:sz w:val="20"/>
              </w:rPr>
              <w:t>Supreme Court of Canada</w:t>
            </w:r>
          </w:p>
        </w:tc>
        <w:tc>
          <w:tcPr>
            <w:tcW w:w="243" w:type="pct"/>
          </w:tcPr>
          <w:p w:rsidR="00D10B88" w:rsidRPr="008057D9" w:rsidRDefault="00D10B88" w:rsidP="004B52FA">
            <w:pPr>
              <w:jc w:val="both"/>
              <w:rPr>
                <w:rFonts w:eastAsia="Calibri"/>
                <w:sz w:val="20"/>
              </w:rPr>
            </w:pPr>
          </w:p>
        </w:tc>
        <w:tc>
          <w:tcPr>
            <w:tcW w:w="2330" w:type="pct"/>
          </w:tcPr>
          <w:p w:rsidR="00D10B88" w:rsidRPr="008057D9" w:rsidRDefault="00D10B88" w:rsidP="004B52FA">
            <w:pPr>
              <w:jc w:val="both"/>
              <w:rPr>
                <w:rFonts w:eastAsia="Calibri"/>
                <w:sz w:val="20"/>
              </w:rPr>
            </w:pPr>
            <w:r w:rsidRPr="008057D9">
              <w:rPr>
                <w:rFonts w:eastAsia="Calibri"/>
                <w:sz w:val="20"/>
              </w:rPr>
              <w:t>Application for leave to appeal filed</w:t>
            </w:r>
          </w:p>
          <w:p w:rsidR="00D10B88" w:rsidRPr="008057D9" w:rsidRDefault="00D10B88" w:rsidP="004B52FA">
            <w:pPr>
              <w:jc w:val="both"/>
              <w:rPr>
                <w:rFonts w:eastAsia="Calibri"/>
                <w:sz w:val="20"/>
              </w:rPr>
            </w:pP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48"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0B88" w:rsidRPr="00EC49A7" w:rsidTr="004B52FA">
        <w:tc>
          <w:tcPr>
            <w:tcW w:w="5000" w:type="pct"/>
            <w:gridSpan w:val="3"/>
          </w:tcPr>
          <w:p w:rsidR="00D10B88" w:rsidRPr="008057D9" w:rsidRDefault="00D10B88" w:rsidP="004B52FA">
            <w:pPr>
              <w:jc w:val="both"/>
              <w:rPr>
                <w:rFonts w:eastAsia="Calibri"/>
                <w:smallCaps/>
                <w:sz w:val="20"/>
                <w:lang w:val="fr-CA"/>
              </w:rPr>
            </w:pPr>
            <w:r w:rsidRPr="008057D9">
              <w:rPr>
                <w:rFonts w:eastAsia="Calibri"/>
                <w:smallCaps/>
                <w:sz w:val="20"/>
                <w:lang w:val="fr-CA"/>
              </w:rPr>
              <w:t>(Ordonnance de non-publication dans le dossier) (Ordonnance de non-publication visant une partie)</w:t>
            </w:r>
          </w:p>
          <w:p w:rsidR="00D10B88" w:rsidRPr="008057D9" w:rsidRDefault="00D10B88" w:rsidP="004B52FA">
            <w:pPr>
              <w:jc w:val="both"/>
              <w:rPr>
                <w:rFonts w:eastAsia="Calibri"/>
                <w:sz w:val="20"/>
                <w:lang w:val="fr-CA"/>
              </w:rPr>
            </w:pPr>
          </w:p>
          <w:p w:rsidR="00D10B88" w:rsidRPr="008057D9" w:rsidRDefault="00D10B88" w:rsidP="004B52FA">
            <w:pPr>
              <w:jc w:val="both"/>
              <w:rPr>
                <w:rFonts w:eastAsia="Calibri"/>
                <w:sz w:val="20"/>
                <w:lang w:val="fr-CA"/>
              </w:rPr>
            </w:pPr>
            <w:r w:rsidRPr="008057D9">
              <w:rPr>
                <w:rFonts w:eastAsia="Calibri"/>
                <w:sz w:val="20"/>
                <w:lang w:val="fr-CA"/>
              </w:rPr>
              <w:t xml:space="preserve">Droit criminel – Agression sexuelle et exploitation sexuelle – Preuve – Appréciation – Examen en appel – La Cour d’appel a-t-elle eu tort de confirmer une méthode d’appréciation de la preuve qui sapait le fardeau de la preuve et qui est incompatible avec la jurisprudence de notre Cour? – La Cour d’appel a-t-elle eu tort de substituer son propre raisonnement au raisonnement erroné en droit de la juge du procès? – </w:t>
            </w:r>
            <w:r w:rsidRPr="008057D9">
              <w:rPr>
                <w:rFonts w:eastAsia="Calibri"/>
                <w:i/>
                <w:sz w:val="20"/>
                <w:lang w:val="fr-CA"/>
              </w:rPr>
              <w:t>R. c. J.J.R.D.</w:t>
            </w:r>
            <w:r w:rsidRPr="008057D9">
              <w:rPr>
                <w:rFonts w:eastAsia="Calibri"/>
                <w:sz w:val="20"/>
                <w:lang w:val="fr-CA"/>
              </w:rPr>
              <w:t>, 2006 CanLII 40088 (ON CA).</w:t>
            </w:r>
          </w:p>
          <w:p w:rsidR="00D10B88" w:rsidRPr="008057D9" w:rsidRDefault="00D10B88" w:rsidP="004B52FA">
            <w:pPr>
              <w:jc w:val="both"/>
              <w:rPr>
                <w:rFonts w:eastAsia="Calibri"/>
                <w:sz w:val="20"/>
                <w:lang w:val="fr-CA"/>
              </w:rPr>
            </w:pPr>
          </w:p>
        </w:tc>
      </w:tr>
      <w:tr w:rsidR="00D10B88" w:rsidRPr="008057D9" w:rsidTr="004B52FA">
        <w:tc>
          <w:tcPr>
            <w:tcW w:w="5000" w:type="pct"/>
            <w:gridSpan w:val="3"/>
          </w:tcPr>
          <w:p w:rsidR="00D10B88" w:rsidRPr="008057D9" w:rsidRDefault="00D10B88" w:rsidP="004B52FA">
            <w:pPr>
              <w:jc w:val="both"/>
              <w:rPr>
                <w:rFonts w:eastAsia="Calibri"/>
                <w:sz w:val="20"/>
                <w:lang w:val="fr-CA"/>
              </w:rPr>
            </w:pPr>
            <w:r w:rsidRPr="008057D9">
              <w:rPr>
                <w:rFonts w:eastAsia="Calibri"/>
                <w:sz w:val="20"/>
                <w:lang w:val="fr-CA"/>
              </w:rPr>
              <w:t>Le demandeur, R.M., a été déclaré coupable d’agression sexuelle et d’exploitation sexuelle à l’endroit de la plaignante, l’enfant dont il était le parent nourricier.  R.M. a témoigné au procès et il a nié avoir eu des contacts sexuels avec la plaignante.  La plaignante a elle-aussi témoigné au procès.  En appel, R.M. a plaidé, entre autres, que le juge du procès avait renversé le fardeau de la preuve.  La Cour d’appel a rejeté l’appel à l’unanimité.</w:t>
            </w:r>
          </w:p>
        </w:tc>
      </w:tr>
      <w:tr w:rsidR="00D10B88" w:rsidRPr="008057D9" w:rsidTr="004B52FA">
        <w:tc>
          <w:tcPr>
            <w:tcW w:w="5000" w:type="pct"/>
            <w:gridSpan w:val="3"/>
          </w:tcPr>
          <w:p w:rsidR="00D10B88" w:rsidRPr="008057D9" w:rsidRDefault="00D10B88" w:rsidP="004B52FA">
            <w:pPr>
              <w:jc w:val="both"/>
              <w:rPr>
                <w:rFonts w:eastAsia="Calibri"/>
                <w:sz w:val="20"/>
                <w:lang w:val="fr-CA"/>
              </w:rPr>
            </w:pPr>
          </w:p>
        </w:tc>
      </w:tr>
      <w:tr w:rsidR="00D10B88" w:rsidRPr="00EC49A7" w:rsidTr="00574799">
        <w:trPr>
          <w:cantSplit/>
        </w:trPr>
        <w:tc>
          <w:tcPr>
            <w:tcW w:w="2427" w:type="pct"/>
          </w:tcPr>
          <w:p w:rsidR="00D10B88" w:rsidRPr="008057D9" w:rsidRDefault="00D10B88" w:rsidP="004B52FA">
            <w:pPr>
              <w:jc w:val="both"/>
              <w:rPr>
                <w:rFonts w:eastAsia="Calibri"/>
                <w:sz w:val="20"/>
                <w:lang w:val="fr-CA"/>
              </w:rPr>
            </w:pPr>
            <w:r w:rsidRPr="008057D9">
              <w:rPr>
                <w:rFonts w:eastAsia="Calibri"/>
                <w:sz w:val="20"/>
                <w:lang w:val="fr-CA"/>
              </w:rPr>
              <w:lastRenderedPageBreak/>
              <w:t>5 juin 2013</w:t>
            </w:r>
          </w:p>
          <w:p w:rsidR="00D10B88" w:rsidRPr="008057D9" w:rsidRDefault="00D10B88" w:rsidP="004B52FA">
            <w:pPr>
              <w:jc w:val="both"/>
              <w:rPr>
                <w:rFonts w:eastAsia="Calibri"/>
                <w:sz w:val="20"/>
                <w:lang w:val="fr-CA"/>
              </w:rPr>
            </w:pPr>
            <w:r w:rsidRPr="008057D9">
              <w:rPr>
                <w:rFonts w:eastAsia="Calibri"/>
                <w:sz w:val="20"/>
                <w:lang w:val="fr-CA"/>
              </w:rPr>
              <w:t>Cour supérieure de justice de l’Ontario</w:t>
            </w:r>
          </w:p>
          <w:p w:rsidR="00D10B88" w:rsidRPr="008057D9" w:rsidRDefault="00D10B88" w:rsidP="004B52FA">
            <w:pPr>
              <w:jc w:val="both"/>
              <w:rPr>
                <w:rFonts w:eastAsia="Calibri"/>
                <w:sz w:val="20"/>
                <w:lang w:val="fr-CA"/>
              </w:rPr>
            </w:pPr>
            <w:r w:rsidRPr="008057D9">
              <w:rPr>
                <w:rFonts w:eastAsia="Calibri"/>
                <w:sz w:val="20"/>
                <w:lang w:val="fr-CA"/>
              </w:rPr>
              <w:t>(Juge Wilson)</w:t>
            </w:r>
          </w:p>
          <w:p w:rsidR="00D10B88" w:rsidRPr="008057D9" w:rsidRDefault="00D10B88" w:rsidP="004B52FA">
            <w:pPr>
              <w:jc w:val="both"/>
              <w:rPr>
                <w:rFonts w:eastAsia="Calibri"/>
                <w:sz w:val="20"/>
                <w:lang w:val="fr-CA"/>
              </w:rPr>
            </w:pPr>
          </w:p>
        </w:tc>
        <w:tc>
          <w:tcPr>
            <w:tcW w:w="243" w:type="pct"/>
          </w:tcPr>
          <w:p w:rsidR="00D10B88" w:rsidRPr="008057D9" w:rsidRDefault="00D10B88" w:rsidP="004B52FA">
            <w:pPr>
              <w:jc w:val="both"/>
              <w:rPr>
                <w:rFonts w:eastAsia="Calibri"/>
                <w:sz w:val="20"/>
                <w:lang w:val="fr-CA"/>
              </w:rPr>
            </w:pPr>
          </w:p>
        </w:tc>
        <w:tc>
          <w:tcPr>
            <w:tcW w:w="2330" w:type="pct"/>
          </w:tcPr>
          <w:p w:rsidR="00D10B88" w:rsidRPr="008057D9" w:rsidRDefault="00D10B88" w:rsidP="004B52FA">
            <w:pPr>
              <w:jc w:val="both"/>
              <w:rPr>
                <w:rFonts w:eastAsia="Calibri"/>
                <w:sz w:val="20"/>
                <w:lang w:val="fr-CA"/>
              </w:rPr>
            </w:pPr>
            <w:r w:rsidRPr="008057D9">
              <w:rPr>
                <w:rFonts w:eastAsia="Calibri"/>
                <w:sz w:val="20"/>
                <w:lang w:val="fr-CA"/>
              </w:rPr>
              <w:t>Déclaration de culpabilité prononcée contre le demandeur sous un chef d’agression sexuelle et deux chefs d’exploitation sexuelle</w:t>
            </w:r>
          </w:p>
          <w:p w:rsidR="00D10B88" w:rsidRPr="008057D9" w:rsidRDefault="00D10B88" w:rsidP="004B52FA">
            <w:pPr>
              <w:jc w:val="both"/>
              <w:rPr>
                <w:rFonts w:eastAsia="Calibri"/>
                <w:sz w:val="20"/>
                <w:lang w:val="fr-CA"/>
              </w:rPr>
            </w:pPr>
          </w:p>
        </w:tc>
      </w:tr>
      <w:tr w:rsidR="00D10B88" w:rsidRPr="008057D9" w:rsidTr="00574799">
        <w:trPr>
          <w:cantSplit/>
        </w:trPr>
        <w:tc>
          <w:tcPr>
            <w:tcW w:w="2427" w:type="pct"/>
          </w:tcPr>
          <w:p w:rsidR="00D10B88" w:rsidRPr="008057D9" w:rsidRDefault="00D10B88" w:rsidP="004B52FA">
            <w:pPr>
              <w:jc w:val="both"/>
              <w:rPr>
                <w:rFonts w:eastAsia="Calibri"/>
                <w:sz w:val="20"/>
                <w:lang w:val="fr-CA"/>
              </w:rPr>
            </w:pPr>
            <w:r w:rsidRPr="008057D9">
              <w:rPr>
                <w:rFonts w:eastAsia="Calibri"/>
                <w:sz w:val="20"/>
                <w:lang w:val="fr-CA"/>
              </w:rPr>
              <w:t>7 novembre 2014</w:t>
            </w:r>
          </w:p>
          <w:p w:rsidR="00D10B88" w:rsidRPr="008057D9" w:rsidRDefault="00D10B88" w:rsidP="004B52FA">
            <w:pPr>
              <w:jc w:val="both"/>
              <w:rPr>
                <w:rFonts w:eastAsia="Calibri"/>
                <w:sz w:val="20"/>
                <w:lang w:val="fr-CA"/>
              </w:rPr>
            </w:pPr>
            <w:r w:rsidRPr="008057D9">
              <w:rPr>
                <w:rFonts w:eastAsia="Calibri"/>
                <w:sz w:val="20"/>
                <w:lang w:val="fr-CA"/>
              </w:rPr>
              <w:t>Cour d’appel de l’Ontario</w:t>
            </w:r>
          </w:p>
          <w:p w:rsidR="00D10B88" w:rsidRPr="008057D9" w:rsidRDefault="00D10B88" w:rsidP="004B52FA">
            <w:pPr>
              <w:jc w:val="both"/>
              <w:rPr>
                <w:rFonts w:eastAsia="Calibri"/>
                <w:sz w:val="20"/>
                <w:lang w:val="fr-CA"/>
              </w:rPr>
            </w:pPr>
            <w:r w:rsidRPr="008057D9">
              <w:rPr>
                <w:rFonts w:eastAsia="Calibri"/>
                <w:sz w:val="20"/>
                <w:lang w:val="fr-CA"/>
              </w:rPr>
              <w:t>(Juges Cronk, Gillese et Tulloch)</w:t>
            </w:r>
          </w:p>
          <w:p w:rsidR="00D10B88" w:rsidRPr="008057D9" w:rsidRDefault="00173D9D" w:rsidP="004B52FA">
            <w:pPr>
              <w:jc w:val="both"/>
              <w:rPr>
                <w:rFonts w:eastAsia="Calibri"/>
                <w:sz w:val="20"/>
                <w:lang w:val="fr-CA"/>
              </w:rPr>
            </w:pPr>
            <w:hyperlink r:id="rId50" w:history="1">
              <w:r w:rsidR="00D10B88" w:rsidRPr="008057D9">
                <w:rPr>
                  <w:rFonts w:eastAsia="Calibri"/>
                  <w:color w:val="0000FF"/>
                  <w:sz w:val="20"/>
                  <w:u w:val="single"/>
                  <w:lang w:val="fr-CA"/>
                </w:rPr>
                <w:t>2014 ONCA 785</w:t>
              </w:r>
            </w:hyperlink>
          </w:p>
          <w:p w:rsidR="00D10B88" w:rsidRPr="008057D9" w:rsidRDefault="00D10B88" w:rsidP="004B52FA">
            <w:pPr>
              <w:jc w:val="both"/>
              <w:rPr>
                <w:rFonts w:eastAsia="Calibri"/>
                <w:sz w:val="20"/>
                <w:lang w:val="fr-CA"/>
              </w:rPr>
            </w:pPr>
          </w:p>
        </w:tc>
        <w:tc>
          <w:tcPr>
            <w:tcW w:w="243" w:type="pct"/>
          </w:tcPr>
          <w:p w:rsidR="00D10B88" w:rsidRPr="008057D9" w:rsidRDefault="00D10B88" w:rsidP="004B52FA">
            <w:pPr>
              <w:jc w:val="both"/>
              <w:rPr>
                <w:rFonts w:eastAsia="Calibri"/>
                <w:sz w:val="20"/>
                <w:lang w:val="fr-CA"/>
              </w:rPr>
            </w:pPr>
          </w:p>
        </w:tc>
        <w:tc>
          <w:tcPr>
            <w:tcW w:w="2330" w:type="pct"/>
          </w:tcPr>
          <w:p w:rsidR="00D10B88" w:rsidRPr="008057D9" w:rsidRDefault="00D10B88" w:rsidP="004B52FA">
            <w:pPr>
              <w:jc w:val="both"/>
              <w:rPr>
                <w:rFonts w:eastAsia="Calibri"/>
                <w:sz w:val="20"/>
                <w:lang w:val="fr-CA"/>
              </w:rPr>
            </w:pPr>
            <w:r w:rsidRPr="008057D9">
              <w:rPr>
                <w:rFonts w:eastAsia="Calibri"/>
                <w:sz w:val="20"/>
                <w:lang w:val="fr-CA"/>
              </w:rPr>
              <w:t>Rejet de l’appel</w:t>
            </w:r>
          </w:p>
          <w:p w:rsidR="00D10B88" w:rsidRPr="008057D9" w:rsidRDefault="00D10B88" w:rsidP="004B52FA">
            <w:pPr>
              <w:jc w:val="both"/>
              <w:rPr>
                <w:rFonts w:eastAsia="Calibri"/>
                <w:sz w:val="20"/>
                <w:lang w:val="fr-CA"/>
              </w:rPr>
            </w:pPr>
          </w:p>
        </w:tc>
      </w:tr>
      <w:tr w:rsidR="00D10B88" w:rsidRPr="00EC49A7" w:rsidTr="00574799">
        <w:trPr>
          <w:cantSplit/>
        </w:trPr>
        <w:tc>
          <w:tcPr>
            <w:tcW w:w="2427" w:type="pct"/>
          </w:tcPr>
          <w:p w:rsidR="00D10B88" w:rsidRPr="008057D9" w:rsidRDefault="00D10B88" w:rsidP="004B52FA">
            <w:pPr>
              <w:jc w:val="both"/>
              <w:rPr>
                <w:rFonts w:eastAsia="Calibri"/>
                <w:sz w:val="20"/>
                <w:lang w:val="fr-CA"/>
              </w:rPr>
            </w:pPr>
            <w:r w:rsidRPr="008057D9">
              <w:rPr>
                <w:rFonts w:eastAsia="Calibri"/>
                <w:sz w:val="20"/>
                <w:lang w:val="fr-CA"/>
              </w:rPr>
              <w:t>17 décembre 2014</w:t>
            </w:r>
          </w:p>
          <w:p w:rsidR="00D10B88" w:rsidRPr="008057D9" w:rsidRDefault="00D10B88" w:rsidP="004B52FA">
            <w:pPr>
              <w:jc w:val="both"/>
              <w:rPr>
                <w:rFonts w:eastAsia="Calibri"/>
                <w:sz w:val="20"/>
                <w:lang w:val="fr-CA"/>
              </w:rPr>
            </w:pPr>
            <w:r w:rsidRPr="008057D9">
              <w:rPr>
                <w:rFonts w:eastAsia="Calibri"/>
                <w:sz w:val="20"/>
                <w:lang w:val="fr-CA"/>
              </w:rPr>
              <w:t>Cour suprême du Canada</w:t>
            </w:r>
          </w:p>
        </w:tc>
        <w:tc>
          <w:tcPr>
            <w:tcW w:w="243" w:type="pct"/>
          </w:tcPr>
          <w:p w:rsidR="00D10B88" w:rsidRPr="008057D9" w:rsidRDefault="00D10B88" w:rsidP="004B52FA">
            <w:pPr>
              <w:jc w:val="both"/>
              <w:rPr>
                <w:rFonts w:eastAsia="Calibri"/>
                <w:sz w:val="20"/>
                <w:lang w:val="fr-CA"/>
              </w:rPr>
            </w:pPr>
          </w:p>
        </w:tc>
        <w:tc>
          <w:tcPr>
            <w:tcW w:w="2330" w:type="pct"/>
          </w:tcPr>
          <w:p w:rsidR="00D10B88" w:rsidRPr="008057D9" w:rsidRDefault="00D10B88" w:rsidP="004B52FA">
            <w:pPr>
              <w:jc w:val="both"/>
              <w:rPr>
                <w:rFonts w:eastAsia="Calibri"/>
                <w:sz w:val="20"/>
                <w:lang w:val="fr-CA"/>
              </w:rPr>
            </w:pPr>
            <w:r w:rsidRPr="008057D9">
              <w:rPr>
                <w:rFonts w:eastAsia="Calibri"/>
                <w:sz w:val="20"/>
                <w:lang w:val="fr-CA"/>
              </w:rPr>
              <w:t>Dépôt de la demande d’autorisation d’appel</w:t>
            </w:r>
          </w:p>
          <w:p w:rsidR="00D10B88" w:rsidRPr="008057D9" w:rsidRDefault="00D10B88" w:rsidP="004B52FA">
            <w:pPr>
              <w:jc w:val="both"/>
              <w:rPr>
                <w:rFonts w:eastAsia="Calibri"/>
                <w:sz w:val="20"/>
                <w:lang w:val="fr-CA"/>
              </w:rPr>
            </w:pPr>
          </w:p>
        </w:tc>
      </w:tr>
    </w:tbl>
    <w:p w:rsidR="004D32B1" w:rsidRPr="00D10B88"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49" style="width:2in;height:1pt" o:hrpct="0" o:hralign="center" o:hrstd="t" o:hrnoshade="t" o:hr="t" fillcolor="black [3213]" stroked="f"/>
        </w:pict>
      </w:r>
    </w:p>
    <w:p w:rsidR="004D32B1" w:rsidRDefault="004D32B1" w:rsidP="004D32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43219" w:rsidRPr="008B6B35" w:rsidTr="00574799">
        <w:trPr>
          <w:cantSplit/>
        </w:trPr>
        <w:tc>
          <w:tcPr>
            <w:tcW w:w="1458" w:type="dxa"/>
          </w:tcPr>
          <w:p w:rsidR="00443219" w:rsidRPr="008B6B35" w:rsidRDefault="00443219" w:rsidP="00574799">
            <w:pPr>
              <w:rPr>
                <w:sz w:val="20"/>
                <w:szCs w:val="20"/>
              </w:rPr>
            </w:pPr>
            <w:r w:rsidRPr="008B6B35">
              <w:rPr>
                <w:rStyle w:val="SCCFileNumberChar"/>
                <w:sz w:val="20"/>
                <w:szCs w:val="20"/>
              </w:rPr>
              <w:t>36172</w:t>
            </w:r>
          </w:p>
          <w:p w:rsidR="00443219" w:rsidRPr="008B6B35" w:rsidRDefault="00443219" w:rsidP="00574799">
            <w:pPr>
              <w:rPr>
                <w:b/>
                <w:sz w:val="20"/>
                <w:szCs w:val="20"/>
                <w:lang w:val="fr-CA"/>
              </w:rPr>
            </w:pPr>
          </w:p>
        </w:tc>
        <w:tc>
          <w:tcPr>
            <w:tcW w:w="8118" w:type="dxa"/>
          </w:tcPr>
          <w:p w:rsidR="00443219" w:rsidRPr="008B6B35" w:rsidRDefault="00443219" w:rsidP="00574799">
            <w:pPr>
              <w:jc w:val="both"/>
              <w:rPr>
                <w:sz w:val="20"/>
                <w:szCs w:val="20"/>
              </w:rPr>
            </w:pPr>
            <w:r w:rsidRPr="008B6B35">
              <w:rPr>
                <w:rStyle w:val="SCCLsocChar"/>
                <w:sz w:val="20"/>
                <w:szCs w:val="20"/>
                <w:lang w:val="en-CA"/>
              </w:rPr>
              <w:t>Ali Tahmourpour v. Canadian Human Rights Commission</w:t>
            </w:r>
            <w:r w:rsidR="00391488">
              <w:rPr>
                <w:rStyle w:val="SCCLsocChar"/>
                <w:sz w:val="20"/>
                <w:szCs w:val="20"/>
                <w:lang w:val="en-CA"/>
              </w:rPr>
              <w:t xml:space="preserve"> and</w:t>
            </w:r>
            <w:r w:rsidRPr="008B6B35">
              <w:rPr>
                <w:rStyle w:val="SCCLsocChar"/>
                <w:sz w:val="20"/>
                <w:szCs w:val="20"/>
                <w:lang w:val="en-CA"/>
              </w:rPr>
              <w:t xml:space="preserve"> Royal Canadian Mounted Police</w:t>
            </w:r>
            <w:r w:rsidRPr="008B6B35">
              <w:rPr>
                <w:sz w:val="20"/>
                <w:szCs w:val="20"/>
              </w:rPr>
              <w:t xml:space="preserve"> (F</w:t>
            </w:r>
            <w:r>
              <w:rPr>
                <w:szCs w:val="20"/>
              </w:rPr>
              <w:t>.</w:t>
            </w:r>
            <w:r w:rsidRPr="008B6B35">
              <w:rPr>
                <w:sz w:val="20"/>
                <w:szCs w:val="20"/>
              </w:rPr>
              <w:t>C</w:t>
            </w:r>
            <w:r>
              <w:rPr>
                <w:szCs w:val="20"/>
              </w:rPr>
              <w:t>.</w:t>
            </w:r>
            <w:r w:rsidRPr="008B6B35">
              <w:rPr>
                <w:sz w:val="20"/>
                <w:szCs w:val="20"/>
              </w:rPr>
              <w:t>) (Civil) (By Leave)</w:t>
            </w:r>
          </w:p>
          <w:p w:rsidR="00443219" w:rsidRPr="008B6B35" w:rsidRDefault="00443219" w:rsidP="00574799">
            <w:pPr>
              <w:jc w:val="both"/>
              <w:rPr>
                <w:sz w:val="20"/>
                <w:szCs w:val="20"/>
              </w:rPr>
            </w:pPr>
          </w:p>
        </w:tc>
      </w:tr>
      <w:tr w:rsidR="00443219" w:rsidRPr="008B6B35" w:rsidTr="00574799">
        <w:trPr>
          <w:cantSplit/>
        </w:trPr>
        <w:tc>
          <w:tcPr>
            <w:tcW w:w="1458" w:type="dxa"/>
          </w:tcPr>
          <w:p w:rsidR="00443219" w:rsidRPr="008B6B35" w:rsidRDefault="00443219" w:rsidP="00574799">
            <w:pPr>
              <w:rPr>
                <w:sz w:val="20"/>
                <w:szCs w:val="20"/>
              </w:rPr>
            </w:pPr>
            <w:r w:rsidRPr="008B6B35">
              <w:rPr>
                <w:sz w:val="20"/>
                <w:szCs w:val="20"/>
              </w:rPr>
              <w:t>Coram :</w:t>
            </w:r>
          </w:p>
        </w:tc>
        <w:tc>
          <w:tcPr>
            <w:tcW w:w="8118" w:type="dxa"/>
          </w:tcPr>
          <w:p w:rsidR="00443219" w:rsidRPr="008B6B35" w:rsidRDefault="00443219" w:rsidP="00574799">
            <w:pPr>
              <w:rPr>
                <w:sz w:val="20"/>
                <w:szCs w:val="20"/>
              </w:rPr>
            </w:pPr>
            <w:r w:rsidRPr="008B6B35">
              <w:rPr>
                <w:rStyle w:val="SCCCoramChar"/>
                <w:sz w:val="20"/>
                <w:szCs w:val="20"/>
                <w:lang w:val="en-CA"/>
              </w:rPr>
              <w:t>McLachlin C.J. and Wagner and Gascon JJ.</w:t>
            </w:r>
          </w:p>
          <w:p w:rsidR="00443219" w:rsidRPr="008B6B35" w:rsidRDefault="00443219" w:rsidP="00574799">
            <w:pPr>
              <w:rPr>
                <w:sz w:val="20"/>
                <w:szCs w:val="20"/>
                <w:u w:val="single"/>
              </w:rPr>
            </w:pPr>
          </w:p>
        </w:tc>
      </w:tr>
      <w:tr w:rsidR="00443219" w:rsidRPr="00EC49A7" w:rsidTr="00574799">
        <w:trPr>
          <w:cantSplit/>
        </w:trPr>
        <w:tc>
          <w:tcPr>
            <w:tcW w:w="9576" w:type="dxa"/>
            <w:gridSpan w:val="2"/>
          </w:tcPr>
          <w:p w:rsidR="00443219" w:rsidRPr="008B6B35" w:rsidRDefault="00443219" w:rsidP="00574799">
            <w:pPr>
              <w:pStyle w:val="SCCShortJudgment"/>
              <w:rPr>
                <w:szCs w:val="20"/>
              </w:rPr>
            </w:pPr>
            <w:r w:rsidRPr="008B6B35">
              <w:rPr>
                <w:szCs w:val="20"/>
              </w:rPr>
              <w:t>The application for leave to appeal from the judgment of the Federal Court of Appeal, Number A-382-13, 2014 FCA 204, dated September 17, 2014, is dismissed with costs to the Royal Canadian Mounted Police.</w:t>
            </w:r>
          </w:p>
          <w:p w:rsidR="00443219" w:rsidRPr="008B6B35" w:rsidRDefault="00443219" w:rsidP="00574799">
            <w:pPr>
              <w:pStyle w:val="SCCShortJudgment"/>
              <w:ind w:firstLine="0"/>
              <w:rPr>
                <w:szCs w:val="20"/>
              </w:rPr>
            </w:pPr>
          </w:p>
          <w:p w:rsidR="00443219" w:rsidRPr="008B6B35" w:rsidRDefault="00443219" w:rsidP="00574799">
            <w:pPr>
              <w:pStyle w:val="SCCShortJudgment"/>
              <w:rPr>
                <w:szCs w:val="20"/>
                <w:lang w:val="fr-CA"/>
              </w:rPr>
            </w:pPr>
            <w:r w:rsidRPr="008B6B35">
              <w:rPr>
                <w:szCs w:val="20"/>
                <w:lang w:val="fr-CA"/>
              </w:rPr>
              <w:t>La demande d’autorisation d’appel de l’arrêt de la Cour d’appel fédérale, numéro A-382-13, 2014 CFA 204, daté du 17 septembre 2014, est rejetée avec dépens en faveur de la Gendarmerie royale du Canada.</w:t>
            </w:r>
          </w:p>
        </w:tc>
      </w:tr>
    </w:tbl>
    <w:p w:rsidR="004D32B1" w:rsidRPr="00443219"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0B88" w:rsidRPr="008057D9" w:rsidTr="004B52FA">
        <w:tc>
          <w:tcPr>
            <w:tcW w:w="5000" w:type="pct"/>
            <w:gridSpan w:val="3"/>
          </w:tcPr>
          <w:p w:rsidR="00D10B88" w:rsidRPr="008057D9" w:rsidRDefault="00D10B88" w:rsidP="004B52FA">
            <w:pPr>
              <w:jc w:val="both"/>
              <w:rPr>
                <w:rFonts w:eastAsia="Calibri"/>
                <w:sz w:val="20"/>
              </w:rPr>
            </w:pPr>
            <w:r w:rsidRPr="008057D9">
              <w:rPr>
                <w:rFonts w:eastAsia="Calibri"/>
                <w:sz w:val="20"/>
              </w:rPr>
              <w:t xml:space="preserve">Civil procedure – Contempt – Crown law – Crown immunity – Applicant seeking to enforce terms of order – Whether lower courts erred  regarding the contempt procedure by conflating the standard applicable at the second stage of contempt procedure with threshold test that is properly applicable at show cause stage – Whether lower courts erred by analyzing merits of contempt allegation and potential justifications at show cause stage, rather than simply determining whether </w:t>
            </w:r>
            <w:r w:rsidRPr="008057D9">
              <w:rPr>
                <w:rFonts w:eastAsia="Calibri"/>
                <w:i/>
                <w:sz w:val="20"/>
              </w:rPr>
              <w:t>prima facie</w:t>
            </w:r>
            <w:r w:rsidRPr="008057D9">
              <w:rPr>
                <w:rFonts w:eastAsia="Calibri"/>
                <w:sz w:val="20"/>
              </w:rPr>
              <w:t xml:space="preserve"> breach had occurred – Whether Federal Court of Appeal failed to resolve and left doubts about law concerning contempt against Crown officials.</w:t>
            </w:r>
          </w:p>
        </w:tc>
      </w:tr>
      <w:tr w:rsidR="00D10B88" w:rsidRPr="008057D9" w:rsidTr="004B52FA">
        <w:tc>
          <w:tcPr>
            <w:tcW w:w="5000" w:type="pct"/>
            <w:gridSpan w:val="3"/>
          </w:tcPr>
          <w:p w:rsidR="00D10B88" w:rsidRPr="008057D9" w:rsidRDefault="00D10B88" w:rsidP="004B52FA">
            <w:pPr>
              <w:jc w:val="both"/>
              <w:rPr>
                <w:rFonts w:eastAsia="Calibri"/>
                <w:sz w:val="20"/>
              </w:rPr>
            </w:pPr>
          </w:p>
        </w:tc>
      </w:tr>
      <w:tr w:rsidR="00D10B88" w:rsidRPr="008057D9" w:rsidTr="004B52FA">
        <w:tc>
          <w:tcPr>
            <w:tcW w:w="5000" w:type="pct"/>
            <w:gridSpan w:val="3"/>
          </w:tcPr>
          <w:p w:rsidR="00D10B88" w:rsidRPr="008057D9" w:rsidRDefault="00D10B88" w:rsidP="004B52FA">
            <w:pPr>
              <w:jc w:val="both"/>
              <w:rPr>
                <w:rFonts w:eastAsia="Calibri"/>
                <w:sz w:val="20"/>
              </w:rPr>
            </w:pPr>
            <w:r w:rsidRPr="008057D9">
              <w:rPr>
                <w:rFonts w:eastAsia="Calibri"/>
                <w:sz w:val="20"/>
              </w:rPr>
              <w:t xml:space="preserve">In 1999, Mr. Tahmourpour was dismissed from the Royal Canadian Mounted Police’s cadet training program in Regina, Saskatchewan, after being subjected to racial jokes and verbal abuse.  He made a complaint to the Canadian Human Rights Tribunal that he had been unfairly terminated for reasons related to his race, ethnicity and religion.  Eventually, the Tribunal found that Mr. Tahmourpour had been terminated for discriminatory reasons and made several remedial orders including a order to allow Mr. Tahmourpour an opportunity to re-enroll in the RCMP’s cadet program.  </w:t>
            </w:r>
            <w:r w:rsidRPr="008057D9">
              <w:rPr>
                <w:rFonts w:eastAsia="Calibri"/>
                <w:spacing w:val="-3"/>
                <w:sz w:val="20"/>
              </w:rPr>
              <w:t xml:space="preserve">Negotiations ensued between the parties as to how the order was to be implemented but the negotiations stalled and Mr. Tahmourpour filed a contempt motion in May, 2011.  The parties subsequently resolved most outstanding issues from the order and the contempt motion was discontinued.  In early 2012, Mr. Tahmourpour signed a Cadet Training Program Agreement and a letter which offered re-enrolment in training on certain terms. </w:t>
            </w:r>
            <w:r w:rsidRPr="008057D9">
              <w:rPr>
                <w:rFonts w:eastAsia="Calibri"/>
                <w:sz w:val="20"/>
              </w:rPr>
              <w:t xml:space="preserve"> </w:t>
            </w:r>
            <w:r w:rsidRPr="008057D9">
              <w:rPr>
                <w:rFonts w:eastAsia="Calibri"/>
                <w:spacing w:val="-3"/>
                <w:sz w:val="20"/>
              </w:rPr>
              <w:t xml:space="preserve">He was asked to obtain a medical profile, which included a psychological assessment.  </w:t>
            </w:r>
            <w:r w:rsidRPr="008057D9">
              <w:rPr>
                <w:rFonts w:eastAsia="Calibri"/>
                <w:sz w:val="20"/>
              </w:rPr>
              <w:t xml:space="preserve">Mr. Tahmourpour </w:t>
            </w:r>
            <w:r w:rsidRPr="008057D9">
              <w:rPr>
                <w:rFonts w:eastAsia="Calibri"/>
                <w:spacing w:val="-3"/>
                <w:sz w:val="20"/>
              </w:rPr>
              <w:t>objected to this but agreed to submit to a medical and a psychological assessment.</w:t>
            </w:r>
            <w:r w:rsidRPr="008057D9">
              <w:rPr>
                <w:rFonts w:eastAsia="Calibri"/>
                <w:sz w:val="20"/>
              </w:rPr>
              <w:t xml:space="preserve">  The first psychologist </w:t>
            </w:r>
            <w:r w:rsidRPr="008057D9">
              <w:rPr>
                <w:rFonts w:eastAsia="Calibri"/>
                <w:spacing w:val="-3"/>
                <w:sz w:val="20"/>
              </w:rPr>
              <w:t>was unable to reach a conclusion on Mr. Tahmourpour’s suitability as a general duty constable.  He was interviewed by another psychologist who concluded that he was unsuitable.</w:t>
            </w:r>
            <w:r w:rsidRPr="008057D9">
              <w:rPr>
                <w:rFonts w:eastAsia="Calibri"/>
                <w:sz w:val="20"/>
              </w:rPr>
              <w:t xml:space="preserve">  The RCMP</w:t>
            </w:r>
            <w:r w:rsidRPr="008057D9">
              <w:rPr>
                <w:rFonts w:eastAsia="Calibri"/>
                <w:spacing w:val="-3"/>
                <w:sz w:val="20"/>
              </w:rPr>
              <w:t xml:space="preserve"> advised Mr. Tahmourpour that his continued re-enrolment as a cadet was being terminated as a result of the assessments.</w:t>
            </w:r>
            <w:r w:rsidRPr="008057D9">
              <w:rPr>
                <w:rFonts w:eastAsia="Calibri"/>
                <w:sz w:val="20"/>
              </w:rPr>
              <w:t xml:space="preserve">  Mr. Tahmourpour brought a </w:t>
            </w:r>
            <w:r w:rsidRPr="008057D9">
              <w:rPr>
                <w:rFonts w:eastAsia="Calibri"/>
                <w:spacing w:val="-3"/>
                <w:sz w:val="20"/>
              </w:rPr>
              <w:t xml:space="preserve">motion to compel the Commissioner and an inspector to appear before a judge and show cause as to why they should not be found in contempt of court for failing to comply with the order. </w:t>
            </w:r>
          </w:p>
          <w:p w:rsidR="00D10B88" w:rsidRPr="008057D9" w:rsidRDefault="00D10B88" w:rsidP="004B52FA">
            <w:pPr>
              <w:shd w:val="clear" w:color="auto" w:fill="FFFFFF"/>
              <w:jc w:val="both"/>
              <w:rPr>
                <w:rFonts w:eastAsia="Calibri"/>
                <w:sz w:val="20"/>
              </w:rPr>
            </w:pPr>
            <w:r w:rsidRPr="008057D9">
              <w:rPr>
                <w:rFonts w:eastAsia="Calibri"/>
                <w:spacing w:val="-3"/>
                <w:sz w:val="20"/>
              </w:rPr>
              <w:t> </w:t>
            </w:r>
          </w:p>
        </w:tc>
      </w:tr>
      <w:tr w:rsidR="00D10B88" w:rsidRPr="008057D9" w:rsidTr="004B52FA">
        <w:tc>
          <w:tcPr>
            <w:tcW w:w="2427" w:type="pct"/>
          </w:tcPr>
          <w:p w:rsidR="00D10B88" w:rsidRPr="008057D9" w:rsidRDefault="00D10B88" w:rsidP="004B52FA">
            <w:pPr>
              <w:jc w:val="both"/>
              <w:rPr>
                <w:rFonts w:eastAsia="Calibri"/>
                <w:sz w:val="20"/>
              </w:rPr>
            </w:pPr>
            <w:r w:rsidRPr="008057D9">
              <w:rPr>
                <w:rFonts w:eastAsia="Calibri"/>
                <w:sz w:val="20"/>
              </w:rPr>
              <w:lastRenderedPageBreak/>
              <w:t>June 10, 2013</w:t>
            </w:r>
          </w:p>
          <w:p w:rsidR="00D10B88" w:rsidRPr="008057D9" w:rsidRDefault="00D10B88" w:rsidP="004B52FA">
            <w:pPr>
              <w:jc w:val="both"/>
              <w:rPr>
                <w:rFonts w:eastAsia="Calibri"/>
                <w:sz w:val="20"/>
              </w:rPr>
            </w:pPr>
            <w:r w:rsidRPr="008057D9">
              <w:rPr>
                <w:rFonts w:eastAsia="Calibri"/>
                <w:sz w:val="20"/>
              </w:rPr>
              <w:t>Federal Court</w:t>
            </w:r>
          </w:p>
          <w:p w:rsidR="00D10B88" w:rsidRPr="008057D9" w:rsidRDefault="00D10B88" w:rsidP="004B52FA">
            <w:pPr>
              <w:jc w:val="both"/>
              <w:rPr>
                <w:rFonts w:eastAsia="Calibri"/>
                <w:sz w:val="20"/>
              </w:rPr>
            </w:pPr>
            <w:r w:rsidRPr="008057D9">
              <w:rPr>
                <w:rFonts w:eastAsia="Calibri"/>
                <w:sz w:val="20"/>
              </w:rPr>
              <w:t>(Ms. Tabib, Prothonotary)</w:t>
            </w:r>
          </w:p>
          <w:p w:rsidR="00D10B88" w:rsidRPr="008057D9" w:rsidRDefault="00173D9D" w:rsidP="004B52FA">
            <w:pPr>
              <w:jc w:val="both"/>
              <w:rPr>
                <w:rFonts w:eastAsia="Calibri"/>
                <w:sz w:val="20"/>
              </w:rPr>
            </w:pPr>
            <w:hyperlink r:id="rId51" w:history="1">
              <w:r w:rsidR="00D10B88" w:rsidRPr="008057D9">
                <w:rPr>
                  <w:rFonts w:eastAsia="Calibri"/>
                  <w:color w:val="0000FF"/>
                  <w:sz w:val="20"/>
                  <w:u w:val="single"/>
                </w:rPr>
                <w:t>2013 FC 622</w:t>
              </w:r>
            </w:hyperlink>
          </w:p>
          <w:p w:rsidR="00D10B88" w:rsidRPr="008057D9" w:rsidRDefault="00D10B88" w:rsidP="004B52FA">
            <w:pPr>
              <w:jc w:val="both"/>
              <w:rPr>
                <w:rFonts w:eastAsia="Calibri"/>
                <w:sz w:val="20"/>
              </w:rPr>
            </w:pPr>
          </w:p>
        </w:tc>
        <w:tc>
          <w:tcPr>
            <w:tcW w:w="243" w:type="pct"/>
          </w:tcPr>
          <w:p w:rsidR="00D10B88" w:rsidRPr="008057D9" w:rsidRDefault="00D10B88" w:rsidP="004B52FA">
            <w:pPr>
              <w:jc w:val="both"/>
              <w:rPr>
                <w:rFonts w:eastAsia="Calibri"/>
                <w:sz w:val="20"/>
              </w:rPr>
            </w:pPr>
          </w:p>
        </w:tc>
        <w:tc>
          <w:tcPr>
            <w:tcW w:w="2330" w:type="pct"/>
          </w:tcPr>
          <w:p w:rsidR="00D10B88" w:rsidRPr="008057D9" w:rsidRDefault="00D10B88" w:rsidP="004B52FA">
            <w:pPr>
              <w:jc w:val="both"/>
              <w:rPr>
                <w:rFonts w:eastAsia="Calibri"/>
                <w:sz w:val="20"/>
              </w:rPr>
            </w:pPr>
            <w:r w:rsidRPr="008057D9">
              <w:rPr>
                <w:rFonts w:eastAsia="Calibri"/>
                <w:sz w:val="20"/>
              </w:rPr>
              <w:t>Applicant’s contempt show cause motion dismissed</w:t>
            </w:r>
          </w:p>
          <w:p w:rsidR="00D10B88" w:rsidRPr="008057D9" w:rsidRDefault="00D10B88" w:rsidP="004B52FA">
            <w:pPr>
              <w:jc w:val="both"/>
              <w:rPr>
                <w:rFonts w:eastAsia="Calibri"/>
                <w:sz w:val="20"/>
              </w:rPr>
            </w:pPr>
          </w:p>
          <w:p w:rsidR="00D10B88" w:rsidRPr="008057D9" w:rsidRDefault="00D10B88" w:rsidP="004B52FA">
            <w:pPr>
              <w:jc w:val="both"/>
              <w:rPr>
                <w:rFonts w:eastAsia="Calibri"/>
                <w:sz w:val="20"/>
              </w:rPr>
            </w:pPr>
          </w:p>
        </w:tc>
      </w:tr>
      <w:tr w:rsidR="00D10B88" w:rsidRPr="008057D9" w:rsidTr="004B52FA">
        <w:tc>
          <w:tcPr>
            <w:tcW w:w="2427" w:type="pct"/>
          </w:tcPr>
          <w:p w:rsidR="00D10B88" w:rsidRPr="008057D9" w:rsidRDefault="00D10B88" w:rsidP="004B52FA">
            <w:pPr>
              <w:jc w:val="both"/>
              <w:rPr>
                <w:rFonts w:eastAsia="Calibri"/>
                <w:sz w:val="20"/>
              </w:rPr>
            </w:pPr>
            <w:r w:rsidRPr="008057D9">
              <w:rPr>
                <w:rFonts w:eastAsia="Calibri"/>
                <w:sz w:val="20"/>
              </w:rPr>
              <w:t>November 8, 2013</w:t>
            </w:r>
          </w:p>
          <w:p w:rsidR="00D10B88" w:rsidRPr="008057D9" w:rsidRDefault="00D10B88" w:rsidP="004B52FA">
            <w:pPr>
              <w:jc w:val="both"/>
              <w:rPr>
                <w:rFonts w:eastAsia="Calibri"/>
                <w:sz w:val="20"/>
              </w:rPr>
            </w:pPr>
            <w:r w:rsidRPr="008057D9">
              <w:rPr>
                <w:rFonts w:eastAsia="Calibri"/>
                <w:sz w:val="20"/>
              </w:rPr>
              <w:t>Federal Court</w:t>
            </w:r>
          </w:p>
          <w:p w:rsidR="00D10B88" w:rsidRPr="008057D9" w:rsidRDefault="00D10B88" w:rsidP="004B52FA">
            <w:pPr>
              <w:jc w:val="both"/>
              <w:rPr>
                <w:rFonts w:eastAsia="Calibri"/>
                <w:sz w:val="20"/>
              </w:rPr>
            </w:pPr>
            <w:r w:rsidRPr="008057D9">
              <w:rPr>
                <w:rFonts w:eastAsia="Calibri"/>
                <w:sz w:val="20"/>
              </w:rPr>
              <w:t>(Manson J.)</w:t>
            </w:r>
          </w:p>
          <w:p w:rsidR="00D10B88" w:rsidRPr="008057D9" w:rsidRDefault="00173D9D" w:rsidP="004B52FA">
            <w:pPr>
              <w:jc w:val="both"/>
              <w:rPr>
                <w:rFonts w:eastAsia="Calibri"/>
                <w:sz w:val="20"/>
              </w:rPr>
            </w:pPr>
            <w:hyperlink r:id="rId52" w:history="1">
              <w:r w:rsidR="00D10B88" w:rsidRPr="008057D9">
                <w:rPr>
                  <w:rFonts w:eastAsia="Calibri"/>
                  <w:color w:val="0000FF"/>
                  <w:sz w:val="20"/>
                  <w:u w:val="single"/>
                </w:rPr>
                <w:t>2013 FC 1131</w:t>
              </w:r>
            </w:hyperlink>
          </w:p>
          <w:p w:rsidR="00D10B88" w:rsidRPr="008057D9" w:rsidRDefault="00D10B88" w:rsidP="004B52FA">
            <w:pPr>
              <w:jc w:val="both"/>
              <w:rPr>
                <w:rFonts w:eastAsia="Calibri"/>
                <w:sz w:val="20"/>
              </w:rPr>
            </w:pPr>
          </w:p>
        </w:tc>
        <w:tc>
          <w:tcPr>
            <w:tcW w:w="243" w:type="pct"/>
          </w:tcPr>
          <w:p w:rsidR="00D10B88" w:rsidRPr="008057D9" w:rsidRDefault="00D10B88" w:rsidP="004B52FA">
            <w:pPr>
              <w:jc w:val="both"/>
              <w:rPr>
                <w:rFonts w:eastAsia="Calibri"/>
                <w:sz w:val="20"/>
              </w:rPr>
            </w:pPr>
          </w:p>
        </w:tc>
        <w:tc>
          <w:tcPr>
            <w:tcW w:w="2330" w:type="pct"/>
          </w:tcPr>
          <w:p w:rsidR="00D10B88" w:rsidRPr="008057D9" w:rsidRDefault="00D10B88" w:rsidP="004B52FA">
            <w:pPr>
              <w:jc w:val="both"/>
              <w:rPr>
                <w:rFonts w:eastAsia="Calibri"/>
                <w:sz w:val="20"/>
              </w:rPr>
            </w:pPr>
            <w:r w:rsidRPr="008057D9">
              <w:rPr>
                <w:rFonts w:eastAsia="Calibri"/>
                <w:sz w:val="20"/>
              </w:rPr>
              <w:t>Applicant’s appeal dismissed</w:t>
            </w:r>
          </w:p>
        </w:tc>
      </w:tr>
      <w:tr w:rsidR="00D10B88" w:rsidRPr="008057D9" w:rsidTr="004B52FA">
        <w:tc>
          <w:tcPr>
            <w:tcW w:w="2427" w:type="pct"/>
          </w:tcPr>
          <w:p w:rsidR="00D10B88" w:rsidRPr="008057D9" w:rsidRDefault="00D10B88" w:rsidP="004B52FA">
            <w:pPr>
              <w:jc w:val="both"/>
              <w:rPr>
                <w:rFonts w:eastAsia="Calibri"/>
                <w:sz w:val="20"/>
              </w:rPr>
            </w:pPr>
            <w:r w:rsidRPr="008057D9">
              <w:rPr>
                <w:rFonts w:eastAsia="Calibri"/>
                <w:sz w:val="20"/>
              </w:rPr>
              <w:t>September 17, 2014</w:t>
            </w:r>
          </w:p>
          <w:p w:rsidR="00D10B88" w:rsidRPr="008057D9" w:rsidRDefault="00D10B88" w:rsidP="004B52FA">
            <w:pPr>
              <w:jc w:val="both"/>
              <w:rPr>
                <w:rFonts w:eastAsia="Calibri"/>
                <w:sz w:val="20"/>
              </w:rPr>
            </w:pPr>
            <w:r w:rsidRPr="008057D9">
              <w:rPr>
                <w:rFonts w:eastAsia="Calibri"/>
                <w:sz w:val="20"/>
              </w:rPr>
              <w:t>Federal Court of Appeal</w:t>
            </w:r>
          </w:p>
          <w:p w:rsidR="00D10B88" w:rsidRPr="008057D9" w:rsidRDefault="00D10B88" w:rsidP="004B52FA">
            <w:pPr>
              <w:jc w:val="both"/>
              <w:rPr>
                <w:rFonts w:eastAsia="Calibri"/>
                <w:sz w:val="20"/>
              </w:rPr>
            </w:pPr>
            <w:r w:rsidRPr="008057D9">
              <w:rPr>
                <w:rFonts w:eastAsia="Calibri"/>
                <w:sz w:val="20"/>
              </w:rPr>
              <w:t>Nadon, Trudel and Stratas JJ.A.)</w:t>
            </w:r>
          </w:p>
          <w:p w:rsidR="00D10B88" w:rsidRPr="008057D9" w:rsidRDefault="00173D9D" w:rsidP="004B52FA">
            <w:pPr>
              <w:jc w:val="both"/>
              <w:rPr>
                <w:rFonts w:eastAsia="Calibri"/>
                <w:sz w:val="20"/>
              </w:rPr>
            </w:pPr>
            <w:hyperlink r:id="rId53" w:history="1">
              <w:r w:rsidR="00D10B88" w:rsidRPr="008057D9">
                <w:rPr>
                  <w:rFonts w:eastAsia="Calibri"/>
                  <w:color w:val="0000FF"/>
                  <w:sz w:val="20"/>
                  <w:u w:val="single"/>
                </w:rPr>
                <w:t>2014 FCA 204</w:t>
              </w:r>
            </w:hyperlink>
          </w:p>
          <w:p w:rsidR="00D10B88" w:rsidRPr="008057D9" w:rsidRDefault="00D10B88" w:rsidP="004B52FA">
            <w:pPr>
              <w:jc w:val="both"/>
              <w:rPr>
                <w:rFonts w:eastAsia="Calibri"/>
                <w:sz w:val="20"/>
              </w:rPr>
            </w:pPr>
          </w:p>
        </w:tc>
        <w:tc>
          <w:tcPr>
            <w:tcW w:w="243" w:type="pct"/>
          </w:tcPr>
          <w:p w:rsidR="00D10B88" w:rsidRPr="008057D9" w:rsidRDefault="00D10B88" w:rsidP="004B52FA">
            <w:pPr>
              <w:jc w:val="both"/>
              <w:rPr>
                <w:rFonts w:eastAsia="Calibri"/>
                <w:sz w:val="20"/>
              </w:rPr>
            </w:pPr>
          </w:p>
        </w:tc>
        <w:tc>
          <w:tcPr>
            <w:tcW w:w="2330" w:type="pct"/>
          </w:tcPr>
          <w:p w:rsidR="00D10B88" w:rsidRPr="008057D9" w:rsidRDefault="00D10B88" w:rsidP="004B52FA">
            <w:pPr>
              <w:jc w:val="both"/>
              <w:rPr>
                <w:rFonts w:eastAsia="Calibri"/>
                <w:sz w:val="20"/>
              </w:rPr>
            </w:pPr>
            <w:r w:rsidRPr="008057D9">
              <w:rPr>
                <w:rFonts w:eastAsia="Calibri"/>
                <w:sz w:val="20"/>
              </w:rPr>
              <w:t>Applicant’s appeal dismissed</w:t>
            </w:r>
          </w:p>
          <w:p w:rsidR="00D10B88" w:rsidRPr="008057D9" w:rsidRDefault="00D10B88" w:rsidP="004B52FA">
            <w:pPr>
              <w:jc w:val="both"/>
              <w:rPr>
                <w:rFonts w:eastAsia="Calibri"/>
                <w:sz w:val="20"/>
              </w:rPr>
            </w:pPr>
          </w:p>
        </w:tc>
      </w:tr>
      <w:tr w:rsidR="00D10B88" w:rsidRPr="008057D9" w:rsidTr="004B52FA">
        <w:tc>
          <w:tcPr>
            <w:tcW w:w="2427" w:type="pct"/>
          </w:tcPr>
          <w:p w:rsidR="00D10B88" w:rsidRPr="008057D9" w:rsidRDefault="00D10B88" w:rsidP="004B52FA">
            <w:pPr>
              <w:jc w:val="both"/>
              <w:rPr>
                <w:rFonts w:eastAsia="Calibri"/>
                <w:sz w:val="20"/>
              </w:rPr>
            </w:pPr>
            <w:r w:rsidRPr="008057D9">
              <w:rPr>
                <w:rFonts w:eastAsia="Calibri"/>
                <w:sz w:val="20"/>
              </w:rPr>
              <w:t>November 14, 2014</w:t>
            </w:r>
          </w:p>
          <w:p w:rsidR="00D10B88" w:rsidRPr="008057D9" w:rsidRDefault="00D10B88" w:rsidP="004B52FA">
            <w:pPr>
              <w:jc w:val="both"/>
              <w:rPr>
                <w:rFonts w:eastAsia="Calibri"/>
                <w:sz w:val="20"/>
              </w:rPr>
            </w:pPr>
            <w:r w:rsidRPr="008057D9">
              <w:rPr>
                <w:rFonts w:eastAsia="Calibri"/>
                <w:sz w:val="20"/>
              </w:rPr>
              <w:t>Supreme Court of Canada</w:t>
            </w:r>
          </w:p>
        </w:tc>
        <w:tc>
          <w:tcPr>
            <w:tcW w:w="243" w:type="pct"/>
          </w:tcPr>
          <w:p w:rsidR="00D10B88" w:rsidRPr="008057D9" w:rsidRDefault="00D10B88" w:rsidP="004B52FA">
            <w:pPr>
              <w:jc w:val="both"/>
              <w:rPr>
                <w:rFonts w:eastAsia="Calibri"/>
                <w:sz w:val="20"/>
              </w:rPr>
            </w:pPr>
          </w:p>
        </w:tc>
        <w:tc>
          <w:tcPr>
            <w:tcW w:w="2330" w:type="pct"/>
          </w:tcPr>
          <w:p w:rsidR="00D10B88" w:rsidRPr="008057D9" w:rsidRDefault="00D10B88" w:rsidP="004B52FA">
            <w:pPr>
              <w:jc w:val="both"/>
              <w:rPr>
                <w:rFonts w:eastAsia="Calibri"/>
                <w:sz w:val="20"/>
              </w:rPr>
            </w:pPr>
            <w:r w:rsidRPr="008057D9">
              <w:rPr>
                <w:rFonts w:eastAsia="Calibri"/>
                <w:sz w:val="20"/>
              </w:rPr>
              <w:t>Application for leave to appeal filed</w:t>
            </w: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50"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0B88" w:rsidRPr="00EC49A7" w:rsidTr="004B52FA">
        <w:tc>
          <w:tcPr>
            <w:tcW w:w="5000" w:type="pct"/>
            <w:gridSpan w:val="3"/>
          </w:tcPr>
          <w:p w:rsidR="00D10B88" w:rsidRPr="008057D9" w:rsidRDefault="00D10B88" w:rsidP="004B52FA">
            <w:pPr>
              <w:jc w:val="both"/>
              <w:rPr>
                <w:rFonts w:eastAsia="Calibri"/>
                <w:sz w:val="20"/>
                <w:lang w:val="fr-CA"/>
              </w:rPr>
            </w:pPr>
            <w:r w:rsidRPr="008057D9">
              <w:rPr>
                <w:rFonts w:eastAsia="Calibri"/>
                <w:sz w:val="20"/>
                <w:lang w:val="fr-CA"/>
              </w:rPr>
              <w:t xml:space="preserve">Procédure civile – Outrage – Droit de la Couronne – Immunité de la Couronne – Le demandeur veut faire exécuter une ordonnance – Les juridictions inférieures ont-elles commis une erreur concernant la procédure pour outrage en confondant la norme applicable à la deuxième étape de la procédure et le critère préliminaire qui s’applique au stade de la justification? – Les juridictions inférieures ont-elles eu tort d’analyser le bien-fondé de l’allégation d’outrage et les justifications éventuelles au stade de la justification, plutôt que de déterminer simplement s’il y avait eu une violation </w:t>
            </w:r>
            <w:r w:rsidRPr="008057D9">
              <w:rPr>
                <w:rFonts w:eastAsia="Calibri"/>
                <w:i/>
                <w:sz w:val="20"/>
                <w:lang w:val="fr-CA"/>
              </w:rPr>
              <w:t>prima facie</w:t>
            </w:r>
            <w:r w:rsidRPr="008057D9">
              <w:rPr>
                <w:rFonts w:eastAsia="Calibri"/>
                <w:sz w:val="20"/>
                <w:lang w:val="fr-CA"/>
              </w:rPr>
              <w:t>? – La Cour d’appel fédérale a-t-elle omis de régler la question et laissé planer le doute sur le droit en matière d’outrage dans les procédures contre les fonctionnaires de l’État?</w:t>
            </w:r>
          </w:p>
        </w:tc>
      </w:tr>
      <w:tr w:rsidR="00D10B88" w:rsidRPr="00EC49A7" w:rsidTr="004B52FA">
        <w:tc>
          <w:tcPr>
            <w:tcW w:w="5000" w:type="pct"/>
            <w:gridSpan w:val="3"/>
          </w:tcPr>
          <w:p w:rsidR="00D10B88" w:rsidRPr="008057D9" w:rsidRDefault="00D10B88" w:rsidP="004B52FA">
            <w:pPr>
              <w:jc w:val="both"/>
              <w:rPr>
                <w:rFonts w:eastAsia="Calibri"/>
                <w:sz w:val="20"/>
                <w:lang w:val="fr-CA"/>
              </w:rPr>
            </w:pPr>
          </w:p>
        </w:tc>
      </w:tr>
      <w:tr w:rsidR="00D10B88" w:rsidRPr="00EC49A7" w:rsidTr="004B52FA">
        <w:tc>
          <w:tcPr>
            <w:tcW w:w="5000" w:type="pct"/>
            <w:gridSpan w:val="3"/>
          </w:tcPr>
          <w:p w:rsidR="00D10B88" w:rsidRPr="008057D9" w:rsidRDefault="00D10B88" w:rsidP="004B52FA">
            <w:pPr>
              <w:jc w:val="both"/>
              <w:rPr>
                <w:rFonts w:eastAsia="Calibri"/>
                <w:sz w:val="20"/>
                <w:lang w:val="fr-CA"/>
              </w:rPr>
            </w:pPr>
            <w:r w:rsidRPr="008057D9">
              <w:rPr>
                <w:rFonts w:eastAsia="Calibri"/>
                <w:sz w:val="20"/>
                <w:lang w:val="fr-CA"/>
              </w:rPr>
              <w:t xml:space="preserve">En 1999, M. Tahmourpour a été renvoyé du programme d’instruction des cadets de la Gendarmerie royale du Canada à Regina (Saskatchewan), après avoir été soumis à des blagues sur sa race et à de la violence verbale.  Il a porté plainte au Tribunal canadien des droits de la personne, alléguant avoir été injustement renvoyé pour des motifs liés à sa race, son ethnicité et sa religion.  Le Tribunal a fini par conclure que M. Tahmourpour avait été renvoyé pour des motifs discriminatoires et il a ordonné plusieurs mesures de redressement, notamment de donner à M. Tahmourpour l’occasion de se réinscrire au programme de cadets de la GRC.  </w:t>
            </w:r>
            <w:r w:rsidRPr="008057D9">
              <w:rPr>
                <w:rFonts w:eastAsia="Calibri"/>
                <w:spacing w:val="-3"/>
                <w:sz w:val="20"/>
                <w:lang w:val="fr-CA"/>
              </w:rPr>
              <w:t xml:space="preserve">Des négociations entre les parties ont alors débuté sur la façon de mettre en œuvre l’ordonnance, mais les négociations ont bloqué et M. Tahmourpour a déposé une requête pour outrage en mai 2011.  Les parties ont par la suite résolu la plupart des questions non réglées découlant de l’ordonnance et le demandeur s’est désisté de sa requête pour outrage.  Au début de 2012, M. Tahmourpour a signé un contrat de formation des cadets et une lettre dans laquelle on lui proposait la réadmission au programme d’instruction à certaines conditions.  On lui a demandé d’obtenir un profil médical qui comprenait un examen psychologique.  </w:t>
            </w:r>
            <w:r w:rsidRPr="008057D9">
              <w:rPr>
                <w:rFonts w:eastAsia="Calibri"/>
                <w:sz w:val="20"/>
                <w:lang w:val="fr-CA"/>
              </w:rPr>
              <w:t>Monsieur Tahmourpour s’est opposé à cet examen, mais il a accepté de se soumettre à une évaluation médicale et psychologique</w:t>
            </w:r>
            <w:r w:rsidRPr="008057D9">
              <w:rPr>
                <w:rFonts w:eastAsia="Calibri"/>
                <w:spacing w:val="-3"/>
                <w:sz w:val="20"/>
                <w:lang w:val="fr-CA"/>
              </w:rPr>
              <w:t>.</w:t>
            </w:r>
            <w:r w:rsidRPr="008057D9">
              <w:rPr>
                <w:rFonts w:eastAsia="Calibri"/>
                <w:sz w:val="20"/>
                <w:lang w:val="fr-CA"/>
              </w:rPr>
              <w:t xml:space="preserve">  Le premier psychologue n’a </w:t>
            </w:r>
            <w:r w:rsidRPr="008057D9">
              <w:rPr>
                <w:rFonts w:eastAsia="Calibri"/>
                <w:spacing w:val="-3"/>
                <w:sz w:val="20"/>
                <w:lang w:val="fr-CA"/>
              </w:rPr>
              <w:t>pas été en mesure d’en arriver à une conclusion au sujet de l’aptitude de M. Tahmourpour à exercer les tâches d’un gendarme aux services généraux.  Il a été interviewé par un autre psychologue qui a conclu à son inaptitude.</w:t>
            </w:r>
            <w:r w:rsidRPr="008057D9">
              <w:rPr>
                <w:rFonts w:eastAsia="Calibri"/>
                <w:sz w:val="20"/>
                <w:lang w:val="fr-CA"/>
              </w:rPr>
              <w:t xml:space="preserve">  La GRC a </w:t>
            </w:r>
            <w:r w:rsidRPr="008057D9">
              <w:rPr>
                <w:rFonts w:eastAsia="Calibri"/>
                <w:spacing w:val="-3"/>
                <w:sz w:val="20"/>
                <w:lang w:val="fr-CA"/>
              </w:rPr>
              <w:t>communiqué avec M. Tahmourpour pour l’informer qu’il était mis fin au processus de réadmission en qualité de cadet de la GRC, en raison des évaluations.</w:t>
            </w:r>
            <w:r w:rsidRPr="008057D9">
              <w:rPr>
                <w:rFonts w:eastAsia="Calibri"/>
                <w:sz w:val="20"/>
                <w:lang w:val="fr-CA"/>
              </w:rPr>
              <w:t xml:space="preserve">  Monsieur Tahmourpour a présenté une requête</w:t>
            </w:r>
            <w:r w:rsidRPr="008057D9">
              <w:rPr>
                <w:rFonts w:eastAsia="Calibri"/>
                <w:spacing w:val="-3"/>
                <w:sz w:val="20"/>
                <w:lang w:val="fr-CA"/>
              </w:rPr>
              <w:t xml:space="preserve"> en vue d’obtenir une ordonnance enjoignant au commissaire et à une inspectrice de comparaître devant un juge et d’exposer les raisons pour lesquelles ils ne devraient pas être déclarés coupables d’outrage au tribunal pour violation de l’ordonnance. </w:t>
            </w:r>
          </w:p>
          <w:p w:rsidR="00D10B88" w:rsidRPr="008057D9" w:rsidRDefault="00D10B88" w:rsidP="004B52FA">
            <w:pPr>
              <w:shd w:val="clear" w:color="auto" w:fill="FFFFFF"/>
              <w:jc w:val="both"/>
              <w:rPr>
                <w:rFonts w:eastAsia="Calibri"/>
                <w:sz w:val="20"/>
                <w:lang w:val="fr-CA"/>
              </w:rPr>
            </w:pPr>
          </w:p>
        </w:tc>
      </w:tr>
      <w:tr w:rsidR="00D10B88" w:rsidRPr="00EC49A7" w:rsidTr="00574799">
        <w:trPr>
          <w:cantSplit/>
        </w:trPr>
        <w:tc>
          <w:tcPr>
            <w:tcW w:w="2427" w:type="pct"/>
          </w:tcPr>
          <w:p w:rsidR="00D10B88" w:rsidRPr="008057D9" w:rsidRDefault="00D10B88" w:rsidP="004B52FA">
            <w:pPr>
              <w:jc w:val="both"/>
              <w:rPr>
                <w:rFonts w:eastAsia="Calibri"/>
                <w:sz w:val="20"/>
                <w:lang w:val="fr-CA"/>
              </w:rPr>
            </w:pPr>
            <w:r w:rsidRPr="008057D9">
              <w:rPr>
                <w:rFonts w:eastAsia="Calibri"/>
                <w:sz w:val="20"/>
                <w:lang w:val="fr-CA"/>
              </w:rPr>
              <w:lastRenderedPageBreak/>
              <w:t>10 juin 2013</w:t>
            </w:r>
          </w:p>
          <w:p w:rsidR="00D10B88" w:rsidRPr="008057D9" w:rsidRDefault="00D10B88" w:rsidP="004B52FA">
            <w:pPr>
              <w:jc w:val="both"/>
              <w:rPr>
                <w:rFonts w:eastAsia="Calibri"/>
                <w:sz w:val="20"/>
                <w:lang w:val="fr-CA"/>
              </w:rPr>
            </w:pPr>
            <w:r w:rsidRPr="008057D9">
              <w:rPr>
                <w:rFonts w:eastAsia="Calibri"/>
                <w:sz w:val="20"/>
                <w:lang w:val="fr-CA"/>
              </w:rPr>
              <w:t>Cour fédérale</w:t>
            </w:r>
          </w:p>
          <w:p w:rsidR="00D10B88" w:rsidRPr="008057D9" w:rsidRDefault="00D10B88" w:rsidP="004B52FA">
            <w:pPr>
              <w:jc w:val="both"/>
              <w:rPr>
                <w:rFonts w:eastAsia="Calibri"/>
                <w:sz w:val="20"/>
                <w:lang w:val="fr-CA"/>
              </w:rPr>
            </w:pPr>
            <w:r w:rsidRPr="008057D9">
              <w:rPr>
                <w:rFonts w:eastAsia="Calibri"/>
                <w:sz w:val="20"/>
                <w:lang w:val="fr-CA"/>
              </w:rPr>
              <w:t>(Protonotaire Tabib)</w:t>
            </w:r>
          </w:p>
          <w:p w:rsidR="00D10B88" w:rsidRPr="008057D9" w:rsidRDefault="00173D9D" w:rsidP="004B52FA">
            <w:pPr>
              <w:jc w:val="both"/>
              <w:rPr>
                <w:rFonts w:eastAsia="Calibri"/>
                <w:sz w:val="20"/>
                <w:lang w:val="fr-CA"/>
              </w:rPr>
            </w:pPr>
            <w:hyperlink r:id="rId54" w:history="1">
              <w:r w:rsidR="00D10B88" w:rsidRPr="008057D9">
                <w:rPr>
                  <w:rFonts w:eastAsia="Calibri"/>
                  <w:color w:val="0000FF"/>
                  <w:sz w:val="20"/>
                  <w:u w:val="single"/>
                  <w:lang w:val="fr-CA"/>
                </w:rPr>
                <w:t>2013 FC 622</w:t>
              </w:r>
            </w:hyperlink>
          </w:p>
          <w:p w:rsidR="00D10B88" w:rsidRPr="008057D9" w:rsidRDefault="00D10B88" w:rsidP="004B52FA">
            <w:pPr>
              <w:jc w:val="both"/>
              <w:rPr>
                <w:rFonts w:eastAsia="Calibri"/>
                <w:sz w:val="20"/>
                <w:lang w:val="fr-CA"/>
              </w:rPr>
            </w:pPr>
          </w:p>
        </w:tc>
        <w:tc>
          <w:tcPr>
            <w:tcW w:w="243" w:type="pct"/>
          </w:tcPr>
          <w:p w:rsidR="00D10B88" w:rsidRPr="008057D9" w:rsidRDefault="00D10B88" w:rsidP="004B52FA">
            <w:pPr>
              <w:jc w:val="both"/>
              <w:rPr>
                <w:rFonts w:eastAsia="Calibri"/>
                <w:sz w:val="20"/>
                <w:lang w:val="fr-CA"/>
              </w:rPr>
            </w:pPr>
          </w:p>
        </w:tc>
        <w:tc>
          <w:tcPr>
            <w:tcW w:w="2330" w:type="pct"/>
          </w:tcPr>
          <w:p w:rsidR="00D10B88" w:rsidRPr="008057D9" w:rsidRDefault="00D10B88" w:rsidP="004B52FA">
            <w:pPr>
              <w:jc w:val="both"/>
              <w:rPr>
                <w:rFonts w:eastAsia="Calibri"/>
                <w:sz w:val="20"/>
                <w:lang w:val="fr-CA"/>
              </w:rPr>
            </w:pPr>
            <w:r w:rsidRPr="008057D9">
              <w:rPr>
                <w:rFonts w:eastAsia="Calibri"/>
                <w:sz w:val="20"/>
                <w:lang w:val="fr-CA"/>
              </w:rPr>
              <w:t>Rejet de la requête en justification pour outrage</w:t>
            </w:r>
          </w:p>
          <w:p w:rsidR="00D10B88" w:rsidRPr="008057D9" w:rsidRDefault="00D10B88" w:rsidP="004B52FA">
            <w:pPr>
              <w:jc w:val="both"/>
              <w:rPr>
                <w:rFonts w:eastAsia="Calibri"/>
                <w:sz w:val="20"/>
                <w:lang w:val="fr-CA"/>
              </w:rPr>
            </w:pPr>
          </w:p>
        </w:tc>
      </w:tr>
      <w:tr w:rsidR="00D10B88" w:rsidRPr="00EC49A7" w:rsidTr="00574799">
        <w:trPr>
          <w:cantSplit/>
        </w:trPr>
        <w:tc>
          <w:tcPr>
            <w:tcW w:w="2427" w:type="pct"/>
          </w:tcPr>
          <w:p w:rsidR="00D10B88" w:rsidRPr="008057D9" w:rsidRDefault="00D10B88" w:rsidP="004B52FA">
            <w:pPr>
              <w:jc w:val="both"/>
              <w:rPr>
                <w:rFonts w:eastAsia="Calibri"/>
                <w:sz w:val="20"/>
                <w:lang w:val="fr-CA"/>
              </w:rPr>
            </w:pPr>
            <w:r w:rsidRPr="008057D9">
              <w:rPr>
                <w:rFonts w:eastAsia="Calibri"/>
                <w:sz w:val="20"/>
                <w:lang w:val="fr-CA"/>
              </w:rPr>
              <w:t>8 novembre 2013</w:t>
            </w:r>
          </w:p>
          <w:p w:rsidR="00D10B88" w:rsidRPr="008057D9" w:rsidRDefault="00D10B88" w:rsidP="004B52FA">
            <w:pPr>
              <w:jc w:val="both"/>
              <w:rPr>
                <w:rFonts w:eastAsia="Calibri"/>
                <w:sz w:val="20"/>
                <w:lang w:val="fr-CA"/>
              </w:rPr>
            </w:pPr>
            <w:r w:rsidRPr="008057D9">
              <w:rPr>
                <w:rFonts w:eastAsia="Calibri"/>
                <w:sz w:val="20"/>
                <w:lang w:val="fr-CA"/>
              </w:rPr>
              <w:t>Cour fédérale</w:t>
            </w:r>
          </w:p>
          <w:p w:rsidR="00D10B88" w:rsidRPr="008057D9" w:rsidRDefault="00D10B88" w:rsidP="004B52FA">
            <w:pPr>
              <w:jc w:val="both"/>
              <w:rPr>
                <w:rFonts w:eastAsia="Calibri"/>
                <w:sz w:val="20"/>
                <w:lang w:val="fr-CA"/>
              </w:rPr>
            </w:pPr>
            <w:r w:rsidRPr="008057D9">
              <w:rPr>
                <w:rFonts w:eastAsia="Calibri"/>
                <w:sz w:val="20"/>
                <w:lang w:val="fr-CA"/>
              </w:rPr>
              <w:t>(Juge Manson)</w:t>
            </w:r>
          </w:p>
          <w:p w:rsidR="00D10B88" w:rsidRPr="008057D9" w:rsidRDefault="00173D9D" w:rsidP="004B52FA">
            <w:pPr>
              <w:jc w:val="both"/>
              <w:rPr>
                <w:rFonts w:eastAsia="Calibri"/>
                <w:sz w:val="20"/>
                <w:lang w:val="fr-CA"/>
              </w:rPr>
            </w:pPr>
            <w:hyperlink r:id="rId55" w:history="1">
              <w:r w:rsidR="00D10B88" w:rsidRPr="008057D9">
                <w:rPr>
                  <w:rFonts w:eastAsia="Calibri"/>
                  <w:color w:val="0000FF"/>
                  <w:sz w:val="20"/>
                  <w:u w:val="single"/>
                  <w:lang w:val="fr-CA"/>
                </w:rPr>
                <w:t>2013 FC 1131</w:t>
              </w:r>
            </w:hyperlink>
          </w:p>
          <w:p w:rsidR="00D10B88" w:rsidRPr="008057D9" w:rsidRDefault="00D10B88" w:rsidP="004B52FA">
            <w:pPr>
              <w:jc w:val="both"/>
              <w:rPr>
                <w:rFonts w:eastAsia="Calibri"/>
                <w:sz w:val="20"/>
                <w:lang w:val="fr-CA"/>
              </w:rPr>
            </w:pPr>
          </w:p>
        </w:tc>
        <w:tc>
          <w:tcPr>
            <w:tcW w:w="243" w:type="pct"/>
          </w:tcPr>
          <w:p w:rsidR="00D10B88" w:rsidRPr="008057D9" w:rsidRDefault="00D10B88" w:rsidP="004B52FA">
            <w:pPr>
              <w:jc w:val="both"/>
              <w:rPr>
                <w:rFonts w:eastAsia="Calibri"/>
                <w:sz w:val="20"/>
                <w:lang w:val="fr-CA"/>
              </w:rPr>
            </w:pPr>
          </w:p>
        </w:tc>
        <w:tc>
          <w:tcPr>
            <w:tcW w:w="2330" w:type="pct"/>
          </w:tcPr>
          <w:p w:rsidR="00D10B88" w:rsidRPr="008057D9" w:rsidRDefault="00D10B88" w:rsidP="004B52FA">
            <w:pPr>
              <w:jc w:val="both"/>
              <w:rPr>
                <w:rFonts w:eastAsia="Calibri"/>
                <w:sz w:val="20"/>
                <w:lang w:val="fr-CA"/>
              </w:rPr>
            </w:pPr>
            <w:r w:rsidRPr="008057D9">
              <w:rPr>
                <w:rFonts w:eastAsia="Calibri"/>
                <w:sz w:val="20"/>
                <w:lang w:val="fr-CA"/>
              </w:rPr>
              <w:t>Rejet de l’appel du demandeur</w:t>
            </w:r>
          </w:p>
        </w:tc>
      </w:tr>
      <w:tr w:rsidR="00D10B88" w:rsidRPr="008057D9" w:rsidTr="00574799">
        <w:trPr>
          <w:cantSplit/>
        </w:trPr>
        <w:tc>
          <w:tcPr>
            <w:tcW w:w="2427" w:type="pct"/>
          </w:tcPr>
          <w:p w:rsidR="00D10B88" w:rsidRPr="008057D9" w:rsidRDefault="00D10B88" w:rsidP="004B52FA">
            <w:pPr>
              <w:jc w:val="both"/>
              <w:rPr>
                <w:rFonts w:eastAsia="Calibri"/>
                <w:sz w:val="20"/>
                <w:lang w:val="fr-CA"/>
              </w:rPr>
            </w:pPr>
            <w:r w:rsidRPr="008057D9">
              <w:rPr>
                <w:rFonts w:eastAsia="Calibri"/>
                <w:sz w:val="20"/>
                <w:lang w:val="fr-CA"/>
              </w:rPr>
              <w:t>17 septembre 2014</w:t>
            </w:r>
          </w:p>
          <w:p w:rsidR="00D10B88" w:rsidRPr="008057D9" w:rsidRDefault="00D10B88" w:rsidP="004B52FA">
            <w:pPr>
              <w:jc w:val="both"/>
              <w:rPr>
                <w:rFonts w:eastAsia="Calibri"/>
                <w:sz w:val="20"/>
                <w:lang w:val="fr-CA"/>
              </w:rPr>
            </w:pPr>
            <w:r w:rsidRPr="008057D9">
              <w:rPr>
                <w:rFonts w:eastAsia="Calibri"/>
                <w:sz w:val="20"/>
                <w:lang w:val="fr-CA"/>
              </w:rPr>
              <w:t>Cour d’appel fédérale</w:t>
            </w:r>
          </w:p>
          <w:p w:rsidR="00D10B88" w:rsidRPr="008057D9" w:rsidRDefault="00D10B88" w:rsidP="004B52FA">
            <w:pPr>
              <w:jc w:val="both"/>
              <w:rPr>
                <w:rFonts w:eastAsia="Calibri"/>
                <w:sz w:val="20"/>
                <w:lang w:val="fr-CA"/>
              </w:rPr>
            </w:pPr>
            <w:r w:rsidRPr="008057D9">
              <w:rPr>
                <w:rFonts w:eastAsia="Calibri"/>
                <w:sz w:val="20"/>
                <w:lang w:val="fr-CA"/>
              </w:rPr>
              <w:t>(Juges Nadon, Trudel et Stratas)</w:t>
            </w:r>
          </w:p>
          <w:p w:rsidR="00D10B88" w:rsidRPr="008057D9" w:rsidRDefault="00173D9D" w:rsidP="004B52FA">
            <w:pPr>
              <w:jc w:val="both"/>
              <w:rPr>
                <w:rFonts w:eastAsia="Calibri"/>
                <w:sz w:val="20"/>
                <w:lang w:val="fr-CA"/>
              </w:rPr>
            </w:pPr>
            <w:hyperlink r:id="rId56" w:history="1">
              <w:r w:rsidR="00D10B88" w:rsidRPr="008057D9">
                <w:rPr>
                  <w:rFonts w:eastAsia="Calibri"/>
                  <w:color w:val="0000FF"/>
                  <w:sz w:val="20"/>
                  <w:u w:val="single"/>
                  <w:lang w:val="fr-CA"/>
                </w:rPr>
                <w:t>2014 FCA 204</w:t>
              </w:r>
            </w:hyperlink>
          </w:p>
          <w:p w:rsidR="00D10B88" w:rsidRPr="008057D9" w:rsidRDefault="00D10B88" w:rsidP="004B52FA">
            <w:pPr>
              <w:jc w:val="both"/>
              <w:rPr>
                <w:rFonts w:eastAsia="Calibri"/>
                <w:sz w:val="20"/>
                <w:lang w:val="fr-CA"/>
              </w:rPr>
            </w:pPr>
          </w:p>
        </w:tc>
        <w:tc>
          <w:tcPr>
            <w:tcW w:w="243" w:type="pct"/>
          </w:tcPr>
          <w:p w:rsidR="00D10B88" w:rsidRPr="008057D9" w:rsidRDefault="00D10B88" w:rsidP="004B52FA">
            <w:pPr>
              <w:jc w:val="both"/>
              <w:rPr>
                <w:rFonts w:eastAsia="Calibri"/>
                <w:sz w:val="20"/>
                <w:lang w:val="fr-CA"/>
              </w:rPr>
            </w:pPr>
          </w:p>
        </w:tc>
        <w:tc>
          <w:tcPr>
            <w:tcW w:w="2330" w:type="pct"/>
          </w:tcPr>
          <w:p w:rsidR="00D10B88" w:rsidRPr="008057D9" w:rsidRDefault="00D10B88" w:rsidP="004B52FA">
            <w:pPr>
              <w:jc w:val="both"/>
              <w:rPr>
                <w:rFonts w:eastAsia="Calibri"/>
                <w:sz w:val="20"/>
                <w:lang w:val="fr-CA"/>
              </w:rPr>
            </w:pPr>
            <w:r w:rsidRPr="008057D9">
              <w:rPr>
                <w:rFonts w:eastAsia="Calibri"/>
                <w:sz w:val="20"/>
                <w:lang w:val="fr-CA"/>
              </w:rPr>
              <w:t>Rejet de l’appel du demandeur</w:t>
            </w:r>
          </w:p>
          <w:p w:rsidR="00D10B88" w:rsidRPr="008057D9" w:rsidRDefault="00D10B88" w:rsidP="004B52FA">
            <w:pPr>
              <w:jc w:val="both"/>
              <w:rPr>
                <w:rFonts w:eastAsia="Calibri"/>
                <w:sz w:val="20"/>
                <w:lang w:val="fr-CA"/>
              </w:rPr>
            </w:pPr>
          </w:p>
        </w:tc>
      </w:tr>
      <w:tr w:rsidR="00D10B88" w:rsidRPr="00EC49A7" w:rsidTr="00574799">
        <w:trPr>
          <w:cantSplit/>
        </w:trPr>
        <w:tc>
          <w:tcPr>
            <w:tcW w:w="2427" w:type="pct"/>
          </w:tcPr>
          <w:p w:rsidR="00D10B88" w:rsidRPr="008057D9" w:rsidRDefault="00D10B88" w:rsidP="004B52FA">
            <w:pPr>
              <w:jc w:val="both"/>
              <w:rPr>
                <w:rFonts w:eastAsia="Calibri"/>
                <w:sz w:val="20"/>
                <w:lang w:val="fr-CA"/>
              </w:rPr>
            </w:pPr>
            <w:r w:rsidRPr="008057D9">
              <w:rPr>
                <w:rFonts w:eastAsia="Calibri"/>
                <w:sz w:val="20"/>
                <w:lang w:val="fr-CA"/>
              </w:rPr>
              <w:t>14 novembre 2014</w:t>
            </w:r>
          </w:p>
          <w:p w:rsidR="00D10B88" w:rsidRPr="008057D9" w:rsidRDefault="00D10B88" w:rsidP="004B52FA">
            <w:pPr>
              <w:jc w:val="both"/>
              <w:rPr>
                <w:rFonts w:eastAsia="Calibri"/>
                <w:sz w:val="20"/>
                <w:lang w:val="fr-CA"/>
              </w:rPr>
            </w:pPr>
            <w:r w:rsidRPr="008057D9">
              <w:rPr>
                <w:rFonts w:eastAsia="Calibri"/>
                <w:sz w:val="20"/>
                <w:lang w:val="fr-CA"/>
              </w:rPr>
              <w:t>Cour suprême du Canada</w:t>
            </w:r>
          </w:p>
        </w:tc>
        <w:tc>
          <w:tcPr>
            <w:tcW w:w="243" w:type="pct"/>
          </w:tcPr>
          <w:p w:rsidR="00D10B88" w:rsidRPr="008057D9" w:rsidRDefault="00D10B88" w:rsidP="004B52FA">
            <w:pPr>
              <w:jc w:val="both"/>
              <w:rPr>
                <w:rFonts w:eastAsia="Calibri"/>
                <w:sz w:val="20"/>
                <w:lang w:val="fr-CA"/>
              </w:rPr>
            </w:pPr>
          </w:p>
        </w:tc>
        <w:tc>
          <w:tcPr>
            <w:tcW w:w="2330" w:type="pct"/>
          </w:tcPr>
          <w:p w:rsidR="00D10B88" w:rsidRPr="008057D9" w:rsidRDefault="00D10B88" w:rsidP="004B52FA">
            <w:pPr>
              <w:jc w:val="both"/>
              <w:rPr>
                <w:rFonts w:eastAsia="Calibri"/>
                <w:sz w:val="20"/>
                <w:lang w:val="fr-CA"/>
              </w:rPr>
            </w:pPr>
            <w:r w:rsidRPr="008057D9">
              <w:rPr>
                <w:rFonts w:eastAsia="Calibri"/>
                <w:sz w:val="20"/>
                <w:lang w:val="fr-CA"/>
              </w:rPr>
              <w:t>Dépôt de la demande d’autorisation d’appel</w:t>
            </w:r>
          </w:p>
        </w:tc>
      </w:tr>
    </w:tbl>
    <w:p w:rsidR="004D32B1" w:rsidRPr="00D10B88"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51" style="width:2in;height:1pt" o:hrpct="0" o:hralign="center" o:hrstd="t" o:hrnoshade="t" o:hr="t" fillcolor="black [3213]" stroked="f"/>
        </w:pict>
      </w:r>
    </w:p>
    <w:p w:rsidR="004D32B1" w:rsidRDefault="004D32B1" w:rsidP="004D32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4799" w:rsidRPr="00032B5D" w:rsidTr="00574799">
        <w:trPr>
          <w:cantSplit/>
        </w:trPr>
        <w:tc>
          <w:tcPr>
            <w:tcW w:w="1458" w:type="dxa"/>
          </w:tcPr>
          <w:p w:rsidR="00574799" w:rsidRPr="00032B5D" w:rsidRDefault="00574799" w:rsidP="00574799">
            <w:pPr>
              <w:rPr>
                <w:sz w:val="20"/>
                <w:szCs w:val="20"/>
              </w:rPr>
            </w:pPr>
            <w:r w:rsidRPr="00032B5D">
              <w:rPr>
                <w:rStyle w:val="SCCFileNumberChar"/>
                <w:sz w:val="20"/>
                <w:szCs w:val="20"/>
              </w:rPr>
              <w:t>36177</w:t>
            </w:r>
          </w:p>
          <w:p w:rsidR="00574799" w:rsidRPr="00032B5D" w:rsidRDefault="00574799" w:rsidP="00574799">
            <w:pPr>
              <w:rPr>
                <w:b/>
                <w:sz w:val="20"/>
                <w:szCs w:val="20"/>
                <w:lang w:val="fr-CA"/>
              </w:rPr>
            </w:pPr>
          </w:p>
        </w:tc>
        <w:tc>
          <w:tcPr>
            <w:tcW w:w="8118" w:type="dxa"/>
          </w:tcPr>
          <w:p w:rsidR="00574799" w:rsidRPr="00032B5D" w:rsidRDefault="00574799" w:rsidP="00574799">
            <w:pPr>
              <w:rPr>
                <w:sz w:val="20"/>
                <w:szCs w:val="20"/>
              </w:rPr>
            </w:pPr>
            <w:r w:rsidRPr="00574799">
              <w:rPr>
                <w:rStyle w:val="SCCLsocChar"/>
                <w:sz w:val="20"/>
                <w:szCs w:val="20"/>
                <w:lang w:val="en-CA"/>
              </w:rPr>
              <w:t>Immunovaccine Technologies Inc. v. Her Majesty the Queen</w:t>
            </w:r>
            <w:r w:rsidRPr="00032B5D">
              <w:rPr>
                <w:sz w:val="20"/>
                <w:szCs w:val="20"/>
              </w:rPr>
              <w:t xml:space="preserve"> (F</w:t>
            </w:r>
            <w:r>
              <w:rPr>
                <w:szCs w:val="20"/>
              </w:rPr>
              <w:t>.</w:t>
            </w:r>
            <w:r w:rsidRPr="00032B5D">
              <w:rPr>
                <w:sz w:val="20"/>
                <w:szCs w:val="20"/>
              </w:rPr>
              <w:t>C</w:t>
            </w:r>
            <w:r>
              <w:rPr>
                <w:szCs w:val="20"/>
              </w:rPr>
              <w:t>.</w:t>
            </w:r>
            <w:r w:rsidRPr="00032B5D">
              <w:rPr>
                <w:sz w:val="20"/>
                <w:szCs w:val="20"/>
              </w:rPr>
              <w:t>) (Civil) (By Leave)</w:t>
            </w:r>
          </w:p>
          <w:p w:rsidR="00574799" w:rsidRPr="00032B5D" w:rsidRDefault="00574799" w:rsidP="00574799">
            <w:pPr>
              <w:rPr>
                <w:sz w:val="20"/>
                <w:szCs w:val="20"/>
              </w:rPr>
            </w:pPr>
          </w:p>
        </w:tc>
      </w:tr>
      <w:tr w:rsidR="00574799" w:rsidRPr="00032B5D" w:rsidTr="00574799">
        <w:trPr>
          <w:cantSplit/>
        </w:trPr>
        <w:tc>
          <w:tcPr>
            <w:tcW w:w="1458" w:type="dxa"/>
          </w:tcPr>
          <w:p w:rsidR="00574799" w:rsidRPr="00032B5D" w:rsidRDefault="00574799" w:rsidP="00574799">
            <w:pPr>
              <w:rPr>
                <w:sz w:val="20"/>
                <w:szCs w:val="20"/>
              </w:rPr>
            </w:pPr>
            <w:r w:rsidRPr="00032B5D">
              <w:rPr>
                <w:sz w:val="20"/>
                <w:szCs w:val="20"/>
              </w:rPr>
              <w:t>Coram :</w:t>
            </w:r>
          </w:p>
        </w:tc>
        <w:tc>
          <w:tcPr>
            <w:tcW w:w="8118" w:type="dxa"/>
          </w:tcPr>
          <w:p w:rsidR="00574799" w:rsidRPr="00032B5D" w:rsidRDefault="00574799" w:rsidP="00574799">
            <w:pPr>
              <w:rPr>
                <w:sz w:val="20"/>
                <w:szCs w:val="20"/>
              </w:rPr>
            </w:pPr>
            <w:r w:rsidRPr="00574799">
              <w:rPr>
                <w:rStyle w:val="SCCCoramChar"/>
                <w:sz w:val="20"/>
                <w:szCs w:val="20"/>
                <w:lang w:val="en-CA"/>
              </w:rPr>
              <w:t>Rothstein, Cromwell and Moldaver JJ.</w:t>
            </w:r>
          </w:p>
          <w:p w:rsidR="00574799" w:rsidRPr="00032B5D" w:rsidRDefault="00574799" w:rsidP="00574799">
            <w:pPr>
              <w:rPr>
                <w:sz w:val="20"/>
                <w:szCs w:val="20"/>
                <w:u w:val="single"/>
              </w:rPr>
            </w:pPr>
          </w:p>
        </w:tc>
      </w:tr>
      <w:tr w:rsidR="00574799" w:rsidRPr="00EC49A7" w:rsidTr="00574799">
        <w:trPr>
          <w:cantSplit/>
        </w:trPr>
        <w:tc>
          <w:tcPr>
            <w:tcW w:w="9576" w:type="dxa"/>
            <w:gridSpan w:val="2"/>
          </w:tcPr>
          <w:p w:rsidR="00574799" w:rsidRPr="00032B5D" w:rsidRDefault="00574799" w:rsidP="00574799">
            <w:pPr>
              <w:pStyle w:val="SCCShortJudgment"/>
              <w:rPr>
                <w:szCs w:val="20"/>
              </w:rPr>
            </w:pPr>
            <w:r w:rsidRPr="00032B5D">
              <w:rPr>
                <w:szCs w:val="20"/>
              </w:rPr>
              <w:t>The motion for an extension of time to serve and file the application for leave to appeal is granted. The application for leave to appeal from the judgment of the Federal Court of Appeal, Number A-171-13, 2014 FCA 196, dated September 11, 2014, is dismissed with costs.</w:t>
            </w:r>
          </w:p>
          <w:p w:rsidR="00574799" w:rsidRPr="00032B5D" w:rsidRDefault="00574799" w:rsidP="00574799">
            <w:pPr>
              <w:pStyle w:val="SCCShortJudgment"/>
              <w:ind w:firstLine="0"/>
              <w:rPr>
                <w:szCs w:val="20"/>
              </w:rPr>
            </w:pPr>
          </w:p>
          <w:p w:rsidR="00574799" w:rsidRPr="00032B5D" w:rsidRDefault="00574799" w:rsidP="00574799">
            <w:pPr>
              <w:pStyle w:val="SCCShortJudgment"/>
              <w:rPr>
                <w:szCs w:val="20"/>
                <w:lang w:val="fr-CA"/>
              </w:rPr>
            </w:pPr>
            <w:r w:rsidRPr="00032B5D">
              <w:rPr>
                <w:szCs w:val="20"/>
                <w:lang w:val="fr-CA"/>
              </w:rPr>
              <w:t>La requête en prorogation du délai de signification et de dépôt de la demande d’autorisation d’appel est accueillie. La demande d’autorisation d’appel de l’arrêt de la Cour d’appel fédérale, numéro A-171-13, 2014 CAF 196, daté du 11 septembre 2014, est rejetée avec dépens.</w:t>
            </w:r>
          </w:p>
        </w:tc>
      </w:tr>
    </w:tbl>
    <w:p w:rsidR="004D32B1" w:rsidRPr="00574799"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52FA" w:rsidRPr="008057D9" w:rsidTr="004B52FA">
        <w:tc>
          <w:tcPr>
            <w:tcW w:w="5000" w:type="pct"/>
            <w:gridSpan w:val="3"/>
          </w:tcPr>
          <w:p w:rsidR="004B52FA" w:rsidRPr="008057D9" w:rsidRDefault="004B52FA" w:rsidP="004B52FA">
            <w:pPr>
              <w:jc w:val="both"/>
              <w:rPr>
                <w:rFonts w:eastAsia="Calibri"/>
                <w:sz w:val="20"/>
              </w:rPr>
            </w:pPr>
            <w:r w:rsidRPr="008057D9">
              <w:rPr>
                <w:rFonts w:eastAsia="Calibri"/>
                <w:sz w:val="20"/>
              </w:rPr>
              <w:t xml:space="preserve">Taxation – Income tax – Assessment – Applicant receiving monies from government agency –  Should entities in the Canadian R &amp; D and tech development communities be discouraged from accepting government loans despite being repayable, to help finance innovation initiatives, because these entities would correspondingly be denied income tax incentives of SR&amp;ED program? – Should Federal Court of Appeal rejection of </w:t>
            </w:r>
            <w:r w:rsidRPr="008057D9">
              <w:rPr>
                <w:rFonts w:eastAsia="Calibri"/>
                <w:i/>
                <w:sz w:val="20"/>
              </w:rPr>
              <w:t xml:space="preserve">ejusdem generis </w:t>
            </w:r>
            <w:r w:rsidRPr="008057D9">
              <w:rPr>
                <w:rFonts w:eastAsia="Calibri"/>
                <w:sz w:val="20"/>
              </w:rPr>
              <w:t xml:space="preserve">principle, and its use of judge-made rule, in interpreting the subsection 127(9) </w:t>
            </w:r>
            <w:r w:rsidRPr="008057D9">
              <w:rPr>
                <w:rFonts w:eastAsia="Calibri"/>
                <w:i/>
                <w:sz w:val="20"/>
              </w:rPr>
              <w:t>Income Tax Act</w:t>
            </w:r>
            <w:r w:rsidRPr="008057D9">
              <w:rPr>
                <w:rFonts w:eastAsia="Calibri"/>
                <w:sz w:val="20"/>
              </w:rPr>
              <w:t xml:space="preserve"> (Canada) definition of “government assistance” be addressed to provide guidance for that Court and other lower courts in use or non-use of these aspects of statutory interpretation?</w:t>
            </w:r>
          </w:p>
        </w:tc>
      </w:tr>
      <w:tr w:rsidR="004B52FA" w:rsidRPr="008057D9" w:rsidTr="004B52FA">
        <w:tc>
          <w:tcPr>
            <w:tcW w:w="5000" w:type="pct"/>
            <w:gridSpan w:val="3"/>
          </w:tcPr>
          <w:p w:rsidR="004B52FA" w:rsidRPr="008057D9" w:rsidRDefault="004B52FA" w:rsidP="004B52FA">
            <w:pPr>
              <w:jc w:val="both"/>
              <w:rPr>
                <w:rFonts w:eastAsia="Calibri"/>
                <w:sz w:val="20"/>
              </w:rPr>
            </w:pPr>
          </w:p>
        </w:tc>
      </w:tr>
      <w:tr w:rsidR="004B52FA" w:rsidRPr="008057D9" w:rsidTr="004B52FA">
        <w:tc>
          <w:tcPr>
            <w:tcW w:w="5000" w:type="pct"/>
            <w:gridSpan w:val="3"/>
          </w:tcPr>
          <w:p w:rsidR="004B52FA" w:rsidRPr="008057D9" w:rsidRDefault="004B52FA" w:rsidP="004B52FA">
            <w:pPr>
              <w:shd w:val="clear" w:color="auto" w:fill="FFFFFF"/>
              <w:jc w:val="both"/>
              <w:rPr>
                <w:rFonts w:eastAsia="Calibri"/>
                <w:spacing w:val="-3"/>
                <w:sz w:val="20"/>
              </w:rPr>
            </w:pPr>
            <w:r w:rsidRPr="008057D9">
              <w:rPr>
                <w:rFonts w:eastAsia="Calibri"/>
                <w:spacing w:val="-3"/>
                <w:sz w:val="20"/>
              </w:rPr>
              <w:t xml:space="preserve">The applicant, </w:t>
            </w:r>
            <w:r w:rsidRPr="008057D9">
              <w:rPr>
                <w:rFonts w:eastAsia="Calibri"/>
                <w:sz w:val="20"/>
              </w:rPr>
              <w:t xml:space="preserve">Immunovaccine Technologies Inc., is a research and development company that develops vaccines against infectious diseases.  </w:t>
            </w:r>
            <w:r w:rsidRPr="008057D9">
              <w:rPr>
                <w:rFonts w:eastAsia="Calibri"/>
                <w:spacing w:val="-3"/>
                <w:sz w:val="20"/>
              </w:rPr>
              <w:t>The Atlantic Canada Opportunities Agency (“</w:t>
            </w:r>
            <w:r w:rsidRPr="008057D9">
              <w:rPr>
                <w:rFonts w:eastAsia="Calibri"/>
                <w:bCs/>
                <w:spacing w:val="-3"/>
                <w:sz w:val="20"/>
              </w:rPr>
              <w:t>ACOA”</w:t>
            </w:r>
            <w:r w:rsidRPr="008057D9">
              <w:rPr>
                <w:rFonts w:eastAsia="Calibri"/>
                <w:spacing w:val="-3"/>
                <w:sz w:val="20"/>
              </w:rPr>
              <w:t>), is an agency of the Government of Canada established to support the economic development in Atlantic Canada.  ACOA provided Immunovaccine with $3,786,474 in funding, spread over four years (2005 through 2008).</w:t>
            </w:r>
            <w:r w:rsidRPr="008057D9">
              <w:rPr>
                <w:rFonts w:eastAsia="Calibri"/>
                <w:sz w:val="20"/>
              </w:rPr>
              <w:t xml:space="preserve">  In</w:t>
            </w:r>
            <w:r w:rsidRPr="008057D9">
              <w:rPr>
                <w:rFonts w:eastAsia="Calibri"/>
                <w:spacing w:val="-3"/>
                <w:sz w:val="20"/>
              </w:rPr>
              <w:t xml:space="preserve"> March, 2008, the Minister of National Revenue determined that those amounts constituted “government assistance” pursuant to s. 152(1)(</w:t>
            </w:r>
            <w:r w:rsidRPr="008057D9">
              <w:rPr>
                <w:rFonts w:eastAsia="Calibri"/>
                <w:i/>
                <w:iCs/>
                <w:spacing w:val="-3"/>
                <w:sz w:val="20"/>
              </w:rPr>
              <w:t>b</w:t>
            </w:r>
            <w:r w:rsidRPr="008057D9">
              <w:rPr>
                <w:rFonts w:eastAsia="Calibri"/>
                <w:spacing w:val="-3"/>
                <w:sz w:val="20"/>
              </w:rPr>
              <w:t xml:space="preserve">) of the </w:t>
            </w:r>
            <w:r w:rsidRPr="008057D9">
              <w:rPr>
                <w:rFonts w:eastAsia="Calibri"/>
                <w:i/>
                <w:iCs/>
                <w:spacing w:val="-3"/>
                <w:sz w:val="20"/>
              </w:rPr>
              <w:t>Income Tax Act</w:t>
            </w:r>
            <w:r w:rsidRPr="008057D9">
              <w:rPr>
                <w:rFonts w:eastAsia="Calibri"/>
                <w:iCs/>
                <w:spacing w:val="-3"/>
                <w:sz w:val="20"/>
              </w:rPr>
              <w:t>, R.S.C. 195, c. 1 (5</w:t>
            </w:r>
            <w:r w:rsidRPr="008057D9">
              <w:rPr>
                <w:rFonts w:eastAsia="Calibri"/>
                <w:iCs/>
                <w:spacing w:val="-3"/>
                <w:sz w:val="20"/>
                <w:vertAlign w:val="superscript"/>
              </w:rPr>
              <w:t>th</w:t>
            </w:r>
            <w:r w:rsidRPr="008057D9">
              <w:rPr>
                <w:rFonts w:eastAsia="Calibri"/>
                <w:iCs/>
                <w:spacing w:val="-3"/>
                <w:sz w:val="20"/>
              </w:rPr>
              <w:t xml:space="preserve"> Supp.)</w:t>
            </w:r>
            <w:r w:rsidRPr="008057D9">
              <w:rPr>
                <w:rFonts w:eastAsia="Calibri"/>
                <w:spacing w:val="-3"/>
                <w:sz w:val="20"/>
              </w:rPr>
              <w:t xml:space="preserve"> (“</w:t>
            </w:r>
            <w:r w:rsidRPr="008057D9">
              <w:rPr>
                <w:rFonts w:eastAsia="Calibri"/>
                <w:bCs/>
                <w:i/>
                <w:spacing w:val="-3"/>
                <w:sz w:val="20"/>
              </w:rPr>
              <w:t>ITA</w:t>
            </w:r>
            <w:r w:rsidRPr="008057D9">
              <w:rPr>
                <w:rFonts w:eastAsia="Calibri"/>
                <w:bCs/>
                <w:spacing w:val="-3"/>
                <w:sz w:val="20"/>
              </w:rPr>
              <w:t>”</w:t>
            </w:r>
            <w:r w:rsidRPr="008057D9">
              <w:rPr>
                <w:rFonts w:eastAsia="Calibri"/>
                <w:spacing w:val="-3"/>
                <w:sz w:val="20"/>
              </w:rPr>
              <w:t>).  As a result, for each of those taxation years, the Minister denied Immunovaccine’s scientific research and experimental development (“</w:t>
            </w:r>
            <w:r w:rsidRPr="008057D9">
              <w:rPr>
                <w:rFonts w:eastAsia="Calibri"/>
                <w:bCs/>
                <w:spacing w:val="-3"/>
                <w:sz w:val="20"/>
              </w:rPr>
              <w:t>SRED”</w:t>
            </w:r>
            <w:r w:rsidRPr="008057D9">
              <w:rPr>
                <w:rFonts w:eastAsia="Calibri"/>
                <w:spacing w:val="-3"/>
                <w:sz w:val="20"/>
              </w:rPr>
              <w:t>) claims and its entitlement to refundable investment tax credits (“</w:t>
            </w:r>
            <w:r w:rsidRPr="008057D9">
              <w:rPr>
                <w:rFonts w:eastAsia="Calibri"/>
                <w:bCs/>
                <w:spacing w:val="-3"/>
                <w:sz w:val="20"/>
              </w:rPr>
              <w:t>RITCs”</w:t>
            </w:r>
            <w:r w:rsidRPr="008057D9">
              <w:rPr>
                <w:rFonts w:eastAsia="Calibri"/>
                <w:spacing w:val="-3"/>
                <w:sz w:val="20"/>
              </w:rPr>
              <w:t>) pursuant to subsection 127.1(1).  The applicant appealed the decision of the Minister.</w:t>
            </w:r>
          </w:p>
          <w:p w:rsidR="004B52FA" w:rsidRPr="008057D9" w:rsidRDefault="004B52FA" w:rsidP="004B52FA">
            <w:pPr>
              <w:shd w:val="clear" w:color="auto" w:fill="FFFFFF"/>
              <w:jc w:val="both"/>
              <w:rPr>
                <w:rFonts w:eastAsia="Calibri"/>
                <w:sz w:val="20"/>
              </w:rPr>
            </w:pPr>
            <w:bookmarkStart w:id="2" w:name="paste_signed"/>
            <w:bookmarkEnd w:id="2"/>
            <w:r w:rsidRPr="008057D9">
              <w:rPr>
                <w:rFonts w:eastAsia="Calibri"/>
                <w:spacing w:val="-3"/>
                <w:sz w:val="20"/>
              </w:rPr>
              <w:lastRenderedPageBreak/>
              <w:t> </w:t>
            </w:r>
          </w:p>
        </w:tc>
      </w:tr>
      <w:tr w:rsidR="004B52FA" w:rsidRPr="008057D9" w:rsidTr="004B52FA">
        <w:tc>
          <w:tcPr>
            <w:tcW w:w="2427" w:type="pct"/>
          </w:tcPr>
          <w:p w:rsidR="004B52FA" w:rsidRPr="008057D9" w:rsidRDefault="004B52FA" w:rsidP="004B52FA">
            <w:pPr>
              <w:jc w:val="both"/>
              <w:rPr>
                <w:rFonts w:eastAsia="Calibri"/>
                <w:sz w:val="20"/>
              </w:rPr>
            </w:pPr>
            <w:r w:rsidRPr="008057D9">
              <w:rPr>
                <w:rFonts w:eastAsia="Calibri"/>
                <w:sz w:val="20"/>
              </w:rPr>
              <w:lastRenderedPageBreak/>
              <w:t>April 10, 2013</w:t>
            </w:r>
          </w:p>
          <w:p w:rsidR="004B52FA" w:rsidRPr="008057D9" w:rsidRDefault="004B52FA" w:rsidP="004B52FA">
            <w:pPr>
              <w:jc w:val="both"/>
              <w:rPr>
                <w:rFonts w:eastAsia="Calibri"/>
                <w:sz w:val="20"/>
              </w:rPr>
            </w:pPr>
            <w:r w:rsidRPr="008057D9">
              <w:rPr>
                <w:rFonts w:eastAsia="Calibri"/>
                <w:sz w:val="20"/>
              </w:rPr>
              <w:t>Tax Court of Canada</w:t>
            </w:r>
          </w:p>
          <w:p w:rsidR="004B52FA" w:rsidRPr="008057D9" w:rsidRDefault="004B52FA" w:rsidP="004B52FA">
            <w:pPr>
              <w:jc w:val="both"/>
              <w:rPr>
                <w:rFonts w:eastAsia="Calibri"/>
                <w:sz w:val="20"/>
              </w:rPr>
            </w:pPr>
            <w:r w:rsidRPr="008057D9">
              <w:rPr>
                <w:rFonts w:eastAsia="Calibri"/>
                <w:sz w:val="20"/>
              </w:rPr>
              <w:t>(Lamarre J.)</w:t>
            </w:r>
          </w:p>
          <w:p w:rsidR="004B52FA" w:rsidRPr="008057D9" w:rsidRDefault="00173D9D" w:rsidP="004B52FA">
            <w:pPr>
              <w:jc w:val="both"/>
              <w:rPr>
                <w:rFonts w:eastAsia="Calibri"/>
                <w:sz w:val="20"/>
              </w:rPr>
            </w:pPr>
            <w:hyperlink r:id="rId57" w:history="1">
              <w:r w:rsidR="004B52FA" w:rsidRPr="008057D9">
                <w:rPr>
                  <w:rFonts w:eastAsia="Calibri"/>
                  <w:color w:val="0000FF"/>
                  <w:sz w:val="20"/>
                  <w:u w:val="single"/>
                </w:rPr>
                <w:t>2013 TCC 103</w:t>
              </w:r>
            </w:hyperlink>
          </w:p>
          <w:p w:rsidR="004B52FA" w:rsidRPr="008057D9" w:rsidRDefault="004B52FA" w:rsidP="004B52FA">
            <w:pPr>
              <w:jc w:val="both"/>
              <w:rPr>
                <w:rFonts w:eastAsia="Calibri"/>
                <w:sz w:val="20"/>
              </w:rPr>
            </w:pPr>
          </w:p>
        </w:tc>
        <w:tc>
          <w:tcPr>
            <w:tcW w:w="243" w:type="pct"/>
          </w:tcPr>
          <w:p w:rsidR="004B52FA" w:rsidRPr="008057D9" w:rsidRDefault="004B52FA" w:rsidP="004B52FA">
            <w:pPr>
              <w:jc w:val="both"/>
              <w:rPr>
                <w:rFonts w:eastAsia="Calibri"/>
                <w:sz w:val="20"/>
              </w:rPr>
            </w:pPr>
          </w:p>
        </w:tc>
        <w:tc>
          <w:tcPr>
            <w:tcW w:w="2330" w:type="pct"/>
          </w:tcPr>
          <w:p w:rsidR="004B52FA" w:rsidRPr="008057D9" w:rsidRDefault="004B52FA" w:rsidP="004B52FA">
            <w:pPr>
              <w:jc w:val="both"/>
              <w:rPr>
                <w:rFonts w:eastAsia="Calibri"/>
                <w:sz w:val="20"/>
              </w:rPr>
            </w:pPr>
            <w:r w:rsidRPr="008057D9">
              <w:rPr>
                <w:rFonts w:eastAsia="Calibri"/>
                <w:sz w:val="20"/>
              </w:rPr>
              <w:t>Applicant’s appeal from decision of Minister of National Revenue regarding applicant’s entitlement to refundable investment tax credits dismissed</w:t>
            </w:r>
          </w:p>
          <w:p w:rsidR="004B52FA" w:rsidRPr="008057D9" w:rsidRDefault="004B52FA" w:rsidP="004B52FA">
            <w:pPr>
              <w:jc w:val="both"/>
              <w:rPr>
                <w:rFonts w:eastAsia="Calibri"/>
                <w:sz w:val="20"/>
              </w:rPr>
            </w:pPr>
          </w:p>
        </w:tc>
      </w:tr>
      <w:tr w:rsidR="004B52FA" w:rsidRPr="008057D9" w:rsidTr="004B52FA">
        <w:tc>
          <w:tcPr>
            <w:tcW w:w="2427" w:type="pct"/>
          </w:tcPr>
          <w:p w:rsidR="004B52FA" w:rsidRPr="008057D9" w:rsidRDefault="004B52FA" w:rsidP="004B52FA">
            <w:pPr>
              <w:jc w:val="both"/>
              <w:rPr>
                <w:rFonts w:eastAsia="Calibri"/>
                <w:sz w:val="20"/>
              </w:rPr>
            </w:pPr>
            <w:r w:rsidRPr="008057D9">
              <w:rPr>
                <w:rFonts w:eastAsia="Calibri"/>
                <w:sz w:val="20"/>
              </w:rPr>
              <w:t>September 11, 2014</w:t>
            </w:r>
          </w:p>
          <w:p w:rsidR="004B52FA" w:rsidRPr="008057D9" w:rsidRDefault="004B52FA" w:rsidP="004B52FA">
            <w:pPr>
              <w:jc w:val="both"/>
              <w:rPr>
                <w:rFonts w:eastAsia="Calibri"/>
                <w:sz w:val="20"/>
              </w:rPr>
            </w:pPr>
            <w:r w:rsidRPr="008057D9">
              <w:rPr>
                <w:rFonts w:eastAsia="Calibri"/>
                <w:sz w:val="20"/>
              </w:rPr>
              <w:t>Federal Court of Appeal</w:t>
            </w:r>
          </w:p>
          <w:p w:rsidR="004B52FA" w:rsidRPr="008057D9" w:rsidRDefault="004B52FA" w:rsidP="004B52FA">
            <w:pPr>
              <w:jc w:val="both"/>
              <w:rPr>
                <w:rFonts w:eastAsia="Calibri"/>
                <w:sz w:val="20"/>
              </w:rPr>
            </w:pPr>
            <w:r w:rsidRPr="008057D9">
              <w:rPr>
                <w:rFonts w:eastAsia="Calibri"/>
                <w:sz w:val="20"/>
              </w:rPr>
              <w:t>(Nadon, Trudel and Boivin JJ.A.)</w:t>
            </w:r>
          </w:p>
          <w:p w:rsidR="004B52FA" w:rsidRPr="008057D9" w:rsidRDefault="00173D9D" w:rsidP="004B52FA">
            <w:pPr>
              <w:jc w:val="both"/>
              <w:rPr>
                <w:rFonts w:eastAsia="Calibri"/>
                <w:sz w:val="20"/>
              </w:rPr>
            </w:pPr>
            <w:hyperlink r:id="rId58" w:history="1">
              <w:r w:rsidR="004B52FA" w:rsidRPr="008057D9">
                <w:rPr>
                  <w:rFonts w:eastAsia="Calibri"/>
                  <w:color w:val="0000FF"/>
                  <w:sz w:val="20"/>
                  <w:u w:val="single"/>
                </w:rPr>
                <w:t>2014 FCA 196</w:t>
              </w:r>
            </w:hyperlink>
          </w:p>
          <w:p w:rsidR="004B52FA" w:rsidRPr="008057D9" w:rsidRDefault="004B52FA" w:rsidP="004B52FA">
            <w:pPr>
              <w:jc w:val="both"/>
              <w:rPr>
                <w:rFonts w:eastAsia="Calibri"/>
                <w:sz w:val="20"/>
              </w:rPr>
            </w:pPr>
          </w:p>
        </w:tc>
        <w:tc>
          <w:tcPr>
            <w:tcW w:w="243" w:type="pct"/>
          </w:tcPr>
          <w:p w:rsidR="004B52FA" w:rsidRPr="008057D9" w:rsidRDefault="004B52FA" w:rsidP="004B52FA">
            <w:pPr>
              <w:jc w:val="both"/>
              <w:rPr>
                <w:rFonts w:eastAsia="Calibri"/>
                <w:sz w:val="20"/>
              </w:rPr>
            </w:pPr>
          </w:p>
        </w:tc>
        <w:tc>
          <w:tcPr>
            <w:tcW w:w="2330" w:type="pct"/>
          </w:tcPr>
          <w:p w:rsidR="004B52FA" w:rsidRPr="008057D9" w:rsidRDefault="004B52FA" w:rsidP="004B52FA">
            <w:pPr>
              <w:jc w:val="both"/>
              <w:rPr>
                <w:rFonts w:eastAsia="Calibri"/>
                <w:sz w:val="20"/>
              </w:rPr>
            </w:pPr>
            <w:r w:rsidRPr="008057D9">
              <w:rPr>
                <w:rFonts w:eastAsia="Calibri"/>
                <w:sz w:val="20"/>
              </w:rPr>
              <w:t>Applicant’s appeal dismissed</w:t>
            </w:r>
          </w:p>
          <w:p w:rsidR="004B52FA" w:rsidRPr="008057D9" w:rsidRDefault="004B52FA" w:rsidP="004B52FA">
            <w:pPr>
              <w:jc w:val="both"/>
              <w:rPr>
                <w:rFonts w:eastAsia="Calibri"/>
                <w:sz w:val="20"/>
              </w:rPr>
            </w:pPr>
          </w:p>
        </w:tc>
      </w:tr>
      <w:tr w:rsidR="004B52FA" w:rsidRPr="008057D9" w:rsidTr="004B52FA">
        <w:tc>
          <w:tcPr>
            <w:tcW w:w="2427" w:type="pct"/>
          </w:tcPr>
          <w:p w:rsidR="004B52FA" w:rsidRPr="008057D9" w:rsidRDefault="004B52FA" w:rsidP="004B52FA">
            <w:pPr>
              <w:jc w:val="both"/>
              <w:rPr>
                <w:rFonts w:eastAsia="Calibri"/>
                <w:sz w:val="20"/>
              </w:rPr>
            </w:pPr>
            <w:r w:rsidRPr="008057D9">
              <w:rPr>
                <w:rFonts w:eastAsia="Calibri"/>
                <w:sz w:val="20"/>
              </w:rPr>
              <w:t>November 17, 2014</w:t>
            </w:r>
          </w:p>
          <w:p w:rsidR="004B52FA" w:rsidRPr="008057D9" w:rsidRDefault="004B52FA" w:rsidP="00574799">
            <w:pPr>
              <w:jc w:val="both"/>
              <w:rPr>
                <w:rFonts w:eastAsia="Calibri"/>
                <w:sz w:val="20"/>
              </w:rPr>
            </w:pPr>
            <w:r w:rsidRPr="008057D9">
              <w:rPr>
                <w:rFonts w:eastAsia="Calibri"/>
                <w:sz w:val="20"/>
              </w:rPr>
              <w:t>Supreme Court of Canada</w:t>
            </w:r>
          </w:p>
        </w:tc>
        <w:tc>
          <w:tcPr>
            <w:tcW w:w="243" w:type="pct"/>
          </w:tcPr>
          <w:p w:rsidR="004B52FA" w:rsidRPr="008057D9" w:rsidRDefault="004B52FA" w:rsidP="004B52FA">
            <w:pPr>
              <w:jc w:val="both"/>
              <w:rPr>
                <w:rFonts w:eastAsia="Calibri"/>
                <w:sz w:val="20"/>
              </w:rPr>
            </w:pPr>
          </w:p>
        </w:tc>
        <w:tc>
          <w:tcPr>
            <w:tcW w:w="2330" w:type="pct"/>
          </w:tcPr>
          <w:p w:rsidR="004B52FA" w:rsidRPr="008057D9" w:rsidRDefault="004B52FA" w:rsidP="00834141">
            <w:pPr>
              <w:jc w:val="both"/>
              <w:rPr>
                <w:rFonts w:eastAsia="Calibri"/>
                <w:sz w:val="20"/>
              </w:rPr>
            </w:pPr>
            <w:r w:rsidRPr="008057D9">
              <w:rPr>
                <w:rFonts w:eastAsia="Calibri"/>
                <w:sz w:val="20"/>
              </w:rPr>
              <w:t>Motion to extend time to serve and file leave application and Application for leave to appeal filed</w:t>
            </w: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52"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B52FA" w:rsidRPr="00EC49A7" w:rsidTr="004B52FA">
        <w:tc>
          <w:tcPr>
            <w:tcW w:w="5000" w:type="pct"/>
            <w:gridSpan w:val="3"/>
          </w:tcPr>
          <w:p w:rsidR="004B52FA" w:rsidRPr="008057D9" w:rsidRDefault="004B52FA" w:rsidP="004B52FA">
            <w:pPr>
              <w:jc w:val="both"/>
              <w:rPr>
                <w:rFonts w:eastAsia="Calibri"/>
                <w:sz w:val="20"/>
                <w:lang w:val="fr-CA"/>
              </w:rPr>
            </w:pPr>
            <w:r w:rsidRPr="008057D9">
              <w:rPr>
                <w:rFonts w:eastAsia="Calibri"/>
                <w:sz w:val="20"/>
                <w:lang w:val="fr-CA"/>
              </w:rPr>
              <w:t xml:space="preserve">Droit fiscal – Impôt sur le revenu – Cotisation – La demanderesse a reçu des sommes d’argent d’un organisme gouvernemental – Les entreprises du secteur canadien de la R.-D. et du développement technologique devraient-elles être dissuadées d’accepter des prêts du gouvernement, même s’ils sont remboursables, pour aider à financer des initiatives d’innovation, du fait que ces entreprises se verraient proportionnellement nier des incitatifs fiscaux du programme de RS&amp;DE? – Y a-t-il lieu d’aborder le rejet, par la Cour d’appel fédérale, du principe </w:t>
            </w:r>
            <w:r w:rsidRPr="008057D9">
              <w:rPr>
                <w:rFonts w:eastAsia="Calibri"/>
                <w:i/>
                <w:sz w:val="20"/>
                <w:lang w:val="fr-CA"/>
              </w:rPr>
              <w:t xml:space="preserve">ejusdem generis </w:t>
            </w:r>
            <w:r w:rsidRPr="008057D9">
              <w:rPr>
                <w:rFonts w:eastAsia="Calibri"/>
                <w:sz w:val="20"/>
                <w:lang w:val="fr-CA"/>
              </w:rPr>
              <w:t xml:space="preserve">et son recours à une règle jurisprudentielle en interprétant la définition, au paragraphe 127(9) de la </w:t>
            </w:r>
            <w:r w:rsidRPr="008057D9">
              <w:rPr>
                <w:rFonts w:eastAsia="Calibri"/>
                <w:i/>
                <w:sz w:val="20"/>
                <w:lang w:val="fr-CA"/>
              </w:rPr>
              <w:t>Loi de l’impôt sur le revenu</w:t>
            </w:r>
            <w:r w:rsidRPr="008057D9">
              <w:rPr>
                <w:rFonts w:eastAsia="Calibri"/>
                <w:sz w:val="20"/>
                <w:lang w:val="fr-CA"/>
              </w:rPr>
              <w:t xml:space="preserve"> (Canada), de l’expression « aide gouvernementale » pour guider cette Cour et d’autres juridictions inférieures dans le recours ou le non-recours à ces aspects de l’interprétation législative?</w:t>
            </w:r>
          </w:p>
        </w:tc>
      </w:tr>
      <w:tr w:rsidR="004B52FA" w:rsidRPr="00EC49A7" w:rsidTr="004B52FA">
        <w:tc>
          <w:tcPr>
            <w:tcW w:w="5000" w:type="pct"/>
            <w:gridSpan w:val="3"/>
          </w:tcPr>
          <w:p w:rsidR="004B52FA" w:rsidRPr="008057D9" w:rsidRDefault="004B52FA" w:rsidP="004B52FA">
            <w:pPr>
              <w:jc w:val="both"/>
              <w:rPr>
                <w:rFonts w:eastAsia="Calibri"/>
                <w:sz w:val="20"/>
                <w:lang w:val="fr-CA"/>
              </w:rPr>
            </w:pPr>
          </w:p>
        </w:tc>
      </w:tr>
      <w:tr w:rsidR="004B52FA" w:rsidRPr="008057D9" w:rsidTr="004B52FA">
        <w:tc>
          <w:tcPr>
            <w:tcW w:w="5000" w:type="pct"/>
            <w:gridSpan w:val="3"/>
          </w:tcPr>
          <w:p w:rsidR="004B52FA" w:rsidRPr="008057D9" w:rsidRDefault="004B52FA" w:rsidP="004B52FA">
            <w:pPr>
              <w:shd w:val="clear" w:color="auto" w:fill="FFFFFF"/>
              <w:jc w:val="both"/>
              <w:rPr>
                <w:rFonts w:eastAsia="Calibri"/>
                <w:spacing w:val="-3"/>
                <w:sz w:val="20"/>
                <w:lang w:val="fr-CA"/>
              </w:rPr>
            </w:pPr>
            <w:r w:rsidRPr="008057D9">
              <w:rPr>
                <w:rFonts w:eastAsia="Calibri"/>
                <w:spacing w:val="-3"/>
                <w:sz w:val="20"/>
                <w:lang w:val="fr-CA"/>
              </w:rPr>
              <w:t xml:space="preserve">La demanderesse, </w:t>
            </w:r>
            <w:r w:rsidRPr="008057D9">
              <w:rPr>
                <w:rFonts w:eastAsia="Calibri"/>
                <w:sz w:val="20"/>
                <w:lang w:val="fr-CA"/>
              </w:rPr>
              <w:t xml:space="preserve">Immunovaccine Technologies Inc., est une entreprise de recherche et de développement qui met au point des vaccins contre les maladies infectieuses.  </w:t>
            </w:r>
            <w:r w:rsidRPr="008057D9">
              <w:rPr>
                <w:rFonts w:eastAsia="Calibri"/>
                <w:spacing w:val="-3"/>
                <w:sz w:val="20"/>
                <w:lang w:val="fr-CA"/>
              </w:rPr>
              <w:t>L’Agence de promotion économique du Canada atlantique (l’« APECA »), est un organisme du gouvernement du Canada établi pour appuyer le développement économique du Canada atlantique.  L’APECA a fourni à Immunovaccine un financement de 3 786 474 $, échelonné sur quatre ans (de 2005 à 2008).  En mars 2008, le ministre du Revenu national a statué que ces montants constituaient de l’« aide gouvernementale » en application de l’al. 152(1)</w:t>
            </w:r>
            <w:r w:rsidRPr="008057D9">
              <w:rPr>
                <w:rFonts w:eastAsia="Calibri"/>
                <w:i/>
                <w:iCs/>
                <w:spacing w:val="-3"/>
                <w:sz w:val="20"/>
                <w:lang w:val="fr-CA"/>
              </w:rPr>
              <w:t>b</w:t>
            </w:r>
            <w:r w:rsidRPr="008057D9">
              <w:rPr>
                <w:rFonts w:eastAsia="Calibri"/>
                <w:spacing w:val="-3"/>
                <w:sz w:val="20"/>
                <w:lang w:val="fr-CA"/>
              </w:rPr>
              <w:t xml:space="preserve">) de la </w:t>
            </w:r>
            <w:r w:rsidRPr="008057D9">
              <w:rPr>
                <w:rFonts w:eastAsia="Calibri"/>
                <w:i/>
                <w:iCs/>
                <w:spacing w:val="-3"/>
                <w:sz w:val="20"/>
                <w:lang w:val="fr-CA"/>
              </w:rPr>
              <w:t>Loi de l’impôt sur le revenu</w:t>
            </w:r>
            <w:r w:rsidRPr="008057D9">
              <w:rPr>
                <w:rFonts w:eastAsia="Calibri"/>
                <w:iCs/>
                <w:spacing w:val="-3"/>
                <w:sz w:val="20"/>
                <w:lang w:val="fr-CA"/>
              </w:rPr>
              <w:t>, L.R.C. 195, ch. 1 (5</w:t>
            </w:r>
            <w:r w:rsidRPr="008057D9">
              <w:rPr>
                <w:rFonts w:eastAsia="Calibri"/>
                <w:iCs/>
                <w:spacing w:val="-3"/>
                <w:sz w:val="20"/>
                <w:vertAlign w:val="superscript"/>
                <w:lang w:val="fr-CA"/>
              </w:rPr>
              <w:t>e</w:t>
            </w:r>
            <w:r w:rsidRPr="008057D9">
              <w:rPr>
                <w:rFonts w:eastAsia="Calibri"/>
                <w:iCs/>
                <w:spacing w:val="-3"/>
                <w:sz w:val="20"/>
                <w:lang w:val="fr-CA"/>
              </w:rPr>
              <w:t xml:space="preserve"> suppl.)</w:t>
            </w:r>
            <w:r w:rsidRPr="008057D9">
              <w:rPr>
                <w:rFonts w:eastAsia="Calibri"/>
                <w:spacing w:val="-3"/>
                <w:sz w:val="20"/>
                <w:lang w:val="fr-CA"/>
              </w:rPr>
              <w:t xml:space="preserve"> (« </w:t>
            </w:r>
            <w:r w:rsidRPr="008057D9">
              <w:rPr>
                <w:rFonts w:eastAsia="Calibri"/>
                <w:bCs/>
                <w:i/>
                <w:spacing w:val="-3"/>
                <w:sz w:val="20"/>
                <w:lang w:val="fr-CA"/>
              </w:rPr>
              <w:t>LIR</w:t>
            </w:r>
            <w:r w:rsidRPr="008057D9">
              <w:rPr>
                <w:rFonts w:eastAsia="Calibri"/>
                <w:bCs/>
                <w:spacing w:val="-3"/>
                <w:sz w:val="20"/>
                <w:lang w:val="fr-CA"/>
              </w:rPr>
              <w:t> »</w:t>
            </w:r>
            <w:r w:rsidRPr="008057D9">
              <w:rPr>
                <w:rFonts w:eastAsia="Calibri"/>
                <w:spacing w:val="-3"/>
                <w:sz w:val="20"/>
                <w:lang w:val="fr-CA"/>
              </w:rPr>
              <w:t>).  Par conséquent, relativement à chacune de ces années d’imposition, le ministre a refusé à Immunovaccine les déductions au titre des dépenses de la recherche scientifique et de développement expérimental (« RS&amp;DE ») et son droit au crédit d’impôt à l’investissement remboursable (le « CIIR ») en application du paragraphe 127.1(1).  L’appelante a interjeté appel de la décision du ministre.</w:t>
            </w:r>
          </w:p>
          <w:p w:rsidR="004B52FA" w:rsidRPr="008057D9" w:rsidRDefault="004B52FA" w:rsidP="004B52FA">
            <w:pPr>
              <w:shd w:val="clear" w:color="auto" w:fill="FFFFFF"/>
              <w:jc w:val="both"/>
              <w:rPr>
                <w:rFonts w:eastAsia="Calibri"/>
                <w:sz w:val="20"/>
                <w:lang w:val="fr-CA"/>
              </w:rPr>
            </w:pPr>
            <w:r w:rsidRPr="008057D9">
              <w:rPr>
                <w:rFonts w:eastAsia="Calibri"/>
                <w:spacing w:val="-3"/>
                <w:sz w:val="20"/>
                <w:lang w:val="fr-CA"/>
              </w:rPr>
              <w:t> </w:t>
            </w:r>
          </w:p>
        </w:tc>
      </w:tr>
      <w:tr w:rsidR="004B52FA" w:rsidRPr="00EC49A7" w:rsidTr="004B52FA">
        <w:tc>
          <w:tcPr>
            <w:tcW w:w="2427" w:type="pct"/>
          </w:tcPr>
          <w:p w:rsidR="004B52FA" w:rsidRPr="008057D9" w:rsidRDefault="004B52FA" w:rsidP="004B52FA">
            <w:pPr>
              <w:jc w:val="both"/>
              <w:rPr>
                <w:rFonts w:eastAsia="Calibri"/>
                <w:sz w:val="20"/>
                <w:lang w:val="fr-CA"/>
              </w:rPr>
            </w:pPr>
            <w:r w:rsidRPr="008057D9">
              <w:rPr>
                <w:rFonts w:eastAsia="Calibri"/>
                <w:sz w:val="20"/>
                <w:lang w:val="fr-CA"/>
              </w:rPr>
              <w:t>10 avril 2013</w:t>
            </w:r>
          </w:p>
          <w:p w:rsidR="004B52FA" w:rsidRPr="008057D9" w:rsidRDefault="004B52FA" w:rsidP="004B52FA">
            <w:pPr>
              <w:jc w:val="both"/>
              <w:rPr>
                <w:rFonts w:eastAsia="Calibri"/>
                <w:sz w:val="20"/>
                <w:lang w:val="fr-CA"/>
              </w:rPr>
            </w:pPr>
            <w:r w:rsidRPr="008057D9">
              <w:rPr>
                <w:rFonts w:eastAsia="Calibri"/>
                <w:sz w:val="20"/>
                <w:lang w:val="fr-CA"/>
              </w:rPr>
              <w:t>Cour canadienne de l’impôt</w:t>
            </w:r>
          </w:p>
          <w:p w:rsidR="004B52FA" w:rsidRPr="008057D9" w:rsidRDefault="004B52FA" w:rsidP="004B52FA">
            <w:pPr>
              <w:jc w:val="both"/>
              <w:rPr>
                <w:rFonts w:eastAsia="Calibri"/>
                <w:sz w:val="20"/>
                <w:lang w:val="fr-CA"/>
              </w:rPr>
            </w:pPr>
            <w:r w:rsidRPr="008057D9">
              <w:rPr>
                <w:rFonts w:eastAsia="Calibri"/>
                <w:sz w:val="20"/>
                <w:lang w:val="fr-CA"/>
              </w:rPr>
              <w:t>(Juge Lamarre)</w:t>
            </w:r>
          </w:p>
          <w:p w:rsidR="004B52FA" w:rsidRPr="008057D9" w:rsidRDefault="00173D9D" w:rsidP="004B52FA">
            <w:pPr>
              <w:jc w:val="both"/>
              <w:rPr>
                <w:rFonts w:eastAsia="Calibri"/>
                <w:sz w:val="20"/>
                <w:lang w:val="fr-CA"/>
              </w:rPr>
            </w:pPr>
            <w:hyperlink r:id="rId59" w:history="1">
              <w:r w:rsidR="004B52FA" w:rsidRPr="008057D9">
                <w:rPr>
                  <w:rFonts w:eastAsia="Calibri"/>
                  <w:color w:val="0000FF"/>
                  <w:sz w:val="20"/>
                  <w:u w:val="single"/>
                  <w:lang w:val="fr-CA"/>
                </w:rPr>
                <w:t>2013 TCC 103</w:t>
              </w:r>
            </w:hyperlink>
          </w:p>
        </w:tc>
        <w:tc>
          <w:tcPr>
            <w:tcW w:w="243" w:type="pct"/>
          </w:tcPr>
          <w:p w:rsidR="004B52FA" w:rsidRPr="008057D9" w:rsidRDefault="004B52FA" w:rsidP="004B52FA">
            <w:pPr>
              <w:jc w:val="both"/>
              <w:rPr>
                <w:rFonts w:eastAsia="Calibri"/>
                <w:sz w:val="20"/>
                <w:lang w:val="fr-CA"/>
              </w:rPr>
            </w:pPr>
          </w:p>
        </w:tc>
        <w:tc>
          <w:tcPr>
            <w:tcW w:w="2330" w:type="pct"/>
          </w:tcPr>
          <w:p w:rsidR="004B52FA" w:rsidRPr="008057D9" w:rsidRDefault="004B52FA" w:rsidP="004B52FA">
            <w:pPr>
              <w:jc w:val="both"/>
              <w:rPr>
                <w:rFonts w:eastAsia="Calibri"/>
                <w:sz w:val="20"/>
                <w:lang w:val="fr-CA"/>
              </w:rPr>
            </w:pPr>
            <w:r w:rsidRPr="008057D9">
              <w:rPr>
                <w:rFonts w:eastAsia="Calibri"/>
                <w:sz w:val="20"/>
                <w:lang w:val="fr-CA"/>
              </w:rPr>
              <w:t>Rejet de l’appel interjeté par la demanderesse de la décision du ministre du Revenu national relativement au droit de la demanderesse au crédit d’impôt à l’investissement remboursable</w:t>
            </w:r>
          </w:p>
          <w:p w:rsidR="004B52FA" w:rsidRPr="008057D9" w:rsidRDefault="004B52FA" w:rsidP="004B52FA">
            <w:pPr>
              <w:jc w:val="both"/>
              <w:rPr>
                <w:rFonts w:eastAsia="Calibri"/>
                <w:sz w:val="20"/>
                <w:lang w:val="fr-CA"/>
              </w:rPr>
            </w:pPr>
          </w:p>
        </w:tc>
      </w:tr>
      <w:tr w:rsidR="004B52FA" w:rsidRPr="00EC49A7" w:rsidTr="004B52FA">
        <w:tc>
          <w:tcPr>
            <w:tcW w:w="2427" w:type="pct"/>
          </w:tcPr>
          <w:p w:rsidR="004B52FA" w:rsidRPr="008057D9" w:rsidRDefault="004B52FA" w:rsidP="004B52FA">
            <w:pPr>
              <w:jc w:val="both"/>
              <w:rPr>
                <w:rFonts w:eastAsia="Calibri"/>
                <w:sz w:val="20"/>
                <w:lang w:val="fr-CA"/>
              </w:rPr>
            </w:pPr>
            <w:r w:rsidRPr="008057D9">
              <w:rPr>
                <w:rFonts w:eastAsia="Calibri"/>
                <w:sz w:val="20"/>
                <w:lang w:val="fr-CA"/>
              </w:rPr>
              <w:t>11 septembre 2014</w:t>
            </w:r>
          </w:p>
          <w:p w:rsidR="004B52FA" w:rsidRPr="008057D9" w:rsidRDefault="004B52FA" w:rsidP="004B52FA">
            <w:pPr>
              <w:jc w:val="both"/>
              <w:rPr>
                <w:rFonts w:eastAsia="Calibri"/>
                <w:sz w:val="20"/>
                <w:lang w:val="fr-CA"/>
              </w:rPr>
            </w:pPr>
            <w:r w:rsidRPr="008057D9">
              <w:rPr>
                <w:rFonts w:eastAsia="Calibri"/>
                <w:sz w:val="20"/>
                <w:lang w:val="fr-CA"/>
              </w:rPr>
              <w:t>Cour d’appel fédérale</w:t>
            </w:r>
          </w:p>
          <w:p w:rsidR="004B52FA" w:rsidRPr="008057D9" w:rsidRDefault="004B52FA" w:rsidP="004B52FA">
            <w:pPr>
              <w:jc w:val="both"/>
              <w:rPr>
                <w:rFonts w:eastAsia="Calibri"/>
                <w:sz w:val="20"/>
                <w:lang w:val="fr-CA"/>
              </w:rPr>
            </w:pPr>
            <w:r w:rsidRPr="008057D9">
              <w:rPr>
                <w:rFonts w:eastAsia="Calibri"/>
                <w:sz w:val="20"/>
                <w:lang w:val="fr-CA"/>
              </w:rPr>
              <w:t>(Juges Nadon, Trudel et Boivin)</w:t>
            </w:r>
          </w:p>
          <w:p w:rsidR="004B52FA" w:rsidRPr="008057D9" w:rsidRDefault="00173D9D" w:rsidP="004B52FA">
            <w:pPr>
              <w:jc w:val="both"/>
              <w:rPr>
                <w:rFonts w:eastAsia="Calibri"/>
                <w:sz w:val="20"/>
                <w:lang w:val="fr-CA"/>
              </w:rPr>
            </w:pPr>
            <w:hyperlink r:id="rId60" w:history="1">
              <w:r w:rsidR="004B52FA" w:rsidRPr="008057D9">
                <w:rPr>
                  <w:rFonts w:eastAsia="Calibri"/>
                  <w:color w:val="0000FF"/>
                  <w:sz w:val="20"/>
                  <w:u w:val="single"/>
                  <w:lang w:val="fr-CA"/>
                </w:rPr>
                <w:t>2014 FCA 196</w:t>
              </w:r>
            </w:hyperlink>
          </w:p>
          <w:p w:rsidR="004B52FA" w:rsidRPr="008057D9" w:rsidRDefault="004B52FA" w:rsidP="004B52FA">
            <w:pPr>
              <w:jc w:val="both"/>
              <w:rPr>
                <w:rFonts w:eastAsia="Calibri"/>
                <w:sz w:val="20"/>
                <w:lang w:val="fr-CA"/>
              </w:rPr>
            </w:pPr>
          </w:p>
        </w:tc>
        <w:tc>
          <w:tcPr>
            <w:tcW w:w="243" w:type="pct"/>
          </w:tcPr>
          <w:p w:rsidR="004B52FA" w:rsidRPr="008057D9" w:rsidRDefault="004B52FA" w:rsidP="004B52FA">
            <w:pPr>
              <w:jc w:val="both"/>
              <w:rPr>
                <w:rFonts w:eastAsia="Calibri"/>
                <w:sz w:val="20"/>
                <w:lang w:val="fr-CA"/>
              </w:rPr>
            </w:pPr>
          </w:p>
        </w:tc>
        <w:tc>
          <w:tcPr>
            <w:tcW w:w="2330" w:type="pct"/>
          </w:tcPr>
          <w:p w:rsidR="004B52FA" w:rsidRPr="008057D9" w:rsidRDefault="004B52FA" w:rsidP="004B52FA">
            <w:pPr>
              <w:jc w:val="both"/>
              <w:rPr>
                <w:rFonts w:eastAsia="Calibri"/>
                <w:sz w:val="20"/>
                <w:lang w:val="fr-CA"/>
              </w:rPr>
            </w:pPr>
            <w:r w:rsidRPr="008057D9">
              <w:rPr>
                <w:rFonts w:eastAsia="Calibri"/>
                <w:sz w:val="20"/>
                <w:lang w:val="fr-CA"/>
              </w:rPr>
              <w:t>Rejet de l’appel de la demanderesse</w:t>
            </w:r>
          </w:p>
          <w:p w:rsidR="004B52FA" w:rsidRPr="008057D9" w:rsidRDefault="004B52FA" w:rsidP="004B52FA">
            <w:pPr>
              <w:jc w:val="both"/>
              <w:rPr>
                <w:rFonts w:eastAsia="Calibri"/>
                <w:sz w:val="20"/>
                <w:lang w:val="fr-CA"/>
              </w:rPr>
            </w:pPr>
          </w:p>
        </w:tc>
      </w:tr>
      <w:tr w:rsidR="004B52FA" w:rsidRPr="00EC49A7" w:rsidTr="00834141">
        <w:trPr>
          <w:cantSplit/>
        </w:trPr>
        <w:tc>
          <w:tcPr>
            <w:tcW w:w="2427" w:type="pct"/>
          </w:tcPr>
          <w:p w:rsidR="004B52FA" w:rsidRPr="008057D9" w:rsidRDefault="004B52FA" w:rsidP="004B52FA">
            <w:pPr>
              <w:jc w:val="both"/>
              <w:rPr>
                <w:rFonts w:eastAsia="Calibri"/>
                <w:sz w:val="20"/>
                <w:lang w:val="fr-CA"/>
              </w:rPr>
            </w:pPr>
            <w:r w:rsidRPr="008057D9">
              <w:rPr>
                <w:rFonts w:eastAsia="Calibri"/>
                <w:sz w:val="20"/>
                <w:lang w:val="fr-CA"/>
              </w:rPr>
              <w:lastRenderedPageBreak/>
              <w:t>17 novembre 2014</w:t>
            </w:r>
          </w:p>
          <w:p w:rsidR="004B52FA" w:rsidRPr="008057D9" w:rsidRDefault="004B52FA" w:rsidP="004B52FA">
            <w:pPr>
              <w:jc w:val="both"/>
              <w:rPr>
                <w:rFonts w:eastAsia="Calibri"/>
                <w:sz w:val="20"/>
                <w:lang w:val="fr-CA"/>
              </w:rPr>
            </w:pPr>
            <w:r w:rsidRPr="008057D9">
              <w:rPr>
                <w:rFonts w:eastAsia="Calibri"/>
                <w:sz w:val="20"/>
                <w:lang w:val="fr-CA"/>
              </w:rPr>
              <w:t>Cour suprême du Canada</w:t>
            </w:r>
          </w:p>
          <w:p w:rsidR="004B52FA" w:rsidRPr="008057D9" w:rsidRDefault="004B52FA" w:rsidP="004B52FA">
            <w:pPr>
              <w:jc w:val="both"/>
              <w:rPr>
                <w:rFonts w:eastAsia="Calibri"/>
                <w:sz w:val="20"/>
                <w:lang w:val="fr-CA"/>
              </w:rPr>
            </w:pPr>
          </w:p>
        </w:tc>
        <w:tc>
          <w:tcPr>
            <w:tcW w:w="243" w:type="pct"/>
          </w:tcPr>
          <w:p w:rsidR="004B52FA" w:rsidRPr="008057D9" w:rsidRDefault="004B52FA" w:rsidP="004B52FA">
            <w:pPr>
              <w:jc w:val="both"/>
              <w:rPr>
                <w:rFonts w:eastAsia="Calibri"/>
                <w:sz w:val="20"/>
                <w:lang w:val="fr-CA"/>
              </w:rPr>
            </w:pPr>
          </w:p>
        </w:tc>
        <w:tc>
          <w:tcPr>
            <w:tcW w:w="2330" w:type="pct"/>
          </w:tcPr>
          <w:p w:rsidR="004B52FA" w:rsidRPr="008057D9" w:rsidRDefault="004B52FA" w:rsidP="004B52FA">
            <w:pPr>
              <w:jc w:val="both"/>
              <w:rPr>
                <w:rFonts w:eastAsia="Calibri"/>
                <w:sz w:val="20"/>
                <w:lang w:val="fr-CA"/>
              </w:rPr>
            </w:pPr>
            <w:r w:rsidRPr="008057D9">
              <w:rPr>
                <w:rFonts w:eastAsia="Calibri"/>
                <w:sz w:val="20"/>
                <w:lang w:val="fr-CA"/>
              </w:rPr>
              <w:t>Dépôt de la requête en prorogation du délai de signification et de dépôt de la demande d’autorisation d’appel et de la demande d’autorisation d’appel</w:t>
            </w:r>
          </w:p>
        </w:tc>
      </w:tr>
    </w:tbl>
    <w:p w:rsidR="004D32B1" w:rsidRPr="004B52FA"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53" style="width:2in;height:1pt" o:hrpct="0" o:hralign="center" o:hrstd="t" o:hrnoshade="t" o:hr="t" fillcolor="black [3213]" stroked="f"/>
        </w:pict>
      </w:r>
    </w:p>
    <w:p w:rsidR="004D32B1" w:rsidRDefault="004D32B1" w:rsidP="004D32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43219" w:rsidRPr="008B6B35" w:rsidTr="00574799">
        <w:trPr>
          <w:cantSplit/>
        </w:trPr>
        <w:tc>
          <w:tcPr>
            <w:tcW w:w="1458" w:type="dxa"/>
          </w:tcPr>
          <w:p w:rsidR="00443219" w:rsidRPr="008B6B35" w:rsidRDefault="00443219" w:rsidP="00574799">
            <w:pPr>
              <w:rPr>
                <w:sz w:val="20"/>
                <w:szCs w:val="20"/>
              </w:rPr>
            </w:pPr>
            <w:r w:rsidRPr="008B6B35">
              <w:rPr>
                <w:rStyle w:val="SCCFileNumberChar"/>
                <w:sz w:val="20"/>
                <w:szCs w:val="20"/>
              </w:rPr>
              <w:t>36186</w:t>
            </w:r>
          </w:p>
          <w:p w:rsidR="00443219" w:rsidRPr="008B6B35" w:rsidRDefault="00443219" w:rsidP="00574799">
            <w:pPr>
              <w:rPr>
                <w:b/>
                <w:sz w:val="20"/>
                <w:szCs w:val="20"/>
                <w:lang w:val="fr-CA"/>
              </w:rPr>
            </w:pPr>
          </w:p>
        </w:tc>
        <w:tc>
          <w:tcPr>
            <w:tcW w:w="8118" w:type="dxa"/>
          </w:tcPr>
          <w:p w:rsidR="00443219" w:rsidRPr="008B6B35" w:rsidRDefault="00443219" w:rsidP="00574799">
            <w:pPr>
              <w:rPr>
                <w:sz w:val="20"/>
                <w:szCs w:val="20"/>
              </w:rPr>
            </w:pPr>
            <w:r w:rsidRPr="008B6B35">
              <w:rPr>
                <w:rStyle w:val="SCCLsocChar"/>
                <w:sz w:val="20"/>
                <w:szCs w:val="20"/>
                <w:lang w:val="en-CA"/>
              </w:rPr>
              <w:t>Andy Harold Peekeekoot v. Her Majesty the Queen</w:t>
            </w:r>
            <w:r w:rsidRPr="008B6B35">
              <w:rPr>
                <w:sz w:val="20"/>
                <w:szCs w:val="20"/>
              </w:rPr>
              <w:t xml:space="preserve"> (Sask.) (Criminal) (By Leave)</w:t>
            </w:r>
          </w:p>
          <w:p w:rsidR="00443219" w:rsidRPr="008B6B35" w:rsidRDefault="00443219" w:rsidP="00574799">
            <w:pPr>
              <w:rPr>
                <w:sz w:val="20"/>
                <w:szCs w:val="20"/>
              </w:rPr>
            </w:pPr>
          </w:p>
        </w:tc>
      </w:tr>
      <w:tr w:rsidR="00443219" w:rsidRPr="008B6B35" w:rsidTr="00574799">
        <w:trPr>
          <w:cantSplit/>
        </w:trPr>
        <w:tc>
          <w:tcPr>
            <w:tcW w:w="1458" w:type="dxa"/>
          </w:tcPr>
          <w:p w:rsidR="00443219" w:rsidRPr="008B6B35" w:rsidRDefault="00443219" w:rsidP="00574799">
            <w:pPr>
              <w:rPr>
                <w:sz w:val="20"/>
                <w:szCs w:val="20"/>
              </w:rPr>
            </w:pPr>
            <w:r w:rsidRPr="008B6B35">
              <w:rPr>
                <w:sz w:val="20"/>
                <w:szCs w:val="20"/>
              </w:rPr>
              <w:t>Coram :</w:t>
            </w:r>
          </w:p>
        </w:tc>
        <w:tc>
          <w:tcPr>
            <w:tcW w:w="8118" w:type="dxa"/>
          </w:tcPr>
          <w:p w:rsidR="00443219" w:rsidRPr="008B6B35" w:rsidRDefault="00443219" w:rsidP="00574799">
            <w:pPr>
              <w:rPr>
                <w:sz w:val="20"/>
                <w:szCs w:val="20"/>
              </w:rPr>
            </w:pPr>
            <w:r w:rsidRPr="008B6B35">
              <w:rPr>
                <w:rStyle w:val="SCCCoramChar"/>
                <w:sz w:val="20"/>
                <w:szCs w:val="20"/>
                <w:lang w:val="en-CA"/>
              </w:rPr>
              <w:t>Rothstein, Cromwell and Moldaver JJ.</w:t>
            </w:r>
          </w:p>
          <w:p w:rsidR="00443219" w:rsidRPr="008B6B35" w:rsidRDefault="00443219" w:rsidP="00574799">
            <w:pPr>
              <w:rPr>
                <w:sz w:val="20"/>
                <w:szCs w:val="20"/>
                <w:u w:val="single"/>
              </w:rPr>
            </w:pPr>
          </w:p>
        </w:tc>
      </w:tr>
      <w:tr w:rsidR="00443219" w:rsidRPr="00EC49A7" w:rsidTr="00574799">
        <w:trPr>
          <w:cantSplit/>
        </w:trPr>
        <w:tc>
          <w:tcPr>
            <w:tcW w:w="9576" w:type="dxa"/>
            <w:gridSpan w:val="2"/>
          </w:tcPr>
          <w:p w:rsidR="00443219" w:rsidRPr="008B6B35" w:rsidRDefault="00443219" w:rsidP="00574799">
            <w:pPr>
              <w:pStyle w:val="SCCShortJudgment"/>
              <w:rPr>
                <w:szCs w:val="20"/>
              </w:rPr>
            </w:pPr>
            <w:r w:rsidRPr="008B6B35">
              <w:rPr>
                <w:szCs w:val="20"/>
              </w:rPr>
              <w:t>The application for leave to appeal from the judgment of the Court of Appeal for Saskatchewan, Number 1796-CR, 2014 SKCA 97, dated September 23, 2014, is dismissed without costs.</w:t>
            </w:r>
          </w:p>
          <w:p w:rsidR="00443219" w:rsidRPr="008B6B35" w:rsidRDefault="00443219" w:rsidP="00574799">
            <w:pPr>
              <w:pStyle w:val="SCCShortJudgment"/>
              <w:ind w:firstLine="0"/>
              <w:rPr>
                <w:szCs w:val="20"/>
              </w:rPr>
            </w:pPr>
          </w:p>
          <w:p w:rsidR="00443219" w:rsidRPr="008B6B35" w:rsidRDefault="00443219" w:rsidP="00574799">
            <w:pPr>
              <w:pStyle w:val="SCCShortJudgment"/>
              <w:rPr>
                <w:szCs w:val="20"/>
                <w:lang w:val="fr-CA"/>
              </w:rPr>
            </w:pPr>
            <w:r w:rsidRPr="008B6B35">
              <w:rPr>
                <w:szCs w:val="20"/>
                <w:lang w:val="fr-CA"/>
              </w:rPr>
              <w:t>La demande d’autorisation d’appel de l’arrêt de la Cour d’appel de la Saskatchewan, numéro 1796-CR, 2014 SKCA 97, daté du 23 septembre 2014, est rejetée sans dépens.</w:t>
            </w:r>
          </w:p>
        </w:tc>
      </w:tr>
    </w:tbl>
    <w:p w:rsidR="004D32B1" w:rsidRPr="00443219"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6EE6" w:rsidRPr="008057D9" w:rsidTr="00574799">
        <w:tc>
          <w:tcPr>
            <w:tcW w:w="5000" w:type="pct"/>
            <w:gridSpan w:val="3"/>
          </w:tcPr>
          <w:p w:rsidR="00EC6EE6" w:rsidRPr="008057D9" w:rsidRDefault="00EC6EE6" w:rsidP="00574799">
            <w:pPr>
              <w:jc w:val="both"/>
              <w:rPr>
                <w:rFonts w:eastAsia="Calibri"/>
                <w:sz w:val="20"/>
              </w:rPr>
            </w:pPr>
            <w:r w:rsidRPr="008057D9">
              <w:rPr>
                <w:rFonts w:eastAsia="Calibri"/>
                <w:sz w:val="20"/>
              </w:rPr>
              <w:t xml:space="preserve">Criminal law — Dangerous and long-term offenders — Protection of the public — Threat to life, safety or physical or mental well-being of others — Applicant was convicted of assault with weapon after attacking two men with knife — He was declared dangerous offender and sentenced to indeterminate period of imprisonment — Applicant is Cree man who suffered abuse in foster care and had longstanding criminal history — In making dangerous offender designation, whether sentencing judge failed to consider applicant’s First Nations heritage and experience, as required by s. 718.2(e) of the </w:t>
            </w:r>
            <w:r w:rsidRPr="008057D9">
              <w:rPr>
                <w:rFonts w:eastAsia="Calibri"/>
                <w:i/>
                <w:sz w:val="20"/>
              </w:rPr>
              <w:t>Criminal Code</w:t>
            </w:r>
            <w:r w:rsidRPr="008057D9">
              <w:rPr>
                <w:rFonts w:eastAsia="Calibri"/>
                <w:sz w:val="20"/>
              </w:rPr>
              <w:t xml:space="preserve"> and </w:t>
            </w:r>
            <w:r w:rsidRPr="008057D9">
              <w:rPr>
                <w:rFonts w:eastAsia="Calibri"/>
                <w:i/>
                <w:sz w:val="20"/>
              </w:rPr>
              <w:t>R. v. Gladue</w:t>
            </w:r>
            <w:r w:rsidRPr="008057D9">
              <w:rPr>
                <w:rFonts w:eastAsia="Calibri"/>
                <w:sz w:val="20"/>
              </w:rPr>
              <w:t xml:space="preserve">, [1999] 1 S.C.R. 688? — If so, whether there occurred substantial wrong or miscarriage of justice to engage curative features of </w:t>
            </w:r>
            <w:r w:rsidRPr="008057D9">
              <w:rPr>
                <w:rFonts w:eastAsia="Calibri"/>
                <w:i/>
                <w:sz w:val="20"/>
              </w:rPr>
              <w:t>Criminal Code</w:t>
            </w:r>
            <w:r w:rsidRPr="008057D9">
              <w:rPr>
                <w:rFonts w:eastAsia="Calibri"/>
                <w:sz w:val="20"/>
              </w:rPr>
              <w:t xml:space="preserve">? — </w:t>
            </w:r>
            <w:r w:rsidRPr="008057D9">
              <w:rPr>
                <w:rFonts w:eastAsia="Calibri"/>
                <w:i/>
                <w:sz w:val="20"/>
              </w:rPr>
              <w:t>Criminal Code</w:t>
            </w:r>
            <w:r w:rsidRPr="008057D9">
              <w:rPr>
                <w:rFonts w:eastAsia="Calibri"/>
                <w:sz w:val="20"/>
              </w:rPr>
              <w:t>, s. 718.2(e).</w:t>
            </w:r>
          </w:p>
        </w:tc>
      </w:tr>
      <w:tr w:rsidR="00EC6EE6" w:rsidRPr="008057D9" w:rsidTr="00574799">
        <w:tc>
          <w:tcPr>
            <w:tcW w:w="5000" w:type="pct"/>
            <w:gridSpan w:val="3"/>
          </w:tcPr>
          <w:p w:rsidR="00EC6EE6" w:rsidRPr="008057D9" w:rsidRDefault="00EC6EE6" w:rsidP="00574799">
            <w:pPr>
              <w:jc w:val="both"/>
              <w:rPr>
                <w:rFonts w:eastAsia="Calibri"/>
                <w:sz w:val="20"/>
              </w:rPr>
            </w:pPr>
          </w:p>
        </w:tc>
      </w:tr>
      <w:tr w:rsidR="00EC6EE6" w:rsidRPr="008057D9" w:rsidTr="00574799">
        <w:tc>
          <w:tcPr>
            <w:tcW w:w="5000" w:type="pct"/>
            <w:gridSpan w:val="3"/>
          </w:tcPr>
          <w:p w:rsidR="00EC6EE6" w:rsidRPr="008057D9" w:rsidRDefault="00EC6EE6" w:rsidP="00574799">
            <w:pPr>
              <w:jc w:val="both"/>
              <w:rPr>
                <w:rFonts w:eastAsia="Calibri"/>
                <w:sz w:val="20"/>
              </w:rPr>
            </w:pPr>
            <w:r w:rsidRPr="008057D9">
              <w:rPr>
                <w:rFonts w:eastAsia="Calibri"/>
                <w:sz w:val="20"/>
              </w:rPr>
              <w:t xml:space="preserve">The applicant, Mr. Peekeekoot, was convicted of assault with a weapon after attacking two individuals with a knife.  The Crown commenced dangerous offender proceedings. Mr. Peekeekoot, aged 34 at the time, was a Cree man who grew up in difficult circumstances. His parents abused alcohol and drugs, resulting in his placement in foster care, where he suffered physical and sexual abuse.  He began to use drugs and alcohol. Mr. Peekeekoot had a longstanding criminal history, including more than 40 prior convictions, half of which were for violent offences.  He was incarcerated for the majority of his adult life.  Mr. Peekeekoot was diagnosed with an antisocial personality disorder with psychopathic tendencies and assessed as a very high risk to re-offend violently.  The sentencing judge found that Mr. Peekeekoot fit the criteria for a dangerous offender designation and concluded there was no reasonable possibility of managing his risk in the community.  He was sentenced to an indeterminate period of imprisonment.  The Court of Appeal dismissed the appeal. </w:t>
            </w:r>
          </w:p>
          <w:p w:rsidR="00EC6EE6" w:rsidRPr="008057D9" w:rsidRDefault="00EC6EE6" w:rsidP="00574799">
            <w:pPr>
              <w:jc w:val="both"/>
              <w:rPr>
                <w:rFonts w:eastAsia="Calibri"/>
                <w:sz w:val="20"/>
              </w:rPr>
            </w:pPr>
          </w:p>
        </w:tc>
      </w:tr>
      <w:tr w:rsidR="00EC6EE6" w:rsidRPr="008057D9" w:rsidTr="00574799">
        <w:tc>
          <w:tcPr>
            <w:tcW w:w="2427" w:type="pct"/>
          </w:tcPr>
          <w:p w:rsidR="00EC6EE6" w:rsidRPr="008057D9" w:rsidRDefault="00EC6EE6" w:rsidP="00574799">
            <w:pPr>
              <w:jc w:val="both"/>
              <w:rPr>
                <w:rFonts w:eastAsia="Calibri"/>
                <w:sz w:val="20"/>
              </w:rPr>
            </w:pPr>
            <w:r w:rsidRPr="008057D9">
              <w:rPr>
                <w:rFonts w:eastAsia="Calibri"/>
                <w:sz w:val="20"/>
              </w:rPr>
              <w:t>January 15, 2010</w:t>
            </w:r>
          </w:p>
          <w:p w:rsidR="00EC6EE6" w:rsidRPr="008057D9" w:rsidRDefault="00EC6EE6" w:rsidP="00574799">
            <w:pPr>
              <w:jc w:val="both"/>
              <w:rPr>
                <w:rFonts w:eastAsia="Calibri"/>
                <w:sz w:val="20"/>
              </w:rPr>
            </w:pPr>
            <w:r w:rsidRPr="008057D9">
              <w:rPr>
                <w:rFonts w:eastAsia="Calibri"/>
                <w:sz w:val="20"/>
              </w:rPr>
              <w:t>Provincial Court of Saskatchewan</w:t>
            </w:r>
          </w:p>
          <w:p w:rsidR="00EC6EE6" w:rsidRPr="008057D9" w:rsidRDefault="00EC6EE6" w:rsidP="00574799">
            <w:pPr>
              <w:jc w:val="both"/>
              <w:rPr>
                <w:rFonts w:eastAsia="Calibri"/>
                <w:sz w:val="20"/>
              </w:rPr>
            </w:pPr>
            <w:r w:rsidRPr="008057D9">
              <w:rPr>
                <w:rFonts w:eastAsia="Calibri"/>
                <w:sz w:val="20"/>
              </w:rPr>
              <w:t>(Deshaye J.)</w:t>
            </w:r>
          </w:p>
          <w:p w:rsidR="00EC6EE6" w:rsidRPr="008057D9" w:rsidRDefault="00EC6EE6" w:rsidP="00574799">
            <w:pPr>
              <w:jc w:val="both"/>
              <w:rPr>
                <w:rFonts w:eastAsia="Calibri"/>
                <w:sz w:val="20"/>
              </w:rPr>
            </w:pPr>
          </w:p>
        </w:tc>
        <w:tc>
          <w:tcPr>
            <w:tcW w:w="243" w:type="pct"/>
          </w:tcPr>
          <w:p w:rsidR="00EC6EE6" w:rsidRPr="008057D9" w:rsidRDefault="00EC6EE6" w:rsidP="00574799">
            <w:pPr>
              <w:jc w:val="both"/>
              <w:rPr>
                <w:rFonts w:eastAsia="Calibri"/>
                <w:sz w:val="20"/>
              </w:rPr>
            </w:pPr>
          </w:p>
        </w:tc>
        <w:tc>
          <w:tcPr>
            <w:tcW w:w="2330" w:type="pct"/>
          </w:tcPr>
          <w:p w:rsidR="00EC6EE6" w:rsidRPr="008057D9" w:rsidRDefault="00EC6EE6" w:rsidP="00574799">
            <w:pPr>
              <w:jc w:val="both"/>
              <w:rPr>
                <w:rFonts w:eastAsia="Calibri"/>
                <w:sz w:val="20"/>
              </w:rPr>
            </w:pPr>
            <w:r w:rsidRPr="008057D9">
              <w:rPr>
                <w:rFonts w:eastAsia="Calibri"/>
                <w:sz w:val="20"/>
              </w:rPr>
              <w:t>Following his earlier conviction for assault with a weapon, the Applicant was declared a dangerous offender and sentenced to an indeterminate period of imprisonment.</w:t>
            </w:r>
          </w:p>
          <w:p w:rsidR="00EC6EE6" w:rsidRPr="008057D9" w:rsidRDefault="00EC6EE6" w:rsidP="00574799">
            <w:pPr>
              <w:jc w:val="both"/>
              <w:rPr>
                <w:rFonts w:eastAsia="Calibri"/>
                <w:sz w:val="20"/>
              </w:rPr>
            </w:pPr>
          </w:p>
        </w:tc>
      </w:tr>
      <w:tr w:rsidR="00EC6EE6" w:rsidRPr="008057D9" w:rsidTr="00574799">
        <w:tc>
          <w:tcPr>
            <w:tcW w:w="2427" w:type="pct"/>
          </w:tcPr>
          <w:p w:rsidR="00EC6EE6" w:rsidRPr="008057D9" w:rsidRDefault="00EC6EE6" w:rsidP="00574799">
            <w:pPr>
              <w:jc w:val="both"/>
              <w:rPr>
                <w:rFonts w:eastAsia="Calibri"/>
                <w:sz w:val="20"/>
              </w:rPr>
            </w:pPr>
            <w:r w:rsidRPr="008057D9">
              <w:rPr>
                <w:rFonts w:eastAsia="Calibri"/>
                <w:sz w:val="20"/>
              </w:rPr>
              <w:t>September 23, 2014</w:t>
            </w:r>
          </w:p>
          <w:p w:rsidR="00EC6EE6" w:rsidRPr="008057D9" w:rsidRDefault="00EC6EE6" w:rsidP="00574799">
            <w:pPr>
              <w:jc w:val="both"/>
              <w:rPr>
                <w:rFonts w:eastAsia="Calibri"/>
                <w:sz w:val="20"/>
              </w:rPr>
            </w:pPr>
            <w:r w:rsidRPr="008057D9">
              <w:rPr>
                <w:rFonts w:eastAsia="Calibri"/>
                <w:sz w:val="20"/>
              </w:rPr>
              <w:t>Court of Appeal for Saskatchewan</w:t>
            </w:r>
          </w:p>
          <w:p w:rsidR="00EC6EE6" w:rsidRPr="008057D9" w:rsidRDefault="00EC6EE6" w:rsidP="00574799">
            <w:pPr>
              <w:jc w:val="both"/>
              <w:rPr>
                <w:rFonts w:eastAsia="Calibri"/>
                <w:sz w:val="20"/>
              </w:rPr>
            </w:pPr>
            <w:r w:rsidRPr="008057D9">
              <w:rPr>
                <w:rFonts w:eastAsia="Calibri"/>
                <w:sz w:val="20"/>
              </w:rPr>
              <w:t>(Richards C.J.S. and Herauf and Ryan-Froslie JJ.A.)</w:t>
            </w:r>
          </w:p>
          <w:p w:rsidR="00EC6EE6" w:rsidRPr="008057D9" w:rsidRDefault="00173D9D" w:rsidP="00574799">
            <w:pPr>
              <w:jc w:val="both"/>
              <w:rPr>
                <w:rFonts w:eastAsia="Calibri"/>
                <w:sz w:val="20"/>
              </w:rPr>
            </w:pPr>
            <w:hyperlink r:id="rId61" w:history="1">
              <w:r w:rsidR="00EC6EE6" w:rsidRPr="008057D9">
                <w:rPr>
                  <w:rFonts w:eastAsia="Calibri"/>
                  <w:color w:val="0000FF"/>
                  <w:sz w:val="20"/>
                  <w:u w:val="single"/>
                </w:rPr>
                <w:t>2014 SKCA 97</w:t>
              </w:r>
            </w:hyperlink>
          </w:p>
          <w:p w:rsidR="00EC6EE6" w:rsidRPr="008057D9" w:rsidRDefault="00EC6EE6" w:rsidP="00574799">
            <w:pPr>
              <w:jc w:val="both"/>
              <w:rPr>
                <w:rFonts w:eastAsia="Calibri"/>
                <w:sz w:val="20"/>
              </w:rPr>
            </w:pPr>
          </w:p>
        </w:tc>
        <w:tc>
          <w:tcPr>
            <w:tcW w:w="243" w:type="pct"/>
          </w:tcPr>
          <w:p w:rsidR="00EC6EE6" w:rsidRPr="008057D9" w:rsidRDefault="00EC6EE6" w:rsidP="00574799">
            <w:pPr>
              <w:jc w:val="both"/>
              <w:rPr>
                <w:rFonts w:eastAsia="Calibri"/>
                <w:sz w:val="20"/>
              </w:rPr>
            </w:pPr>
          </w:p>
        </w:tc>
        <w:tc>
          <w:tcPr>
            <w:tcW w:w="2330" w:type="pct"/>
          </w:tcPr>
          <w:p w:rsidR="00EC6EE6" w:rsidRPr="008057D9" w:rsidRDefault="00EC6EE6" w:rsidP="00574799">
            <w:pPr>
              <w:jc w:val="both"/>
              <w:rPr>
                <w:rFonts w:eastAsia="Calibri"/>
                <w:sz w:val="20"/>
              </w:rPr>
            </w:pPr>
            <w:r w:rsidRPr="008057D9">
              <w:rPr>
                <w:rFonts w:eastAsia="Calibri"/>
                <w:sz w:val="20"/>
              </w:rPr>
              <w:t>Appeal dismissed.</w:t>
            </w:r>
          </w:p>
          <w:p w:rsidR="00EC6EE6" w:rsidRPr="008057D9" w:rsidRDefault="00EC6EE6" w:rsidP="00574799">
            <w:pPr>
              <w:jc w:val="both"/>
              <w:rPr>
                <w:rFonts w:eastAsia="Calibri"/>
                <w:sz w:val="20"/>
              </w:rPr>
            </w:pPr>
          </w:p>
        </w:tc>
      </w:tr>
    </w:tbl>
    <w:p w:rsidR="00834141" w:rsidRDefault="00834141">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6EE6" w:rsidRPr="008057D9" w:rsidTr="00574799">
        <w:tc>
          <w:tcPr>
            <w:tcW w:w="2427" w:type="pct"/>
          </w:tcPr>
          <w:p w:rsidR="00EC6EE6" w:rsidRPr="008057D9" w:rsidRDefault="00EC6EE6" w:rsidP="00574799">
            <w:pPr>
              <w:jc w:val="both"/>
              <w:rPr>
                <w:rFonts w:eastAsia="Calibri"/>
                <w:sz w:val="20"/>
              </w:rPr>
            </w:pPr>
            <w:r w:rsidRPr="008057D9">
              <w:rPr>
                <w:rFonts w:eastAsia="Calibri"/>
                <w:sz w:val="20"/>
              </w:rPr>
              <w:lastRenderedPageBreak/>
              <w:t>November 20, 2014</w:t>
            </w:r>
          </w:p>
          <w:p w:rsidR="00EC6EE6" w:rsidRPr="008057D9" w:rsidRDefault="00EC6EE6" w:rsidP="00574799">
            <w:pPr>
              <w:jc w:val="both"/>
              <w:rPr>
                <w:rFonts w:eastAsia="Calibri"/>
                <w:sz w:val="20"/>
              </w:rPr>
            </w:pPr>
            <w:r w:rsidRPr="008057D9">
              <w:rPr>
                <w:rFonts w:eastAsia="Calibri"/>
                <w:sz w:val="20"/>
              </w:rPr>
              <w:t>Supreme Court of Canada</w:t>
            </w:r>
          </w:p>
        </w:tc>
        <w:tc>
          <w:tcPr>
            <w:tcW w:w="243" w:type="pct"/>
          </w:tcPr>
          <w:p w:rsidR="00EC6EE6" w:rsidRPr="008057D9" w:rsidRDefault="00EC6EE6" w:rsidP="00574799">
            <w:pPr>
              <w:jc w:val="both"/>
              <w:rPr>
                <w:rFonts w:eastAsia="Calibri"/>
                <w:sz w:val="20"/>
              </w:rPr>
            </w:pPr>
          </w:p>
        </w:tc>
        <w:tc>
          <w:tcPr>
            <w:tcW w:w="2330" w:type="pct"/>
          </w:tcPr>
          <w:p w:rsidR="00EC6EE6" w:rsidRPr="008057D9" w:rsidRDefault="00EC6EE6" w:rsidP="00574799">
            <w:pPr>
              <w:jc w:val="both"/>
              <w:rPr>
                <w:rFonts w:eastAsia="Calibri"/>
                <w:sz w:val="20"/>
              </w:rPr>
            </w:pPr>
            <w:r w:rsidRPr="008057D9">
              <w:rPr>
                <w:rFonts w:eastAsia="Calibri"/>
                <w:sz w:val="20"/>
              </w:rPr>
              <w:t>Application for leave to appeal filed.</w:t>
            </w:r>
          </w:p>
          <w:p w:rsidR="00EC6EE6" w:rsidRPr="008057D9" w:rsidRDefault="00EC6EE6" w:rsidP="00574799">
            <w:pPr>
              <w:jc w:val="both"/>
              <w:rPr>
                <w:rFonts w:eastAsia="Calibri"/>
                <w:sz w:val="20"/>
              </w:rPr>
            </w:pP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54"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6EE6" w:rsidRPr="00EC49A7" w:rsidTr="00574799">
        <w:tc>
          <w:tcPr>
            <w:tcW w:w="5000" w:type="pct"/>
            <w:gridSpan w:val="3"/>
          </w:tcPr>
          <w:p w:rsidR="00EC6EE6" w:rsidRPr="008057D9" w:rsidRDefault="00EC6EE6" w:rsidP="00574799">
            <w:pPr>
              <w:jc w:val="both"/>
              <w:rPr>
                <w:rFonts w:eastAsia="Calibri"/>
                <w:sz w:val="20"/>
                <w:lang w:val="fr-CA"/>
              </w:rPr>
            </w:pPr>
            <w:r w:rsidRPr="008057D9">
              <w:rPr>
                <w:rFonts w:eastAsia="Calibri"/>
                <w:sz w:val="20"/>
                <w:lang w:val="fr-CA"/>
              </w:rPr>
              <w:t>Droit criminel — Délinquants dangereux et à contrôler — Protection du public — Danger pour la vie, la sécurité ou le bien-être physique ou mental d’autrui — Le demandeur a été déclaré coupable d’agression armée après avoir attaqué deux hommes au couteau — Il a été déclaré délinquant dangereux et condamné à une peine de détention d’une durée indéterminée — Le demandeur est un Cri qui a subi des sévices pendant qu’il était en foyer d’accueil et il avait des antécédents judiciaires de longue date — En prononçant la déclaration de délinquant dangereux, le juge qui a imposé la peine a-t-il omis de tenir compte de l’héritage et de l’expérience autochtones du demandeur, comme le prescrit l’al. 718.2</w:t>
            </w:r>
            <w:r w:rsidRPr="008057D9">
              <w:rPr>
                <w:rFonts w:eastAsia="Calibri"/>
                <w:i/>
                <w:sz w:val="20"/>
                <w:lang w:val="fr-CA"/>
              </w:rPr>
              <w:t>e)</w:t>
            </w:r>
            <w:r w:rsidRPr="008057D9">
              <w:rPr>
                <w:rFonts w:eastAsia="Calibri"/>
                <w:sz w:val="20"/>
                <w:lang w:val="fr-CA"/>
              </w:rPr>
              <w:t xml:space="preserve"> du </w:t>
            </w:r>
            <w:r w:rsidRPr="008057D9">
              <w:rPr>
                <w:rFonts w:eastAsia="Calibri"/>
                <w:i/>
                <w:sz w:val="20"/>
                <w:lang w:val="fr-CA"/>
              </w:rPr>
              <w:t>Code criminel</w:t>
            </w:r>
            <w:r w:rsidRPr="008057D9">
              <w:rPr>
                <w:rFonts w:eastAsia="Calibri"/>
                <w:sz w:val="20"/>
                <w:lang w:val="fr-CA"/>
              </w:rPr>
              <w:t xml:space="preserve"> et </w:t>
            </w:r>
            <w:r w:rsidRPr="008057D9">
              <w:rPr>
                <w:rFonts w:eastAsia="Calibri"/>
                <w:i/>
                <w:sz w:val="20"/>
                <w:lang w:val="fr-CA"/>
              </w:rPr>
              <w:t>R. c. Gladue</w:t>
            </w:r>
            <w:r w:rsidRPr="008057D9">
              <w:rPr>
                <w:rFonts w:eastAsia="Calibri"/>
                <w:sz w:val="20"/>
                <w:lang w:val="fr-CA"/>
              </w:rPr>
              <w:t xml:space="preserve">, [1999] 1 R.C.S. 688? — Dans l’affirmative, y a-t-il eu un tort ou une erreur judiciaire susceptible de faire entrer en jeu les dispositions réparatrices du </w:t>
            </w:r>
            <w:r w:rsidRPr="008057D9">
              <w:rPr>
                <w:rFonts w:eastAsia="Calibri"/>
                <w:i/>
                <w:sz w:val="20"/>
                <w:lang w:val="fr-CA"/>
              </w:rPr>
              <w:t>Code criminel</w:t>
            </w:r>
            <w:r w:rsidRPr="008057D9">
              <w:rPr>
                <w:rFonts w:eastAsia="Calibri"/>
                <w:sz w:val="20"/>
                <w:lang w:val="fr-CA"/>
              </w:rPr>
              <w:t xml:space="preserve">? — </w:t>
            </w:r>
            <w:r w:rsidRPr="008057D9">
              <w:rPr>
                <w:rFonts w:eastAsia="Calibri"/>
                <w:i/>
                <w:sz w:val="20"/>
                <w:lang w:val="fr-CA"/>
              </w:rPr>
              <w:t>Code criminel</w:t>
            </w:r>
            <w:r w:rsidRPr="008057D9">
              <w:rPr>
                <w:rFonts w:eastAsia="Calibri"/>
                <w:sz w:val="20"/>
                <w:lang w:val="fr-CA"/>
              </w:rPr>
              <w:t>, al. 718.2</w:t>
            </w:r>
            <w:r w:rsidRPr="008057D9">
              <w:rPr>
                <w:rFonts w:eastAsia="Calibri"/>
                <w:i/>
                <w:sz w:val="20"/>
                <w:lang w:val="fr-CA"/>
              </w:rPr>
              <w:t>e)</w:t>
            </w:r>
            <w:r w:rsidRPr="008057D9">
              <w:rPr>
                <w:rFonts w:eastAsia="Calibri"/>
                <w:sz w:val="20"/>
                <w:lang w:val="fr-CA"/>
              </w:rPr>
              <w:t>.</w:t>
            </w:r>
          </w:p>
        </w:tc>
      </w:tr>
      <w:tr w:rsidR="00EC6EE6" w:rsidRPr="00EC49A7" w:rsidTr="00574799">
        <w:tc>
          <w:tcPr>
            <w:tcW w:w="5000" w:type="pct"/>
            <w:gridSpan w:val="3"/>
          </w:tcPr>
          <w:p w:rsidR="00EC6EE6" w:rsidRPr="008057D9" w:rsidRDefault="00EC6EE6" w:rsidP="00574799">
            <w:pPr>
              <w:jc w:val="both"/>
              <w:rPr>
                <w:rFonts w:eastAsia="Calibri"/>
                <w:sz w:val="20"/>
                <w:lang w:val="fr-CA"/>
              </w:rPr>
            </w:pPr>
          </w:p>
        </w:tc>
      </w:tr>
      <w:tr w:rsidR="00EC6EE6" w:rsidRPr="008057D9" w:rsidTr="00574799">
        <w:tc>
          <w:tcPr>
            <w:tcW w:w="5000" w:type="pct"/>
            <w:gridSpan w:val="3"/>
          </w:tcPr>
          <w:p w:rsidR="00EC6EE6" w:rsidRPr="008057D9" w:rsidRDefault="00EC6EE6" w:rsidP="00574799">
            <w:pPr>
              <w:jc w:val="both"/>
              <w:rPr>
                <w:rFonts w:eastAsia="Calibri"/>
                <w:sz w:val="20"/>
                <w:lang w:val="fr-CA"/>
              </w:rPr>
            </w:pPr>
            <w:r w:rsidRPr="008057D9">
              <w:rPr>
                <w:rFonts w:eastAsia="Calibri"/>
                <w:sz w:val="20"/>
                <w:lang w:val="fr-CA"/>
              </w:rPr>
              <w:t xml:space="preserve">Le demandeur, M. Peekeekoot, a été déclaré coupable d’agression armée après avoir attaqué deux hommes au couteau.  Le ministère public a introduit une demande de déclaration de délinquant dangereux.  Monsieur Peekeekoot, un Cri âgé de 34 ans à l’époque, avait grandi dans des circonstances difficiles.  Ses parents étaient aux prises avec un problème d’alcoolisme et de toxicomanie, si bien qu’il a été placé en foyer d’accueil où il a subi des sévices physiques et sexuels.  Il a commencé à consommer de l’alcool et de la drogue.  Monsieur Peekeekoot avait de longs antécédents criminels, y compris plus de 40 déclarations de culpabilité antérieures, dont la moitié était pour des infractions violentes.  Il a passé la plus grande partie de sa vie adulte en détention.  Monsieur Peekeekoot a fait l’objet d’un diagnostic de trouble de la personnalité antisociale avec tendances psychopathiques et d’une évaluation de risque très élevé de récidive violente.  Le juge qui a imposé la peine a conclu que M. Peekeekoot répondait aux critères qui permettaient de le déclarer criminel dangereux et qu’il n’y avait pas possibilité réelle de maîtriser le risque qu’il pose au sein de la collectivité.  Il a été condamné à une peine de détention d’une durée indéterminée.  La Cour d’appel a rejeté l’appel. </w:t>
            </w:r>
          </w:p>
          <w:p w:rsidR="00EC6EE6" w:rsidRPr="008057D9" w:rsidRDefault="00EC6EE6" w:rsidP="00574799">
            <w:pPr>
              <w:jc w:val="both"/>
              <w:rPr>
                <w:rFonts w:eastAsia="Calibri"/>
                <w:sz w:val="20"/>
                <w:lang w:val="fr-CA"/>
              </w:rPr>
            </w:pPr>
          </w:p>
        </w:tc>
      </w:tr>
      <w:tr w:rsidR="00EC6EE6" w:rsidRPr="00EC49A7" w:rsidTr="00574799">
        <w:tc>
          <w:tcPr>
            <w:tcW w:w="2427" w:type="pct"/>
          </w:tcPr>
          <w:p w:rsidR="00EC6EE6" w:rsidRPr="008057D9" w:rsidRDefault="00EC6EE6" w:rsidP="00574799">
            <w:pPr>
              <w:jc w:val="both"/>
              <w:rPr>
                <w:rFonts w:eastAsia="Calibri"/>
                <w:sz w:val="20"/>
                <w:lang w:val="fr-CA"/>
              </w:rPr>
            </w:pPr>
            <w:r w:rsidRPr="008057D9">
              <w:rPr>
                <w:rFonts w:eastAsia="Calibri"/>
                <w:sz w:val="20"/>
                <w:lang w:val="fr-CA"/>
              </w:rPr>
              <w:t>15 janvier 2010</w:t>
            </w:r>
          </w:p>
          <w:p w:rsidR="00EC6EE6" w:rsidRPr="008057D9" w:rsidRDefault="00EC6EE6" w:rsidP="00574799">
            <w:pPr>
              <w:jc w:val="both"/>
              <w:rPr>
                <w:rFonts w:eastAsia="Calibri"/>
                <w:sz w:val="20"/>
                <w:lang w:val="fr-CA"/>
              </w:rPr>
            </w:pPr>
            <w:r w:rsidRPr="008057D9">
              <w:rPr>
                <w:rFonts w:eastAsia="Calibri"/>
                <w:sz w:val="20"/>
                <w:lang w:val="fr-CA"/>
              </w:rPr>
              <w:t>Cour provinciale de la Saskatchewan</w:t>
            </w:r>
          </w:p>
          <w:p w:rsidR="00EC6EE6" w:rsidRPr="008057D9" w:rsidRDefault="00EC6EE6" w:rsidP="00574799">
            <w:pPr>
              <w:jc w:val="both"/>
              <w:rPr>
                <w:rFonts w:eastAsia="Calibri"/>
                <w:sz w:val="20"/>
                <w:lang w:val="fr-CA"/>
              </w:rPr>
            </w:pPr>
            <w:r w:rsidRPr="008057D9">
              <w:rPr>
                <w:rFonts w:eastAsia="Calibri"/>
                <w:sz w:val="20"/>
                <w:lang w:val="fr-CA"/>
              </w:rPr>
              <w:t>(Juge Deshaye)</w:t>
            </w:r>
          </w:p>
          <w:p w:rsidR="00EC6EE6" w:rsidRPr="008057D9" w:rsidRDefault="00EC6EE6" w:rsidP="00574799">
            <w:pPr>
              <w:jc w:val="both"/>
              <w:rPr>
                <w:rFonts w:eastAsia="Calibri"/>
                <w:sz w:val="20"/>
                <w:lang w:val="fr-CA"/>
              </w:rPr>
            </w:pPr>
          </w:p>
        </w:tc>
        <w:tc>
          <w:tcPr>
            <w:tcW w:w="243" w:type="pct"/>
          </w:tcPr>
          <w:p w:rsidR="00EC6EE6" w:rsidRPr="008057D9" w:rsidRDefault="00EC6EE6" w:rsidP="00574799">
            <w:pPr>
              <w:jc w:val="both"/>
              <w:rPr>
                <w:rFonts w:eastAsia="Calibri"/>
                <w:sz w:val="20"/>
                <w:lang w:val="fr-CA"/>
              </w:rPr>
            </w:pPr>
          </w:p>
        </w:tc>
        <w:tc>
          <w:tcPr>
            <w:tcW w:w="2330" w:type="pct"/>
          </w:tcPr>
          <w:p w:rsidR="00EC6EE6" w:rsidRPr="008057D9" w:rsidRDefault="00EC6EE6" w:rsidP="00574799">
            <w:pPr>
              <w:jc w:val="both"/>
              <w:rPr>
                <w:rFonts w:eastAsia="Calibri"/>
                <w:sz w:val="20"/>
                <w:lang w:val="fr-CA"/>
              </w:rPr>
            </w:pPr>
            <w:r w:rsidRPr="008057D9">
              <w:rPr>
                <w:rFonts w:eastAsia="Calibri"/>
                <w:sz w:val="20"/>
                <w:lang w:val="fr-CA"/>
              </w:rPr>
              <w:t>Déclaration de délinquant dangereux prononcée à l’égard du demandeur après que celui-ci a été déclaré coupable d’agression armée et condamnation à une peine de détention d’une durée indéterminée.</w:t>
            </w:r>
          </w:p>
          <w:p w:rsidR="00EC6EE6" w:rsidRPr="008057D9" w:rsidRDefault="00EC6EE6" w:rsidP="00574799">
            <w:pPr>
              <w:jc w:val="both"/>
              <w:rPr>
                <w:rFonts w:eastAsia="Calibri"/>
                <w:sz w:val="20"/>
                <w:lang w:val="fr-CA"/>
              </w:rPr>
            </w:pPr>
          </w:p>
        </w:tc>
      </w:tr>
      <w:tr w:rsidR="00EC6EE6" w:rsidRPr="008057D9" w:rsidTr="00574799">
        <w:tc>
          <w:tcPr>
            <w:tcW w:w="2427" w:type="pct"/>
          </w:tcPr>
          <w:p w:rsidR="00EC6EE6" w:rsidRPr="008057D9" w:rsidRDefault="00EC6EE6" w:rsidP="00574799">
            <w:pPr>
              <w:jc w:val="both"/>
              <w:rPr>
                <w:rFonts w:eastAsia="Calibri"/>
                <w:sz w:val="20"/>
                <w:lang w:val="fr-CA"/>
              </w:rPr>
            </w:pPr>
            <w:r w:rsidRPr="008057D9">
              <w:rPr>
                <w:rFonts w:eastAsia="Calibri"/>
                <w:sz w:val="20"/>
                <w:lang w:val="fr-CA"/>
              </w:rPr>
              <w:t>23 septembre 2014</w:t>
            </w:r>
          </w:p>
          <w:p w:rsidR="00EC6EE6" w:rsidRPr="008057D9" w:rsidRDefault="00EC6EE6" w:rsidP="00574799">
            <w:pPr>
              <w:jc w:val="both"/>
              <w:rPr>
                <w:rFonts w:eastAsia="Calibri"/>
                <w:sz w:val="20"/>
                <w:lang w:val="fr-CA"/>
              </w:rPr>
            </w:pPr>
            <w:r w:rsidRPr="008057D9">
              <w:rPr>
                <w:rFonts w:eastAsia="Calibri"/>
                <w:sz w:val="20"/>
                <w:lang w:val="fr-CA"/>
              </w:rPr>
              <w:t>Cour d’appel de la Saskatchewan</w:t>
            </w:r>
          </w:p>
          <w:p w:rsidR="00EC6EE6" w:rsidRPr="008057D9" w:rsidRDefault="00EC6EE6" w:rsidP="00574799">
            <w:pPr>
              <w:jc w:val="both"/>
              <w:rPr>
                <w:rFonts w:eastAsia="Calibri"/>
                <w:sz w:val="20"/>
                <w:lang w:val="fr-CA"/>
              </w:rPr>
            </w:pPr>
            <w:r w:rsidRPr="008057D9">
              <w:rPr>
                <w:rFonts w:eastAsia="Calibri"/>
                <w:sz w:val="20"/>
                <w:lang w:val="fr-CA"/>
              </w:rPr>
              <w:t>(Juge en chef Richards, juges Herauf et Ryan-Froslie)</w:t>
            </w:r>
          </w:p>
          <w:p w:rsidR="00EC6EE6" w:rsidRPr="008057D9" w:rsidRDefault="00173D9D" w:rsidP="00574799">
            <w:pPr>
              <w:jc w:val="both"/>
              <w:rPr>
                <w:rFonts w:eastAsia="Calibri"/>
                <w:sz w:val="20"/>
                <w:lang w:val="fr-CA"/>
              </w:rPr>
            </w:pPr>
            <w:hyperlink r:id="rId62" w:history="1">
              <w:r w:rsidR="00EC6EE6" w:rsidRPr="008057D9">
                <w:rPr>
                  <w:rFonts w:eastAsia="Calibri"/>
                  <w:color w:val="0000FF"/>
                  <w:sz w:val="20"/>
                  <w:u w:val="single"/>
                  <w:lang w:val="fr-CA"/>
                </w:rPr>
                <w:t>2014 SKCA 97</w:t>
              </w:r>
            </w:hyperlink>
          </w:p>
          <w:p w:rsidR="00EC6EE6" w:rsidRPr="008057D9" w:rsidRDefault="00EC6EE6" w:rsidP="00574799">
            <w:pPr>
              <w:jc w:val="both"/>
              <w:rPr>
                <w:rFonts w:eastAsia="Calibri"/>
                <w:sz w:val="20"/>
                <w:lang w:val="fr-CA"/>
              </w:rPr>
            </w:pPr>
          </w:p>
        </w:tc>
        <w:tc>
          <w:tcPr>
            <w:tcW w:w="243" w:type="pct"/>
          </w:tcPr>
          <w:p w:rsidR="00EC6EE6" w:rsidRPr="008057D9" w:rsidRDefault="00EC6EE6" w:rsidP="00574799">
            <w:pPr>
              <w:jc w:val="both"/>
              <w:rPr>
                <w:rFonts w:eastAsia="Calibri"/>
                <w:sz w:val="20"/>
                <w:lang w:val="fr-CA"/>
              </w:rPr>
            </w:pPr>
          </w:p>
        </w:tc>
        <w:tc>
          <w:tcPr>
            <w:tcW w:w="2330" w:type="pct"/>
          </w:tcPr>
          <w:p w:rsidR="00EC6EE6" w:rsidRPr="008057D9" w:rsidRDefault="00EC6EE6" w:rsidP="00574799">
            <w:pPr>
              <w:jc w:val="both"/>
              <w:rPr>
                <w:rFonts w:eastAsia="Calibri"/>
                <w:sz w:val="20"/>
                <w:lang w:val="fr-CA"/>
              </w:rPr>
            </w:pPr>
            <w:r w:rsidRPr="008057D9">
              <w:rPr>
                <w:rFonts w:eastAsia="Calibri"/>
                <w:sz w:val="20"/>
                <w:lang w:val="fr-CA"/>
              </w:rPr>
              <w:t>Rejet de l’appel.</w:t>
            </w:r>
          </w:p>
          <w:p w:rsidR="00EC6EE6" w:rsidRPr="008057D9" w:rsidRDefault="00EC6EE6" w:rsidP="00574799">
            <w:pPr>
              <w:jc w:val="both"/>
              <w:rPr>
                <w:rFonts w:eastAsia="Calibri"/>
                <w:sz w:val="20"/>
                <w:lang w:val="fr-CA"/>
              </w:rPr>
            </w:pPr>
          </w:p>
        </w:tc>
      </w:tr>
      <w:tr w:rsidR="00EC6EE6" w:rsidRPr="00EC49A7" w:rsidTr="00574799">
        <w:tc>
          <w:tcPr>
            <w:tcW w:w="2427" w:type="pct"/>
          </w:tcPr>
          <w:p w:rsidR="00EC6EE6" w:rsidRPr="008057D9" w:rsidRDefault="00EC6EE6" w:rsidP="00574799">
            <w:pPr>
              <w:jc w:val="both"/>
              <w:rPr>
                <w:rFonts w:eastAsia="Calibri"/>
                <w:sz w:val="20"/>
                <w:lang w:val="fr-CA"/>
              </w:rPr>
            </w:pPr>
            <w:r w:rsidRPr="008057D9">
              <w:rPr>
                <w:rFonts w:eastAsia="Calibri"/>
                <w:sz w:val="20"/>
                <w:lang w:val="fr-CA"/>
              </w:rPr>
              <w:t>20 novembre 2014</w:t>
            </w:r>
          </w:p>
          <w:p w:rsidR="00EC6EE6" w:rsidRPr="008057D9" w:rsidRDefault="00EC6EE6" w:rsidP="00574799">
            <w:pPr>
              <w:jc w:val="both"/>
              <w:rPr>
                <w:rFonts w:eastAsia="Calibri"/>
                <w:sz w:val="20"/>
                <w:lang w:val="fr-CA"/>
              </w:rPr>
            </w:pPr>
            <w:r w:rsidRPr="008057D9">
              <w:rPr>
                <w:rFonts w:eastAsia="Calibri"/>
                <w:sz w:val="20"/>
                <w:lang w:val="fr-CA"/>
              </w:rPr>
              <w:t>Cour suprême du Canada</w:t>
            </w:r>
          </w:p>
        </w:tc>
        <w:tc>
          <w:tcPr>
            <w:tcW w:w="243" w:type="pct"/>
          </w:tcPr>
          <w:p w:rsidR="00EC6EE6" w:rsidRPr="008057D9" w:rsidRDefault="00EC6EE6" w:rsidP="00574799">
            <w:pPr>
              <w:jc w:val="both"/>
              <w:rPr>
                <w:rFonts w:eastAsia="Calibri"/>
                <w:sz w:val="20"/>
                <w:lang w:val="fr-CA"/>
              </w:rPr>
            </w:pPr>
          </w:p>
        </w:tc>
        <w:tc>
          <w:tcPr>
            <w:tcW w:w="2330" w:type="pct"/>
          </w:tcPr>
          <w:p w:rsidR="00EC6EE6" w:rsidRPr="008057D9" w:rsidRDefault="00EC6EE6" w:rsidP="00574799">
            <w:pPr>
              <w:jc w:val="both"/>
              <w:rPr>
                <w:rFonts w:eastAsia="Calibri"/>
                <w:sz w:val="20"/>
                <w:lang w:val="fr-CA"/>
              </w:rPr>
            </w:pPr>
            <w:r w:rsidRPr="008057D9">
              <w:rPr>
                <w:rFonts w:eastAsia="Calibri"/>
                <w:sz w:val="20"/>
                <w:lang w:val="fr-CA"/>
              </w:rPr>
              <w:t>Dépôt de la demande d’autorisation d’appel.</w:t>
            </w:r>
          </w:p>
          <w:p w:rsidR="00EC6EE6" w:rsidRPr="008057D9" w:rsidRDefault="00EC6EE6" w:rsidP="00574799">
            <w:pPr>
              <w:jc w:val="both"/>
              <w:rPr>
                <w:rFonts w:eastAsia="Calibri"/>
                <w:sz w:val="20"/>
                <w:lang w:val="fr-CA"/>
              </w:rPr>
            </w:pPr>
          </w:p>
        </w:tc>
      </w:tr>
    </w:tbl>
    <w:p w:rsidR="004D32B1" w:rsidRPr="00EC6EE6"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55" style="width:2in;height:1pt" o:hrpct="0" o:hralign="center" o:hrstd="t" o:hrnoshade="t" o:hr="t" fillcolor="black [3213]" stroked="f"/>
        </w:pict>
      </w:r>
    </w:p>
    <w:p w:rsidR="004D32B1" w:rsidRDefault="004D32B1" w:rsidP="004D32B1">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141" w:rsidRPr="00834141" w:rsidTr="00457EB1">
        <w:trPr>
          <w:cantSplit/>
        </w:trPr>
        <w:tc>
          <w:tcPr>
            <w:tcW w:w="1458" w:type="dxa"/>
          </w:tcPr>
          <w:p w:rsidR="00834141" w:rsidRPr="00834141" w:rsidRDefault="00834141" w:rsidP="00834141">
            <w:pPr>
              <w:rPr>
                <w:sz w:val="20"/>
                <w:szCs w:val="20"/>
              </w:rPr>
            </w:pPr>
            <w:r w:rsidRPr="00834141">
              <w:rPr>
                <w:b/>
                <w:sz w:val="20"/>
                <w:lang w:val="fr-CA"/>
              </w:rPr>
              <w:t>36189</w:t>
            </w:r>
          </w:p>
          <w:p w:rsidR="00834141" w:rsidRPr="00834141" w:rsidRDefault="00834141" w:rsidP="00834141">
            <w:pPr>
              <w:rPr>
                <w:b/>
                <w:sz w:val="20"/>
                <w:szCs w:val="20"/>
                <w:lang w:val="fr-CA"/>
              </w:rPr>
            </w:pPr>
          </w:p>
        </w:tc>
        <w:tc>
          <w:tcPr>
            <w:tcW w:w="8118" w:type="dxa"/>
          </w:tcPr>
          <w:p w:rsidR="00834141" w:rsidRPr="00834141" w:rsidRDefault="00834141" w:rsidP="00834141">
            <w:pPr>
              <w:rPr>
                <w:sz w:val="20"/>
                <w:szCs w:val="20"/>
              </w:rPr>
            </w:pPr>
            <w:r w:rsidRPr="00834141">
              <w:rPr>
                <w:b/>
                <w:sz w:val="20"/>
                <w:u w:val="single"/>
              </w:rPr>
              <w:t>Svyatoslav Fedossenko v. Her Majesty the Queen</w:t>
            </w:r>
            <w:r w:rsidRPr="00834141">
              <w:rPr>
                <w:sz w:val="20"/>
                <w:szCs w:val="20"/>
              </w:rPr>
              <w:t xml:space="preserve"> (Alta.) (Criminal) (By Leave)</w:t>
            </w:r>
          </w:p>
          <w:p w:rsidR="00834141" w:rsidRPr="00834141" w:rsidRDefault="00834141" w:rsidP="00834141">
            <w:pPr>
              <w:rPr>
                <w:sz w:val="20"/>
                <w:szCs w:val="20"/>
              </w:rPr>
            </w:pPr>
          </w:p>
        </w:tc>
      </w:tr>
      <w:tr w:rsidR="00834141" w:rsidRPr="00834141" w:rsidTr="00457EB1">
        <w:trPr>
          <w:cantSplit/>
        </w:trPr>
        <w:tc>
          <w:tcPr>
            <w:tcW w:w="1458" w:type="dxa"/>
          </w:tcPr>
          <w:p w:rsidR="00834141" w:rsidRPr="00834141" w:rsidRDefault="00834141" w:rsidP="00834141">
            <w:pPr>
              <w:rPr>
                <w:sz w:val="20"/>
                <w:szCs w:val="20"/>
              </w:rPr>
            </w:pPr>
            <w:r w:rsidRPr="00834141">
              <w:rPr>
                <w:sz w:val="20"/>
                <w:szCs w:val="20"/>
              </w:rPr>
              <w:t>Coram :</w:t>
            </w:r>
          </w:p>
        </w:tc>
        <w:tc>
          <w:tcPr>
            <w:tcW w:w="8118" w:type="dxa"/>
          </w:tcPr>
          <w:p w:rsidR="00834141" w:rsidRPr="00834141" w:rsidRDefault="00834141" w:rsidP="00834141">
            <w:pPr>
              <w:rPr>
                <w:sz w:val="20"/>
                <w:szCs w:val="20"/>
              </w:rPr>
            </w:pPr>
            <w:r w:rsidRPr="00834141">
              <w:rPr>
                <w:sz w:val="20"/>
                <w:u w:val="single"/>
              </w:rPr>
              <w:t>McLachlin C.J. and Wagner and Gascon JJ.</w:t>
            </w:r>
          </w:p>
          <w:p w:rsidR="00834141" w:rsidRPr="00834141" w:rsidRDefault="00834141" w:rsidP="00834141">
            <w:pPr>
              <w:rPr>
                <w:sz w:val="20"/>
                <w:szCs w:val="20"/>
                <w:u w:val="single"/>
              </w:rPr>
            </w:pPr>
          </w:p>
        </w:tc>
      </w:tr>
      <w:tr w:rsidR="00834141" w:rsidRPr="00EC49A7" w:rsidTr="00457EB1">
        <w:trPr>
          <w:cantSplit/>
        </w:trPr>
        <w:tc>
          <w:tcPr>
            <w:tcW w:w="9576" w:type="dxa"/>
            <w:gridSpan w:val="2"/>
          </w:tcPr>
          <w:p w:rsidR="00834141" w:rsidRPr="00834141" w:rsidRDefault="00834141" w:rsidP="00834141">
            <w:pPr>
              <w:ind w:firstLine="720"/>
              <w:jc w:val="both"/>
              <w:rPr>
                <w:sz w:val="20"/>
                <w:szCs w:val="20"/>
              </w:rPr>
            </w:pPr>
            <w:r w:rsidRPr="00834141">
              <w:rPr>
                <w:sz w:val="20"/>
                <w:szCs w:val="20"/>
              </w:rPr>
              <w:lastRenderedPageBreak/>
              <w:t>The application for leave to appeal from the judgment of the Court of Appeal of Alberta (Edmonton), Number 1303-0012-A, 2014 ABCA 314, dated September 25, 2014, is dismissed.</w:t>
            </w:r>
          </w:p>
          <w:p w:rsidR="00834141" w:rsidRPr="00834141" w:rsidRDefault="00834141" w:rsidP="00834141">
            <w:pPr>
              <w:jc w:val="both"/>
              <w:rPr>
                <w:sz w:val="20"/>
                <w:szCs w:val="20"/>
              </w:rPr>
            </w:pPr>
          </w:p>
          <w:p w:rsidR="00834141" w:rsidRPr="00834141" w:rsidRDefault="00834141" w:rsidP="00834141">
            <w:pPr>
              <w:ind w:firstLine="720"/>
              <w:jc w:val="both"/>
              <w:rPr>
                <w:sz w:val="20"/>
                <w:szCs w:val="20"/>
                <w:lang w:val="fr-CA"/>
              </w:rPr>
            </w:pPr>
            <w:r w:rsidRPr="00834141">
              <w:rPr>
                <w:sz w:val="20"/>
                <w:szCs w:val="20"/>
                <w:lang w:val="fr-CA"/>
              </w:rPr>
              <w:t>La demande d’autorisation d’appel de l’arrêt de la Cour d’appel de l’Alberta (Edmonton), numéro 1303-0012-A, 2014 ABCA 314, daté du 25 septembre 2014, est rejetée.</w:t>
            </w:r>
          </w:p>
        </w:tc>
      </w:tr>
    </w:tbl>
    <w:p w:rsidR="004D32B1" w:rsidRPr="00834141"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256" w:rsidRPr="008057D9" w:rsidTr="00574799">
        <w:tc>
          <w:tcPr>
            <w:tcW w:w="5000" w:type="pct"/>
            <w:gridSpan w:val="3"/>
          </w:tcPr>
          <w:p w:rsidR="00EA2256" w:rsidRPr="008057D9" w:rsidRDefault="00EA2256" w:rsidP="00574799">
            <w:pPr>
              <w:jc w:val="both"/>
              <w:rPr>
                <w:rFonts w:eastAsia="Calibri"/>
                <w:sz w:val="20"/>
              </w:rPr>
            </w:pPr>
            <w:r w:rsidRPr="008057D9">
              <w:rPr>
                <w:rFonts w:eastAsia="Calibri"/>
                <w:i/>
                <w:sz w:val="20"/>
              </w:rPr>
              <w:t>Charter of Rights</w:t>
            </w:r>
            <w:r w:rsidRPr="008057D9">
              <w:rPr>
                <w:rFonts w:eastAsia="Calibri"/>
                <w:sz w:val="20"/>
              </w:rPr>
              <w:t xml:space="preserve"> – Search and seizure – Production order – Whether s. 487.012(3)(</w:t>
            </w:r>
            <w:r w:rsidRPr="008057D9">
              <w:rPr>
                <w:rFonts w:eastAsia="Calibri"/>
                <w:i/>
                <w:sz w:val="20"/>
              </w:rPr>
              <w:t>a</w:t>
            </w:r>
            <w:r w:rsidRPr="008057D9">
              <w:rPr>
                <w:rFonts w:eastAsia="Calibri"/>
                <w:sz w:val="20"/>
              </w:rPr>
              <w:t xml:space="preserve">) of the </w:t>
            </w:r>
            <w:r w:rsidRPr="008057D9">
              <w:rPr>
                <w:rFonts w:eastAsia="Calibri"/>
                <w:i/>
                <w:sz w:val="20"/>
              </w:rPr>
              <w:t>Criminal Code</w:t>
            </w:r>
            <w:r w:rsidRPr="008057D9">
              <w:rPr>
                <w:rFonts w:eastAsia="Calibri"/>
                <w:sz w:val="20"/>
              </w:rPr>
              <w:t xml:space="preserve"> requires reasonable and probable grounds to believe that an offence has been committed before a production order may be issued pursuant to s. 487.012, or does it require a reasonable suspicion that an offence has been committed (or some other, lower legal threshold) – If s. 487.012 requires something less than reasonable and probable grounds to believe that an offence has been committed in order for a production order to be issued, do the words “or is suspected to have been” in s. 487.012(3)(</w:t>
            </w:r>
            <w:r w:rsidRPr="008057D9">
              <w:rPr>
                <w:rFonts w:eastAsia="Calibri"/>
                <w:i/>
                <w:sz w:val="20"/>
              </w:rPr>
              <w:t>a</w:t>
            </w:r>
            <w:r w:rsidRPr="008057D9">
              <w:rPr>
                <w:rFonts w:eastAsia="Calibri"/>
                <w:sz w:val="20"/>
              </w:rPr>
              <w:t xml:space="preserve">) of the </w:t>
            </w:r>
            <w:r w:rsidRPr="008057D9">
              <w:rPr>
                <w:rFonts w:eastAsia="Calibri"/>
                <w:i/>
                <w:sz w:val="20"/>
              </w:rPr>
              <w:t>Criminal Code</w:t>
            </w:r>
            <w:r w:rsidRPr="008057D9">
              <w:rPr>
                <w:rFonts w:eastAsia="Calibri"/>
                <w:sz w:val="20"/>
              </w:rPr>
              <w:t xml:space="preserve"> violate s. 8 of the </w:t>
            </w:r>
            <w:r w:rsidRPr="008057D9">
              <w:rPr>
                <w:rFonts w:eastAsia="Calibri"/>
                <w:i/>
                <w:sz w:val="20"/>
              </w:rPr>
              <w:t>Canadian Charter of Rights and Freedoms</w:t>
            </w:r>
            <w:r w:rsidRPr="008057D9">
              <w:rPr>
                <w:rFonts w:eastAsia="Calibri"/>
                <w:sz w:val="20"/>
              </w:rPr>
              <w:t xml:space="preserve"> – If the words “or is suspected to have been” in s. 487.012(3)(</w:t>
            </w:r>
            <w:r w:rsidRPr="008057D9">
              <w:rPr>
                <w:rFonts w:eastAsia="Calibri"/>
                <w:i/>
                <w:sz w:val="20"/>
              </w:rPr>
              <w:t>a</w:t>
            </w:r>
            <w:r w:rsidRPr="008057D9">
              <w:rPr>
                <w:rFonts w:eastAsia="Calibri"/>
                <w:sz w:val="20"/>
              </w:rPr>
              <w:t xml:space="preserve">) of the </w:t>
            </w:r>
            <w:r w:rsidRPr="008057D9">
              <w:rPr>
                <w:rFonts w:eastAsia="Calibri"/>
                <w:i/>
                <w:sz w:val="20"/>
              </w:rPr>
              <w:t>Criminal Code</w:t>
            </w:r>
            <w:r w:rsidRPr="008057D9">
              <w:rPr>
                <w:rFonts w:eastAsia="Calibri"/>
                <w:sz w:val="20"/>
              </w:rPr>
              <w:t xml:space="preserve"> violate s. 8 of the </w:t>
            </w:r>
            <w:r w:rsidRPr="008057D9">
              <w:rPr>
                <w:rFonts w:eastAsia="Calibri"/>
                <w:i/>
                <w:sz w:val="20"/>
              </w:rPr>
              <w:t>Canadian Charter of Rights and Freedoms</w:t>
            </w:r>
            <w:r w:rsidRPr="008057D9">
              <w:rPr>
                <w:rFonts w:eastAsia="Calibri"/>
                <w:sz w:val="20"/>
              </w:rPr>
              <w:t xml:space="preserve">, can this violation be saved by s. 1 – </w:t>
            </w:r>
            <w:r w:rsidRPr="008057D9">
              <w:rPr>
                <w:rFonts w:eastAsia="Calibri"/>
                <w:i/>
                <w:sz w:val="20"/>
              </w:rPr>
              <w:t>Criminal Code</w:t>
            </w:r>
            <w:r w:rsidRPr="008057D9">
              <w:rPr>
                <w:rFonts w:eastAsia="Calibri"/>
                <w:sz w:val="20"/>
              </w:rPr>
              <w:t>, R.S.C. 1985, c. C-46, s. 487.012(3)(</w:t>
            </w:r>
            <w:r w:rsidRPr="008057D9">
              <w:rPr>
                <w:rFonts w:eastAsia="Calibri"/>
                <w:i/>
                <w:sz w:val="20"/>
              </w:rPr>
              <w:t>a</w:t>
            </w:r>
            <w:r w:rsidRPr="008057D9">
              <w:rPr>
                <w:rFonts w:eastAsia="Calibri"/>
                <w:sz w:val="20"/>
              </w:rPr>
              <w:t>).</w:t>
            </w:r>
          </w:p>
        </w:tc>
      </w:tr>
      <w:tr w:rsidR="00EA2256" w:rsidRPr="008057D9" w:rsidTr="00574799">
        <w:tc>
          <w:tcPr>
            <w:tcW w:w="5000" w:type="pct"/>
            <w:gridSpan w:val="3"/>
          </w:tcPr>
          <w:p w:rsidR="00EA2256" w:rsidRPr="008057D9" w:rsidRDefault="00EA2256" w:rsidP="00574799">
            <w:pPr>
              <w:jc w:val="both"/>
              <w:rPr>
                <w:rFonts w:eastAsia="Calibri"/>
                <w:sz w:val="20"/>
              </w:rPr>
            </w:pPr>
          </w:p>
        </w:tc>
      </w:tr>
      <w:tr w:rsidR="00EA2256" w:rsidRPr="008057D9" w:rsidTr="00574799">
        <w:tc>
          <w:tcPr>
            <w:tcW w:w="5000" w:type="pct"/>
            <w:gridSpan w:val="3"/>
          </w:tcPr>
          <w:p w:rsidR="00EA2256" w:rsidRPr="008057D9" w:rsidRDefault="00EA2256" w:rsidP="00574799">
            <w:pPr>
              <w:jc w:val="both"/>
              <w:rPr>
                <w:rFonts w:eastAsia="Calibri"/>
                <w:sz w:val="20"/>
              </w:rPr>
            </w:pPr>
            <w:r w:rsidRPr="008057D9">
              <w:rPr>
                <w:rFonts w:eastAsia="Calibri"/>
                <w:sz w:val="20"/>
              </w:rPr>
              <w:t>Mr. Fedossenko was acquitted of unlawfully operating a motor vehicle while impaired by alcohol, contrary to s. 253(1)(</w:t>
            </w:r>
            <w:r w:rsidRPr="008057D9">
              <w:rPr>
                <w:rFonts w:eastAsia="Calibri"/>
                <w:i/>
                <w:sz w:val="20"/>
              </w:rPr>
              <w:t>a</w:t>
            </w:r>
            <w:r w:rsidRPr="008057D9">
              <w:rPr>
                <w:rFonts w:eastAsia="Calibri"/>
                <w:sz w:val="20"/>
              </w:rPr>
              <w:t xml:space="preserve">) of the </w:t>
            </w:r>
            <w:r w:rsidRPr="008057D9">
              <w:rPr>
                <w:rFonts w:eastAsia="Calibri"/>
                <w:i/>
                <w:sz w:val="20"/>
              </w:rPr>
              <w:t>Criminal Code</w:t>
            </w:r>
            <w:r w:rsidRPr="008057D9">
              <w:rPr>
                <w:rFonts w:eastAsia="Calibri"/>
                <w:sz w:val="20"/>
              </w:rPr>
              <w:t xml:space="preserve"> and operating a motor vehicle with a blood alcohol level exceeding 80 milligrams of alcohol in 100 millilitres of blood contrary to s. 253(1)(</w:t>
            </w:r>
            <w:r w:rsidRPr="008057D9">
              <w:rPr>
                <w:rFonts w:eastAsia="Calibri"/>
                <w:i/>
                <w:sz w:val="20"/>
              </w:rPr>
              <w:t>b</w:t>
            </w:r>
            <w:r w:rsidRPr="008057D9">
              <w:rPr>
                <w:rFonts w:eastAsia="Calibri"/>
                <w:sz w:val="20"/>
              </w:rPr>
              <w:t>).  The Crown appealed the acquittal.  The Crown alleged that the trial judge erred in law in her interpretation of the standard required by s. 487.012(3) for a valid production order.  It was argued that the trial judge erred in, first, interpreting a statute outside its plain and ordinary meaning, and second, essentially providing the constitutional remedy of “reading down” in the absence of the challenge to the constitutionality of the legislation.  The summary conviction court dismissed the appeal, however on further appeal to the Court of Appeal, the majority of the court allowed the appeal and ordered a new trial.</w:t>
            </w:r>
          </w:p>
          <w:p w:rsidR="00EA2256" w:rsidRPr="008057D9" w:rsidRDefault="00EA2256" w:rsidP="00574799">
            <w:pPr>
              <w:jc w:val="both"/>
              <w:rPr>
                <w:rFonts w:eastAsia="Calibri"/>
                <w:sz w:val="20"/>
              </w:rPr>
            </w:pPr>
          </w:p>
        </w:tc>
      </w:tr>
      <w:tr w:rsidR="00EA2256" w:rsidRPr="008057D9" w:rsidTr="00574799">
        <w:tc>
          <w:tcPr>
            <w:tcW w:w="2427" w:type="pct"/>
          </w:tcPr>
          <w:p w:rsidR="00EA2256" w:rsidRPr="008057D9" w:rsidRDefault="00EA2256" w:rsidP="00574799">
            <w:pPr>
              <w:jc w:val="both"/>
              <w:rPr>
                <w:rFonts w:eastAsia="Calibri"/>
                <w:sz w:val="20"/>
              </w:rPr>
            </w:pPr>
            <w:r w:rsidRPr="008057D9">
              <w:rPr>
                <w:rFonts w:eastAsia="Calibri"/>
                <w:sz w:val="20"/>
              </w:rPr>
              <w:t>June 22, 2012</w:t>
            </w:r>
          </w:p>
          <w:p w:rsidR="00EA2256" w:rsidRPr="008057D9" w:rsidRDefault="00EA2256" w:rsidP="00574799">
            <w:pPr>
              <w:jc w:val="both"/>
              <w:rPr>
                <w:rFonts w:eastAsia="Calibri"/>
                <w:sz w:val="20"/>
              </w:rPr>
            </w:pPr>
            <w:r w:rsidRPr="008057D9">
              <w:rPr>
                <w:rFonts w:eastAsia="Calibri"/>
                <w:sz w:val="20"/>
              </w:rPr>
              <w:t>Provincial Court of Alberta</w:t>
            </w:r>
          </w:p>
          <w:p w:rsidR="00EA2256" w:rsidRPr="008057D9" w:rsidRDefault="00EA2256" w:rsidP="00574799">
            <w:pPr>
              <w:jc w:val="both"/>
              <w:rPr>
                <w:rFonts w:eastAsia="Calibri"/>
                <w:sz w:val="20"/>
              </w:rPr>
            </w:pPr>
            <w:r w:rsidRPr="008057D9">
              <w:rPr>
                <w:rFonts w:eastAsia="Calibri"/>
                <w:sz w:val="20"/>
              </w:rPr>
              <w:t>(Groves P.C.J.)</w:t>
            </w:r>
          </w:p>
          <w:p w:rsidR="00EA2256" w:rsidRPr="008057D9" w:rsidRDefault="00EA2256" w:rsidP="00574799">
            <w:pPr>
              <w:jc w:val="both"/>
              <w:rPr>
                <w:rFonts w:eastAsia="Calibri"/>
                <w:sz w:val="20"/>
              </w:rPr>
            </w:pPr>
          </w:p>
        </w:tc>
        <w:tc>
          <w:tcPr>
            <w:tcW w:w="243" w:type="pct"/>
          </w:tcPr>
          <w:p w:rsidR="00EA2256" w:rsidRPr="008057D9" w:rsidRDefault="00EA2256" w:rsidP="00574799">
            <w:pPr>
              <w:jc w:val="both"/>
              <w:rPr>
                <w:rFonts w:eastAsia="Calibri"/>
                <w:sz w:val="20"/>
              </w:rPr>
            </w:pPr>
          </w:p>
        </w:tc>
        <w:tc>
          <w:tcPr>
            <w:tcW w:w="2330" w:type="pct"/>
          </w:tcPr>
          <w:p w:rsidR="00EA2256" w:rsidRPr="008057D9" w:rsidRDefault="00EA2256" w:rsidP="00574799">
            <w:pPr>
              <w:jc w:val="both"/>
              <w:rPr>
                <w:rFonts w:eastAsia="Calibri"/>
                <w:sz w:val="20"/>
              </w:rPr>
            </w:pPr>
            <w:r w:rsidRPr="008057D9">
              <w:rPr>
                <w:rFonts w:eastAsia="Calibri"/>
                <w:sz w:val="20"/>
              </w:rPr>
              <w:t>Evidence excluded; charges dismissed</w:t>
            </w:r>
          </w:p>
        </w:tc>
      </w:tr>
      <w:tr w:rsidR="00EA2256" w:rsidRPr="008057D9" w:rsidTr="00574799">
        <w:tc>
          <w:tcPr>
            <w:tcW w:w="2427" w:type="pct"/>
          </w:tcPr>
          <w:p w:rsidR="00EA2256" w:rsidRPr="008057D9" w:rsidRDefault="00EA2256" w:rsidP="00574799">
            <w:pPr>
              <w:jc w:val="both"/>
              <w:rPr>
                <w:rFonts w:eastAsia="Calibri"/>
                <w:sz w:val="20"/>
              </w:rPr>
            </w:pPr>
            <w:r w:rsidRPr="008057D9">
              <w:rPr>
                <w:rFonts w:eastAsia="Calibri"/>
                <w:sz w:val="20"/>
              </w:rPr>
              <w:t>December 20, 2012</w:t>
            </w:r>
          </w:p>
          <w:p w:rsidR="00EA2256" w:rsidRPr="008057D9" w:rsidRDefault="00EA2256" w:rsidP="00574799">
            <w:pPr>
              <w:jc w:val="both"/>
              <w:rPr>
                <w:rFonts w:eastAsia="Calibri"/>
                <w:sz w:val="20"/>
              </w:rPr>
            </w:pPr>
            <w:r w:rsidRPr="008057D9">
              <w:rPr>
                <w:rFonts w:eastAsia="Calibri"/>
                <w:sz w:val="20"/>
              </w:rPr>
              <w:t>Court of Queen’s Bench of Alberta</w:t>
            </w:r>
          </w:p>
          <w:p w:rsidR="00EA2256" w:rsidRPr="008057D9" w:rsidRDefault="00EA2256" w:rsidP="00574799">
            <w:pPr>
              <w:jc w:val="both"/>
              <w:rPr>
                <w:rFonts w:eastAsia="Calibri"/>
                <w:sz w:val="20"/>
              </w:rPr>
            </w:pPr>
            <w:r w:rsidRPr="008057D9">
              <w:rPr>
                <w:rFonts w:eastAsia="Calibri"/>
                <w:sz w:val="20"/>
              </w:rPr>
              <w:t>(Sisson J.)</w:t>
            </w:r>
          </w:p>
          <w:p w:rsidR="00EA2256" w:rsidRPr="008057D9" w:rsidRDefault="00EA2256" w:rsidP="00574799">
            <w:pPr>
              <w:jc w:val="both"/>
              <w:rPr>
                <w:rFonts w:eastAsia="Calibri"/>
                <w:sz w:val="20"/>
              </w:rPr>
            </w:pPr>
          </w:p>
        </w:tc>
        <w:tc>
          <w:tcPr>
            <w:tcW w:w="243" w:type="pct"/>
          </w:tcPr>
          <w:p w:rsidR="00EA2256" w:rsidRPr="008057D9" w:rsidRDefault="00EA2256" w:rsidP="00574799">
            <w:pPr>
              <w:jc w:val="both"/>
              <w:rPr>
                <w:rFonts w:eastAsia="Calibri"/>
                <w:sz w:val="20"/>
              </w:rPr>
            </w:pPr>
          </w:p>
        </w:tc>
        <w:tc>
          <w:tcPr>
            <w:tcW w:w="2330" w:type="pct"/>
          </w:tcPr>
          <w:p w:rsidR="00EA2256" w:rsidRPr="008057D9" w:rsidRDefault="00EA2256" w:rsidP="00574799">
            <w:pPr>
              <w:jc w:val="both"/>
              <w:rPr>
                <w:rFonts w:eastAsia="Calibri"/>
                <w:sz w:val="20"/>
              </w:rPr>
            </w:pPr>
            <w:r w:rsidRPr="008057D9">
              <w:rPr>
                <w:rFonts w:eastAsia="Calibri"/>
                <w:sz w:val="20"/>
              </w:rPr>
              <w:t>Summary conviction appeal dismissed</w:t>
            </w:r>
          </w:p>
          <w:p w:rsidR="00EA2256" w:rsidRPr="008057D9" w:rsidRDefault="00EA2256" w:rsidP="00574799">
            <w:pPr>
              <w:jc w:val="both"/>
              <w:rPr>
                <w:rFonts w:eastAsia="Calibri"/>
                <w:sz w:val="20"/>
              </w:rPr>
            </w:pPr>
          </w:p>
        </w:tc>
      </w:tr>
      <w:tr w:rsidR="00EA2256" w:rsidRPr="008057D9" w:rsidTr="00574799">
        <w:tc>
          <w:tcPr>
            <w:tcW w:w="2427" w:type="pct"/>
          </w:tcPr>
          <w:p w:rsidR="00EA2256" w:rsidRPr="008057D9" w:rsidRDefault="00EA2256" w:rsidP="00574799">
            <w:pPr>
              <w:jc w:val="both"/>
              <w:rPr>
                <w:rFonts w:eastAsia="Calibri"/>
                <w:sz w:val="20"/>
              </w:rPr>
            </w:pPr>
            <w:r w:rsidRPr="008057D9">
              <w:rPr>
                <w:rFonts w:eastAsia="Calibri"/>
                <w:sz w:val="20"/>
              </w:rPr>
              <w:t>September 25, 2014</w:t>
            </w:r>
          </w:p>
          <w:p w:rsidR="00EA2256" w:rsidRPr="008057D9" w:rsidRDefault="00EA2256" w:rsidP="00574799">
            <w:pPr>
              <w:jc w:val="both"/>
              <w:rPr>
                <w:rFonts w:eastAsia="Calibri"/>
                <w:sz w:val="20"/>
              </w:rPr>
            </w:pPr>
            <w:r w:rsidRPr="008057D9">
              <w:rPr>
                <w:rFonts w:eastAsia="Calibri"/>
                <w:sz w:val="20"/>
              </w:rPr>
              <w:t>Court of Appeal of Alberta (Edmonton)</w:t>
            </w:r>
          </w:p>
          <w:p w:rsidR="00EA2256" w:rsidRPr="008057D9" w:rsidRDefault="00EA2256" w:rsidP="00574799">
            <w:pPr>
              <w:jc w:val="both"/>
              <w:rPr>
                <w:rFonts w:eastAsia="Calibri"/>
                <w:sz w:val="20"/>
              </w:rPr>
            </w:pPr>
            <w:r w:rsidRPr="008057D9">
              <w:rPr>
                <w:rFonts w:eastAsia="Calibri"/>
                <w:sz w:val="20"/>
              </w:rPr>
              <w:t>(Picard, Watson and O’Ferrall (dissenting) JJ.A.)</w:t>
            </w:r>
          </w:p>
          <w:p w:rsidR="00EA2256" w:rsidRPr="008057D9" w:rsidRDefault="00EA2256" w:rsidP="00574799">
            <w:pPr>
              <w:jc w:val="both"/>
              <w:rPr>
                <w:rFonts w:eastAsia="Calibri"/>
                <w:sz w:val="20"/>
              </w:rPr>
            </w:pPr>
            <w:r w:rsidRPr="008057D9">
              <w:rPr>
                <w:rFonts w:eastAsia="Calibri"/>
                <w:sz w:val="20"/>
              </w:rPr>
              <w:t>2014 ABCA 314; 1303-0012-A</w:t>
            </w:r>
          </w:p>
          <w:p w:rsidR="00EA2256" w:rsidRPr="008057D9" w:rsidRDefault="00173D9D" w:rsidP="00574799">
            <w:pPr>
              <w:jc w:val="both"/>
              <w:rPr>
                <w:rFonts w:eastAsia="Calibri"/>
                <w:sz w:val="20"/>
              </w:rPr>
            </w:pPr>
            <w:hyperlink r:id="rId63" w:history="1">
              <w:r w:rsidR="00EA2256" w:rsidRPr="008057D9">
                <w:rPr>
                  <w:rFonts w:eastAsia="Calibri"/>
                  <w:color w:val="0000FF"/>
                  <w:sz w:val="20"/>
                  <w:u w:val="single"/>
                </w:rPr>
                <w:t>http://canlii.ca/t/gdqg3</w:t>
              </w:r>
            </w:hyperlink>
          </w:p>
          <w:p w:rsidR="00EA2256" w:rsidRPr="008057D9" w:rsidRDefault="00EA2256" w:rsidP="00574799">
            <w:pPr>
              <w:jc w:val="both"/>
              <w:rPr>
                <w:rFonts w:eastAsia="Calibri"/>
                <w:sz w:val="20"/>
              </w:rPr>
            </w:pPr>
          </w:p>
        </w:tc>
        <w:tc>
          <w:tcPr>
            <w:tcW w:w="243" w:type="pct"/>
          </w:tcPr>
          <w:p w:rsidR="00EA2256" w:rsidRPr="008057D9" w:rsidRDefault="00EA2256" w:rsidP="00574799">
            <w:pPr>
              <w:jc w:val="both"/>
              <w:rPr>
                <w:rFonts w:eastAsia="Calibri"/>
                <w:sz w:val="20"/>
              </w:rPr>
            </w:pPr>
          </w:p>
        </w:tc>
        <w:tc>
          <w:tcPr>
            <w:tcW w:w="2330" w:type="pct"/>
          </w:tcPr>
          <w:p w:rsidR="00EA2256" w:rsidRPr="008057D9" w:rsidRDefault="00EA2256" w:rsidP="00574799">
            <w:pPr>
              <w:jc w:val="both"/>
              <w:rPr>
                <w:rFonts w:eastAsia="Calibri"/>
                <w:sz w:val="20"/>
              </w:rPr>
            </w:pPr>
            <w:r w:rsidRPr="008057D9">
              <w:rPr>
                <w:rFonts w:eastAsia="Calibri"/>
                <w:sz w:val="20"/>
              </w:rPr>
              <w:t>Appeal allowed; new trial ordered</w:t>
            </w:r>
          </w:p>
          <w:p w:rsidR="00EA2256" w:rsidRPr="008057D9" w:rsidRDefault="00EA2256" w:rsidP="00574799">
            <w:pPr>
              <w:jc w:val="both"/>
              <w:rPr>
                <w:rFonts w:eastAsia="Calibri"/>
                <w:sz w:val="20"/>
              </w:rPr>
            </w:pPr>
          </w:p>
        </w:tc>
      </w:tr>
      <w:tr w:rsidR="00EA2256" w:rsidRPr="008057D9" w:rsidTr="00574799">
        <w:tc>
          <w:tcPr>
            <w:tcW w:w="2427" w:type="pct"/>
          </w:tcPr>
          <w:p w:rsidR="00EA2256" w:rsidRPr="008057D9" w:rsidRDefault="00EA2256" w:rsidP="00574799">
            <w:pPr>
              <w:jc w:val="both"/>
              <w:rPr>
                <w:rFonts w:eastAsia="Calibri"/>
                <w:sz w:val="20"/>
              </w:rPr>
            </w:pPr>
            <w:r w:rsidRPr="008057D9">
              <w:rPr>
                <w:rFonts w:eastAsia="Calibri"/>
                <w:sz w:val="20"/>
              </w:rPr>
              <w:t>November 24, 2014</w:t>
            </w:r>
          </w:p>
          <w:p w:rsidR="00EA2256" w:rsidRPr="008057D9" w:rsidRDefault="00EA2256" w:rsidP="00574799">
            <w:pPr>
              <w:jc w:val="both"/>
              <w:rPr>
                <w:rFonts w:eastAsia="Calibri"/>
                <w:sz w:val="20"/>
              </w:rPr>
            </w:pPr>
            <w:r w:rsidRPr="008057D9">
              <w:rPr>
                <w:rFonts w:eastAsia="Calibri"/>
                <w:sz w:val="20"/>
              </w:rPr>
              <w:t>Supreme Court of Canada</w:t>
            </w:r>
          </w:p>
        </w:tc>
        <w:tc>
          <w:tcPr>
            <w:tcW w:w="243" w:type="pct"/>
          </w:tcPr>
          <w:p w:rsidR="00EA2256" w:rsidRPr="008057D9" w:rsidRDefault="00EA2256" w:rsidP="00574799">
            <w:pPr>
              <w:jc w:val="both"/>
              <w:rPr>
                <w:rFonts w:eastAsia="Calibri"/>
                <w:sz w:val="20"/>
              </w:rPr>
            </w:pPr>
          </w:p>
        </w:tc>
        <w:tc>
          <w:tcPr>
            <w:tcW w:w="2330" w:type="pct"/>
          </w:tcPr>
          <w:p w:rsidR="00EA2256" w:rsidRPr="008057D9" w:rsidRDefault="00EA2256" w:rsidP="00574799">
            <w:pPr>
              <w:jc w:val="both"/>
              <w:rPr>
                <w:rFonts w:eastAsia="Calibri"/>
                <w:sz w:val="20"/>
              </w:rPr>
            </w:pPr>
            <w:r w:rsidRPr="008057D9">
              <w:rPr>
                <w:rFonts w:eastAsia="Calibri"/>
                <w:sz w:val="20"/>
              </w:rPr>
              <w:t>Application for leave to appeal filed</w:t>
            </w:r>
          </w:p>
          <w:p w:rsidR="00EA2256" w:rsidRPr="008057D9" w:rsidRDefault="00EA2256" w:rsidP="00574799">
            <w:pPr>
              <w:jc w:val="both"/>
              <w:rPr>
                <w:rFonts w:eastAsia="Calibri"/>
                <w:sz w:val="20"/>
              </w:rPr>
            </w:pP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56"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256" w:rsidRPr="008057D9" w:rsidTr="00574799">
        <w:tc>
          <w:tcPr>
            <w:tcW w:w="5000" w:type="pct"/>
            <w:gridSpan w:val="3"/>
          </w:tcPr>
          <w:p w:rsidR="00EA2256" w:rsidRPr="008057D9" w:rsidRDefault="00EA2256" w:rsidP="00574799">
            <w:pPr>
              <w:jc w:val="both"/>
              <w:rPr>
                <w:rFonts w:eastAsia="Calibri"/>
                <w:sz w:val="20"/>
                <w:lang w:val="fr-CA"/>
              </w:rPr>
            </w:pPr>
            <w:r w:rsidRPr="008057D9">
              <w:rPr>
                <w:rFonts w:eastAsia="Calibri"/>
                <w:i/>
                <w:sz w:val="20"/>
                <w:lang w:val="fr-CA"/>
              </w:rPr>
              <w:t>Charte des droits</w:t>
            </w:r>
            <w:r w:rsidRPr="008057D9">
              <w:rPr>
                <w:rFonts w:eastAsia="Calibri"/>
                <w:sz w:val="20"/>
                <w:lang w:val="fr-CA"/>
              </w:rPr>
              <w:t xml:space="preserve"> – Fouilles, perquisitions et saisies – Ordonnance de communication – Aux termes de l’al. 487.012(3)</w:t>
            </w:r>
            <w:r w:rsidRPr="008057D9">
              <w:rPr>
                <w:rFonts w:eastAsia="Calibri"/>
                <w:i/>
                <w:sz w:val="20"/>
                <w:lang w:val="fr-CA"/>
              </w:rPr>
              <w:t>a)</w:t>
            </w:r>
            <w:r w:rsidRPr="008057D9">
              <w:rPr>
                <w:rFonts w:eastAsia="Calibri"/>
                <w:sz w:val="20"/>
                <w:lang w:val="fr-CA"/>
              </w:rPr>
              <w:t xml:space="preserve"> du </w:t>
            </w:r>
            <w:r w:rsidRPr="008057D9">
              <w:rPr>
                <w:rFonts w:eastAsia="Calibri"/>
                <w:i/>
                <w:sz w:val="20"/>
                <w:lang w:val="fr-CA"/>
              </w:rPr>
              <w:t>Code criminel</w:t>
            </w:r>
            <w:r w:rsidRPr="008057D9">
              <w:rPr>
                <w:rFonts w:eastAsia="Calibri"/>
                <w:sz w:val="20"/>
                <w:lang w:val="fr-CA"/>
              </w:rPr>
              <w:t xml:space="preserve">, faut-il des motifs raisonnables et probables de croire qu’une infraction a été commise avant qu’une ordonnance de communication puisse être rendue en application de l’art. 487.012, ou faut-il </w:t>
            </w:r>
            <w:r w:rsidRPr="008057D9">
              <w:rPr>
                <w:rFonts w:eastAsia="Calibri"/>
                <w:sz w:val="20"/>
                <w:lang w:val="fr-CA"/>
              </w:rPr>
              <w:lastRenderedPageBreak/>
              <w:t>plutôt un soupçon raisonnable qu’une infraction a été commise (ou tout autre critère juridique moins rigoureux)? – Si l’art. 487.012 prescrit un critère moins rigoureux que des motifs raisonnables et probables de croire qu’une infraction a été commise pour qu’une ordonnance de communication puisse être rendue, les mots « ou est présumée avoir été commise » à l’al. 487.012(3)</w:t>
            </w:r>
            <w:r w:rsidRPr="008057D9">
              <w:rPr>
                <w:rFonts w:eastAsia="Calibri"/>
                <w:i/>
                <w:sz w:val="20"/>
                <w:lang w:val="fr-CA"/>
              </w:rPr>
              <w:t>a</w:t>
            </w:r>
            <w:r w:rsidRPr="008057D9">
              <w:rPr>
                <w:rFonts w:eastAsia="Calibri"/>
                <w:sz w:val="20"/>
                <w:lang w:val="fr-CA"/>
              </w:rPr>
              <w:t xml:space="preserve">) du </w:t>
            </w:r>
            <w:r w:rsidRPr="008057D9">
              <w:rPr>
                <w:rFonts w:eastAsia="Calibri"/>
                <w:i/>
                <w:sz w:val="20"/>
                <w:lang w:val="fr-CA"/>
              </w:rPr>
              <w:t>Code criminel</w:t>
            </w:r>
            <w:r w:rsidRPr="008057D9">
              <w:rPr>
                <w:rFonts w:eastAsia="Calibri"/>
                <w:sz w:val="20"/>
                <w:lang w:val="fr-CA"/>
              </w:rPr>
              <w:t xml:space="preserve"> violent-ils l’art. 8 de la </w:t>
            </w:r>
            <w:r w:rsidRPr="008057D9">
              <w:rPr>
                <w:rFonts w:eastAsia="Calibri"/>
                <w:i/>
                <w:sz w:val="20"/>
                <w:lang w:val="fr-CA"/>
              </w:rPr>
              <w:t>Charte canadienne des droits et libertés</w:t>
            </w:r>
            <w:r w:rsidRPr="008057D9">
              <w:rPr>
                <w:rFonts w:eastAsia="Calibri"/>
                <w:sz w:val="20"/>
                <w:lang w:val="fr-CA"/>
              </w:rPr>
              <w:t>? – Si les mots « ou est présumée avoir été commise » à l’al. 487.012(3)</w:t>
            </w:r>
            <w:r w:rsidRPr="008057D9">
              <w:rPr>
                <w:rFonts w:eastAsia="Calibri"/>
                <w:i/>
                <w:sz w:val="20"/>
                <w:lang w:val="fr-CA"/>
              </w:rPr>
              <w:t>a</w:t>
            </w:r>
            <w:r w:rsidRPr="008057D9">
              <w:rPr>
                <w:rFonts w:eastAsia="Calibri"/>
                <w:sz w:val="20"/>
                <w:lang w:val="fr-CA"/>
              </w:rPr>
              <w:t xml:space="preserve">) du </w:t>
            </w:r>
            <w:r w:rsidRPr="008057D9">
              <w:rPr>
                <w:rFonts w:eastAsia="Calibri"/>
                <w:i/>
                <w:sz w:val="20"/>
                <w:lang w:val="fr-CA"/>
              </w:rPr>
              <w:t>Code criminel</w:t>
            </w:r>
            <w:r w:rsidRPr="008057D9">
              <w:rPr>
                <w:rFonts w:eastAsia="Calibri"/>
                <w:sz w:val="20"/>
                <w:lang w:val="fr-CA"/>
              </w:rPr>
              <w:t xml:space="preserve"> violent l’art. 8 de la </w:t>
            </w:r>
            <w:r w:rsidRPr="008057D9">
              <w:rPr>
                <w:rFonts w:eastAsia="Calibri"/>
                <w:i/>
                <w:sz w:val="20"/>
                <w:lang w:val="fr-CA"/>
              </w:rPr>
              <w:t>Charte canadienne des droits et libertés</w:t>
            </w:r>
            <w:r w:rsidRPr="008057D9">
              <w:rPr>
                <w:rFonts w:eastAsia="Calibri"/>
                <w:sz w:val="20"/>
                <w:lang w:val="fr-CA"/>
              </w:rPr>
              <w:t xml:space="preserve">, cette violation peut-elle se justifier au sens de l’article premier? – </w:t>
            </w:r>
            <w:r w:rsidRPr="008057D9">
              <w:rPr>
                <w:rFonts w:eastAsia="Calibri"/>
                <w:i/>
                <w:sz w:val="20"/>
                <w:lang w:val="fr-CA"/>
              </w:rPr>
              <w:t>Code criminel</w:t>
            </w:r>
            <w:r w:rsidRPr="008057D9">
              <w:rPr>
                <w:rFonts w:eastAsia="Calibri"/>
                <w:sz w:val="20"/>
                <w:lang w:val="fr-CA"/>
              </w:rPr>
              <w:t>, L.R.C. 1985, ch. C-46, al. 487.012(3)</w:t>
            </w:r>
            <w:r w:rsidRPr="008057D9">
              <w:rPr>
                <w:rFonts w:eastAsia="Calibri"/>
                <w:i/>
                <w:sz w:val="20"/>
                <w:lang w:val="fr-CA"/>
              </w:rPr>
              <w:t>a</w:t>
            </w:r>
            <w:r w:rsidRPr="008057D9">
              <w:rPr>
                <w:rFonts w:eastAsia="Calibri"/>
                <w:sz w:val="20"/>
                <w:lang w:val="fr-CA"/>
              </w:rPr>
              <w:t>).</w:t>
            </w:r>
          </w:p>
        </w:tc>
      </w:tr>
      <w:tr w:rsidR="00EA2256" w:rsidRPr="008057D9" w:rsidTr="00574799">
        <w:tc>
          <w:tcPr>
            <w:tcW w:w="5000" w:type="pct"/>
            <w:gridSpan w:val="3"/>
          </w:tcPr>
          <w:p w:rsidR="00EA2256" w:rsidRPr="008057D9" w:rsidRDefault="00EA2256" w:rsidP="00574799">
            <w:pPr>
              <w:jc w:val="both"/>
              <w:rPr>
                <w:rFonts w:eastAsia="Calibri"/>
                <w:sz w:val="20"/>
                <w:lang w:val="fr-CA"/>
              </w:rPr>
            </w:pPr>
          </w:p>
        </w:tc>
      </w:tr>
      <w:tr w:rsidR="00EA2256" w:rsidRPr="00EC49A7" w:rsidTr="00574799">
        <w:tc>
          <w:tcPr>
            <w:tcW w:w="5000" w:type="pct"/>
            <w:gridSpan w:val="3"/>
          </w:tcPr>
          <w:p w:rsidR="00EA2256" w:rsidRPr="008057D9" w:rsidRDefault="00EA2256" w:rsidP="00574799">
            <w:pPr>
              <w:jc w:val="both"/>
              <w:rPr>
                <w:rFonts w:eastAsia="Calibri"/>
                <w:sz w:val="20"/>
                <w:lang w:val="fr-CA"/>
              </w:rPr>
            </w:pPr>
            <w:r w:rsidRPr="008057D9">
              <w:rPr>
                <w:rFonts w:eastAsia="Calibri"/>
                <w:sz w:val="20"/>
                <w:lang w:val="fr-CA"/>
              </w:rPr>
              <w:t>Monsieur Fedossenko a été acquitté d’avoir illégalement conduit un véhicule automobile alors que sa capacité de conduire était affaiblie par l’alcool, contrairement à l’al. 253(1)</w:t>
            </w:r>
            <w:r w:rsidRPr="008057D9">
              <w:rPr>
                <w:rFonts w:eastAsia="Calibri"/>
                <w:i/>
                <w:sz w:val="20"/>
                <w:lang w:val="fr-CA"/>
              </w:rPr>
              <w:t>a</w:t>
            </w:r>
            <w:r w:rsidRPr="008057D9">
              <w:rPr>
                <w:rFonts w:eastAsia="Calibri"/>
                <w:sz w:val="20"/>
                <w:lang w:val="fr-CA"/>
              </w:rPr>
              <w:t xml:space="preserve">) du </w:t>
            </w:r>
            <w:r w:rsidRPr="008057D9">
              <w:rPr>
                <w:rFonts w:eastAsia="Calibri"/>
                <w:i/>
                <w:sz w:val="20"/>
                <w:lang w:val="fr-CA"/>
              </w:rPr>
              <w:t>Code criminel</w:t>
            </w:r>
            <w:r w:rsidRPr="008057D9">
              <w:rPr>
                <w:rFonts w:eastAsia="Calibri"/>
                <w:sz w:val="20"/>
                <w:lang w:val="fr-CA"/>
              </w:rPr>
              <w:t>, et d’avoir conduit un véhicule automobile alors que son alcoolémie dépassait 80 milligrammes d’alcool par 100 millilitres de sang, contrairement à l’al. 253(1)</w:t>
            </w:r>
            <w:r w:rsidRPr="008057D9">
              <w:rPr>
                <w:rFonts w:eastAsia="Calibri"/>
                <w:i/>
                <w:sz w:val="20"/>
                <w:lang w:val="fr-CA"/>
              </w:rPr>
              <w:t>b</w:t>
            </w:r>
            <w:r w:rsidRPr="008057D9">
              <w:rPr>
                <w:rFonts w:eastAsia="Calibri"/>
                <w:sz w:val="20"/>
                <w:lang w:val="fr-CA"/>
              </w:rPr>
              <w:t>).  Le ministère public a interjeté appel de l’acquittement.  Le ministère public a allégué que la juge du procès avait commis une erreur de droit dans son interprétation de la norme prescrite par le par. 487.012(3) relativement à une ordonnance de communication valide.  Le ministère public a fait valoir que la juge du procès avait eu tort, premièrement, en interprétant la loi en dehors de son sens clair et ordinaire et, deuxièmement, en appliquant essentiellement une réparation constitutionnelle, c’est-à-dire l’« interprétation atténuée », en l’absence de toute contestation de la constitutionnalité de la législation.  Le tribunal des poursuites sommaires a rejeté l’appel, mais en appel à la Cour d’appel, les juges majoritaires de la cour ont accueilli l’appel et ordonné un nouveau procès.</w:t>
            </w:r>
          </w:p>
          <w:p w:rsidR="00EA2256" w:rsidRPr="008057D9" w:rsidRDefault="00EA2256" w:rsidP="00574799">
            <w:pPr>
              <w:jc w:val="both"/>
              <w:rPr>
                <w:rFonts w:eastAsia="Calibri"/>
                <w:sz w:val="20"/>
                <w:lang w:val="fr-CA"/>
              </w:rPr>
            </w:pPr>
          </w:p>
        </w:tc>
      </w:tr>
      <w:tr w:rsidR="00EA2256" w:rsidRPr="00EC49A7"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22 juin 2012</w:t>
            </w:r>
          </w:p>
          <w:p w:rsidR="00EA2256" w:rsidRPr="008057D9" w:rsidRDefault="00EA2256" w:rsidP="00574799">
            <w:pPr>
              <w:jc w:val="both"/>
              <w:rPr>
                <w:rFonts w:eastAsia="Calibri"/>
                <w:sz w:val="20"/>
                <w:lang w:val="fr-CA"/>
              </w:rPr>
            </w:pPr>
            <w:r w:rsidRPr="008057D9">
              <w:rPr>
                <w:rFonts w:eastAsia="Calibri"/>
                <w:sz w:val="20"/>
                <w:lang w:val="fr-CA"/>
              </w:rPr>
              <w:t>Cour provinciale de l’Alberta</w:t>
            </w:r>
          </w:p>
          <w:p w:rsidR="00EA2256" w:rsidRPr="008057D9" w:rsidRDefault="00EA2256" w:rsidP="00574799">
            <w:pPr>
              <w:jc w:val="both"/>
              <w:rPr>
                <w:rFonts w:eastAsia="Calibri"/>
                <w:sz w:val="20"/>
                <w:lang w:val="fr-CA"/>
              </w:rPr>
            </w:pPr>
            <w:r w:rsidRPr="008057D9">
              <w:rPr>
                <w:rFonts w:eastAsia="Calibri"/>
                <w:sz w:val="20"/>
                <w:lang w:val="fr-CA"/>
              </w:rPr>
              <w:t>(Juge Groves)</w:t>
            </w:r>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Exclusion de la preuve; rejet des accusations</w:t>
            </w:r>
          </w:p>
        </w:tc>
      </w:tr>
      <w:tr w:rsidR="00EA2256" w:rsidRPr="00EC49A7"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20 décembre 2012</w:t>
            </w:r>
          </w:p>
          <w:p w:rsidR="00EA2256" w:rsidRPr="008057D9" w:rsidRDefault="00EA2256" w:rsidP="00574799">
            <w:pPr>
              <w:jc w:val="both"/>
              <w:rPr>
                <w:rFonts w:eastAsia="Calibri"/>
                <w:sz w:val="20"/>
                <w:lang w:val="fr-CA"/>
              </w:rPr>
            </w:pPr>
            <w:r w:rsidRPr="008057D9">
              <w:rPr>
                <w:rFonts w:eastAsia="Calibri"/>
                <w:sz w:val="20"/>
                <w:lang w:val="fr-CA"/>
              </w:rPr>
              <w:t>Cour du Banc de la Reine de l’Alberta</w:t>
            </w:r>
          </w:p>
          <w:p w:rsidR="00EA2256" w:rsidRPr="008057D9" w:rsidRDefault="00EA2256" w:rsidP="00574799">
            <w:pPr>
              <w:jc w:val="both"/>
              <w:rPr>
                <w:rFonts w:eastAsia="Calibri"/>
                <w:sz w:val="20"/>
                <w:lang w:val="fr-CA"/>
              </w:rPr>
            </w:pPr>
            <w:r w:rsidRPr="008057D9">
              <w:rPr>
                <w:rFonts w:eastAsia="Calibri"/>
                <w:sz w:val="20"/>
                <w:lang w:val="fr-CA"/>
              </w:rPr>
              <w:t>(Juge Sisson)</w:t>
            </w:r>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Rejet de l’appel en matière de poursuite sommaire</w:t>
            </w:r>
          </w:p>
          <w:p w:rsidR="00EA2256" w:rsidRPr="008057D9" w:rsidRDefault="00EA2256" w:rsidP="00574799">
            <w:pPr>
              <w:jc w:val="both"/>
              <w:rPr>
                <w:rFonts w:eastAsia="Calibri"/>
                <w:sz w:val="20"/>
                <w:lang w:val="fr-CA"/>
              </w:rPr>
            </w:pPr>
          </w:p>
        </w:tc>
      </w:tr>
      <w:tr w:rsidR="00EA2256" w:rsidRPr="00EC49A7"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25 septembre 2014</w:t>
            </w:r>
          </w:p>
          <w:p w:rsidR="00EA2256" w:rsidRPr="008057D9" w:rsidRDefault="00EA2256" w:rsidP="00574799">
            <w:pPr>
              <w:jc w:val="both"/>
              <w:rPr>
                <w:rFonts w:eastAsia="Calibri"/>
                <w:sz w:val="20"/>
                <w:lang w:val="fr-CA"/>
              </w:rPr>
            </w:pPr>
            <w:r w:rsidRPr="008057D9">
              <w:rPr>
                <w:rFonts w:eastAsia="Calibri"/>
                <w:sz w:val="20"/>
                <w:lang w:val="fr-CA"/>
              </w:rPr>
              <w:t>Cour d’appel de l’Alberta (Edmonton)</w:t>
            </w:r>
          </w:p>
          <w:p w:rsidR="00EA2256" w:rsidRPr="008057D9" w:rsidRDefault="00EA2256" w:rsidP="00574799">
            <w:pPr>
              <w:jc w:val="both"/>
              <w:rPr>
                <w:rFonts w:eastAsia="Calibri"/>
                <w:sz w:val="20"/>
                <w:lang w:val="fr-CA"/>
              </w:rPr>
            </w:pPr>
            <w:r w:rsidRPr="008057D9">
              <w:rPr>
                <w:rFonts w:eastAsia="Calibri"/>
                <w:sz w:val="20"/>
                <w:lang w:val="fr-CA"/>
              </w:rPr>
              <w:t>(Juges Picard, Watson et O’Ferrall (dissident))</w:t>
            </w:r>
          </w:p>
          <w:p w:rsidR="00EA2256" w:rsidRPr="008057D9" w:rsidRDefault="00EA2256" w:rsidP="00574799">
            <w:pPr>
              <w:jc w:val="both"/>
              <w:rPr>
                <w:rFonts w:eastAsia="Calibri"/>
                <w:sz w:val="20"/>
                <w:lang w:val="fr-CA"/>
              </w:rPr>
            </w:pPr>
            <w:r w:rsidRPr="008057D9">
              <w:rPr>
                <w:rFonts w:eastAsia="Calibri"/>
                <w:sz w:val="20"/>
                <w:lang w:val="fr-CA"/>
              </w:rPr>
              <w:t>2014 ABCA 314; 1303-0012-A</w:t>
            </w:r>
          </w:p>
          <w:p w:rsidR="00EA2256" w:rsidRPr="008057D9" w:rsidRDefault="00173D9D" w:rsidP="00574799">
            <w:pPr>
              <w:jc w:val="both"/>
              <w:rPr>
                <w:rFonts w:eastAsia="Calibri"/>
                <w:sz w:val="20"/>
                <w:lang w:val="fr-CA"/>
              </w:rPr>
            </w:pPr>
            <w:hyperlink r:id="rId64" w:history="1">
              <w:r w:rsidR="00EA2256" w:rsidRPr="008057D9">
                <w:rPr>
                  <w:rFonts w:eastAsia="Calibri"/>
                  <w:color w:val="0000FF"/>
                  <w:sz w:val="20"/>
                  <w:u w:val="single"/>
                  <w:lang w:val="fr-CA"/>
                </w:rPr>
                <w:t>http://canlii.ca/t/gdqg3</w:t>
              </w:r>
            </w:hyperlink>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Arrêt accueillant l’appel; ordonnance de nouveau procès</w:t>
            </w:r>
          </w:p>
          <w:p w:rsidR="00EA2256" w:rsidRPr="008057D9" w:rsidRDefault="00EA2256" w:rsidP="00574799">
            <w:pPr>
              <w:jc w:val="both"/>
              <w:rPr>
                <w:rFonts w:eastAsia="Calibri"/>
                <w:sz w:val="20"/>
                <w:lang w:val="fr-CA"/>
              </w:rPr>
            </w:pPr>
          </w:p>
        </w:tc>
      </w:tr>
      <w:tr w:rsidR="00EA2256" w:rsidRPr="00EC49A7"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24 novembre 2014</w:t>
            </w:r>
          </w:p>
          <w:p w:rsidR="00EA2256" w:rsidRPr="008057D9" w:rsidRDefault="00EA2256" w:rsidP="00574799">
            <w:pPr>
              <w:jc w:val="both"/>
              <w:rPr>
                <w:rFonts w:eastAsia="Calibri"/>
                <w:sz w:val="20"/>
                <w:lang w:val="fr-CA"/>
              </w:rPr>
            </w:pPr>
            <w:r w:rsidRPr="008057D9">
              <w:rPr>
                <w:rFonts w:eastAsia="Calibri"/>
                <w:sz w:val="20"/>
                <w:lang w:val="fr-CA"/>
              </w:rPr>
              <w:t>Cour suprême du Canada</w:t>
            </w: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Dépôt de la demande d’autorisation d’appel</w:t>
            </w:r>
          </w:p>
          <w:p w:rsidR="00EA2256" w:rsidRPr="008057D9" w:rsidRDefault="00EA2256" w:rsidP="00574799">
            <w:pPr>
              <w:jc w:val="both"/>
              <w:rPr>
                <w:rFonts w:eastAsia="Calibri"/>
                <w:sz w:val="20"/>
                <w:lang w:val="fr-CA"/>
              </w:rPr>
            </w:pPr>
          </w:p>
        </w:tc>
      </w:tr>
    </w:tbl>
    <w:p w:rsidR="004D32B1" w:rsidRPr="00EA2256"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57" style="width:2in;height:1pt" o:hrpct="0" o:hralign="center" o:hrstd="t" o:hrnoshade="t" o:hr="t" fillcolor="black [3213]" stroked="f"/>
        </w:pict>
      </w:r>
    </w:p>
    <w:p w:rsidR="004D32B1" w:rsidRDefault="004D32B1" w:rsidP="004D32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43219" w:rsidRPr="008B6B35" w:rsidTr="00574799">
        <w:trPr>
          <w:cantSplit/>
        </w:trPr>
        <w:tc>
          <w:tcPr>
            <w:tcW w:w="1458" w:type="dxa"/>
          </w:tcPr>
          <w:p w:rsidR="00443219" w:rsidRPr="008B6B35" w:rsidRDefault="00443219" w:rsidP="00574799">
            <w:pPr>
              <w:rPr>
                <w:sz w:val="20"/>
                <w:szCs w:val="20"/>
              </w:rPr>
            </w:pPr>
            <w:r w:rsidRPr="008B6B35">
              <w:rPr>
                <w:rStyle w:val="SCCFileNumberChar"/>
                <w:sz w:val="20"/>
                <w:szCs w:val="20"/>
              </w:rPr>
              <w:t>36200</w:t>
            </w:r>
          </w:p>
          <w:p w:rsidR="00443219" w:rsidRPr="008B6B35" w:rsidRDefault="00443219" w:rsidP="00574799">
            <w:pPr>
              <w:rPr>
                <w:b/>
                <w:sz w:val="20"/>
                <w:szCs w:val="20"/>
                <w:lang w:val="fr-CA"/>
              </w:rPr>
            </w:pPr>
          </w:p>
        </w:tc>
        <w:tc>
          <w:tcPr>
            <w:tcW w:w="8118" w:type="dxa"/>
          </w:tcPr>
          <w:p w:rsidR="00443219" w:rsidRPr="008B6B35" w:rsidRDefault="00443219" w:rsidP="00574799">
            <w:pPr>
              <w:rPr>
                <w:sz w:val="20"/>
                <w:szCs w:val="20"/>
              </w:rPr>
            </w:pPr>
            <w:r w:rsidRPr="008B6B35">
              <w:rPr>
                <w:rStyle w:val="SCCLsocChar"/>
                <w:sz w:val="20"/>
                <w:szCs w:val="20"/>
                <w:lang w:val="en-CA"/>
              </w:rPr>
              <w:t>K.R.J. v. Her Majesty the Queen</w:t>
            </w:r>
            <w:r w:rsidRPr="008B6B35">
              <w:rPr>
                <w:sz w:val="20"/>
                <w:szCs w:val="20"/>
              </w:rPr>
              <w:t xml:space="preserve"> (B.C.) (Criminal) (By Leave)</w:t>
            </w:r>
          </w:p>
          <w:p w:rsidR="00443219" w:rsidRPr="008B6B35" w:rsidRDefault="00443219" w:rsidP="00574799">
            <w:pPr>
              <w:rPr>
                <w:sz w:val="20"/>
                <w:szCs w:val="20"/>
              </w:rPr>
            </w:pPr>
          </w:p>
        </w:tc>
      </w:tr>
      <w:tr w:rsidR="00443219" w:rsidRPr="008B6B35" w:rsidTr="00574799">
        <w:trPr>
          <w:cantSplit/>
        </w:trPr>
        <w:tc>
          <w:tcPr>
            <w:tcW w:w="1458" w:type="dxa"/>
          </w:tcPr>
          <w:p w:rsidR="00443219" w:rsidRPr="008B6B35" w:rsidRDefault="00443219" w:rsidP="00574799">
            <w:pPr>
              <w:rPr>
                <w:sz w:val="20"/>
                <w:szCs w:val="20"/>
              </w:rPr>
            </w:pPr>
            <w:r w:rsidRPr="008B6B35">
              <w:rPr>
                <w:sz w:val="20"/>
                <w:szCs w:val="20"/>
              </w:rPr>
              <w:t>Coram :</w:t>
            </w:r>
          </w:p>
        </w:tc>
        <w:tc>
          <w:tcPr>
            <w:tcW w:w="8118" w:type="dxa"/>
          </w:tcPr>
          <w:p w:rsidR="00443219" w:rsidRPr="008B6B35" w:rsidRDefault="00443219" w:rsidP="00574799">
            <w:pPr>
              <w:rPr>
                <w:sz w:val="20"/>
                <w:szCs w:val="20"/>
              </w:rPr>
            </w:pPr>
            <w:r w:rsidRPr="008B6B35">
              <w:rPr>
                <w:rStyle w:val="SCCCoramChar"/>
                <w:sz w:val="20"/>
                <w:szCs w:val="20"/>
                <w:lang w:val="en-CA"/>
              </w:rPr>
              <w:t>Rothstein, Cromwell and Moldaver JJ.</w:t>
            </w:r>
          </w:p>
          <w:p w:rsidR="00443219" w:rsidRPr="008B6B35" w:rsidRDefault="00443219" w:rsidP="00574799">
            <w:pPr>
              <w:rPr>
                <w:sz w:val="20"/>
                <w:szCs w:val="20"/>
                <w:u w:val="single"/>
              </w:rPr>
            </w:pPr>
          </w:p>
        </w:tc>
      </w:tr>
      <w:tr w:rsidR="00443219" w:rsidRPr="00EC49A7" w:rsidTr="00574799">
        <w:trPr>
          <w:cantSplit/>
        </w:trPr>
        <w:tc>
          <w:tcPr>
            <w:tcW w:w="9576" w:type="dxa"/>
            <w:gridSpan w:val="2"/>
          </w:tcPr>
          <w:p w:rsidR="00443219" w:rsidRPr="008B6B35" w:rsidRDefault="00443219" w:rsidP="00574799">
            <w:pPr>
              <w:pStyle w:val="SCCShortJudgment"/>
              <w:rPr>
                <w:szCs w:val="20"/>
              </w:rPr>
            </w:pPr>
            <w:r w:rsidRPr="008B6B35">
              <w:rPr>
                <w:szCs w:val="20"/>
              </w:rPr>
              <w:t>The application for leave to appeal from the judgment of the Court of Appeal for British Columbia (Vancouver), Number CA41418, 2014 BCCA 382, dated October 8, 2014, is granted.</w:t>
            </w:r>
          </w:p>
          <w:p w:rsidR="00443219" w:rsidRPr="008B6B35" w:rsidRDefault="00443219" w:rsidP="00574799">
            <w:pPr>
              <w:pStyle w:val="SCCShortJudgment"/>
              <w:ind w:firstLine="0"/>
              <w:rPr>
                <w:szCs w:val="20"/>
              </w:rPr>
            </w:pPr>
          </w:p>
          <w:p w:rsidR="00443219" w:rsidRPr="008B6B35" w:rsidRDefault="00443219" w:rsidP="00574799">
            <w:pPr>
              <w:pStyle w:val="SCCShortJudgment"/>
              <w:rPr>
                <w:szCs w:val="20"/>
                <w:lang w:val="fr-CA"/>
              </w:rPr>
            </w:pPr>
            <w:r w:rsidRPr="008B6B35">
              <w:rPr>
                <w:szCs w:val="20"/>
                <w:lang w:val="fr-CA"/>
              </w:rPr>
              <w:t>La demande d’autorisation d’appel de l’arrêt de la Cour d’appel de la Colombie-Britannique (Vancouver), numéro CA41418, 2014 BCCA 382, daté du 8 octobre 2014, est accueillie.</w:t>
            </w:r>
          </w:p>
        </w:tc>
      </w:tr>
    </w:tbl>
    <w:p w:rsidR="004D32B1" w:rsidRDefault="004D32B1" w:rsidP="004D32B1">
      <w:pPr>
        <w:rPr>
          <w:sz w:val="20"/>
          <w:szCs w:val="20"/>
          <w:lang w:val="fr-CA"/>
        </w:rPr>
      </w:pPr>
    </w:p>
    <w:p w:rsidR="00834141" w:rsidRDefault="00834141">
      <w:pPr>
        <w:rPr>
          <w:sz w:val="20"/>
          <w:szCs w:val="20"/>
          <w:lang w:val="fr-CA"/>
        </w:rPr>
      </w:pPr>
      <w:r>
        <w:rPr>
          <w:sz w:val="20"/>
          <w:szCs w:val="20"/>
          <w:lang w:val="fr-CA"/>
        </w:rPr>
        <w:br w:type="page"/>
      </w:r>
    </w:p>
    <w:p w:rsidR="004D32B1" w:rsidRPr="001B157C" w:rsidRDefault="004D32B1" w:rsidP="004D32B1">
      <w:pPr>
        <w:rPr>
          <w:sz w:val="20"/>
          <w:szCs w:val="20"/>
          <w:u w:val="single"/>
        </w:rPr>
      </w:pPr>
      <w:r w:rsidRPr="001B157C">
        <w:rPr>
          <w:sz w:val="20"/>
          <w:szCs w:val="20"/>
          <w:u w:val="single"/>
        </w:rPr>
        <w:lastRenderedPageBreak/>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256" w:rsidRPr="008057D9" w:rsidTr="00574799">
        <w:tc>
          <w:tcPr>
            <w:tcW w:w="5000" w:type="pct"/>
            <w:gridSpan w:val="3"/>
          </w:tcPr>
          <w:p w:rsidR="00EA2256" w:rsidRPr="008057D9" w:rsidRDefault="00EA2256" w:rsidP="00574799">
            <w:pPr>
              <w:jc w:val="both"/>
              <w:rPr>
                <w:rFonts w:eastAsia="Calibri"/>
                <w:smallCaps/>
                <w:sz w:val="20"/>
              </w:rPr>
            </w:pPr>
            <w:r w:rsidRPr="008057D9">
              <w:rPr>
                <w:rFonts w:eastAsia="Calibri"/>
                <w:smallCaps/>
                <w:sz w:val="20"/>
              </w:rPr>
              <w:t xml:space="preserve">(Publication </w:t>
            </w:r>
            <w:r>
              <w:rPr>
                <w:rFonts w:eastAsia="Calibri"/>
                <w:smallCaps/>
                <w:sz w:val="20"/>
              </w:rPr>
              <w:t>B</w:t>
            </w:r>
            <w:r w:rsidRPr="008057D9">
              <w:rPr>
                <w:rFonts w:eastAsia="Calibri"/>
                <w:smallCaps/>
                <w:sz w:val="20"/>
              </w:rPr>
              <w:t xml:space="preserve">an in </w:t>
            </w:r>
            <w:r>
              <w:rPr>
                <w:rFonts w:eastAsia="Calibri"/>
                <w:smallCaps/>
                <w:sz w:val="20"/>
              </w:rPr>
              <w:t>C</w:t>
            </w:r>
            <w:r w:rsidRPr="008057D9">
              <w:rPr>
                <w:rFonts w:eastAsia="Calibri"/>
                <w:smallCaps/>
                <w:sz w:val="20"/>
              </w:rPr>
              <w:t xml:space="preserve">ase) (Publication </w:t>
            </w:r>
            <w:r>
              <w:rPr>
                <w:rFonts w:eastAsia="Calibri"/>
                <w:smallCaps/>
                <w:sz w:val="20"/>
              </w:rPr>
              <w:t>B</w:t>
            </w:r>
            <w:r w:rsidRPr="008057D9">
              <w:rPr>
                <w:rFonts w:eastAsia="Calibri"/>
                <w:smallCaps/>
                <w:sz w:val="20"/>
              </w:rPr>
              <w:t xml:space="preserve">an on </w:t>
            </w:r>
            <w:r>
              <w:rPr>
                <w:rFonts w:eastAsia="Calibri"/>
                <w:smallCaps/>
                <w:sz w:val="20"/>
              </w:rPr>
              <w:t>P</w:t>
            </w:r>
            <w:r w:rsidRPr="008057D9">
              <w:rPr>
                <w:rFonts w:eastAsia="Calibri"/>
                <w:smallCaps/>
                <w:sz w:val="20"/>
              </w:rPr>
              <w:t>arty)</w:t>
            </w:r>
          </w:p>
          <w:p w:rsidR="00EA2256" w:rsidRPr="008057D9" w:rsidRDefault="00EA2256" w:rsidP="00574799">
            <w:pPr>
              <w:jc w:val="both"/>
              <w:rPr>
                <w:rFonts w:eastAsia="Calibri"/>
                <w:i/>
                <w:sz w:val="20"/>
              </w:rPr>
            </w:pPr>
          </w:p>
          <w:p w:rsidR="00EA2256" w:rsidRPr="008057D9" w:rsidRDefault="00EA2256" w:rsidP="00574799">
            <w:pPr>
              <w:jc w:val="both"/>
              <w:rPr>
                <w:rFonts w:eastAsia="Calibri"/>
                <w:sz w:val="20"/>
              </w:rPr>
            </w:pPr>
            <w:r w:rsidRPr="008057D9">
              <w:rPr>
                <w:rFonts w:eastAsia="Calibri"/>
                <w:i/>
                <w:sz w:val="20"/>
              </w:rPr>
              <w:t>Charter of Rights and Freedoms</w:t>
            </w:r>
            <w:r w:rsidRPr="008057D9">
              <w:rPr>
                <w:rFonts w:eastAsia="Calibri"/>
                <w:sz w:val="20"/>
              </w:rPr>
              <w:t xml:space="preserve"> – Criminal Law – Benefit of the lesser punishment – Sentencing – Orders of prohibition – Whether sanctions in s. 161(1) of </w:t>
            </w:r>
            <w:r w:rsidRPr="008057D9">
              <w:rPr>
                <w:rFonts w:eastAsia="Calibri"/>
                <w:i/>
                <w:sz w:val="20"/>
              </w:rPr>
              <w:t>Criminal Code</w:t>
            </w:r>
            <w:r w:rsidRPr="008057D9">
              <w:rPr>
                <w:rFonts w:eastAsia="Calibri"/>
                <w:sz w:val="20"/>
              </w:rPr>
              <w:t xml:space="preserve"> amount to “punishment” for purposes of s. 11(</w:t>
            </w:r>
            <w:r w:rsidRPr="008057D9">
              <w:rPr>
                <w:rFonts w:eastAsia="Calibri"/>
                <w:i/>
                <w:sz w:val="20"/>
              </w:rPr>
              <w:t>i</w:t>
            </w:r>
            <w:r w:rsidRPr="008057D9">
              <w:rPr>
                <w:rFonts w:eastAsia="Calibri"/>
                <w:sz w:val="20"/>
              </w:rPr>
              <w:t xml:space="preserve">) of </w:t>
            </w:r>
            <w:r w:rsidRPr="008057D9">
              <w:rPr>
                <w:rFonts w:eastAsia="Calibri"/>
                <w:i/>
                <w:sz w:val="20"/>
              </w:rPr>
              <w:t xml:space="preserve">Charter – </w:t>
            </w:r>
            <w:r w:rsidRPr="008057D9">
              <w:rPr>
                <w:rFonts w:eastAsia="Calibri"/>
                <w:sz w:val="20"/>
              </w:rPr>
              <w:t>How to determine when community supervision measures amount to punishment.</w:t>
            </w:r>
          </w:p>
        </w:tc>
      </w:tr>
      <w:tr w:rsidR="00EA2256" w:rsidRPr="008057D9" w:rsidTr="00574799">
        <w:tc>
          <w:tcPr>
            <w:tcW w:w="5000" w:type="pct"/>
            <w:gridSpan w:val="3"/>
          </w:tcPr>
          <w:p w:rsidR="00EA2256" w:rsidRPr="008057D9" w:rsidRDefault="00EA2256" w:rsidP="00574799">
            <w:pPr>
              <w:jc w:val="both"/>
              <w:rPr>
                <w:rFonts w:eastAsia="Calibri"/>
                <w:sz w:val="20"/>
              </w:rPr>
            </w:pPr>
          </w:p>
        </w:tc>
      </w:tr>
      <w:tr w:rsidR="00EA2256" w:rsidRPr="008057D9" w:rsidTr="00574799">
        <w:tc>
          <w:tcPr>
            <w:tcW w:w="5000" w:type="pct"/>
            <w:gridSpan w:val="3"/>
          </w:tcPr>
          <w:p w:rsidR="00EA2256" w:rsidRPr="008057D9" w:rsidRDefault="00EA2256" w:rsidP="00574799">
            <w:pPr>
              <w:jc w:val="both"/>
              <w:rPr>
                <w:rFonts w:eastAsia="Calibri"/>
                <w:sz w:val="20"/>
              </w:rPr>
            </w:pPr>
            <w:r w:rsidRPr="008057D9">
              <w:rPr>
                <w:rFonts w:eastAsia="Calibri"/>
                <w:sz w:val="20"/>
              </w:rPr>
              <w:t xml:space="preserve">Section 161(1) of the </w:t>
            </w:r>
            <w:r w:rsidRPr="008057D9">
              <w:rPr>
                <w:rFonts w:eastAsia="Calibri"/>
                <w:i/>
                <w:sz w:val="20"/>
              </w:rPr>
              <w:t xml:space="preserve">Criminal </w:t>
            </w:r>
            <w:r w:rsidRPr="008057D9">
              <w:rPr>
                <w:rFonts w:eastAsia="Calibri"/>
                <w:sz w:val="20"/>
              </w:rPr>
              <w:t>Code allows prohibition orders against offenders convicted of specified sexual offences committed against persons under the age of 16 years.  The prohibitions that may be ordered are specified in s. 161(1).  KRJ pleaded guilty to offences committed from 2008 to 2011.  On August 9, 2012, s. 161(1) was amended.  KRJ was sentenced in 2013.  The sentencing judge held that the amendments do not operate retrospectively and ordered the prohibitions available under s. 161(1) as it was worded when the offences were committed.</w:t>
            </w:r>
          </w:p>
          <w:p w:rsidR="00EA2256" w:rsidRPr="008057D9" w:rsidRDefault="00EA2256" w:rsidP="00574799">
            <w:pPr>
              <w:rPr>
                <w:rFonts w:eastAsia="Calibri"/>
                <w:sz w:val="20"/>
              </w:rPr>
            </w:pPr>
          </w:p>
        </w:tc>
      </w:tr>
      <w:tr w:rsidR="00EA2256" w:rsidRPr="008057D9" w:rsidTr="00574799">
        <w:tc>
          <w:tcPr>
            <w:tcW w:w="2427" w:type="pct"/>
          </w:tcPr>
          <w:p w:rsidR="00EA2256" w:rsidRPr="008057D9" w:rsidRDefault="00EA2256" w:rsidP="00574799">
            <w:pPr>
              <w:jc w:val="both"/>
              <w:rPr>
                <w:rFonts w:eastAsia="Calibri"/>
                <w:sz w:val="20"/>
              </w:rPr>
            </w:pPr>
            <w:r w:rsidRPr="008057D9">
              <w:rPr>
                <w:rFonts w:eastAsia="Calibri"/>
                <w:sz w:val="20"/>
              </w:rPr>
              <w:t>November 15, 2013</w:t>
            </w:r>
          </w:p>
          <w:p w:rsidR="00EA2256" w:rsidRPr="008057D9" w:rsidRDefault="00EA2256" w:rsidP="00574799">
            <w:pPr>
              <w:jc w:val="both"/>
              <w:rPr>
                <w:rFonts w:eastAsia="Calibri"/>
                <w:sz w:val="20"/>
              </w:rPr>
            </w:pPr>
            <w:r w:rsidRPr="008057D9">
              <w:rPr>
                <w:rFonts w:eastAsia="Calibri"/>
                <w:sz w:val="20"/>
              </w:rPr>
              <w:t>Provincial Court of British Columbia</w:t>
            </w:r>
          </w:p>
          <w:p w:rsidR="00EA2256" w:rsidRPr="008057D9" w:rsidRDefault="00EA2256" w:rsidP="00574799">
            <w:pPr>
              <w:jc w:val="both"/>
              <w:rPr>
                <w:rFonts w:eastAsia="Calibri"/>
                <w:sz w:val="20"/>
              </w:rPr>
            </w:pPr>
            <w:r w:rsidRPr="008057D9">
              <w:rPr>
                <w:rFonts w:eastAsia="Calibri"/>
                <w:sz w:val="20"/>
              </w:rPr>
              <w:t xml:space="preserve">(Klinger J.) </w:t>
            </w:r>
          </w:p>
          <w:p w:rsidR="00EA2256" w:rsidRPr="008057D9" w:rsidRDefault="00EA2256" w:rsidP="00574799">
            <w:pPr>
              <w:jc w:val="both"/>
              <w:rPr>
                <w:rFonts w:eastAsia="Calibri"/>
                <w:sz w:val="20"/>
              </w:rPr>
            </w:pPr>
          </w:p>
        </w:tc>
        <w:tc>
          <w:tcPr>
            <w:tcW w:w="243" w:type="pct"/>
          </w:tcPr>
          <w:p w:rsidR="00EA2256" w:rsidRPr="008057D9" w:rsidRDefault="00EA2256" w:rsidP="00574799">
            <w:pPr>
              <w:jc w:val="both"/>
              <w:rPr>
                <w:rFonts w:eastAsia="Calibri"/>
                <w:sz w:val="20"/>
              </w:rPr>
            </w:pPr>
          </w:p>
        </w:tc>
        <w:tc>
          <w:tcPr>
            <w:tcW w:w="2330" w:type="pct"/>
          </w:tcPr>
          <w:p w:rsidR="00EA2256" w:rsidRPr="008057D9" w:rsidRDefault="00EA2256" w:rsidP="00574799">
            <w:pPr>
              <w:jc w:val="both"/>
              <w:rPr>
                <w:rFonts w:eastAsia="Calibri"/>
                <w:sz w:val="20"/>
              </w:rPr>
            </w:pPr>
            <w:r w:rsidRPr="008057D9">
              <w:rPr>
                <w:rFonts w:eastAsia="Calibri"/>
                <w:sz w:val="20"/>
              </w:rPr>
              <w:t>Applicant sentenced to 6 years imprisonment and 3 years consecutive; Prohibitions after release from imprisonment ordered</w:t>
            </w:r>
          </w:p>
          <w:p w:rsidR="00EA2256" w:rsidRPr="008057D9" w:rsidRDefault="00EA2256" w:rsidP="00574799">
            <w:pPr>
              <w:jc w:val="both"/>
              <w:rPr>
                <w:rFonts w:eastAsia="Calibri"/>
                <w:sz w:val="20"/>
              </w:rPr>
            </w:pPr>
          </w:p>
        </w:tc>
      </w:tr>
      <w:tr w:rsidR="00EA2256" w:rsidRPr="008057D9" w:rsidTr="00574799">
        <w:tc>
          <w:tcPr>
            <w:tcW w:w="2427" w:type="pct"/>
          </w:tcPr>
          <w:p w:rsidR="00EA2256" w:rsidRPr="008057D9" w:rsidRDefault="00EA2256" w:rsidP="00574799">
            <w:pPr>
              <w:jc w:val="both"/>
              <w:rPr>
                <w:rFonts w:eastAsia="Calibri"/>
                <w:sz w:val="20"/>
              </w:rPr>
            </w:pPr>
            <w:r w:rsidRPr="008057D9">
              <w:rPr>
                <w:rFonts w:eastAsia="Calibri"/>
                <w:sz w:val="20"/>
              </w:rPr>
              <w:t>October 8, 2014</w:t>
            </w:r>
          </w:p>
          <w:p w:rsidR="00EA2256" w:rsidRPr="008057D9" w:rsidRDefault="00EA2256" w:rsidP="00574799">
            <w:pPr>
              <w:jc w:val="both"/>
              <w:rPr>
                <w:rFonts w:eastAsia="Calibri"/>
                <w:sz w:val="20"/>
              </w:rPr>
            </w:pPr>
            <w:r w:rsidRPr="008057D9">
              <w:rPr>
                <w:rFonts w:eastAsia="Calibri"/>
                <w:sz w:val="20"/>
              </w:rPr>
              <w:t xml:space="preserve">Court of Appeal for British Columbia </w:t>
            </w:r>
          </w:p>
          <w:p w:rsidR="00EA2256" w:rsidRPr="008057D9" w:rsidRDefault="00EA2256" w:rsidP="00574799">
            <w:pPr>
              <w:jc w:val="both"/>
              <w:rPr>
                <w:rFonts w:eastAsia="Calibri"/>
                <w:sz w:val="20"/>
              </w:rPr>
            </w:pPr>
            <w:r w:rsidRPr="008057D9">
              <w:rPr>
                <w:rFonts w:eastAsia="Calibri"/>
                <w:sz w:val="20"/>
              </w:rPr>
              <w:t>(Vancouver)</w:t>
            </w:r>
          </w:p>
          <w:p w:rsidR="00EA2256" w:rsidRPr="008057D9" w:rsidRDefault="00EA2256" w:rsidP="00574799">
            <w:pPr>
              <w:jc w:val="both"/>
              <w:rPr>
                <w:rFonts w:eastAsia="Calibri"/>
                <w:sz w:val="20"/>
              </w:rPr>
            </w:pPr>
            <w:r w:rsidRPr="008057D9">
              <w:rPr>
                <w:rFonts w:eastAsia="Calibri"/>
                <w:sz w:val="20"/>
              </w:rPr>
              <w:t xml:space="preserve">(Newbury, Kirkpatrick , Groberman </w:t>
            </w:r>
          </w:p>
          <w:p w:rsidR="00EA2256" w:rsidRPr="008057D9" w:rsidRDefault="00EA2256" w:rsidP="00574799">
            <w:pPr>
              <w:jc w:val="both"/>
              <w:rPr>
                <w:rFonts w:eastAsia="Calibri"/>
                <w:sz w:val="20"/>
              </w:rPr>
            </w:pPr>
            <w:r w:rsidRPr="008057D9">
              <w:rPr>
                <w:rFonts w:eastAsia="Calibri"/>
                <w:sz w:val="20"/>
              </w:rPr>
              <w:t>[dissenting in part] JJ.A.)</w:t>
            </w:r>
          </w:p>
          <w:p w:rsidR="00EA2256" w:rsidRPr="008057D9" w:rsidRDefault="00EA2256" w:rsidP="00574799">
            <w:pPr>
              <w:jc w:val="both"/>
              <w:rPr>
                <w:rFonts w:eastAsia="Calibri"/>
                <w:sz w:val="20"/>
              </w:rPr>
            </w:pPr>
            <w:r w:rsidRPr="008057D9">
              <w:rPr>
                <w:rFonts w:eastAsia="Calibri"/>
                <w:sz w:val="20"/>
              </w:rPr>
              <w:t xml:space="preserve">CA041418; </w:t>
            </w:r>
            <w:hyperlink r:id="rId65" w:history="1">
              <w:r w:rsidRPr="008057D9">
                <w:rPr>
                  <w:rFonts w:eastAsia="Calibri"/>
                  <w:color w:val="0000FF"/>
                  <w:sz w:val="20"/>
                  <w:u w:val="single"/>
                </w:rPr>
                <w:t>2014 BCCA 382</w:t>
              </w:r>
            </w:hyperlink>
          </w:p>
          <w:p w:rsidR="00EA2256" w:rsidRPr="008057D9" w:rsidRDefault="00EA2256" w:rsidP="00574799">
            <w:pPr>
              <w:jc w:val="both"/>
              <w:rPr>
                <w:rFonts w:eastAsia="Calibri"/>
                <w:sz w:val="20"/>
              </w:rPr>
            </w:pPr>
          </w:p>
        </w:tc>
        <w:tc>
          <w:tcPr>
            <w:tcW w:w="243" w:type="pct"/>
          </w:tcPr>
          <w:p w:rsidR="00EA2256" w:rsidRPr="008057D9" w:rsidRDefault="00EA2256" w:rsidP="00574799">
            <w:pPr>
              <w:jc w:val="both"/>
              <w:rPr>
                <w:rFonts w:eastAsia="Calibri"/>
                <w:sz w:val="20"/>
              </w:rPr>
            </w:pPr>
          </w:p>
        </w:tc>
        <w:tc>
          <w:tcPr>
            <w:tcW w:w="2330" w:type="pct"/>
          </w:tcPr>
          <w:p w:rsidR="00EA2256" w:rsidRPr="008057D9" w:rsidRDefault="00EA2256" w:rsidP="00574799">
            <w:pPr>
              <w:jc w:val="both"/>
              <w:rPr>
                <w:rFonts w:eastAsia="Calibri"/>
                <w:sz w:val="20"/>
              </w:rPr>
            </w:pPr>
            <w:r w:rsidRPr="008057D9">
              <w:rPr>
                <w:rFonts w:eastAsia="Calibri"/>
                <w:sz w:val="20"/>
              </w:rPr>
              <w:t>Applicant’s appeal from sentence dismissed, Respondent’s appeal from prohibition order allowed and prohibitions modified</w:t>
            </w:r>
          </w:p>
          <w:p w:rsidR="00EA2256" w:rsidRPr="008057D9" w:rsidRDefault="00EA2256" w:rsidP="00574799">
            <w:pPr>
              <w:jc w:val="both"/>
              <w:rPr>
                <w:rFonts w:eastAsia="Calibri"/>
                <w:sz w:val="20"/>
              </w:rPr>
            </w:pPr>
          </w:p>
        </w:tc>
      </w:tr>
      <w:tr w:rsidR="00EA2256" w:rsidRPr="008057D9" w:rsidTr="00574799">
        <w:tc>
          <w:tcPr>
            <w:tcW w:w="2427" w:type="pct"/>
          </w:tcPr>
          <w:p w:rsidR="00EA2256" w:rsidRPr="008057D9" w:rsidRDefault="00EA2256" w:rsidP="00574799">
            <w:pPr>
              <w:jc w:val="both"/>
              <w:rPr>
                <w:rFonts w:eastAsia="Calibri"/>
                <w:sz w:val="20"/>
              </w:rPr>
            </w:pPr>
            <w:r w:rsidRPr="008057D9">
              <w:rPr>
                <w:rFonts w:eastAsia="Calibri"/>
                <w:sz w:val="20"/>
              </w:rPr>
              <w:t>December 8, 2014</w:t>
            </w:r>
          </w:p>
          <w:p w:rsidR="00EA2256" w:rsidRPr="008057D9" w:rsidRDefault="00EA2256" w:rsidP="00574799">
            <w:pPr>
              <w:jc w:val="both"/>
              <w:rPr>
                <w:rFonts w:eastAsia="Calibri"/>
                <w:sz w:val="20"/>
              </w:rPr>
            </w:pPr>
            <w:r w:rsidRPr="008057D9">
              <w:rPr>
                <w:rFonts w:eastAsia="Calibri"/>
                <w:sz w:val="20"/>
              </w:rPr>
              <w:t>Supreme Court of Canada</w:t>
            </w:r>
          </w:p>
        </w:tc>
        <w:tc>
          <w:tcPr>
            <w:tcW w:w="243" w:type="pct"/>
          </w:tcPr>
          <w:p w:rsidR="00EA2256" w:rsidRPr="008057D9" w:rsidRDefault="00EA2256" w:rsidP="00574799">
            <w:pPr>
              <w:jc w:val="both"/>
              <w:rPr>
                <w:rFonts w:eastAsia="Calibri"/>
                <w:sz w:val="20"/>
              </w:rPr>
            </w:pPr>
          </w:p>
        </w:tc>
        <w:tc>
          <w:tcPr>
            <w:tcW w:w="2330" w:type="pct"/>
          </w:tcPr>
          <w:p w:rsidR="00EA2256" w:rsidRPr="008057D9" w:rsidRDefault="00EA2256" w:rsidP="00574799">
            <w:pPr>
              <w:jc w:val="both"/>
              <w:rPr>
                <w:rFonts w:eastAsia="Calibri"/>
                <w:sz w:val="20"/>
              </w:rPr>
            </w:pPr>
            <w:r w:rsidRPr="008057D9">
              <w:rPr>
                <w:rFonts w:eastAsia="Calibri"/>
                <w:sz w:val="20"/>
              </w:rPr>
              <w:t xml:space="preserve">Application for leave to appeal filed </w:t>
            </w:r>
          </w:p>
          <w:p w:rsidR="00EA2256" w:rsidRPr="008057D9" w:rsidRDefault="00EA2256" w:rsidP="00574799">
            <w:pPr>
              <w:jc w:val="both"/>
              <w:rPr>
                <w:rFonts w:eastAsia="Calibri"/>
                <w:sz w:val="20"/>
              </w:rPr>
            </w:pP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58"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256" w:rsidRPr="00EC49A7" w:rsidTr="00574799">
        <w:tc>
          <w:tcPr>
            <w:tcW w:w="5000" w:type="pct"/>
            <w:gridSpan w:val="3"/>
          </w:tcPr>
          <w:p w:rsidR="00EA2256" w:rsidRPr="008057D9" w:rsidRDefault="00EA2256" w:rsidP="00574799">
            <w:pPr>
              <w:jc w:val="both"/>
              <w:rPr>
                <w:rFonts w:eastAsia="Calibri"/>
                <w:smallCaps/>
                <w:sz w:val="20"/>
                <w:lang w:val="fr-CA"/>
              </w:rPr>
            </w:pPr>
            <w:r w:rsidRPr="008057D9">
              <w:rPr>
                <w:rFonts w:eastAsia="Calibri"/>
                <w:smallCaps/>
                <w:sz w:val="20"/>
                <w:lang w:val="fr-CA"/>
              </w:rPr>
              <w:t>(Ordonnance de non-publication dans le dossier) (Ordonnance de non-publication visant une partie)</w:t>
            </w:r>
          </w:p>
          <w:p w:rsidR="00EA2256" w:rsidRPr="008057D9" w:rsidRDefault="00EA2256" w:rsidP="00574799">
            <w:pPr>
              <w:jc w:val="both"/>
              <w:rPr>
                <w:rFonts w:eastAsia="Calibri"/>
                <w:i/>
                <w:sz w:val="20"/>
                <w:lang w:val="fr-CA"/>
              </w:rPr>
            </w:pPr>
          </w:p>
          <w:p w:rsidR="00EA2256" w:rsidRPr="008057D9" w:rsidRDefault="00EA2256" w:rsidP="00574799">
            <w:pPr>
              <w:jc w:val="both"/>
              <w:rPr>
                <w:rFonts w:eastAsia="Calibri"/>
                <w:sz w:val="20"/>
                <w:lang w:val="fr-CA"/>
              </w:rPr>
            </w:pPr>
            <w:r w:rsidRPr="008057D9">
              <w:rPr>
                <w:rFonts w:eastAsia="Calibri"/>
                <w:i/>
                <w:sz w:val="20"/>
                <w:lang w:val="fr-CA"/>
              </w:rPr>
              <w:t>Charte des droits et libertés</w:t>
            </w:r>
            <w:r w:rsidRPr="008057D9">
              <w:rPr>
                <w:rFonts w:eastAsia="Calibri"/>
                <w:sz w:val="20"/>
                <w:lang w:val="fr-CA"/>
              </w:rPr>
              <w:t xml:space="preserve"> – Droit criminel – Droit de bénéficier de la peine la moins sévère – Détermination de la peine – Ordonnances d’interdiction – Les sanctions prévues au par. 161(1) du </w:t>
            </w:r>
            <w:r w:rsidRPr="008057D9">
              <w:rPr>
                <w:rFonts w:eastAsia="Calibri"/>
                <w:i/>
                <w:sz w:val="20"/>
                <w:lang w:val="fr-CA"/>
              </w:rPr>
              <w:t>Code criminel</w:t>
            </w:r>
            <w:r w:rsidRPr="008057D9">
              <w:rPr>
                <w:rFonts w:eastAsia="Calibri"/>
                <w:sz w:val="20"/>
                <w:lang w:val="fr-CA"/>
              </w:rPr>
              <w:t xml:space="preserve"> équivalent-elles à une « peine » au sens de l’al. 11</w:t>
            </w:r>
            <w:r w:rsidRPr="008057D9">
              <w:rPr>
                <w:rFonts w:eastAsia="Calibri"/>
                <w:i/>
                <w:sz w:val="20"/>
                <w:lang w:val="fr-CA"/>
              </w:rPr>
              <w:t>i</w:t>
            </w:r>
            <w:r w:rsidRPr="008057D9">
              <w:rPr>
                <w:rFonts w:eastAsia="Calibri"/>
                <w:sz w:val="20"/>
                <w:lang w:val="fr-CA"/>
              </w:rPr>
              <w:t xml:space="preserve">) de la </w:t>
            </w:r>
            <w:r w:rsidRPr="008057D9">
              <w:rPr>
                <w:rFonts w:eastAsia="Calibri"/>
                <w:i/>
                <w:sz w:val="20"/>
                <w:lang w:val="fr-CA"/>
              </w:rPr>
              <w:t>Charte</w:t>
            </w:r>
            <w:r w:rsidRPr="008057D9">
              <w:rPr>
                <w:rFonts w:eastAsia="Calibri"/>
                <w:sz w:val="20"/>
                <w:lang w:val="fr-CA"/>
              </w:rPr>
              <w:t>?</w:t>
            </w:r>
            <w:r w:rsidRPr="008057D9">
              <w:rPr>
                <w:rFonts w:eastAsia="Calibri"/>
                <w:i/>
                <w:sz w:val="20"/>
                <w:lang w:val="fr-CA"/>
              </w:rPr>
              <w:t xml:space="preserve"> – </w:t>
            </w:r>
            <w:r w:rsidRPr="008057D9">
              <w:rPr>
                <w:rFonts w:eastAsia="Calibri"/>
                <w:sz w:val="20"/>
                <w:lang w:val="fr-CA"/>
              </w:rPr>
              <w:t>Comment déterminer les cas où des mesures de surveillance dans la collectivité équivalent à une peine?</w:t>
            </w:r>
          </w:p>
        </w:tc>
      </w:tr>
      <w:tr w:rsidR="00EA2256" w:rsidRPr="00EC49A7" w:rsidTr="00574799">
        <w:tc>
          <w:tcPr>
            <w:tcW w:w="5000" w:type="pct"/>
            <w:gridSpan w:val="3"/>
          </w:tcPr>
          <w:p w:rsidR="00EA2256" w:rsidRPr="008057D9" w:rsidRDefault="00EA2256" w:rsidP="00574799">
            <w:pPr>
              <w:jc w:val="both"/>
              <w:rPr>
                <w:rFonts w:eastAsia="Calibri"/>
                <w:sz w:val="20"/>
                <w:lang w:val="fr-CA"/>
              </w:rPr>
            </w:pPr>
          </w:p>
        </w:tc>
      </w:tr>
      <w:tr w:rsidR="00EA2256" w:rsidRPr="00EC49A7" w:rsidTr="00574799">
        <w:tc>
          <w:tcPr>
            <w:tcW w:w="5000" w:type="pct"/>
            <w:gridSpan w:val="3"/>
          </w:tcPr>
          <w:p w:rsidR="00EA2256" w:rsidRPr="008057D9" w:rsidRDefault="00EA2256" w:rsidP="00574799">
            <w:pPr>
              <w:jc w:val="both"/>
              <w:rPr>
                <w:rFonts w:eastAsia="Calibri"/>
                <w:sz w:val="20"/>
                <w:lang w:val="fr-CA"/>
              </w:rPr>
            </w:pPr>
            <w:r w:rsidRPr="008057D9">
              <w:rPr>
                <w:rFonts w:eastAsia="Calibri"/>
                <w:sz w:val="20"/>
                <w:lang w:val="fr-CA"/>
              </w:rPr>
              <w:t xml:space="preserve">En vertu du paragraphe 161(1) du </w:t>
            </w:r>
            <w:r w:rsidRPr="008057D9">
              <w:rPr>
                <w:rFonts w:eastAsia="Calibri"/>
                <w:i/>
                <w:sz w:val="20"/>
                <w:lang w:val="fr-CA"/>
              </w:rPr>
              <w:t>Code criminel</w:t>
            </w:r>
            <w:r w:rsidRPr="008057D9">
              <w:rPr>
                <w:rFonts w:eastAsia="Calibri"/>
                <w:sz w:val="20"/>
                <w:lang w:val="fr-CA"/>
              </w:rPr>
              <w:t>, des ordonnances d’interdiction peuvent être prononcées contre des contrevenants déclarés coupables de certaines infractions sexuelles commises à l’égard de personnes âgées de moins de seize ans.  Les interdictions qui peuvent être ordonnées sont précisées au par. 161(1).  KRJ a plaidé coupable d’infractions commises de 2008 à 2011.  Le 9 août 2012, le par. 161(1) a été modifié.  KRJ a été condamné à sa peine en 2013.  Le juge qui a imposé la peine a statué que les modifications ne s’appliquaient pas rétrospectivement et a ordonné les interdictions qui étaient prévues au par. 161(1) tel qu’il était libellé lorsque les infractions ont été commises.</w:t>
            </w:r>
          </w:p>
          <w:p w:rsidR="00EA2256" w:rsidRPr="008057D9" w:rsidRDefault="00EA2256" w:rsidP="00574799">
            <w:pPr>
              <w:rPr>
                <w:rFonts w:eastAsia="Calibri"/>
                <w:sz w:val="20"/>
                <w:lang w:val="fr-CA"/>
              </w:rPr>
            </w:pPr>
          </w:p>
        </w:tc>
      </w:tr>
      <w:tr w:rsidR="00EA2256" w:rsidRPr="00EC49A7" w:rsidTr="00834141">
        <w:trPr>
          <w:cantSplit/>
        </w:trPr>
        <w:tc>
          <w:tcPr>
            <w:tcW w:w="2427" w:type="pct"/>
          </w:tcPr>
          <w:p w:rsidR="00EA2256" w:rsidRPr="008057D9" w:rsidRDefault="00EA2256" w:rsidP="00574799">
            <w:pPr>
              <w:jc w:val="both"/>
              <w:rPr>
                <w:rFonts w:eastAsia="Calibri"/>
                <w:sz w:val="20"/>
                <w:lang w:val="fr-CA"/>
              </w:rPr>
            </w:pPr>
            <w:r w:rsidRPr="008057D9">
              <w:rPr>
                <w:rFonts w:eastAsia="Calibri"/>
                <w:sz w:val="20"/>
                <w:lang w:val="fr-CA"/>
              </w:rPr>
              <w:lastRenderedPageBreak/>
              <w:t>15 novembre 2013</w:t>
            </w:r>
          </w:p>
          <w:p w:rsidR="00EA2256" w:rsidRPr="008057D9" w:rsidRDefault="00EA2256" w:rsidP="00574799">
            <w:pPr>
              <w:jc w:val="both"/>
              <w:rPr>
                <w:rFonts w:eastAsia="Calibri"/>
                <w:sz w:val="20"/>
                <w:lang w:val="fr-CA"/>
              </w:rPr>
            </w:pPr>
            <w:r w:rsidRPr="008057D9">
              <w:rPr>
                <w:rFonts w:eastAsia="Calibri"/>
                <w:sz w:val="20"/>
                <w:lang w:val="fr-CA"/>
              </w:rPr>
              <w:t>Cour provinciale de la Colombie-Britannique</w:t>
            </w:r>
          </w:p>
          <w:p w:rsidR="00EA2256" w:rsidRPr="008057D9" w:rsidRDefault="00EA2256" w:rsidP="00574799">
            <w:pPr>
              <w:jc w:val="both"/>
              <w:rPr>
                <w:rFonts w:eastAsia="Calibri"/>
                <w:sz w:val="20"/>
                <w:lang w:val="fr-CA"/>
              </w:rPr>
            </w:pPr>
            <w:r w:rsidRPr="008057D9">
              <w:rPr>
                <w:rFonts w:eastAsia="Calibri"/>
                <w:sz w:val="20"/>
                <w:lang w:val="fr-CA"/>
              </w:rPr>
              <w:t xml:space="preserve">(Juge Klinger) </w:t>
            </w:r>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Condamnation du demandeur à des peines d’emprisonnement de six ans et de trois ans devant être purgées consécutivement; ordonnance d’interdictions après la libération</w:t>
            </w:r>
          </w:p>
          <w:p w:rsidR="00EA2256" w:rsidRPr="008057D9" w:rsidRDefault="00EA2256" w:rsidP="00574799">
            <w:pPr>
              <w:jc w:val="both"/>
              <w:rPr>
                <w:rFonts w:eastAsia="Calibri"/>
                <w:sz w:val="20"/>
                <w:lang w:val="fr-CA"/>
              </w:rPr>
            </w:pPr>
          </w:p>
        </w:tc>
      </w:tr>
      <w:tr w:rsidR="00EA2256" w:rsidRPr="00EC49A7" w:rsidTr="00834141">
        <w:trPr>
          <w:cantSplit/>
        </w:trPr>
        <w:tc>
          <w:tcPr>
            <w:tcW w:w="2427" w:type="pct"/>
          </w:tcPr>
          <w:p w:rsidR="00EA2256" w:rsidRPr="008057D9" w:rsidRDefault="00EA2256" w:rsidP="00574799">
            <w:pPr>
              <w:jc w:val="both"/>
              <w:rPr>
                <w:rFonts w:eastAsia="Calibri"/>
                <w:sz w:val="20"/>
                <w:lang w:val="fr-CA"/>
              </w:rPr>
            </w:pPr>
            <w:r w:rsidRPr="008057D9">
              <w:rPr>
                <w:rFonts w:eastAsia="Calibri"/>
                <w:sz w:val="20"/>
                <w:lang w:val="fr-CA"/>
              </w:rPr>
              <w:t>8 octobre 2014</w:t>
            </w:r>
          </w:p>
          <w:p w:rsidR="00EA2256" w:rsidRPr="008057D9" w:rsidRDefault="00EA2256" w:rsidP="00574799">
            <w:pPr>
              <w:jc w:val="both"/>
              <w:rPr>
                <w:rFonts w:eastAsia="Calibri"/>
                <w:sz w:val="20"/>
                <w:lang w:val="fr-CA"/>
              </w:rPr>
            </w:pPr>
            <w:r w:rsidRPr="008057D9">
              <w:rPr>
                <w:rFonts w:eastAsia="Calibri"/>
                <w:sz w:val="20"/>
                <w:lang w:val="fr-CA"/>
              </w:rPr>
              <w:t>Cour d’appel de la Colombie-Britannique</w:t>
            </w:r>
          </w:p>
          <w:p w:rsidR="00EA2256" w:rsidRPr="008057D9" w:rsidRDefault="00EA2256" w:rsidP="00574799">
            <w:pPr>
              <w:jc w:val="both"/>
              <w:rPr>
                <w:rFonts w:eastAsia="Calibri"/>
                <w:sz w:val="20"/>
                <w:lang w:val="fr-CA"/>
              </w:rPr>
            </w:pPr>
            <w:r w:rsidRPr="008057D9">
              <w:rPr>
                <w:rFonts w:eastAsia="Calibri"/>
                <w:sz w:val="20"/>
                <w:lang w:val="fr-CA"/>
              </w:rPr>
              <w:t>(Vancouver)</w:t>
            </w:r>
          </w:p>
          <w:p w:rsidR="00EA2256" w:rsidRPr="008057D9" w:rsidRDefault="00EA2256" w:rsidP="00574799">
            <w:pPr>
              <w:jc w:val="both"/>
              <w:rPr>
                <w:rFonts w:eastAsia="Calibri"/>
                <w:sz w:val="20"/>
                <w:lang w:val="fr-CA"/>
              </w:rPr>
            </w:pPr>
            <w:r w:rsidRPr="008057D9">
              <w:rPr>
                <w:rFonts w:eastAsia="Calibri"/>
                <w:sz w:val="20"/>
                <w:lang w:val="fr-CA"/>
              </w:rPr>
              <w:t xml:space="preserve">(Juges Newbury, Kirkpatrick et Groberman </w:t>
            </w:r>
          </w:p>
          <w:p w:rsidR="00EA2256" w:rsidRPr="008057D9" w:rsidRDefault="00EA2256" w:rsidP="00574799">
            <w:pPr>
              <w:jc w:val="both"/>
              <w:rPr>
                <w:rFonts w:eastAsia="Calibri"/>
                <w:sz w:val="20"/>
                <w:lang w:val="fr-CA"/>
              </w:rPr>
            </w:pPr>
            <w:r w:rsidRPr="008057D9">
              <w:rPr>
                <w:rFonts w:eastAsia="Calibri"/>
                <w:sz w:val="20"/>
                <w:lang w:val="fr-CA"/>
              </w:rPr>
              <w:t>[dissident en partie])</w:t>
            </w:r>
          </w:p>
          <w:p w:rsidR="00EA2256" w:rsidRPr="008057D9" w:rsidRDefault="00EA2256" w:rsidP="00574799">
            <w:pPr>
              <w:jc w:val="both"/>
              <w:rPr>
                <w:rFonts w:eastAsia="Calibri"/>
                <w:sz w:val="20"/>
                <w:lang w:val="fr-CA"/>
              </w:rPr>
            </w:pPr>
            <w:r w:rsidRPr="008057D9">
              <w:rPr>
                <w:rFonts w:eastAsia="Calibri"/>
                <w:sz w:val="20"/>
                <w:lang w:val="fr-CA"/>
              </w:rPr>
              <w:t xml:space="preserve">CA041418; </w:t>
            </w:r>
            <w:hyperlink r:id="rId66" w:history="1">
              <w:r w:rsidRPr="008057D9">
                <w:rPr>
                  <w:rFonts w:eastAsia="Calibri"/>
                  <w:color w:val="0000FF"/>
                  <w:sz w:val="20"/>
                  <w:u w:val="single"/>
                  <w:lang w:val="fr-CA"/>
                </w:rPr>
                <w:t>2014 BCCA 382</w:t>
              </w:r>
            </w:hyperlink>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Rejet de l’appel de la peine interjeté par le demandeur; arrêt accueillant l’appel de l’ordonnance d’interdiction interjeté par l’intimée et modification des interdictions</w:t>
            </w:r>
          </w:p>
          <w:p w:rsidR="00EA2256" w:rsidRPr="008057D9" w:rsidRDefault="00EA2256" w:rsidP="00574799">
            <w:pPr>
              <w:jc w:val="both"/>
              <w:rPr>
                <w:rFonts w:eastAsia="Calibri"/>
                <w:sz w:val="20"/>
                <w:lang w:val="fr-CA"/>
              </w:rPr>
            </w:pPr>
          </w:p>
        </w:tc>
      </w:tr>
      <w:tr w:rsidR="00EA2256" w:rsidRPr="00EC49A7" w:rsidTr="00834141">
        <w:trPr>
          <w:cantSplit/>
        </w:trPr>
        <w:tc>
          <w:tcPr>
            <w:tcW w:w="2427" w:type="pct"/>
          </w:tcPr>
          <w:p w:rsidR="00EA2256" w:rsidRPr="008057D9" w:rsidRDefault="00EA2256" w:rsidP="00574799">
            <w:pPr>
              <w:jc w:val="both"/>
              <w:rPr>
                <w:rFonts w:eastAsia="Calibri"/>
                <w:sz w:val="20"/>
                <w:lang w:val="fr-CA"/>
              </w:rPr>
            </w:pPr>
            <w:r w:rsidRPr="008057D9">
              <w:rPr>
                <w:rFonts w:eastAsia="Calibri"/>
                <w:sz w:val="20"/>
                <w:lang w:val="fr-CA"/>
              </w:rPr>
              <w:t>8 décembre 2014</w:t>
            </w:r>
          </w:p>
          <w:p w:rsidR="00EA2256" w:rsidRPr="008057D9" w:rsidRDefault="00EA2256" w:rsidP="00574799">
            <w:pPr>
              <w:jc w:val="both"/>
              <w:rPr>
                <w:rFonts w:eastAsia="Calibri"/>
                <w:sz w:val="20"/>
                <w:lang w:val="fr-CA"/>
              </w:rPr>
            </w:pPr>
            <w:r w:rsidRPr="008057D9">
              <w:rPr>
                <w:rFonts w:eastAsia="Calibri"/>
                <w:sz w:val="20"/>
                <w:lang w:val="fr-CA"/>
              </w:rPr>
              <w:t>Cour suprême du Canada</w:t>
            </w: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Dépôt de la demande d’autorisation d’appel</w:t>
            </w:r>
          </w:p>
          <w:p w:rsidR="00EA2256" w:rsidRPr="008057D9" w:rsidRDefault="00EA2256" w:rsidP="00574799">
            <w:pPr>
              <w:jc w:val="both"/>
              <w:rPr>
                <w:rFonts w:eastAsia="Calibri"/>
                <w:sz w:val="20"/>
                <w:lang w:val="fr-CA"/>
              </w:rPr>
            </w:pPr>
          </w:p>
        </w:tc>
      </w:tr>
    </w:tbl>
    <w:p w:rsidR="004D32B1" w:rsidRPr="00EA2256"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59" style="width:2in;height:1pt" o:hrpct="0" o:hralign="center" o:hrstd="t" o:hrnoshade="t" o:hr="t" fillcolor="black [3213]" stroked="f"/>
        </w:pict>
      </w:r>
    </w:p>
    <w:p w:rsidR="004D32B1" w:rsidRDefault="004D32B1" w:rsidP="004D32B1">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141" w:rsidRPr="00834141" w:rsidTr="00457EB1">
        <w:trPr>
          <w:cantSplit/>
        </w:trPr>
        <w:tc>
          <w:tcPr>
            <w:tcW w:w="1458" w:type="dxa"/>
          </w:tcPr>
          <w:p w:rsidR="00834141" w:rsidRPr="00834141" w:rsidRDefault="00834141" w:rsidP="00834141">
            <w:pPr>
              <w:rPr>
                <w:sz w:val="20"/>
                <w:szCs w:val="20"/>
              </w:rPr>
            </w:pPr>
            <w:r w:rsidRPr="00834141">
              <w:rPr>
                <w:b/>
                <w:sz w:val="20"/>
                <w:lang w:val="fr-CA"/>
              </w:rPr>
              <w:t>36207</w:t>
            </w:r>
          </w:p>
          <w:p w:rsidR="00834141" w:rsidRPr="00834141" w:rsidRDefault="00834141" w:rsidP="00834141">
            <w:pPr>
              <w:rPr>
                <w:b/>
                <w:sz w:val="20"/>
                <w:szCs w:val="20"/>
                <w:lang w:val="fr-CA"/>
              </w:rPr>
            </w:pPr>
          </w:p>
        </w:tc>
        <w:tc>
          <w:tcPr>
            <w:tcW w:w="8118" w:type="dxa"/>
          </w:tcPr>
          <w:p w:rsidR="00834141" w:rsidRPr="00834141" w:rsidRDefault="00834141" w:rsidP="00834141">
            <w:pPr>
              <w:rPr>
                <w:sz w:val="20"/>
                <w:szCs w:val="20"/>
              </w:rPr>
            </w:pPr>
            <w:r w:rsidRPr="00834141">
              <w:rPr>
                <w:b/>
                <w:sz w:val="20"/>
                <w:u w:val="single"/>
              </w:rPr>
              <w:t>Saturday J. Oton v. Her Majesty the Queen</w:t>
            </w:r>
            <w:r w:rsidRPr="00834141">
              <w:rPr>
                <w:sz w:val="20"/>
                <w:szCs w:val="20"/>
              </w:rPr>
              <w:t xml:space="preserve"> (Ont.) (Criminal) (By Leave)</w:t>
            </w:r>
          </w:p>
          <w:p w:rsidR="00834141" w:rsidRPr="00834141" w:rsidRDefault="00834141" w:rsidP="00834141">
            <w:pPr>
              <w:rPr>
                <w:sz w:val="20"/>
                <w:szCs w:val="20"/>
              </w:rPr>
            </w:pPr>
          </w:p>
        </w:tc>
      </w:tr>
      <w:tr w:rsidR="00834141" w:rsidRPr="00834141" w:rsidTr="00457EB1">
        <w:trPr>
          <w:cantSplit/>
        </w:trPr>
        <w:tc>
          <w:tcPr>
            <w:tcW w:w="1458" w:type="dxa"/>
          </w:tcPr>
          <w:p w:rsidR="00834141" w:rsidRPr="00834141" w:rsidRDefault="00834141" w:rsidP="00834141">
            <w:pPr>
              <w:rPr>
                <w:sz w:val="20"/>
                <w:szCs w:val="20"/>
              </w:rPr>
            </w:pPr>
            <w:r w:rsidRPr="00834141">
              <w:rPr>
                <w:sz w:val="20"/>
                <w:szCs w:val="20"/>
              </w:rPr>
              <w:t>Coram :</w:t>
            </w:r>
          </w:p>
        </w:tc>
        <w:tc>
          <w:tcPr>
            <w:tcW w:w="8118" w:type="dxa"/>
          </w:tcPr>
          <w:p w:rsidR="00834141" w:rsidRPr="00834141" w:rsidRDefault="00834141" w:rsidP="00834141">
            <w:pPr>
              <w:rPr>
                <w:sz w:val="20"/>
                <w:szCs w:val="20"/>
              </w:rPr>
            </w:pPr>
            <w:r w:rsidRPr="00834141">
              <w:rPr>
                <w:sz w:val="20"/>
                <w:u w:val="single"/>
              </w:rPr>
              <w:t>McLachlin C.J. and Wagner and Gascon JJ.</w:t>
            </w:r>
          </w:p>
          <w:p w:rsidR="00834141" w:rsidRPr="00834141" w:rsidRDefault="00834141" w:rsidP="00834141">
            <w:pPr>
              <w:rPr>
                <w:sz w:val="20"/>
                <w:szCs w:val="20"/>
                <w:u w:val="single"/>
              </w:rPr>
            </w:pPr>
          </w:p>
        </w:tc>
      </w:tr>
      <w:tr w:rsidR="00834141" w:rsidRPr="00EC49A7" w:rsidTr="00457EB1">
        <w:trPr>
          <w:cantSplit/>
        </w:trPr>
        <w:tc>
          <w:tcPr>
            <w:tcW w:w="9576" w:type="dxa"/>
            <w:gridSpan w:val="2"/>
          </w:tcPr>
          <w:p w:rsidR="00834141" w:rsidRPr="00834141" w:rsidRDefault="00834141" w:rsidP="00834141">
            <w:pPr>
              <w:ind w:firstLine="720"/>
              <w:jc w:val="both"/>
              <w:rPr>
                <w:sz w:val="20"/>
                <w:szCs w:val="20"/>
              </w:rPr>
            </w:pPr>
            <w:r w:rsidRPr="00834141">
              <w:rPr>
                <w:sz w:val="20"/>
                <w:szCs w:val="20"/>
              </w:rPr>
              <w:t>The motion for an extension of time to serve and file the application for leave to appeal is granted.  The application for leave to appeal from the judgment of the Court of Appeal for Ontario, Number C56295, dated February 19, 2014, is dismissed.</w:t>
            </w:r>
          </w:p>
          <w:p w:rsidR="00834141" w:rsidRPr="00834141" w:rsidRDefault="00834141" w:rsidP="00834141">
            <w:pPr>
              <w:jc w:val="both"/>
              <w:rPr>
                <w:sz w:val="20"/>
                <w:szCs w:val="20"/>
              </w:rPr>
            </w:pPr>
          </w:p>
          <w:p w:rsidR="00834141" w:rsidRPr="00834141" w:rsidRDefault="00834141" w:rsidP="00834141">
            <w:pPr>
              <w:ind w:firstLine="720"/>
              <w:jc w:val="both"/>
              <w:rPr>
                <w:sz w:val="20"/>
                <w:szCs w:val="20"/>
                <w:lang w:val="fr-CA"/>
              </w:rPr>
            </w:pPr>
            <w:r w:rsidRPr="00834141">
              <w:rPr>
                <w:sz w:val="20"/>
                <w:szCs w:val="20"/>
                <w:lang w:val="fr-CA"/>
              </w:rPr>
              <w:t>La requête en prorogation du délai de signification et de dépôt de la demande d’autorisation d’appel est accueillie.  La demande d’autorisation d’appel de l’arrêt de la Cour d’appel de l’Ontario, numéro C56295, daté du 19 février 2014, est rejetée.</w:t>
            </w:r>
          </w:p>
        </w:tc>
      </w:tr>
    </w:tbl>
    <w:p w:rsidR="004D32B1" w:rsidRPr="00834141"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256" w:rsidRPr="008057D9" w:rsidTr="00574799">
        <w:tc>
          <w:tcPr>
            <w:tcW w:w="5000" w:type="pct"/>
            <w:gridSpan w:val="3"/>
          </w:tcPr>
          <w:p w:rsidR="00EA2256" w:rsidRPr="008057D9" w:rsidRDefault="00EA2256" w:rsidP="00574799">
            <w:pPr>
              <w:jc w:val="both"/>
              <w:rPr>
                <w:sz w:val="20"/>
              </w:rPr>
            </w:pPr>
            <w:r w:rsidRPr="008057D9">
              <w:rPr>
                <w:sz w:val="20"/>
              </w:rPr>
              <w:t>Criminal law – Sufficiency of charge to the jury.</w:t>
            </w:r>
          </w:p>
          <w:p w:rsidR="00EA2256" w:rsidRPr="008057D9" w:rsidRDefault="00EA2256" w:rsidP="00574799">
            <w:pPr>
              <w:rPr>
                <w:sz w:val="20"/>
              </w:rPr>
            </w:pPr>
          </w:p>
        </w:tc>
      </w:tr>
      <w:tr w:rsidR="00EA2256" w:rsidRPr="008057D9" w:rsidTr="00574799">
        <w:tc>
          <w:tcPr>
            <w:tcW w:w="5000" w:type="pct"/>
            <w:gridSpan w:val="3"/>
          </w:tcPr>
          <w:p w:rsidR="00EA2256" w:rsidRPr="008057D9" w:rsidRDefault="00EA2256" w:rsidP="00574799">
            <w:pPr>
              <w:jc w:val="both"/>
              <w:rPr>
                <w:sz w:val="20"/>
              </w:rPr>
            </w:pPr>
            <w:r w:rsidRPr="008057D9">
              <w:rPr>
                <w:sz w:val="20"/>
              </w:rPr>
              <w:t>The applicant was convicted following a jury trial of fraud over $5000.  He operated a business known as Oton’s Consulting and Bookkeeping Service.  The indictment alleged that the applicant, between January 1, 2004 and June 27, 2008, defrauded the federal government through filing false tax returns and fabricating charitable donation receipts which were claimed as deductions on tax returns prepared on behalf of his clients.  The applicant appealed his conviction, attacking the charge to the jury.  The appeal was denied.</w:t>
            </w:r>
          </w:p>
          <w:p w:rsidR="00EA2256" w:rsidRPr="008057D9" w:rsidRDefault="00EA2256" w:rsidP="00574799">
            <w:pPr>
              <w:rPr>
                <w:sz w:val="20"/>
              </w:rPr>
            </w:pPr>
          </w:p>
        </w:tc>
      </w:tr>
      <w:tr w:rsidR="00EA2256" w:rsidRPr="008057D9" w:rsidTr="00574799">
        <w:tc>
          <w:tcPr>
            <w:tcW w:w="2427" w:type="pct"/>
          </w:tcPr>
          <w:p w:rsidR="00EA2256" w:rsidRPr="008057D9" w:rsidRDefault="00EA2256" w:rsidP="00574799">
            <w:pPr>
              <w:jc w:val="both"/>
              <w:rPr>
                <w:sz w:val="20"/>
              </w:rPr>
            </w:pPr>
            <w:r w:rsidRPr="008057D9">
              <w:rPr>
                <w:sz w:val="20"/>
              </w:rPr>
              <w:t>February 3, 2012</w:t>
            </w:r>
          </w:p>
          <w:p w:rsidR="00EA2256" w:rsidRPr="008057D9" w:rsidRDefault="00EA2256" w:rsidP="00574799">
            <w:pPr>
              <w:jc w:val="both"/>
              <w:rPr>
                <w:sz w:val="20"/>
              </w:rPr>
            </w:pPr>
            <w:r w:rsidRPr="008057D9">
              <w:rPr>
                <w:sz w:val="20"/>
              </w:rPr>
              <w:t>Superior Court of Justice</w:t>
            </w:r>
          </w:p>
          <w:p w:rsidR="00EA2256" w:rsidRPr="008057D9" w:rsidRDefault="00EA2256" w:rsidP="00574799">
            <w:pPr>
              <w:jc w:val="both"/>
              <w:rPr>
                <w:sz w:val="20"/>
              </w:rPr>
            </w:pPr>
            <w:r w:rsidRPr="008057D9">
              <w:rPr>
                <w:sz w:val="20"/>
              </w:rPr>
              <w:t>(Belobaba J.)</w:t>
            </w:r>
          </w:p>
          <w:p w:rsidR="00EA2256" w:rsidRPr="008057D9" w:rsidRDefault="00EA2256" w:rsidP="00574799">
            <w:pPr>
              <w:jc w:val="both"/>
              <w:rPr>
                <w:sz w:val="20"/>
              </w:rPr>
            </w:pPr>
          </w:p>
        </w:tc>
        <w:tc>
          <w:tcPr>
            <w:tcW w:w="243" w:type="pct"/>
          </w:tcPr>
          <w:p w:rsidR="00EA2256" w:rsidRPr="008057D9" w:rsidRDefault="00EA2256" w:rsidP="00574799">
            <w:pPr>
              <w:jc w:val="both"/>
              <w:rPr>
                <w:sz w:val="20"/>
              </w:rPr>
            </w:pPr>
          </w:p>
        </w:tc>
        <w:tc>
          <w:tcPr>
            <w:tcW w:w="2330" w:type="pct"/>
          </w:tcPr>
          <w:p w:rsidR="00EA2256" w:rsidRPr="008057D9" w:rsidRDefault="00EA2256" w:rsidP="00574799">
            <w:pPr>
              <w:jc w:val="both"/>
              <w:rPr>
                <w:sz w:val="20"/>
              </w:rPr>
            </w:pPr>
            <w:r w:rsidRPr="008057D9">
              <w:rPr>
                <w:sz w:val="20"/>
              </w:rPr>
              <w:t>Conviction:  fraud over $5000</w:t>
            </w:r>
          </w:p>
        </w:tc>
      </w:tr>
      <w:tr w:rsidR="00EA2256" w:rsidRPr="008057D9" w:rsidTr="00574799">
        <w:tc>
          <w:tcPr>
            <w:tcW w:w="2427" w:type="pct"/>
          </w:tcPr>
          <w:p w:rsidR="00EA2256" w:rsidRPr="008057D9" w:rsidRDefault="00EA2256" w:rsidP="00574799">
            <w:pPr>
              <w:jc w:val="both"/>
              <w:rPr>
                <w:sz w:val="20"/>
              </w:rPr>
            </w:pPr>
            <w:r w:rsidRPr="008057D9">
              <w:rPr>
                <w:sz w:val="20"/>
              </w:rPr>
              <w:t>February 19, 2014</w:t>
            </w:r>
          </w:p>
          <w:p w:rsidR="00EA2256" w:rsidRPr="008057D9" w:rsidRDefault="00EA2256" w:rsidP="00574799">
            <w:pPr>
              <w:jc w:val="both"/>
              <w:rPr>
                <w:sz w:val="20"/>
              </w:rPr>
            </w:pPr>
            <w:r w:rsidRPr="008057D9">
              <w:rPr>
                <w:sz w:val="20"/>
              </w:rPr>
              <w:t>Court of Appeal for Ontario</w:t>
            </w:r>
          </w:p>
          <w:p w:rsidR="00EA2256" w:rsidRPr="008057D9" w:rsidRDefault="00EA2256" w:rsidP="00574799">
            <w:pPr>
              <w:jc w:val="both"/>
              <w:rPr>
                <w:sz w:val="20"/>
              </w:rPr>
            </w:pPr>
            <w:r w:rsidRPr="008057D9">
              <w:rPr>
                <w:sz w:val="20"/>
              </w:rPr>
              <w:t>(Rosenberg, MacPherson and Epstein JJ.A.)</w:t>
            </w:r>
          </w:p>
          <w:p w:rsidR="00EA2256" w:rsidRPr="008057D9" w:rsidRDefault="00EA2256" w:rsidP="00574799">
            <w:pPr>
              <w:jc w:val="both"/>
              <w:rPr>
                <w:sz w:val="20"/>
              </w:rPr>
            </w:pPr>
          </w:p>
        </w:tc>
        <w:tc>
          <w:tcPr>
            <w:tcW w:w="243" w:type="pct"/>
          </w:tcPr>
          <w:p w:rsidR="00EA2256" w:rsidRPr="008057D9" w:rsidRDefault="00EA2256" w:rsidP="00574799">
            <w:pPr>
              <w:jc w:val="both"/>
              <w:rPr>
                <w:sz w:val="20"/>
              </w:rPr>
            </w:pPr>
          </w:p>
        </w:tc>
        <w:tc>
          <w:tcPr>
            <w:tcW w:w="2330" w:type="pct"/>
          </w:tcPr>
          <w:p w:rsidR="00EA2256" w:rsidRPr="008057D9" w:rsidRDefault="00EA2256" w:rsidP="00574799">
            <w:pPr>
              <w:jc w:val="both"/>
              <w:rPr>
                <w:sz w:val="20"/>
              </w:rPr>
            </w:pPr>
            <w:r w:rsidRPr="008057D9">
              <w:rPr>
                <w:sz w:val="20"/>
              </w:rPr>
              <w:t>Appeal dismissed</w:t>
            </w:r>
          </w:p>
        </w:tc>
      </w:tr>
      <w:tr w:rsidR="00EA2256" w:rsidRPr="008057D9" w:rsidTr="00834141">
        <w:trPr>
          <w:cantSplit/>
        </w:trPr>
        <w:tc>
          <w:tcPr>
            <w:tcW w:w="2427" w:type="pct"/>
          </w:tcPr>
          <w:p w:rsidR="00EA2256" w:rsidRPr="008057D9" w:rsidRDefault="00EA2256" w:rsidP="00574799">
            <w:pPr>
              <w:jc w:val="both"/>
              <w:rPr>
                <w:sz w:val="20"/>
              </w:rPr>
            </w:pPr>
            <w:r w:rsidRPr="008057D9">
              <w:rPr>
                <w:sz w:val="20"/>
              </w:rPr>
              <w:lastRenderedPageBreak/>
              <w:t>April 17, 2014</w:t>
            </w:r>
          </w:p>
          <w:p w:rsidR="00EA2256" w:rsidRPr="008057D9" w:rsidRDefault="00EA2256" w:rsidP="00574799">
            <w:pPr>
              <w:jc w:val="both"/>
              <w:rPr>
                <w:sz w:val="20"/>
              </w:rPr>
            </w:pPr>
            <w:r w:rsidRPr="008057D9">
              <w:rPr>
                <w:sz w:val="20"/>
              </w:rPr>
              <w:t>Supreme Court of Canada</w:t>
            </w:r>
          </w:p>
          <w:p w:rsidR="00EA2256" w:rsidRPr="008057D9" w:rsidRDefault="00EA2256" w:rsidP="00574799">
            <w:pPr>
              <w:jc w:val="both"/>
              <w:rPr>
                <w:sz w:val="20"/>
              </w:rPr>
            </w:pPr>
          </w:p>
        </w:tc>
        <w:tc>
          <w:tcPr>
            <w:tcW w:w="243" w:type="pct"/>
          </w:tcPr>
          <w:p w:rsidR="00EA2256" w:rsidRPr="008057D9" w:rsidRDefault="00EA2256" w:rsidP="00574799">
            <w:pPr>
              <w:jc w:val="both"/>
              <w:rPr>
                <w:sz w:val="20"/>
              </w:rPr>
            </w:pPr>
          </w:p>
        </w:tc>
        <w:tc>
          <w:tcPr>
            <w:tcW w:w="2330" w:type="pct"/>
          </w:tcPr>
          <w:p w:rsidR="00EA2256" w:rsidRPr="008057D9" w:rsidRDefault="00EA2256" w:rsidP="00574799">
            <w:pPr>
              <w:jc w:val="both"/>
              <w:rPr>
                <w:sz w:val="20"/>
              </w:rPr>
            </w:pPr>
            <w:r w:rsidRPr="008057D9">
              <w:rPr>
                <w:sz w:val="20"/>
              </w:rPr>
              <w:t>Application for leave to appeal filed</w:t>
            </w:r>
          </w:p>
          <w:p w:rsidR="00EA2256" w:rsidRPr="008057D9" w:rsidRDefault="00EA2256" w:rsidP="00574799">
            <w:pPr>
              <w:jc w:val="both"/>
              <w:rPr>
                <w:sz w:val="20"/>
              </w:rPr>
            </w:pPr>
          </w:p>
        </w:tc>
      </w:tr>
      <w:tr w:rsidR="00EA2256" w:rsidRPr="008057D9" w:rsidTr="00834141">
        <w:trPr>
          <w:cantSplit/>
        </w:trPr>
        <w:tc>
          <w:tcPr>
            <w:tcW w:w="2427" w:type="pct"/>
          </w:tcPr>
          <w:p w:rsidR="00EA2256" w:rsidRPr="008057D9" w:rsidRDefault="00EA2256" w:rsidP="00574799">
            <w:pPr>
              <w:jc w:val="both"/>
              <w:rPr>
                <w:sz w:val="20"/>
              </w:rPr>
            </w:pPr>
            <w:r w:rsidRPr="008057D9">
              <w:rPr>
                <w:sz w:val="20"/>
              </w:rPr>
              <w:t>September 30, 2014</w:t>
            </w:r>
          </w:p>
          <w:p w:rsidR="00EA2256" w:rsidRPr="008057D9" w:rsidRDefault="00EA2256" w:rsidP="00574799">
            <w:pPr>
              <w:jc w:val="both"/>
              <w:rPr>
                <w:sz w:val="20"/>
              </w:rPr>
            </w:pPr>
            <w:r w:rsidRPr="008057D9">
              <w:rPr>
                <w:sz w:val="20"/>
              </w:rPr>
              <w:t>Supreme Court of Canada</w:t>
            </w:r>
          </w:p>
        </w:tc>
        <w:tc>
          <w:tcPr>
            <w:tcW w:w="243" w:type="pct"/>
          </w:tcPr>
          <w:p w:rsidR="00EA2256" w:rsidRPr="008057D9" w:rsidRDefault="00EA2256" w:rsidP="00574799">
            <w:pPr>
              <w:jc w:val="both"/>
              <w:rPr>
                <w:sz w:val="20"/>
              </w:rPr>
            </w:pPr>
          </w:p>
        </w:tc>
        <w:tc>
          <w:tcPr>
            <w:tcW w:w="2330" w:type="pct"/>
          </w:tcPr>
          <w:p w:rsidR="00EA2256" w:rsidRPr="008057D9" w:rsidRDefault="00EA2256" w:rsidP="00574799">
            <w:pPr>
              <w:jc w:val="both"/>
              <w:rPr>
                <w:sz w:val="20"/>
              </w:rPr>
            </w:pPr>
            <w:r w:rsidRPr="008057D9">
              <w:rPr>
                <w:sz w:val="20"/>
              </w:rPr>
              <w:t>Motion to extend time to serve and file application for leave to appeal filed</w:t>
            </w: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60"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A2256" w:rsidRPr="00EC49A7" w:rsidTr="00574799">
        <w:tc>
          <w:tcPr>
            <w:tcW w:w="5000" w:type="pct"/>
            <w:gridSpan w:val="3"/>
          </w:tcPr>
          <w:p w:rsidR="00EA2256" w:rsidRPr="008057D9" w:rsidRDefault="00EA2256" w:rsidP="00574799">
            <w:pPr>
              <w:jc w:val="both"/>
              <w:rPr>
                <w:rFonts w:eastAsia="Calibri"/>
                <w:sz w:val="20"/>
                <w:lang w:val="fr-CA"/>
              </w:rPr>
            </w:pPr>
            <w:r w:rsidRPr="008057D9">
              <w:rPr>
                <w:rFonts w:eastAsia="Calibri"/>
                <w:sz w:val="20"/>
                <w:lang w:val="fr-CA"/>
              </w:rPr>
              <w:t>Droit criminel – Suffisance de l’exposé au jury.</w:t>
            </w:r>
          </w:p>
        </w:tc>
      </w:tr>
      <w:tr w:rsidR="00EA2256" w:rsidRPr="008057D9" w:rsidTr="00574799">
        <w:tc>
          <w:tcPr>
            <w:tcW w:w="5000" w:type="pct"/>
            <w:gridSpan w:val="3"/>
          </w:tcPr>
          <w:p w:rsidR="00EA2256" w:rsidRPr="008057D9" w:rsidRDefault="00EA2256" w:rsidP="00574799">
            <w:pPr>
              <w:jc w:val="both"/>
              <w:rPr>
                <w:rFonts w:eastAsia="Calibri"/>
                <w:sz w:val="20"/>
                <w:lang w:val="fr-CA"/>
              </w:rPr>
            </w:pPr>
          </w:p>
          <w:p w:rsidR="00EA2256" w:rsidRPr="008057D9" w:rsidRDefault="00EA2256" w:rsidP="00574799">
            <w:pPr>
              <w:jc w:val="both"/>
              <w:rPr>
                <w:rFonts w:eastAsia="Calibri"/>
                <w:sz w:val="20"/>
                <w:lang w:val="fr-CA"/>
              </w:rPr>
            </w:pPr>
            <w:r w:rsidRPr="008057D9">
              <w:rPr>
                <w:rFonts w:eastAsia="Calibri"/>
                <w:sz w:val="20"/>
                <w:lang w:val="fr-CA"/>
              </w:rPr>
              <w:t>Le demandeur a été déclaré coupable de fraude de plus de 5 000 $ au terme d’un procès devant jury.  Il exploitait une entreprise connue sous le nom d’Oton’s Consulting and Bookkeeping Service.  Selon l’acte d’accusation, le demandeur aurait, entre le 1</w:t>
            </w:r>
            <w:r w:rsidRPr="008057D9">
              <w:rPr>
                <w:rFonts w:eastAsia="Calibri"/>
                <w:sz w:val="20"/>
                <w:vertAlign w:val="superscript"/>
                <w:lang w:val="fr-CA"/>
              </w:rPr>
              <w:t>er</w:t>
            </w:r>
            <w:r w:rsidRPr="008057D9">
              <w:rPr>
                <w:rFonts w:eastAsia="Calibri"/>
                <w:sz w:val="20"/>
                <w:lang w:val="fr-CA"/>
              </w:rPr>
              <w:t xml:space="preserve"> janvier 2004 et le 27 juin 2008, fraudé le gouvernement fédéral en produisant de fausses déclarations fiscales et en fabriquant des reçus pour don de bienfaisance pour lesquels des déductions ont été demandées dans des déclarations fiscales préparées pour le compte de ses clients.  Le demandeur a interjeté appel de la déclaration de culpabilité, contestant l’exposé au jury.  L’appel a été rejeté.</w:t>
            </w:r>
          </w:p>
          <w:p w:rsidR="00EA2256" w:rsidRPr="008057D9" w:rsidRDefault="00EA2256" w:rsidP="00574799">
            <w:pPr>
              <w:jc w:val="both"/>
              <w:rPr>
                <w:rFonts w:eastAsia="Calibri"/>
                <w:sz w:val="20"/>
                <w:lang w:val="fr-CA"/>
              </w:rPr>
            </w:pPr>
          </w:p>
        </w:tc>
      </w:tr>
      <w:tr w:rsidR="00EA2256" w:rsidRPr="00EC49A7"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3 février 2012</w:t>
            </w:r>
          </w:p>
          <w:p w:rsidR="00EA2256" w:rsidRPr="008057D9" w:rsidRDefault="00EA2256" w:rsidP="00574799">
            <w:pPr>
              <w:jc w:val="both"/>
              <w:rPr>
                <w:rFonts w:eastAsia="Calibri"/>
                <w:sz w:val="20"/>
                <w:lang w:val="fr-CA"/>
              </w:rPr>
            </w:pPr>
            <w:r w:rsidRPr="008057D9">
              <w:rPr>
                <w:rFonts w:eastAsia="Calibri"/>
                <w:sz w:val="20"/>
                <w:lang w:val="fr-CA"/>
              </w:rPr>
              <w:t>Cour supérieure de justice</w:t>
            </w:r>
          </w:p>
          <w:p w:rsidR="00EA2256" w:rsidRPr="008057D9" w:rsidRDefault="00EA2256" w:rsidP="00574799">
            <w:pPr>
              <w:jc w:val="both"/>
              <w:rPr>
                <w:rFonts w:eastAsia="Calibri"/>
                <w:sz w:val="20"/>
                <w:lang w:val="fr-CA"/>
              </w:rPr>
            </w:pPr>
            <w:r w:rsidRPr="008057D9">
              <w:rPr>
                <w:rFonts w:eastAsia="Calibri"/>
                <w:sz w:val="20"/>
                <w:lang w:val="fr-CA"/>
              </w:rPr>
              <w:t>(Juge Belobaba)</w:t>
            </w:r>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Déclaration de culpabilité :  fraude de plus de 5 000 $</w:t>
            </w:r>
          </w:p>
        </w:tc>
      </w:tr>
      <w:tr w:rsidR="00EA2256" w:rsidRPr="008057D9"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19 février 2014</w:t>
            </w:r>
          </w:p>
          <w:p w:rsidR="00EA2256" w:rsidRPr="008057D9" w:rsidRDefault="00EA2256" w:rsidP="00574799">
            <w:pPr>
              <w:jc w:val="both"/>
              <w:rPr>
                <w:rFonts w:eastAsia="Calibri"/>
                <w:sz w:val="20"/>
                <w:lang w:val="fr-CA"/>
              </w:rPr>
            </w:pPr>
            <w:r w:rsidRPr="008057D9">
              <w:rPr>
                <w:rFonts w:eastAsia="Calibri"/>
                <w:sz w:val="20"/>
                <w:lang w:val="fr-CA"/>
              </w:rPr>
              <w:t>Cour d’appel de l’Ontario</w:t>
            </w:r>
          </w:p>
          <w:p w:rsidR="00EA2256" w:rsidRPr="008057D9" w:rsidRDefault="00EA2256" w:rsidP="00574799">
            <w:pPr>
              <w:jc w:val="both"/>
              <w:rPr>
                <w:rFonts w:eastAsia="Calibri"/>
                <w:sz w:val="20"/>
                <w:lang w:val="fr-CA"/>
              </w:rPr>
            </w:pPr>
            <w:r w:rsidRPr="008057D9">
              <w:rPr>
                <w:rFonts w:eastAsia="Calibri"/>
                <w:sz w:val="20"/>
                <w:lang w:val="fr-CA"/>
              </w:rPr>
              <w:t>(Juges Rosenberg, MacPherson et Epstein)</w:t>
            </w:r>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Rejet de l’appel</w:t>
            </w:r>
          </w:p>
        </w:tc>
      </w:tr>
      <w:tr w:rsidR="00EA2256" w:rsidRPr="00EC49A7"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17 avril 2014</w:t>
            </w:r>
          </w:p>
          <w:p w:rsidR="00EA2256" w:rsidRPr="008057D9" w:rsidRDefault="00EA2256" w:rsidP="00574799">
            <w:pPr>
              <w:jc w:val="both"/>
              <w:rPr>
                <w:rFonts w:eastAsia="Calibri"/>
                <w:sz w:val="20"/>
                <w:lang w:val="fr-CA"/>
              </w:rPr>
            </w:pPr>
            <w:r w:rsidRPr="008057D9">
              <w:rPr>
                <w:rFonts w:eastAsia="Calibri"/>
                <w:sz w:val="20"/>
                <w:lang w:val="fr-CA"/>
              </w:rPr>
              <w:t>Cour suprême du Canada</w:t>
            </w:r>
          </w:p>
          <w:p w:rsidR="00EA2256" w:rsidRPr="008057D9" w:rsidRDefault="00EA2256" w:rsidP="00574799">
            <w:pPr>
              <w:jc w:val="both"/>
              <w:rPr>
                <w:rFonts w:eastAsia="Calibri"/>
                <w:sz w:val="20"/>
                <w:lang w:val="fr-CA"/>
              </w:rPr>
            </w:pP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Dépôt de la demande d’autorisation d’appel</w:t>
            </w:r>
          </w:p>
          <w:p w:rsidR="00EA2256" w:rsidRPr="008057D9" w:rsidRDefault="00EA2256" w:rsidP="00574799">
            <w:pPr>
              <w:jc w:val="both"/>
              <w:rPr>
                <w:rFonts w:eastAsia="Calibri"/>
                <w:sz w:val="20"/>
                <w:lang w:val="fr-CA"/>
              </w:rPr>
            </w:pPr>
          </w:p>
        </w:tc>
      </w:tr>
      <w:tr w:rsidR="00EA2256" w:rsidRPr="00EC49A7" w:rsidTr="00574799">
        <w:tc>
          <w:tcPr>
            <w:tcW w:w="2427" w:type="pct"/>
          </w:tcPr>
          <w:p w:rsidR="00EA2256" w:rsidRPr="008057D9" w:rsidRDefault="00EA2256" w:rsidP="00574799">
            <w:pPr>
              <w:jc w:val="both"/>
              <w:rPr>
                <w:rFonts w:eastAsia="Calibri"/>
                <w:sz w:val="20"/>
                <w:lang w:val="fr-CA"/>
              </w:rPr>
            </w:pPr>
            <w:r w:rsidRPr="008057D9">
              <w:rPr>
                <w:rFonts w:eastAsia="Calibri"/>
                <w:sz w:val="20"/>
                <w:lang w:val="fr-CA"/>
              </w:rPr>
              <w:t>30 septembre 2014</w:t>
            </w:r>
          </w:p>
          <w:p w:rsidR="00EA2256" w:rsidRPr="008057D9" w:rsidRDefault="00EA2256" w:rsidP="00574799">
            <w:pPr>
              <w:jc w:val="both"/>
              <w:rPr>
                <w:rFonts w:eastAsia="Calibri"/>
                <w:sz w:val="20"/>
                <w:lang w:val="fr-CA"/>
              </w:rPr>
            </w:pPr>
            <w:r w:rsidRPr="008057D9">
              <w:rPr>
                <w:rFonts w:eastAsia="Calibri"/>
                <w:sz w:val="20"/>
                <w:lang w:val="fr-CA"/>
              </w:rPr>
              <w:t>Cour suprême du Canada</w:t>
            </w:r>
          </w:p>
        </w:tc>
        <w:tc>
          <w:tcPr>
            <w:tcW w:w="243" w:type="pct"/>
          </w:tcPr>
          <w:p w:rsidR="00EA2256" w:rsidRPr="008057D9" w:rsidRDefault="00EA2256" w:rsidP="00574799">
            <w:pPr>
              <w:jc w:val="both"/>
              <w:rPr>
                <w:rFonts w:eastAsia="Calibri"/>
                <w:sz w:val="20"/>
                <w:lang w:val="fr-CA"/>
              </w:rPr>
            </w:pPr>
          </w:p>
        </w:tc>
        <w:tc>
          <w:tcPr>
            <w:tcW w:w="2330" w:type="pct"/>
          </w:tcPr>
          <w:p w:rsidR="00EA2256" w:rsidRPr="008057D9" w:rsidRDefault="00EA2256" w:rsidP="00574799">
            <w:pPr>
              <w:jc w:val="both"/>
              <w:rPr>
                <w:rFonts w:eastAsia="Calibri"/>
                <w:sz w:val="20"/>
                <w:lang w:val="fr-CA"/>
              </w:rPr>
            </w:pPr>
            <w:r w:rsidRPr="008057D9">
              <w:rPr>
                <w:rFonts w:eastAsia="Calibri"/>
                <w:sz w:val="20"/>
                <w:lang w:val="fr-CA"/>
              </w:rPr>
              <w:t>Dépôt de la requête en prorogation du délai de signification et de dépôt de la demande d’autorisation d’appel</w:t>
            </w:r>
          </w:p>
        </w:tc>
      </w:tr>
    </w:tbl>
    <w:p w:rsidR="004D32B1" w:rsidRPr="00EA2256"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61" style="width:2in;height:1pt" o:hrpct="0" o:hralign="center" o:hrstd="t" o:hrnoshade="t" o:hr="t" fillcolor="black [3213]" stroked="f"/>
        </w:pict>
      </w:r>
    </w:p>
    <w:p w:rsidR="004D32B1" w:rsidRDefault="004D32B1" w:rsidP="004D32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34141" w:rsidRPr="00EC49A7" w:rsidTr="00457EB1">
        <w:trPr>
          <w:cantSplit/>
        </w:trPr>
        <w:tc>
          <w:tcPr>
            <w:tcW w:w="1458" w:type="dxa"/>
          </w:tcPr>
          <w:p w:rsidR="00834141" w:rsidRPr="00D36278" w:rsidRDefault="00834141" w:rsidP="00457EB1">
            <w:pPr>
              <w:rPr>
                <w:sz w:val="20"/>
                <w:szCs w:val="20"/>
              </w:rPr>
            </w:pPr>
            <w:r w:rsidRPr="00D36278">
              <w:rPr>
                <w:rStyle w:val="SCCFileNumberChar"/>
                <w:sz w:val="20"/>
                <w:szCs w:val="20"/>
              </w:rPr>
              <w:t>36211</w:t>
            </w:r>
          </w:p>
          <w:p w:rsidR="00834141" w:rsidRPr="00D36278" w:rsidRDefault="00834141" w:rsidP="00457EB1">
            <w:pPr>
              <w:rPr>
                <w:b/>
                <w:sz w:val="20"/>
                <w:szCs w:val="20"/>
                <w:lang w:val="fr-CA"/>
              </w:rPr>
            </w:pPr>
          </w:p>
        </w:tc>
        <w:tc>
          <w:tcPr>
            <w:tcW w:w="8118" w:type="dxa"/>
          </w:tcPr>
          <w:p w:rsidR="00834141" w:rsidRPr="00D36278" w:rsidRDefault="00834141" w:rsidP="00457EB1">
            <w:pPr>
              <w:rPr>
                <w:sz w:val="20"/>
                <w:szCs w:val="20"/>
                <w:lang w:val="fr-CA"/>
              </w:rPr>
            </w:pPr>
            <w:r w:rsidRPr="00D36278">
              <w:rPr>
                <w:rStyle w:val="SCCLsocChar"/>
                <w:sz w:val="20"/>
                <w:szCs w:val="20"/>
              </w:rPr>
              <w:t>Monsif Joudaane c. Sa Majesté la Reine</w:t>
            </w:r>
            <w:r w:rsidRPr="00D36278">
              <w:rPr>
                <w:sz w:val="20"/>
                <w:szCs w:val="20"/>
                <w:lang w:val="fr-CA"/>
              </w:rPr>
              <w:t xml:space="preserve"> (Qc) (Criminelle) (Autorisation)</w:t>
            </w:r>
          </w:p>
          <w:p w:rsidR="00834141" w:rsidRPr="00D36278" w:rsidRDefault="00834141" w:rsidP="00457EB1">
            <w:pPr>
              <w:rPr>
                <w:sz w:val="20"/>
                <w:szCs w:val="20"/>
                <w:lang w:val="fr-CA"/>
              </w:rPr>
            </w:pPr>
          </w:p>
        </w:tc>
      </w:tr>
      <w:tr w:rsidR="00834141" w:rsidRPr="00EC49A7" w:rsidTr="00457EB1">
        <w:trPr>
          <w:cantSplit/>
        </w:trPr>
        <w:tc>
          <w:tcPr>
            <w:tcW w:w="1458" w:type="dxa"/>
          </w:tcPr>
          <w:p w:rsidR="00834141" w:rsidRPr="00D36278" w:rsidRDefault="00834141" w:rsidP="00457EB1">
            <w:pPr>
              <w:rPr>
                <w:sz w:val="20"/>
                <w:szCs w:val="20"/>
              </w:rPr>
            </w:pPr>
            <w:r w:rsidRPr="00D36278">
              <w:rPr>
                <w:sz w:val="20"/>
                <w:szCs w:val="20"/>
              </w:rPr>
              <w:t>Coram :</w:t>
            </w:r>
          </w:p>
        </w:tc>
        <w:tc>
          <w:tcPr>
            <w:tcW w:w="8118" w:type="dxa"/>
          </w:tcPr>
          <w:p w:rsidR="00834141" w:rsidRPr="00D36278" w:rsidRDefault="00834141" w:rsidP="00457EB1">
            <w:pPr>
              <w:rPr>
                <w:sz w:val="20"/>
                <w:szCs w:val="20"/>
                <w:lang w:val="fr-CA"/>
              </w:rPr>
            </w:pPr>
            <w:r w:rsidRPr="00D36278">
              <w:rPr>
                <w:rStyle w:val="SCCCoramChar"/>
                <w:sz w:val="20"/>
                <w:szCs w:val="20"/>
              </w:rPr>
              <w:t>La juge en chef McLachlin et les juges Wagner et Gascon</w:t>
            </w:r>
          </w:p>
          <w:p w:rsidR="00834141" w:rsidRPr="00D36278" w:rsidRDefault="00834141" w:rsidP="00457EB1">
            <w:pPr>
              <w:rPr>
                <w:sz w:val="20"/>
                <w:szCs w:val="20"/>
                <w:u w:val="single"/>
                <w:lang w:val="fr-CA"/>
              </w:rPr>
            </w:pPr>
          </w:p>
        </w:tc>
      </w:tr>
      <w:tr w:rsidR="00834141" w:rsidRPr="00D36278" w:rsidTr="00457EB1">
        <w:trPr>
          <w:cantSplit/>
        </w:trPr>
        <w:tc>
          <w:tcPr>
            <w:tcW w:w="9576" w:type="dxa"/>
            <w:gridSpan w:val="2"/>
          </w:tcPr>
          <w:p w:rsidR="00834141" w:rsidRPr="00D36278" w:rsidRDefault="00834141" w:rsidP="00457EB1">
            <w:pPr>
              <w:pStyle w:val="SCCShortJudgment"/>
              <w:rPr>
                <w:szCs w:val="20"/>
                <w:lang w:val="fr-CA"/>
              </w:rPr>
            </w:pPr>
            <w:r w:rsidRPr="00D36278">
              <w:rPr>
                <w:szCs w:val="20"/>
                <w:lang w:val="fr-CA"/>
              </w:rPr>
              <w:t>La demande d’autorisation d’appel de l’arrêt de la Cour d’appel du Québec (Montréal), numéro 500-10-005365-133, 2014 QCCA 1880, daté du 10 octobre 2014, est rejetée.</w:t>
            </w:r>
          </w:p>
          <w:p w:rsidR="00834141" w:rsidRPr="00D36278" w:rsidRDefault="00834141" w:rsidP="00457EB1">
            <w:pPr>
              <w:pStyle w:val="SCCShortJudgment"/>
              <w:ind w:firstLine="0"/>
              <w:rPr>
                <w:szCs w:val="20"/>
                <w:lang w:val="fr-CA"/>
              </w:rPr>
            </w:pPr>
          </w:p>
          <w:p w:rsidR="00834141" w:rsidRPr="00D36278" w:rsidRDefault="00834141" w:rsidP="00457EB1">
            <w:pPr>
              <w:pStyle w:val="SCCShortJudgment"/>
              <w:rPr>
                <w:szCs w:val="20"/>
              </w:rPr>
            </w:pPr>
            <w:r w:rsidRPr="00D36278">
              <w:rPr>
                <w:szCs w:val="20"/>
              </w:rPr>
              <w:t>The application for leave to appeal from the judgment of the Court of Appeal of Quebec (Montréal), Number 500-10-005365-133, 2014 QCCA 1880, dated October 10, 2014, is dismissed.</w:t>
            </w:r>
          </w:p>
        </w:tc>
      </w:tr>
    </w:tbl>
    <w:p w:rsidR="004D32B1" w:rsidRDefault="004D32B1" w:rsidP="004D32B1">
      <w:pPr>
        <w:rPr>
          <w:sz w:val="20"/>
          <w:szCs w:val="20"/>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676D" w:rsidRPr="008057D9" w:rsidTr="00574799">
        <w:tc>
          <w:tcPr>
            <w:tcW w:w="5000" w:type="pct"/>
            <w:gridSpan w:val="3"/>
          </w:tcPr>
          <w:p w:rsidR="0045676D" w:rsidRPr="008057D9" w:rsidRDefault="0045676D" w:rsidP="00574799">
            <w:pPr>
              <w:jc w:val="both"/>
              <w:rPr>
                <w:rFonts w:eastAsia="Calibri"/>
                <w:sz w:val="20"/>
              </w:rPr>
            </w:pPr>
            <w:r w:rsidRPr="008057D9">
              <w:rPr>
                <w:rFonts w:eastAsia="Calibri"/>
                <w:i/>
                <w:sz w:val="20"/>
              </w:rPr>
              <w:t>Canadian Charter of Rights and Freedoms</w:t>
            </w:r>
            <w:r w:rsidRPr="008057D9">
              <w:rPr>
                <w:rFonts w:eastAsia="Calibri"/>
                <w:sz w:val="20"/>
              </w:rPr>
              <w:t xml:space="preserve"> – Criminal law – Trial within reasonable time – Stay of proceedings – </w:t>
            </w:r>
            <w:r w:rsidRPr="008057D9">
              <w:rPr>
                <w:rFonts w:eastAsia="Calibri"/>
                <w:sz w:val="20"/>
              </w:rPr>
              <w:lastRenderedPageBreak/>
              <w:t xml:space="preserve">Delay of six years and four months – Conspiracy – Breaking and entering – Possession of stolen property – Whether trial judge erred in dismissing motion to stay proceedings – Whether trial judge was unduly influenced by defect in form due to Crown’s error regarding the value of the stolen property, which in the end was $3,000, as stated in the police incident report, and not $5,000, as found by trial judge. </w:t>
            </w:r>
          </w:p>
        </w:tc>
      </w:tr>
      <w:tr w:rsidR="0045676D" w:rsidRPr="008057D9" w:rsidTr="00574799">
        <w:tc>
          <w:tcPr>
            <w:tcW w:w="5000" w:type="pct"/>
            <w:gridSpan w:val="3"/>
          </w:tcPr>
          <w:p w:rsidR="0045676D" w:rsidRPr="008057D9" w:rsidRDefault="0045676D" w:rsidP="00574799">
            <w:pPr>
              <w:jc w:val="both"/>
              <w:rPr>
                <w:rFonts w:eastAsia="Calibri"/>
                <w:sz w:val="20"/>
              </w:rPr>
            </w:pPr>
          </w:p>
        </w:tc>
      </w:tr>
      <w:tr w:rsidR="0045676D" w:rsidRPr="008057D9" w:rsidTr="00574799">
        <w:tc>
          <w:tcPr>
            <w:tcW w:w="5000" w:type="pct"/>
            <w:gridSpan w:val="3"/>
          </w:tcPr>
          <w:p w:rsidR="0045676D" w:rsidRPr="008057D9" w:rsidRDefault="0045676D" w:rsidP="00574799">
            <w:pPr>
              <w:jc w:val="both"/>
              <w:rPr>
                <w:rFonts w:eastAsia="Calibri"/>
                <w:sz w:val="20"/>
              </w:rPr>
            </w:pPr>
            <w:r w:rsidRPr="008057D9">
              <w:rPr>
                <w:rFonts w:eastAsia="Calibri"/>
                <w:sz w:val="20"/>
              </w:rPr>
              <w:t xml:space="preserve">Mr. Joudaane, applicant, was found guilty of conspiracy, breaking and entering and possession of stolen property.  Mr. Joudaane worked for an insurance company.  He gave an acquaintance a key that allowed her to enter the company’s offices and steal confidential information that would later be used to commit fraud.  More than 7,000 client files were stolen, as well as 55 broker files and some computer equipment.  At trial, Mr. Joudaane raised a defence of duress, which the trial judge rejected.  More than six years had passed between his appearance and the commencement of his trial.  The judge dismissed the motion on the basis that even though the delay was unreasonable, Mr. Joudaane’s inaction throughout the proceedings demonstrated that he was in no hurry to stand trial.  The judge also found that Mr. Joudaane had not suffered any harm because of the delay.  The Court of Appeal dismissed the appeal. </w:t>
            </w:r>
          </w:p>
          <w:p w:rsidR="0045676D" w:rsidRPr="008057D9" w:rsidRDefault="0045676D" w:rsidP="00574799">
            <w:pPr>
              <w:jc w:val="both"/>
              <w:rPr>
                <w:rFonts w:eastAsia="Calibri"/>
                <w:sz w:val="20"/>
              </w:rPr>
            </w:pPr>
          </w:p>
        </w:tc>
      </w:tr>
      <w:tr w:rsidR="0045676D" w:rsidRPr="008057D9" w:rsidTr="00574799">
        <w:tc>
          <w:tcPr>
            <w:tcW w:w="2427" w:type="pct"/>
          </w:tcPr>
          <w:p w:rsidR="0045676D" w:rsidRPr="008057D9" w:rsidRDefault="0045676D" w:rsidP="00574799">
            <w:pPr>
              <w:jc w:val="both"/>
              <w:rPr>
                <w:rFonts w:eastAsia="Calibri"/>
                <w:sz w:val="20"/>
              </w:rPr>
            </w:pPr>
            <w:r w:rsidRPr="008057D9">
              <w:rPr>
                <w:rFonts w:eastAsia="Calibri"/>
                <w:sz w:val="20"/>
              </w:rPr>
              <w:t>February 20, 2013</w:t>
            </w:r>
          </w:p>
          <w:p w:rsidR="0045676D" w:rsidRPr="008057D9" w:rsidRDefault="0045676D" w:rsidP="00574799">
            <w:pPr>
              <w:jc w:val="both"/>
              <w:rPr>
                <w:rFonts w:eastAsia="Calibri"/>
                <w:sz w:val="20"/>
              </w:rPr>
            </w:pPr>
            <w:r w:rsidRPr="008057D9">
              <w:rPr>
                <w:rFonts w:eastAsia="Calibri"/>
                <w:sz w:val="20"/>
              </w:rPr>
              <w:t>Court of Quebec</w:t>
            </w:r>
          </w:p>
          <w:p w:rsidR="0045676D" w:rsidRPr="008057D9" w:rsidRDefault="0045676D" w:rsidP="00574799">
            <w:pPr>
              <w:jc w:val="both"/>
              <w:rPr>
                <w:rFonts w:eastAsia="Calibri"/>
                <w:sz w:val="20"/>
              </w:rPr>
            </w:pPr>
            <w:r w:rsidRPr="008057D9">
              <w:rPr>
                <w:rFonts w:eastAsia="Calibri"/>
                <w:sz w:val="20"/>
              </w:rPr>
              <w:t>(Judge Gratton)</w:t>
            </w:r>
          </w:p>
          <w:p w:rsidR="0045676D" w:rsidRPr="008057D9" w:rsidRDefault="00173D9D" w:rsidP="00574799">
            <w:pPr>
              <w:jc w:val="both"/>
              <w:rPr>
                <w:rFonts w:eastAsia="Calibri"/>
                <w:sz w:val="20"/>
              </w:rPr>
            </w:pPr>
            <w:hyperlink r:id="rId67" w:history="1">
              <w:r w:rsidR="0045676D" w:rsidRPr="008057D9">
                <w:rPr>
                  <w:rFonts w:eastAsia="Calibri"/>
                  <w:color w:val="0000FF"/>
                  <w:sz w:val="20"/>
                  <w:u w:val="single"/>
                </w:rPr>
                <w:t>2013 QCCQ 19999</w:t>
              </w:r>
            </w:hyperlink>
          </w:p>
          <w:p w:rsidR="0045676D" w:rsidRPr="008057D9" w:rsidRDefault="00173D9D" w:rsidP="00574799">
            <w:pPr>
              <w:jc w:val="both"/>
              <w:rPr>
                <w:rFonts w:eastAsia="Calibri"/>
                <w:sz w:val="20"/>
              </w:rPr>
            </w:pPr>
            <w:hyperlink r:id="rId68" w:history="1">
              <w:r w:rsidR="0045676D" w:rsidRPr="008057D9">
                <w:rPr>
                  <w:rFonts w:eastAsia="Calibri"/>
                  <w:color w:val="0000FF"/>
                  <w:sz w:val="20"/>
                  <w:u w:val="single"/>
                </w:rPr>
                <w:t>2013 QCCQ 20000</w:t>
              </w:r>
            </w:hyperlink>
          </w:p>
          <w:p w:rsidR="0045676D" w:rsidRPr="008057D9" w:rsidRDefault="0045676D" w:rsidP="00574799">
            <w:pPr>
              <w:jc w:val="both"/>
              <w:rPr>
                <w:rFonts w:eastAsia="Calibri"/>
                <w:sz w:val="20"/>
              </w:rPr>
            </w:pPr>
          </w:p>
        </w:tc>
        <w:tc>
          <w:tcPr>
            <w:tcW w:w="243" w:type="pct"/>
          </w:tcPr>
          <w:p w:rsidR="0045676D" w:rsidRPr="008057D9" w:rsidRDefault="0045676D" w:rsidP="00574799">
            <w:pPr>
              <w:jc w:val="both"/>
              <w:rPr>
                <w:rFonts w:eastAsia="Calibri"/>
                <w:sz w:val="20"/>
              </w:rPr>
            </w:pPr>
          </w:p>
        </w:tc>
        <w:tc>
          <w:tcPr>
            <w:tcW w:w="2330" w:type="pct"/>
          </w:tcPr>
          <w:p w:rsidR="0045676D" w:rsidRPr="008057D9" w:rsidRDefault="0045676D" w:rsidP="00574799">
            <w:pPr>
              <w:jc w:val="both"/>
              <w:rPr>
                <w:rFonts w:eastAsia="Calibri"/>
                <w:sz w:val="20"/>
              </w:rPr>
            </w:pPr>
            <w:r w:rsidRPr="008057D9">
              <w:rPr>
                <w:rFonts w:eastAsia="Calibri"/>
                <w:sz w:val="20"/>
              </w:rPr>
              <w:t>Motion to stay proceedings dismissed; applicant found guilty of conspiracy (465(1)(</w:t>
            </w:r>
            <w:r w:rsidRPr="008057D9">
              <w:rPr>
                <w:rFonts w:eastAsia="Calibri"/>
                <w:i/>
                <w:sz w:val="20"/>
              </w:rPr>
              <w:t>c</w:t>
            </w:r>
            <w:r w:rsidRPr="008057D9">
              <w:rPr>
                <w:rFonts w:eastAsia="Calibri"/>
                <w:sz w:val="20"/>
              </w:rPr>
              <w:t xml:space="preserve">) </w:t>
            </w:r>
            <w:r w:rsidRPr="008057D9">
              <w:rPr>
                <w:rFonts w:eastAsia="Calibri"/>
                <w:i/>
                <w:sz w:val="20"/>
              </w:rPr>
              <w:t>Cr. C.</w:t>
            </w:r>
            <w:r w:rsidRPr="008057D9">
              <w:rPr>
                <w:rFonts w:eastAsia="Calibri"/>
                <w:sz w:val="20"/>
              </w:rPr>
              <w:t>), breaking and entering (348(1)(</w:t>
            </w:r>
            <w:r w:rsidRPr="008057D9">
              <w:rPr>
                <w:rFonts w:eastAsia="Calibri"/>
                <w:i/>
                <w:sz w:val="20"/>
              </w:rPr>
              <w:t>b</w:t>
            </w:r>
            <w:r w:rsidRPr="008057D9">
              <w:rPr>
                <w:rFonts w:eastAsia="Calibri"/>
                <w:sz w:val="20"/>
              </w:rPr>
              <w:t>) and (</w:t>
            </w:r>
            <w:r w:rsidRPr="008057D9">
              <w:rPr>
                <w:rFonts w:eastAsia="Calibri"/>
                <w:i/>
                <w:sz w:val="20"/>
              </w:rPr>
              <w:t>e</w:t>
            </w:r>
            <w:r w:rsidRPr="008057D9">
              <w:rPr>
                <w:rFonts w:eastAsia="Calibri"/>
                <w:sz w:val="20"/>
              </w:rPr>
              <w:t xml:space="preserve">) </w:t>
            </w:r>
            <w:r w:rsidRPr="008057D9">
              <w:rPr>
                <w:rFonts w:eastAsia="Calibri"/>
                <w:i/>
                <w:sz w:val="20"/>
              </w:rPr>
              <w:t>Cr. C.</w:t>
            </w:r>
            <w:r w:rsidRPr="008057D9">
              <w:rPr>
                <w:rFonts w:eastAsia="Calibri"/>
                <w:sz w:val="20"/>
              </w:rPr>
              <w:t>) and possession of stolen property (354(1)(</w:t>
            </w:r>
            <w:r w:rsidRPr="008057D9">
              <w:rPr>
                <w:rFonts w:eastAsia="Calibri"/>
                <w:i/>
                <w:sz w:val="20"/>
              </w:rPr>
              <w:t>a</w:t>
            </w:r>
            <w:r w:rsidRPr="008057D9">
              <w:rPr>
                <w:rFonts w:eastAsia="Calibri"/>
                <w:sz w:val="20"/>
              </w:rPr>
              <w:t>) and 355(</w:t>
            </w:r>
            <w:r w:rsidRPr="008057D9">
              <w:rPr>
                <w:rFonts w:eastAsia="Calibri"/>
                <w:i/>
                <w:sz w:val="20"/>
              </w:rPr>
              <w:t>a</w:t>
            </w:r>
            <w:r w:rsidRPr="008057D9">
              <w:rPr>
                <w:rFonts w:eastAsia="Calibri"/>
                <w:sz w:val="20"/>
              </w:rPr>
              <w:t xml:space="preserve">) </w:t>
            </w:r>
            <w:r w:rsidRPr="008057D9">
              <w:rPr>
                <w:rFonts w:eastAsia="Calibri"/>
                <w:i/>
                <w:sz w:val="20"/>
              </w:rPr>
              <w:t>Cr. C.</w:t>
            </w:r>
            <w:r w:rsidRPr="008057D9">
              <w:rPr>
                <w:rFonts w:eastAsia="Calibri"/>
                <w:sz w:val="20"/>
              </w:rPr>
              <w:t xml:space="preserve">) </w:t>
            </w:r>
          </w:p>
          <w:p w:rsidR="0045676D" w:rsidRPr="008057D9" w:rsidRDefault="0045676D" w:rsidP="00574799">
            <w:pPr>
              <w:jc w:val="both"/>
              <w:rPr>
                <w:rFonts w:eastAsia="Calibri"/>
                <w:sz w:val="20"/>
              </w:rPr>
            </w:pPr>
          </w:p>
        </w:tc>
      </w:tr>
      <w:tr w:rsidR="0045676D" w:rsidRPr="008057D9" w:rsidTr="00574799">
        <w:tc>
          <w:tcPr>
            <w:tcW w:w="2427" w:type="pct"/>
          </w:tcPr>
          <w:p w:rsidR="0045676D" w:rsidRPr="008057D9" w:rsidRDefault="0045676D" w:rsidP="00574799">
            <w:pPr>
              <w:jc w:val="both"/>
              <w:rPr>
                <w:rFonts w:eastAsia="Calibri"/>
                <w:sz w:val="20"/>
              </w:rPr>
            </w:pPr>
            <w:r w:rsidRPr="008057D9">
              <w:rPr>
                <w:rFonts w:eastAsia="Calibri"/>
                <w:sz w:val="20"/>
              </w:rPr>
              <w:t>October 10, 2014</w:t>
            </w:r>
          </w:p>
          <w:p w:rsidR="0045676D" w:rsidRPr="008057D9" w:rsidRDefault="0045676D" w:rsidP="00574799">
            <w:pPr>
              <w:jc w:val="both"/>
              <w:rPr>
                <w:rFonts w:eastAsia="Calibri"/>
                <w:sz w:val="20"/>
              </w:rPr>
            </w:pPr>
            <w:r w:rsidRPr="008057D9">
              <w:rPr>
                <w:rFonts w:eastAsia="Calibri"/>
                <w:sz w:val="20"/>
              </w:rPr>
              <w:t>Quebec Court of Appeal (Montréal)</w:t>
            </w:r>
          </w:p>
          <w:p w:rsidR="0045676D" w:rsidRPr="008057D9" w:rsidRDefault="0045676D" w:rsidP="00574799">
            <w:pPr>
              <w:jc w:val="both"/>
              <w:rPr>
                <w:rFonts w:eastAsia="Calibri"/>
                <w:sz w:val="20"/>
              </w:rPr>
            </w:pPr>
            <w:r w:rsidRPr="008057D9">
              <w:rPr>
                <w:rFonts w:eastAsia="Calibri"/>
                <w:sz w:val="20"/>
              </w:rPr>
              <w:t>(Morissette, Giroux and Bouchard JJ.A.)</w:t>
            </w:r>
          </w:p>
          <w:p w:rsidR="0045676D" w:rsidRPr="008057D9" w:rsidRDefault="00173D9D" w:rsidP="00574799">
            <w:pPr>
              <w:jc w:val="both"/>
              <w:rPr>
                <w:rFonts w:eastAsia="Calibri"/>
                <w:sz w:val="20"/>
              </w:rPr>
            </w:pPr>
            <w:hyperlink r:id="rId69" w:history="1">
              <w:r w:rsidR="0045676D" w:rsidRPr="008057D9">
                <w:rPr>
                  <w:rFonts w:eastAsia="Calibri"/>
                  <w:color w:val="0000FF"/>
                  <w:sz w:val="20"/>
                  <w:u w:val="single"/>
                </w:rPr>
                <w:t>2014 QCCA 1880</w:t>
              </w:r>
            </w:hyperlink>
          </w:p>
          <w:p w:rsidR="0045676D" w:rsidRPr="008057D9" w:rsidRDefault="0045676D" w:rsidP="00574799">
            <w:pPr>
              <w:jc w:val="both"/>
              <w:rPr>
                <w:rFonts w:eastAsia="Calibri"/>
                <w:sz w:val="20"/>
              </w:rPr>
            </w:pPr>
          </w:p>
        </w:tc>
        <w:tc>
          <w:tcPr>
            <w:tcW w:w="243" w:type="pct"/>
          </w:tcPr>
          <w:p w:rsidR="0045676D" w:rsidRPr="008057D9" w:rsidRDefault="0045676D" w:rsidP="00574799">
            <w:pPr>
              <w:jc w:val="both"/>
              <w:rPr>
                <w:rFonts w:eastAsia="Calibri"/>
                <w:sz w:val="20"/>
              </w:rPr>
            </w:pPr>
          </w:p>
        </w:tc>
        <w:tc>
          <w:tcPr>
            <w:tcW w:w="2330" w:type="pct"/>
          </w:tcPr>
          <w:p w:rsidR="0045676D" w:rsidRPr="008057D9" w:rsidRDefault="0045676D" w:rsidP="00574799">
            <w:pPr>
              <w:jc w:val="both"/>
              <w:rPr>
                <w:rFonts w:eastAsia="Calibri"/>
                <w:sz w:val="20"/>
              </w:rPr>
            </w:pPr>
            <w:r w:rsidRPr="008057D9">
              <w:rPr>
                <w:rFonts w:eastAsia="Calibri"/>
                <w:sz w:val="20"/>
              </w:rPr>
              <w:t>Appeal dismissed</w:t>
            </w:r>
          </w:p>
          <w:p w:rsidR="0045676D" w:rsidRPr="008057D9" w:rsidRDefault="0045676D" w:rsidP="00574799">
            <w:pPr>
              <w:jc w:val="both"/>
              <w:rPr>
                <w:rFonts w:eastAsia="Calibri"/>
                <w:sz w:val="20"/>
              </w:rPr>
            </w:pPr>
          </w:p>
        </w:tc>
      </w:tr>
      <w:tr w:rsidR="0045676D" w:rsidRPr="008057D9" w:rsidTr="00574799">
        <w:tc>
          <w:tcPr>
            <w:tcW w:w="2427" w:type="pct"/>
          </w:tcPr>
          <w:p w:rsidR="0045676D" w:rsidRPr="008057D9" w:rsidRDefault="0045676D" w:rsidP="00574799">
            <w:pPr>
              <w:jc w:val="both"/>
              <w:rPr>
                <w:rFonts w:eastAsia="Calibri"/>
                <w:sz w:val="20"/>
              </w:rPr>
            </w:pPr>
            <w:r w:rsidRPr="008057D9">
              <w:rPr>
                <w:rFonts w:eastAsia="Calibri"/>
                <w:sz w:val="20"/>
              </w:rPr>
              <w:t>December 9, 2014</w:t>
            </w:r>
          </w:p>
          <w:p w:rsidR="0045676D" w:rsidRPr="008057D9" w:rsidRDefault="0045676D" w:rsidP="00574799">
            <w:pPr>
              <w:jc w:val="both"/>
              <w:rPr>
                <w:rFonts w:eastAsia="Calibri"/>
                <w:sz w:val="20"/>
              </w:rPr>
            </w:pPr>
            <w:r w:rsidRPr="008057D9">
              <w:rPr>
                <w:rFonts w:eastAsia="Calibri"/>
                <w:sz w:val="20"/>
              </w:rPr>
              <w:t>Supreme Court of Canada</w:t>
            </w:r>
          </w:p>
        </w:tc>
        <w:tc>
          <w:tcPr>
            <w:tcW w:w="243" w:type="pct"/>
          </w:tcPr>
          <w:p w:rsidR="0045676D" w:rsidRPr="008057D9" w:rsidRDefault="0045676D" w:rsidP="00574799">
            <w:pPr>
              <w:jc w:val="both"/>
              <w:rPr>
                <w:rFonts w:eastAsia="Calibri"/>
                <w:sz w:val="20"/>
              </w:rPr>
            </w:pPr>
          </w:p>
        </w:tc>
        <w:tc>
          <w:tcPr>
            <w:tcW w:w="2330" w:type="pct"/>
          </w:tcPr>
          <w:p w:rsidR="0045676D" w:rsidRPr="008057D9" w:rsidRDefault="0045676D" w:rsidP="00574799">
            <w:pPr>
              <w:jc w:val="both"/>
              <w:rPr>
                <w:rFonts w:eastAsia="Calibri"/>
                <w:sz w:val="20"/>
              </w:rPr>
            </w:pPr>
            <w:r w:rsidRPr="008057D9">
              <w:rPr>
                <w:rFonts w:eastAsia="Calibri"/>
                <w:sz w:val="20"/>
              </w:rPr>
              <w:t>Application for leave to appeal filed</w:t>
            </w:r>
          </w:p>
          <w:p w:rsidR="0045676D" w:rsidRPr="008057D9" w:rsidRDefault="0045676D" w:rsidP="00574799">
            <w:pPr>
              <w:jc w:val="both"/>
              <w:rPr>
                <w:rFonts w:eastAsia="Calibri"/>
                <w:sz w:val="20"/>
              </w:rPr>
            </w:pP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62"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676D" w:rsidRPr="00EC49A7" w:rsidTr="00574799">
        <w:tc>
          <w:tcPr>
            <w:tcW w:w="5000" w:type="pct"/>
            <w:gridSpan w:val="3"/>
          </w:tcPr>
          <w:p w:rsidR="0045676D" w:rsidRPr="008057D9" w:rsidRDefault="0045676D" w:rsidP="00574799">
            <w:pPr>
              <w:jc w:val="both"/>
              <w:rPr>
                <w:rFonts w:eastAsia="Calibri"/>
                <w:sz w:val="20"/>
                <w:lang w:val="fr-CA"/>
              </w:rPr>
            </w:pPr>
            <w:r w:rsidRPr="008057D9">
              <w:rPr>
                <w:rFonts w:eastAsia="Calibri"/>
                <w:i/>
                <w:sz w:val="20"/>
                <w:lang w:val="fr-CA"/>
              </w:rPr>
              <w:t>Charte canadienne des droits et libertés</w:t>
            </w:r>
            <w:r w:rsidRPr="008057D9">
              <w:rPr>
                <w:rFonts w:eastAsia="Calibri"/>
                <w:sz w:val="20"/>
                <w:lang w:val="fr-CA"/>
              </w:rPr>
              <w:t xml:space="preserve"> – Droit criminel – Procès dans un délai raisonnable – Arrêt des procédures – Délai de 6 ans et 4 mois – Complot – Introduction par effraction – Recel – La juge de première instance a-t-elle erré en rejetant la requête en arrêt des procédures? – La juge de première instance était-elle biaisée par le vice de forme dû à l’erreur de la couronne sur la valeur du bien volé, qui est finalement de 3 000 $ comme indique le rapport de police de l’évènement et non pas plus de 5 000 $ comme cela a été jugé?</w:t>
            </w:r>
          </w:p>
        </w:tc>
      </w:tr>
      <w:tr w:rsidR="0045676D" w:rsidRPr="00EC49A7" w:rsidTr="00574799">
        <w:tc>
          <w:tcPr>
            <w:tcW w:w="5000" w:type="pct"/>
            <w:gridSpan w:val="3"/>
          </w:tcPr>
          <w:p w:rsidR="0045676D" w:rsidRPr="008057D9" w:rsidRDefault="0045676D" w:rsidP="00574799">
            <w:pPr>
              <w:jc w:val="both"/>
              <w:rPr>
                <w:rFonts w:eastAsia="Calibri"/>
                <w:sz w:val="20"/>
                <w:lang w:val="fr-CA"/>
              </w:rPr>
            </w:pPr>
          </w:p>
        </w:tc>
      </w:tr>
      <w:tr w:rsidR="0045676D" w:rsidRPr="008057D9" w:rsidTr="00574799">
        <w:tc>
          <w:tcPr>
            <w:tcW w:w="5000" w:type="pct"/>
            <w:gridSpan w:val="3"/>
          </w:tcPr>
          <w:p w:rsidR="0045676D" w:rsidRPr="008057D9" w:rsidRDefault="0045676D" w:rsidP="00574799">
            <w:pPr>
              <w:jc w:val="both"/>
              <w:rPr>
                <w:rFonts w:eastAsia="Calibri"/>
                <w:sz w:val="20"/>
                <w:lang w:val="fr-CA"/>
              </w:rPr>
            </w:pPr>
            <w:r w:rsidRPr="008057D9">
              <w:rPr>
                <w:rFonts w:eastAsia="Calibri"/>
                <w:sz w:val="20"/>
                <w:lang w:val="fr-CA"/>
              </w:rPr>
              <w:t xml:space="preserve">Monsieur Joudaane, demandeur, a été déclaré coupable de complot, d’introduction par effraction et de recel.  Monsieur Joudaane travaillait au sein d’une compagnie d’assurances.  Il a remis à une connaissance une clef qui a permis à cette dernière d’entrer dans les locaux de la compagnie et de voler des informations confidentielles dans le but de commettre éventuellement des actes de fraude.  Plus de 7000 dossiers d’assurés, 55 dossiers de courtiers ainsi que du matériel informatique ont été volés.  Au procès, M. Joudaane a présenté une défense de contrainte que la juge de première instance n’a pas retenue.  Il a aussi demandé l’arrêt des procédures pour cause de délai déraisonnable.  Plus de 6 ans s’étaient écoulés entre sa comparution et le commencement de son procès.  La juge a rejeté la requête au motif que même si le délai était déraisonnable, l’inaction de M. Joudaane </w:t>
            </w:r>
            <w:r w:rsidRPr="008057D9">
              <w:rPr>
                <w:rFonts w:eastAsia="Calibri"/>
                <w:sz w:val="20"/>
                <w:lang w:val="fr-FR"/>
              </w:rPr>
              <w:t>tout au long des procédures démontrait un manque d’empressement à subir son procès.  De plus, la juge a conclu que M. Joudaane n’a subi aucun préjudice en raison du délai.</w:t>
            </w:r>
            <w:r w:rsidRPr="008057D9">
              <w:rPr>
                <w:rFonts w:eastAsia="Calibri"/>
                <w:sz w:val="20"/>
                <w:lang w:val="fr-CA"/>
              </w:rPr>
              <w:t xml:space="preserve">  </w:t>
            </w:r>
            <w:r w:rsidRPr="008057D9">
              <w:rPr>
                <w:rFonts w:eastAsia="Calibri"/>
                <w:sz w:val="20"/>
                <w:lang w:val="fr-FR"/>
              </w:rPr>
              <w:t>La Cour d’appel a rejeté l’appel.</w:t>
            </w:r>
          </w:p>
          <w:p w:rsidR="0045676D" w:rsidRPr="008057D9" w:rsidRDefault="0045676D" w:rsidP="00574799">
            <w:pPr>
              <w:jc w:val="both"/>
              <w:rPr>
                <w:rFonts w:eastAsia="Calibri"/>
                <w:sz w:val="20"/>
                <w:lang w:val="fr-CA"/>
              </w:rPr>
            </w:pPr>
          </w:p>
        </w:tc>
      </w:tr>
      <w:tr w:rsidR="0045676D" w:rsidRPr="00EC49A7" w:rsidTr="00834141">
        <w:trPr>
          <w:cantSplit/>
        </w:trPr>
        <w:tc>
          <w:tcPr>
            <w:tcW w:w="2427" w:type="pct"/>
          </w:tcPr>
          <w:p w:rsidR="0045676D" w:rsidRPr="008057D9" w:rsidRDefault="0045676D" w:rsidP="00574799">
            <w:pPr>
              <w:jc w:val="both"/>
              <w:rPr>
                <w:rFonts w:eastAsia="Calibri"/>
                <w:sz w:val="20"/>
                <w:lang w:val="fr-CA"/>
              </w:rPr>
            </w:pPr>
            <w:r w:rsidRPr="008057D9">
              <w:rPr>
                <w:rFonts w:eastAsia="Calibri"/>
                <w:sz w:val="20"/>
                <w:lang w:val="fr-CA"/>
              </w:rPr>
              <w:lastRenderedPageBreak/>
              <w:t>Le 20 février 2013</w:t>
            </w:r>
          </w:p>
          <w:p w:rsidR="0045676D" w:rsidRPr="008057D9" w:rsidRDefault="0045676D" w:rsidP="00574799">
            <w:pPr>
              <w:jc w:val="both"/>
              <w:rPr>
                <w:rFonts w:eastAsia="Calibri"/>
                <w:sz w:val="20"/>
                <w:lang w:val="fr-CA"/>
              </w:rPr>
            </w:pPr>
            <w:r w:rsidRPr="008057D9">
              <w:rPr>
                <w:rFonts w:eastAsia="Calibri"/>
                <w:sz w:val="20"/>
                <w:lang w:val="fr-CA"/>
              </w:rPr>
              <w:t>Cour du Québec</w:t>
            </w:r>
          </w:p>
          <w:p w:rsidR="0045676D" w:rsidRPr="008057D9" w:rsidRDefault="0045676D" w:rsidP="00574799">
            <w:pPr>
              <w:jc w:val="both"/>
              <w:rPr>
                <w:rFonts w:eastAsia="Calibri"/>
                <w:sz w:val="20"/>
                <w:lang w:val="fr-CA"/>
              </w:rPr>
            </w:pPr>
            <w:r w:rsidRPr="008057D9">
              <w:rPr>
                <w:rFonts w:eastAsia="Calibri"/>
                <w:sz w:val="20"/>
                <w:lang w:val="fr-CA"/>
              </w:rPr>
              <w:t>(La juge Gratton)</w:t>
            </w:r>
          </w:p>
          <w:p w:rsidR="0045676D" w:rsidRPr="008057D9" w:rsidRDefault="00173D9D" w:rsidP="00574799">
            <w:pPr>
              <w:jc w:val="both"/>
              <w:rPr>
                <w:rFonts w:eastAsia="Calibri"/>
                <w:sz w:val="20"/>
                <w:lang w:val="fr-CA"/>
              </w:rPr>
            </w:pPr>
            <w:hyperlink r:id="rId70" w:history="1">
              <w:r w:rsidR="0045676D" w:rsidRPr="008057D9">
                <w:rPr>
                  <w:rFonts w:eastAsia="Calibri"/>
                  <w:color w:val="0000FF"/>
                  <w:sz w:val="20"/>
                  <w:u w:val="single"/>
                  <w:lang w:val="fr-CA"/>
                </w:rPr>
                <w:t>2013 QCCQ 19999</w:t>
              </w:r>
            </w:hyperlink>
          </w:p>
          <w:p w:rsidR="0045676D" w:rsidRPr="008057D9" w:rsidRDefault="00173D9D" w:rsidP="00574799">
            <w:pPr>
              <w:jc w:val="both"/>
              <w:rPr>
                <w:rFonts w:eastAsia="Calibri"/>
                <w:sz w:val="20"/>
                <w:lang w:val="fr-CA"/>
              </w:rPr>
            </w:pPr>
            <w:hyperlink r:id="rId71" w:history="1">
              <w:r w:rsidR="0045676D" w:rsidRPr="008057D9">
                <w:rPr>
                  <w:rFonts w:eastAsia="Calibri"/>
                  <w:color w:val="0000FF"/>
                  <w:sz w:val="20"/>
                  <w:u w:val="single"/>
                  <w:lang w:val="fr-CA"/>
                </w:rPr>
                <w:t>2013 QCCQ 20000</w:t>
              </w:r>
            </w:hyperlink>
          </w:p>
          <w:p w:rsidR="0045676D" w:rsidRPr="008057D9" w:rsidRDefault="0045676D" w:rsidP="00574799">
            <w:pPr>
              <w:jc w:val="both"/>
              <w:rPr>
                <w:rFonts w:eastAsia="Calibri"/>
                <w:sz w:val="20"/>
                <w:lang w:val="fr-CA"/>
              </w:rPr>
            </w:pPr>
          </w:p>
        </w:tc>
        <w:tc>
          <w:tcPr>
            <w:tcW w:w="243" w:type="pct"/>
          </w:tcPr>
          <w:p w:rsidR="0045676D" w:rsidRPr="008057D9" w:rsidRDefault="0045676D" w:rsidP="00574799">
            <w:pPr>
              <w:jc w:val="both"/>
              <w:rPr>
                <w:rFonts w:eastAsia="Calibri"/>
                <w:sz w:val="20"/>
                <w:lang w:val="fr-CA"/>
              </w:rPr>
            </w:pPr>
          </w:p>
        </w:tc>
        <w:tc>
          <w:tcPr>
            <w:tcW w:w="2330" w:type="pct"/>
          </w:tcPr>
          <w:p w:rsidR="0045676D" w:rsidRPr="008057D9" w:rsidRDefault="0045676D" w:rsidP="00574799">
            <w:pPr>
              <w:jc w:val="both"/>
              <w:rPr>
                <w:rFonts w:eastAsia="Calibri"/>
                <w:sz w:val="20"/>
                <w:lang w:val="fr-CA"/>
              </w:rPr>
            </w:pPr>
            <w:r w:rsidRPr="008057D9">
              <w:rPr>
                <w:rFonts w:eastAsia="Calibri"/>
                <w:sz w:val="20"/>
                <w:lang w:val="fr-CA"/>
              </w:rPr>
              <w:t>Requête en arrêt des procédures rejetée; demandeur déclaré coupable de complot (465(1)</w:t>
            </w:r>
            <w:r w:rsidRPr="008057D9">
              <w:rPr>
                <w:rFonts w:eastAsia="Calibri"/>
                <w:i/>
                <w:sz w:val="20"/>
                <w:lang w:val="fr-CA"/>
              </w:rPr>
              <w:t>c</w:t>
            </w:r>
            <w:r w:rsidRPr="008057D9">
              <w:rPr>
                <w:rFonts w:eastAsia="Calibri"/>
                <w:sz w:val="20"/>
                <w:lang w:val="fr-CA"/>
              </w:rPr>
              <w:t xml:space="preserve">) </w:t>
            </w:r>
            <w:r w:rsidRPr="008057D9">
              <w:rPr>
                <w:rFonts w:eastAsia="Calibri"/>
                <w:i/>
                <w:sz w:val="20"/>
                <w:lang w:val="fr-CA"/>
              </w:rPr>
              <w:t>C. cr.</w:t>
            </w:r>
            <w:r w:rsidRPr="008057D9">
              <w:rPr>
                <w:rFonts w:eastAsia="Calibri"/>
                <w:sz w:val="20"/>
                <w:lang w:val="fr-CA"/>
              </w:rPr>
              <w:t>), d’introduction par effraction (348(1)</w:t>
            </w:r>
            <w:r w:rsidRPr="008057D9">
              <w:rPr>
                <w:rFonts w:eastAsia="Calibri"/>
                <w:i/>
                <w:sz w:val="20"/>
                <w:lang w:val="fr-CA"/>
              </w:rPr>
              <w:t>b</w:t>
            </w:r>
            <w:r w:rsidRPr="008057D9">
              <w:rPr>
                <w:rFonts w:eastAsia="Calibri"/>
                <w:sz w:val="20"/>
                <w:lang w:val="fr-CA"/>
              </w:rPr>
              <w:t xml:space="preserve">) et </w:t>
            </w:r>
            <w:r w:rsidRPr="008057D9">
              <w:rPr>
                <w:rFonts w:eastAsia="Calibri"/>
                <w:i/>
                <w:sz w:val="20"/>
                <w:lang w:val="fr-CA"/>
              </w:rPr>
              <w:t>e</w:t>
            </w:r>
            <w:r w:rsidRPr="008057D9">
              <w:rPr>
                <w:rFonts w:eastAsia="Calibri"/>
                <w:sz w:val="20"/>
                <w:lang w:val="fr-CA"/>
              </w:rPr>
              <w:t xml:space="preserve">) </w:t>
            </w:r>
            <w:r w:rsidRPr="008057D9">
              <w:rPr>
                <w:rFonts w:eastAsia="Calibri"/>
                <w:i/>
                <w:sz w:val="20"/>
                <w:lang w:val="fr-CA"/>
              </w:rPr>
              <w:t>C. cr.</w:t>
            </w:r>
            <w:r w:rsidRPr="008057D9">
              <w:rPr>
                <w:rFonts w:eastAsia="Calibri"/>
                <w:sz w:val="20"/>
                <w:lang w:val="fr-CA"/>
              </w:rPr>
              <w:t>) et de recel (354(1)</w:t>
            </w:r>
            <w:r w:rsidRPr="008057D9">
              <w:rPr>
                <w:rFonts w:eastAsia="Calibri"/>
                <w:i/>
                <w:sz w:val="20"/>
                <w:lang w:val="fr-CA"/>
              </w:rPr>
              <w:t>a</w:t>
            </w:r>
            <w:r w:rsidRPr="008057D9">
              <w:rPr>
                <w:rFonts w:eastAsia="Calibri"/>
                <w:sz w:val="20"/>
                <w:lang w:val="fr-CA"/>
              </w:rPr>
              <w:t>) et 355</w:t>
            </w:r>
            <w:r w:rsidRPr="008057D9">
              <w:rPr>
                <w:rFonts w:eastAsia="Calibri"/>
                <w:i/>
                <w:sz w:val="20"/>
                <w:lang w:val="fr-CA"/>
              </w:rPr>
              <w:t>a</w:t>
            </w:r>
            <w:r w:rsidRPr="008057D9">
              <w:rPr>
                <w:rFonts w:eastAsia="Calibri"/>
                <w:sz w:val="20"/>
                <w:lang w:val="fr-CA"/>
              </w:rPr>
              <w:t xml:space="preserve">) </w:t>
            </w:r>
            <w:r w:rsidRPr="008057D9">
              <w:rPr>
                <w:rFonts w:eastAsia="Calibri"/>
                <w:i/>
                <w:sz w:val="20"/>
                <w:lang w:val="fr-CA"/>
              </w:rPr>
              <w:t>C. cr.</w:t>
            </w:r>
            <w:r w:rsidRPr="008057D9">
              <w:rPr>
                <w:rFonts w:eastAsia="Calibri"/>
                <w:sz w:val="20"/>
                <w:lang w:val="fr-CA"/>
              </w:rPr>
              <w:t xml:space="preserve">) </w:t>
            </w:r>
          </w:p>
          <w:p w:rsidR="0045676D" w:rsidRPr="008057D9" w:rsidRDefault="0045676D" w:rsidP="00574799">
            <w:pPr>
              <w:jc w:val="both"/>
              <w:rPr>
                <w:rFonts w:eastAsia="Calibri"/>
                <w:sz w:val="20"/>
                <w:lang w:val="fr-CA"/>
              </w:rPr>
            </w:pPr>
          </w:p>
        </w:tc>
      </w:tr>
      <w:tr w:rsidR="0045676D" w:rsidRPr="008057D9" w:rsidTr="00834141">
        <w:trPr>
          <w:cantSplit/>
        </w:trPr>
        <w:tc>
          <w:tcPr>
            <w:tcW w:w="2427" w:type="pct"/>
          </w:tcPr>
          <w:p w:rsidR="0045676D" w:rsidRPr="008057D9" w:rsidRDefault="0045676D" w:rsidP="00574799">
            <w:pPr>
              <w:jc w:val="both"/>
              <w:rPr>
                <w:rFonts w:eastAsia="Calibri"/>
                <w:sz w:val="20"/>
                <w:lang w:val="fr-CA"/>
              </w:rPr>
            </w:pPr>
            <w:r w:rsidRPr="008057D9">
              <w:rPr>
                <w:rFonts w:eastAsia="Calibri"/>
                <w:sz w:val="20"/>
                <w:lang w:val="fr-CA"/>
              </w:rPr>
              <w:t>Le 10 octobre 2014</w:t>
            </w:r>
          </w:p>
          <w:p w:rsidR="0045676D" w:rsidRPr="008057D9" w:rsidRDefault="0045676D" w:rsidP="00574799">
            <w:pPr>
              <w:jc w:val="both"/>
              <w:rPr>
                <w:rFonts w:eastAsia="Calibri"/>
                <w:sz w:val="20"/>
                <w:lang w:val="fr-CA"/>
              </w:rPr>
            </w:pPr>
            <w:r w:rsidRPr="008057D9">
              <w:rPr>
                <w:rFonts w:eastAsia="Calibri"/>
                <w:sz w:val="20"/>
                <w:lang w:val="fr-CA"/>
              </w:rPr>
              <w:t>Cour d’appel du Québec (Montréal)</w:t>
            </w:r>
          </w:p>
          <w:p w:rsidR="0045676D" w:rsidRPr="008057D9" w:rsidRDefault="0045676D" w:rsidP="00574799">
            <w:pPr>
              <w:jc w:val="both"/>
              <w:rPr>
                <w:rFonts w:eastAsia="Calibri"/>
                <w:sz w:val="20"/>
                <w:lang w:val="fr-CA"/>
              </w:rPr>
            </w:pPr>
            <w:r w:rsidRPr="008057D9">
              <w:rPr>
                <w:rFonts w:eastAsia="Calibri"/>
                <w:sz w:val="20"/>
                <w:lang w:val="fr-CA"/>
              </w:rPr>
              <w:t>(Les juges Morissette, Giroux et Bouchard)</w:t>
            </w:r>
          </w:p>
          <w:p w:rsidR="0045676D" w:rsidRPr="008057D9" w:rsidRDefault="00173D9D" w:rsidP="00574799">
            <w:pPr>
              <w:jc w:val="both"/>
              <w:rPr>
                <w:rFonts w:eastAsia="Calibri"/>
                <w:sz w:val="20"/>
                <w:lang w:val="fr-CA"/>
              </w:rPr>
            </w:pPr>
            <w:hyperlink r:id="rId72" w:history="1">
              <w:r w:rsidR="0045676D" w:rsidRPr="008057D9">
                <w:rPr>
                  <w:rFonts w:eastAsia="Calibri"/>
                  <w:color w:val="0000FF"/>
                  <w:sz w:val="20"/>
                  <w:u w:val="single"/>
                  <w:lang w:val="fr-CA"/>
                </w:rPr>
                <w:t>2014 QCCA 1880</w:t>
              </w:r>
            </w:hyperlink>
          </w:p>
          <w:p w:rsidR="0045676D" w:rsidRPr="008057D9" w:rsidRDefault="0045676D" w:rsidP="00574799">
            <w:pPr>
              <w:jc w:val="both"/>
              <w:rPr>
                <w:rFonts w:eastAsia="Calibri"/>
                <w:sz w:val="20"/>
                <w:lang w:val="fr-CA"/>
              </w:rPr>
            </w:pPr>
          </w:p>
        </w:tc>
        <w:tc>
          <w:tcPr>
            <w:tcW w:w="243" w:type="pct"/>
          </w:tcPr>
          <w:p w:rsidR="0045676D" w:rsidRPr="008057D9" w:rsidRDefault="0045676D" w:rsidP="00574799">
            <w:pPr>
              <w:jc w:val="both"/>
              <w:rPr>
                <w:rFonts w:eastAsia="Calibri"/>
                <w:sz w:val="20"/>
                <w:lang w:val="fr-CA"/>
              </w:rPr>
            </w:pPr>
          </w:p>
        </w:tc>
        <w:tc>
          <w:tcPr>
            <w:tcW w:w="2330" w:type="pct"/>
          </w:tcPr>
          <w:p w:rsidR="0045676D" w:rsidRPr="008057D9" w:rsidRDefault="0045676D" w:rsidP="00574799">
            <w:pPr>
              <w:jc w:val="both"/>
              <w:rPr>
                <w:rFonts w:eastAsia="Calibri"/>
                <w:sz w:val="20"/>
                <w:lang w:val="fr-CA"/>
              </w:rPr>
            </w:pPr>
            <w:r w:rsidRPr="008057D9">
              <w:rPr>
                <w:rFonts w:eastAsia="Calibri"/>
                <w:sz w:val="20"/>
                <w:lang w:val="fr-CA"/>
              </w:rPr>
              <w:t>Appel rejeté</w:t>
            </w:r>
          </w:p>
          <w:p w:rsidR="0045676D" w:rsidRPr="008057D9" w:rsidRDefault="0045676D" w:rsidP="00574799">
            <w:pPr>
              <w:jc w:val="both"/>
              <w:rPr>
                <w:rFonts w:eastAsia="Calibri"/>
                <w:sz w:val="20"/>
                <w:lang w:val="fr-CA"/>
              </w:rPr>
            </w:pPr>
          </w:p>
        </w:tc>
      </w:tr>
      <w:tr w:rsidR="0045676D" w:rsidRPr="008057D9" w:rsidTr="00834141">
        <w:trPr>
          <w:cantSplit/>
        </w:trPr>
        <w:tc>
          <w:tcPr>
            <w:tcW w:w="2427" w:type="pct"/>
          </w:tcPr>
          <w:p w:rsidR="0045676D" w:rsidRPr="008057D9" w:rsidRDefault="0045676D" w:rsidP="00574799">
            <w:pPr>
              <w:jc w:val="both"/>
              <w:rPr>
                <w:rFonts w:eastAsia="Calibri"/>
                <w:sz w:val="20"/>
                <w:lang w:val="fr-CA"/>
              </w:rPr>
            </w:pPr>
            <w:r w:rsidRPr="008057D9">
              <w:rPr>
                <w:rFonts w:eastAsia="Calibri"/>
                <w:sz w:val="20"/>
                <w:lang w:val="fr-CA"/>
              </w:rPr>
              <w:t>Le 9 décembre 2014</w:t>
            </w:r>
          </w:p>
          <w:p w:rsidR="0045676D" w:rsidRPr="008057D9" w:rsidRDefault="0045676D" w:rsidP="00574799">
            <w:pPr>
              <w:jc w:val="both"/>
              <w:rPr>
                <w:rFonts w:eastAsia="Calibri"/>
                <w:sz w:val="20"/>
                <w:lang w:val="fr-CA"/>
              </w:rPr>
            </w:pPr>
            <w:r w:rsidRPr="008057D9">
              <w:rPr>
                <w:rFonts w:eastAsia="Calibri"/>
                <w:sz w:val="20"/>
                <w:lang w:val="fr-CA"/>
              </w:rPr>
              <w:t>Cour suprême du Canada</w:t>
            </w:r>
          </w:p>
        </w:tc>
        <w:tc>
          <w:tcPr>
            <w:tcW w:w="243" w:type="pct"/>
          </w:tcPr>
          <w:p w:rsidR="0045676D" w:rsidRPr="008057D9" w:rsidRDefault="0045676D" w:rsidP="00574799">
            <w:pPr>
              <w:jc w:val="both"/>
              <w:rPr>
                <w:rFonts w:eastAsia="Calibri"/>
                <w:sz w:val="20"/>
                <w:lang w:val="fr-CA"/>
              </w:rPr>
            </w:pPr>
          </w:p>
        </w:tc>
        <w:tc>
          <w:tcPr>
            <w:tcW w:w="2330" w:type="pct"/>
          </w:tcPr>
          <w:p w:rsidR="0045676D" w:rsidRPr="008057D9" w:rsidRDefault="0045676D" w:rsidP="00574799">
            <w:pPr>
              <w:jc w:val="both"/>
              <w:rPr>
                <w:rFonts w:eastAsia="Calibri"/>
                <w:sz w:val="20"/>
                <w:lang w:val="fr-CA"/>
              </w:rPr>
            </w:pPr>
            <w:r w:rsidRPr="008057D9">
              <w:rPr>
                <w:rFonts w:eastAsia="Calibri"/>
                <w:sz w:val="20"/>
                <w:lang w:val="fr-CA"/>
              </w:rPr>
              <w:t>Demande d'autorisation d'appel déposée</w:t>
            </w:r>
          </w:p>
          <w:p w:rsidR="0045676D" w:rsidRPr="008057D9" w:rsidRDefault="0045676D" w:rsidP="00574799">
            <w:pPr>
              <w:jc w:val="both"/>
              <w:rPr>
                <w:rFonts w:eastAsia="Calibri"/>
                <w:sz w:val="20"/>
                <w:lang w:val="fr-CA"/>
              </w:rPr>
            </w:pPr>
          </w:p>
        </w:tc>
      </w:tr>
    </w:tbl>
    <w:p w:rsidR="004D32B1" w:rsidRDefault="004D32B1" w:rsidP="004D32B1">
      <w:pPr>
        <w:rPr>
          <w:sz w:val="20"/>
          <w:szCs w:val="20"/>
        </w:rPr>
      </w:pPr>
    </w:p>
    <w:p w:rsidR="004D32B1" w:rsidRDefault="00173D9D" w:rsidP="004D32B1">
      <w:pPr>
        <w:rPr>
          <w:sz w:val="20"/>
          <w:szCs w:val="20"/>
          <w:lang w:val="fr-CA"/>
        </w:rPr>
      </w:pPr>
      <w:r>
        <w:rPr>
          <w:sz w:val="20"/>
          <w:szCs w:val="20"/>
          <w:lang w:val="fr-CA"/>
        </w:rPr>
        <w:pict>
          <v:rect id="_x0000_i1063" style="width:2in;height:1pt" o:hrpct="0" o:hralign="center" o:hrstd="t" o:hrnoshade="t" o:hr="t" fillcolor="black [3213]" stroked="f"/>
        </w:pict>
      </w:r>
    </w:p>
    <w:p w:rsidR="004D32B1" w:rsidRDefault="004D32B1" w:rsidP="004D32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43219" w:rsidRPr="008B6B35" w:rsidTr="00574799">
        <w:trPr>
          <w:cantSplit/>
        </w:trPr>
        <w:tc>
          <w:tcPr>
            <w:tcW w:w="1458" w:type="dxa"/>
          </w:tcPr>
          <w:p w:rsidR="00443219" w:rsidRPr="008B6B35" w:rsidRDefault="00443219" w:rsidP="00574799">
            <w:pPr>
              <w:rPr>
                <w:sz w:val="20"/>
                <w:szCs w:val="20"/>
              </w:rPr>
            </w:pPr>
            <w:r w:rsidRPr="008B6B35">
              <w:rPr>
                <w:rStyle w:val="SCCFileNumberChar"/>
                <w:sz w:val="20"/>
                <w:szCs w:val="20"/>
              </w:rPr>
              <w:t>36234</w:t>
            </w:r>
          </w:p>
          <w:p w:rsidR="00443219" w:rsidRPr="008B6B35" w:rsidRDefault="00443219" w:rsidP="00574799">
            <w:pPr>
              <w:rPr>
                <w:b/>
                <w:sz w:val="20"/>
                <w:szCs w:val="20"/>
                <w:lang w:val="fr-CA"/>
              </w:rPr>
            </w:pPr>
          </w:p>
        </w:tc>
        <w:tc>
          <w:tcPr>
            <w:tcW w:w="8118" w:type="dxa"/>
          </w:tcPr>
          <w:p w:rsidR="00443219" w:rsidRPr="008B6B35" w:rsidRDefault="00443219" w:rsidP="00574799">
            <w:pPr>
              <w:jc w:val="both"/>
              <w:rPr>
                <w:sz w:val="20"/>
                <w:szCs w:val="20"/>
              </w:rPr>
            </w:pPr>
            <w:r w:rsidRPr="008B6B35">
              <w:rPr>
                <w:rStyle w:val="SCCLsocChar"/>
                <w:sz w:val="20"/>
                <w:szCs w:val="20"/>
                <w:lang w:val="en-CA"/>
              </w:rPr>
              <w:t>Minister of Justice</w:t>
            </w:r>
            <w:r w:rsidR="00391488">
              <w:rPr>
                <w:rStyle w:val="SCCLsocChar"/>
                <w:sz w:val="20"/>
                <w:szCs w:val="20"/>
                <w:lang w:val="en-CA"/>
              </w:rPr>
              <w:t xml:space="preserve"> and</w:t>
            </w:r>
            <w:r w:rsidRPr="008B6B35">
              <w:rPr>
                <w:rStyle w:val="SCCLsocChar"/>
                <w:sz w:val="20"/>
                <w:szCs w:val="20"/>
                <w:lang w:val="en-CA"/>
              </w:rPr>
              <w:t xml:space="preserve"> Solicitor General of the Province of Alberta v. Albert</w:t>
            </w:r>
            <w:r w:rsidR="00391488">
              <w:rPr>
                <w:rStyle w:val="SCCLsocChar"/>
                <w:sz w:val="20"/>
                <w:szCs w:val="20"/>
                <w:lang w:val="en-CA"/>
              </w:rPr>
              <w:t>a Union of Provincial Employees and</w:t>
            </w:r>
            <w:r w:rsidRPr="008B6B35">
              <w:rPr>
                <w:rStyle w:val="SCCLsocChar"/>
                <w:sz w:val="20"/>
                <w:szCs w:val="20"/>
                <w:lang w:val="en-CA"/>
              </w:rPr>
              <w:t xml:space="preserve"> Government of Alberta</w:t>
            </w:r>
            <w:r w:rsidRPr="008B6B35">
              <w:rPr>
                <w:sz w:val="20"/>
                <w:szCs w:val="20"/>
              </w:rPr>
              <w:t xml:space="preserve"> (Alta.) (Civil) (By Leave)</w:t>
            </w:r>
          </w:p>
          <w:p w:rsidR="00443219" w:rsidRPr="008B6B35" w:rsidRDefault="00443219" w:rsidP="00574799">
            <w:pPr>
              <w:jc w:val="both"/>
              <w:rPr>
                <w:sz w:val="20"/>
                <w:szCs w:val="20"/>
              </w:rPr>
            </w:pPr>
          </w:p>
        </w:tc>
      </w:tr>
      <w:tr w:rsidR="00443219" w:rsidRPr="008B6B35" w:rsidTr="00574799">
        <w:trPr>
          <w:cantSplit/>
        </w:trPr>
        <w:tc>
          <w:tcPr>
            <w:tcW w:w="1458" w:type="dxa"/>
          </w:tcPr>
          <w:p w:rsidR="00443219" w:rsidRPr="008B6B35" w:rsidRDefault="00443219" w:rsidP="00574799">
            <w:pPr>
              <w:rPr>
                <w:sz w:val="20"/>
                <w:szCs w:val="20"/>
              </w:rPr>
            </w:pPr>
            <w:r w:rsidRPr="008B6B35">
              <w:rPr>
                <w:sz w:val="20"/>
                <w:szCs w:val="20"/>
              </w:rPr>
              <w:t>Coram :</w:t>
            </w:r>
          </w:p>
        </w:tc>
        <w:tc>
          <w:tcPr>
            <w:tcW w:w="8118" w:type="dxa"/>
          </w:tcPr>
          <w:p w:rsidR="00443219" w:rsidRPr="008B6B35" w:rsidRDefault="00443219" w:rsidP="00574799">
            <w:pPr>
              <w:rPr>
                <w:sz w:val="20"/>
                <w:szCs w:val="20"/>
              </w:rPr>
            </w:pPr>
            <w:r w:rsidRPr="008B6B35">
              <w:rPr>
                <w:rStyle w:val="SCCCoramChar"/>
                <w:sz w:val="20"/>
                <w:szCs w:val="20"/>
                <w:lang w:val="en-CA"/>
              </w:rPr>
              <w:t>McLachlin C.J. and Wagner and Gascon JJ.</w:t>
            </w:r>
          </w:p>
          <w:p w:rsidR="00443219" w:rsidRPr="008B6B35" w:rsidRDefault="00443219" w:rsidP="00574799">
            <w:pPr>
              <w:rPr>
                <w:sz w:val="20"/>
                <w:szCs w:val="20"/>
                <w:u w:val="single"/>
              </w:rPr>
            </w:pPr>
          </w:p>
        </w:tc>
      </w:tr>
      <w:tr w:rsidR="00443219" w:rsidRPr="00EC49A7" w:rsidTr="00574799">
        <w:trPr>
          <w:cantSplit/>
        </w:trPr>
        <w:tc>
          <w:tcPr>
            <w:tcW w:w="9576" w:type="dxa"/>
            <w:gridSpan w:val="2"/>
          </w:tcPr>
          <w:p w:rsidR="00443219" w:rsidRPr="008B6B35" w:rsidRDefault="00443219" w:rsidP="00574799">
            <w:pPr>
              <w:pStyle w:val="SCCShortJudgment"/>
              <w:rPr>
                <w:szCs w:val="20"/>
              </w:rPr>
            </w:pPr>
            <w:r w:rsidRPr="008B6B35">
              <w:rPr>
                <w:szCs w:val="20"/>
              </w:rPr>
              <w:t>The motion for an extension of time to serve and file the application for leave to appeal is granted.  The application for leave to appeal from the judgment of the Court of Appeal of Alberta (Edmonton), Number 1303-0043-AC, 2014 ABCA 43, dated January 30, 2014, is dismissed with costs to the Alberta Union of Provincial Employees.</w:t>
            </w:r>
          </w:p>
          <w:p w:rsidR="00443219" w:rsidRPr="008B6B35" w:rsidRDefault="00443219" w:rsidP="00574799">
            <w:pPr>
              <w:pStyle w:val="SCCShortJudgment"/>
              <w:ind w:firstLine="0"/>
              <w:rPr>
                <w:szCs w:val="20"/>
              </w:rPr>
            </w:pPr>
          </w:p>
          <w:p w:rsidR="00443219" w:rsidRPr="008B6B35" w:rsidRDefault="00443219" w:rsidP="00574799">
            <w:pPr>
              <w:pStyle w:val="SCCShortJudgment"/>
              <w:rPr>
                <w:szCs w:val="20"/>
                <w:lang w:val="fr-CA"/>
              </w:rPr>
            </w:pPr>
            <w:r w:rsidRPr="008B6B35">
              <w:rPr>
                <w:szCs w:val="20"/>
                <w:lang w:val="fr-CA"/>
              </w:rPr>
              <w:t>La requête en prorogation du délai de signification et de dépôt de la demande d’autorisation d’appel est accueillie.  La demande d’autorisation d’appel de l’arrêt de la Cour d’appel de l’Alberta (Edmonton), numéro 1303-0043-AC, 2014 ABCA 43, daté du 30 janvier 2014, est rejetée avec dépens en faveur de l’Alberta Union of Provincial Employees.</w:t>
            </w:r>
          </w:p>
        </w:tc>
      </w:tr>
    </w:tbl>
    <w:p w:rsidR="004D32B1" w:rsidRPr="00443219" w:rsidRDefault="004D32B1" w:rsidP="004D32B1">
      <w:pPr>
        <w:rPr>
          <w:sz w:val="20"/>
          <w:szCs w:val="20"/>
          <w:lang w:val="fr-CA"/>
        </w:rPr>
      </w:pPr>
    </w:p>
    <w:p w:rsidR="004D32B1" w:rsidRPr="001B157C" w:rsidRDefault="004D32B1" w:rsidP="004D32B1">
      <w:pPr>
        <w:rPr>
          <w:sz w:val="20"/>
          <w:szCs w:val="20"/>
          <w:u w:val="single"/>
        </w:rPr>
      </w:pPr>
      <w:r w:rsidRPr="001B157C">
        <w:rPr>
          <w:sz w:val="20"/>
          <w:szCs w:val="20"/>
          <w:u w:val="single"/>
        </w:rPr>
        <w:t>CASE SUMMARY</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676D" w:rsidRPr="008057D9" w:rsidTr="00574799">
        <w:tc>
          <w:tcPr>
            <w:tcW w:w="5000" w:type="pct"/>
            <w:gridSpan w:val="3"/>
          </w:tcPr>
          <w:p w:rsidR="0045676D" w:rsidRPr="008057D9" w:rsidRDefault="0045676D" w:rsidP="00574799">
            <w:pPr>
              <w:jc w:val="both"/>
              <w:rPr>
                <w:rFonts w:eastAsia="Calibri"/>
                <w:sz w:val="20"/>
              </w:rPr>
            </w:pPr>
            <w:r w:rsidRPr="008057D9">
              <w:rPr>
                <w:rFonts w:eastAsia="Calibri"/>
                <w:i/>
                <w:sz w:val="20"/>
              </w:rPr>
              <w:t>Charter of Rights</w:t>
            </w:r>
            <w:r w:rsidRPr="008057D9">
              <w:rPr>
                <w:rFonts w:eastAsia="Calibri"/>
                <w:sz w:val="20"/>
              </w:rPr>
              <w:t xml:space="preserve"> – Freedom of Association – Labour relations – Arbitration – Jurisdiction – If the Court of Appeal’s reasoning regarding the jurisdiction of a labour arbitrator is correct, whether it implies a significant restriction of the presumed jurisdiction of inferior tribunals to decide constitutional questions – If the Court of Appeal’s reasoning is correct, whether it extends to decisions by other expert tribunals, not merely labour arbitrators appointed to decide disputes arising under collective agreements – </w:t>
            </w:r>
            <w:r w:rsidRPr="008057D9">
              <w:rPr>
                <w:rFonts w:eastAsia="Calibri"/>
                <w:i/>
                <w:sz w:val="20"/>
              </w:rPr>
              <w:t>Canadian Charter of Rights and Freedoms</w:t>
            </w:r>
            <w:r w:rsidRPr="008057D9">
              <w:rPr>
                <w:rFonts w:eastAsia="Calibri"/>
                <w:sz w:val="20"/>
              </w:rPr>
              <w:t>, s. 2(</w:t>
            </w:r>
            <w:r w:rsidRPr="008057D9">
              <w:rPr>
                <w:rFonts w:eastAsia="Calibri"/>
                <w:i/>
                <w:sz w:val="20"/>
              </w:rPr>
              <w:t>d</w:t>
            </w:r>
            <w:r w:rsidRPr="008057D9">
              <w:rPr>
                <w:rFonts w:eastAsia="Calibri"/>
                <w:sz w:val="20"/>
              </w:rPr>
              <w:t xml:space="preserve">) – </w:t>
            </w:r>
            <w:r w:rsidRPr="008057D9">
              <w:rPr>
                <w:rFonts w:eastAsia="Calibri"/>
                <w:i/>
                <w:sz w:val="20"/>
              </w:rPr>
              <w:t>Public Service Employee Relations Act</w:t>
            </w:r>
            <w:r w:rsidRPr="008057D9">
              <w:rPr>
                <w:rFonts w:eastAsia="Calibri"/>
                <w:sz w:val="20"/>
              </w:rPr>
              <w:t>, R.S.A. 2000, c. P-43, s. 12(1).</w:t>
            </w:r>
          </w:p>
        </w:tc>
      </w:tr>
      <w:tr w:rsidR="0045676D" w:rsidRPr="008057D9" w:rsidTr="00574799">
        <w:tc>
          <w:tcPr>
            <w:tcW w:w="5000" w:type="pct"/>
            <w:gridSpan w:val="3"/>
          </w:tcPr>
          <w:p w:rsidR="0045676D" w:rsidRPr="008057D9" w:rsidRDefault="0045676D" w:rsidP="00574799">
            <w:pPr>
              <w:jc w:val="both"/>
              <w:rPr>
                <w:rFonts w:eastAsia="Calibri"/>
                <w:sz w:val="20"/>
              </w:rPr>
            </w:pPr>
          </w:p>
        </w:tc>
      </w:tr>
      <w:tr w:rsidR="0045676D" w:rsidRPr="008057D9" w:rsidTr="00574799">
        <w:tc>
          <w:tcPr>
            <w:tcW w:w="5000" w:type="pct"/>
            <w:gridSpan w:val="3"/>
          </w:tcPr>
          <w:p w:rsidR="0045676D" w:rsidRPr="008057D9" w:rsidRDefault="0045676D" w:rsidP="00574799">
            <w:pPr>
              <w:jc w:val="both"/>
              <w:rPr>
                <w:rFonts w:eastAsia="Calibri"/>
                <w:sz w:val="20"/>
              </w:rPr>
            </w:pPr>
            <w:r w:rsidRPr="008057D9">
              <w:rPr>
                <w:rFonts w:eastAsia="Calibri"/>
                <w:sz w:val="20"/>
              </w:rPr>
              <w:t xml:space="preserve">The </w:t>
            </w:r>
            <w:r w:rsidRPr="008057D9">
              <w:rPr>
                <w:rFonts w:eastAsia="Calibri"/>
                <w:i/>
                <w:sz w:val="20"/>
              </w:rPr>
              <w:t>Public Service Employee Relations Act</w:t>
            </w:r>
            <w:r w:rsidRPr="008057D9">
              <w:rPr>
                <w:rFonts w:eastAsia="Calibri"/>
                <w:sz w:val="20"/>
              </w:rPr>
              <w:t>, R.S.A. 2000, c. P-43 (“</w:t>
            </w:r>
            <w:r w:rsidRPr="008057D9">
              <w:rPr>
                <w:rFonts w:eastAsia="Calibri"/>
                <w:i/>
                <w:sz w:val="20"/>
              </w:rPr>
              <w:t>PSERA</w:t>
            </w:r>
            <w:r w:rsidRPr="008057D9">
              <w:rPr>
                <w:rFonts w:eastAsia="Calibri"/>
                <w:sz w:val="20"/>
              </w:rPr>
              <w:t xml:space="preserve">”) establishes the Alberta Union of Provincial Employees (“AUPE”) as the exclusive bargaining agent for the bargaining unit consisting of employees of the Crown in right of Alberta.  The AUPE and the Government of Alberta (“Alberta”) are parties to a collective agreement but it does not apply to certain employees excluded by s. 12 of the </w:t>
            </w:r>
            <w:r w:rsidRPr="008057D9">
              <w:rPr>
                <w:rFonts w:eastAsia="Calibri"/>
                <w:i/>
                <w:sz w:val="20"/>
              </w:rPr>
              <w:t>PSERA</w:t>
            </w:r>
            <w:r w:rsidRPr="008057D9">
              <w:rPr>
                <w:rFonts w:eastAsia="Calibri"/>
                <w:sz w:val="20"/>
              </w:rPr>
              <w:t>.  The AUPE filed a policy grievance in relation to the excluded employees, alleging that Alberta’s exclusion of employees from the bargaining unit and failure to deduct and remit union dues violated several articles of the collective agreement, as well as the employees’ freedom of association under s. 2(</w:t>
            </w:r>
            <w:r w:rsidRPr="008057D9">
              <w:rPr>
                <w:rFonts w:eastAsia="Calibri"/>
                <w:i/>
                <w:sz w:val="20"/>
              </w:rPr>
              <w:t>d</w:t>
            </w:r>
            <w:r w:rsidRPr="008057D9">
              <w:rPr>
                <w:rFonts w:eastAsia="Calibri"/>
                <w:sz w:val="20"/>
              </w:rPr>
              <w:t xml:space="preserve">) of the </w:t>
            </w:r>
            <w:r w:rsidRPr="008057D9">
              <w:rPr>
                <w:rFonts w:eastAsia="Calibri"/>
                <w:i/>
                <w:sz w:val="20"/>
              </w:rPr>
              <w:t>Canadian Charter of Rights and Freedoms</w:t>
            </w:r>
            <w:r w:rsidRPr="008057D9">
              <w:rPr>
                <w:rFonts w:eastAsia="Calibri"/>
                <w:sz w:val="20"/>
              </w:rPr>
              <w:t xml:space="preserve">.  Alternatively, AUPE alleged that s. 12(1) of the </w:t>
            </w:r>
            <w:r w:rsidRPr="008057D9">
              <w:rPr>
                <w:rFonts w:eastAsia="Calibri"/>
                <w:i/>
                <w:sz w:val="20"/>
              </w:rPr>
              <w:t>PSERA</w:t>
            </w:r>
            <w:r w:rsidRPr="008057D9">
              <w:rPr>
                <w:rFonts w:eastAsia="Calibri"/>
                <w:sz w:val="20"/>
              </w:rPr>
              <w:t xml:space="preserve"> violated s. 2(</w:t>
            </w:r>
            <w:r w:rsidRPr="008057D9">
              <w:rPr>
                <w:rFonts w:eastAsia="Calibri"/>
                <w:i/>
                <w:sz w:val="20"/>
              </w:rPr>
              <w:t>d</w:t>
            </w:r>
            <w:r w:rsidRPr="008057D9">
              <w:rPr>
                <w:rFonts w:eastAsia="Calibri"/>
                <w:sz w:val="20"/>
              </w:rPr>
              <w:t xml:space="preserve">) of the </w:t>
            </w:r>
            <w:r w:rsidRPr="008057D9">
              <w:rPr>
                <w:rFonts w:eastAsia="Calibri"/>
                <w:i/>
                <w:sz w:val="20"/>
              </w:rPr>
              <w:t>Charter</w:t>
            </w:r>
            <w:r w:rsidRPr="008057D9">
              <w:rPr>
                <w:rFonts w:eastAsia="Calibri"/>
                <w:sz w:val="20"/>
              </w:rPr>
              <w:t>.  AUPE further claimed that the exclusion of employees from the bargaining unit undermined and interfered with AUPE’s fundamental right of representation, and violated the excluded employees’ fundamental rights of representation and to bargain collectively.</w:t>
            </w:r>
          </w:p>
          <w:p w:rsidR="0045676D" w:rsidRPr="008057D9" w:rsidRDefault="0045676D" w:rsidP="00574799">
            <w:pPr>
              <w:jc w:val="both"/>
              <w:rPr>
                <w:rFonts w:eastAsia="Calibri"/>
                <w:sz w:val="20"/>
              </w:rPr>
            </w:pPr>
          </w:p>
          <w:p w:rsidR="0045676D" w:rsidRPr="008057D9" w:rsidRDefault="0045676D" w:rsidP="00574799">
            <w:pPr>
              <w:jc w:val="both"/>
              <w:rPr>
                <w:rFonts w:eastAsia="Calibri"/>
                <w:sz w:val="20"/>
              </w:rPr>
            </w:pPr>
            <w:r w:rsidRPr="008057D9">
              <w:rPr>
                <w:rFonts w:eastAsia="Calibri"/>
                <w:sz w:val="20"/>
              </w:rPr>
              <w:lastRenderedPageBreak/>
              <w:t xml:space="preserve">The AUPE sought similar relief in its grievance and in the filed Notice of Constitutional Question.  In particular, it asked the Board for declarations that Alberta or, alternatively, s. 12(1) of the </w:t>
            </w:r>
            <w:r w:rsidRPr="008057D9">
              <w:rPr>
                <w:rFonts w:eastAsia="Calibri"/>
                <w:i/>
                <w:sz w:val="20"/>
              </w:rPr>
              <w:t>PSERA</w:t>
            </w:r>
            <w:r w:rsidRPr="008057D9">
              <w:rPr>
                <w:rFonts w:eastAsia="Calibri"/>
                <w:sz w:val="20"/>
              </w:rPr>
              <w:t xml:space="preserve"> violated s. 2(</w:t>
            </w:r>
            <w:r w:rsidRPr="008057D9">
              <w:rPr>
                <w:rFonts w:eastAsia="Calibri"/>
                <w:i/>
                <w:sz w:val="20"/>
              </w:rPr>
              <w:t>d</w:t>
            </w:r>
            <w:r w:rsidRPr="008057D9">
              <w:rPr>
                <w:rFonts w:eastAsia="Calibri"/>
                <w:sz w:val="20"/>
              </w:rPr>
              <w:t xml:space="preserve">) of the </w:t>
            </w:r>
            <w:r w:rsidRPr="008057D9">
              <w:rPr>
                <w:rFonts w:eastAsia="Calibri"/>
                <w:i/>
                <w:sz w:val="20"/>
              </w:rPr>
              <w:t>Charter</w:t>
            </w:r>
            <w:r w:rsidRPr="008057D9">
              <w:rPr>
                <w:rFonts w:eastAsia="Calibri"/>
                <w:sz w:val="20"/>
              </w:rPr>
              <w:t>; s. 12(1) was constitutionally invalid and of no force or effect; and that the exclusions of employees from the bargaining unit as a result of s. 12(1) are null and void.  The AUPE also sought a collateral declaration that the excluded employees are covered by the collective agreement and that Alberta must deduct and remit union dues to AUPE in relation to the excluded employees.</w:t>
            </w:r>
          </w:p>
          <w:p w:rsidR="0045676D" w:rsidRPr="008057D9" w:rsidRDefault="0045676D" w:rsidP="00574799">
            <w:pPr>
              <w:jc w:val="both"/>
              <w:rPr>
                <w:rFonts w:eastAsia="Calibri"/>
                <w:sz w:val="20"/>
              </w:rPr>
            </w:pPr>
          </w:p>
          <w:p w:rsidR="0045676D" w:rsidRPr="008057D9" w:rsidRDefault="0045676D" w:rsidP="00574799">
            <w:pPr>
              <w:jc w:val="both"/>
              <w:rPr>
                <w:rFonts w:eastAsia="Calibri"/>
                <w:sz w:val="20"/>
              </w:rPr>
            </w:pPr>
            <w:r w:rsidRPr="008057D9">
              <w:rPr>
                <w:rFonts w:eastAsia="Calibri"/>
                <w:sz w:val="20"/>
              </w:rPr>
              <w:t xml:space="preserve">The Board concluded that it had jurisdiction to deal with the constitutional issues, as the collective agreement gave it jurisdiction over the dispute.  The Board accepted that the issue about Alberta’s obligation to collect and remit union dues was sufficient to constitute a grievance under the collective agreement.  The Board also held that s. 12(1) of the </w:t>
            </w:r>
            <w:r w:rsidRPr="008057D9">
              <w:rPr>
                <w:rFonts w:eastAsia="Calibri"/>
                <w:i/>
                <w:sz w:val="20"/>
              </w:rPr>
              <w:t>PSERA</w:t>
            </w:r>
            <w:r w:rsidRPr="008057D9">
              <w:rPr>
                <w:rFonts w:eastAsia="Calibri"/>
                <w:sz w:val="20"/>
              </w:rPr>
              <w:t xml:space="preserve"> did not breach the </w:t>
            </w:r>
            <w:r w:rsidRPr="008057D9">
              <w:rPr>
                <w:rFonts w:eastAsia="Calibri"/>
                <w:i/>
                <w:sz w:val="20"/>
              </w:rPr>
              <w:t>Charter</w:t>
            </w:r>
            <w:r w:rsidRPr="008057D9">
              <w:rPr>
                <w:rFonts w:eastAsia="Calibri"/>
                <w:sz w:val="20"/>
              </w:rPr>
              <w:t xml:space="preserve"> and it dismissed AUPE’s grievance on the basis that the excluded employees were not members of AUPE’s bargaining unit and therefore, Alberta did not breach the collective agreement by not deducting and remitting union dues to AUPE.  On judicial review, the Board’s decision was upheld on the basis that the Board reasonably interpreted s. 12(1) of the </w:t>
            </w:r>
            <w:r w:rsidRPr="008057D9">
              <w:rPr>
                <w:rFonts w:eastAsia="Calibri"/>
                <w:i/>
                <w:sz w:val="20"/>
              </w:rPr>
              <w:t>PSERA</w:t>
            </w:r>
            <w:r w:rsidRPr="008057D9">
              <w:rPr>
                <w:rFonts w:eastAsia="Calibri"/>
                <w:sz w:val="20"/>
              </w:rPr>
              <w:t xml:space="preserve"> and that it correctly found that s. 12(1) did not violate s. 2(</w:t>
            </w:r>
            <w:r w:rsidRPr="008057D9">
              <w:rPr>
                <w:rFonts w:eastAsia="Calibri"/>
                <w:i/>
                <w:sz w:val="20"/>
              </w:rPr>
              <w:t>d</w:t>
            </w:r>
            <w:r w:rsidRPr="008057D9">
              <w:rPr>
                <w:rFonts w:eastAsia="Calibri"/>
                <w:sz w:val="20"/>
              </w:rPr>
              <w:t xml:space="preserve">) of the </w:t>
            </w:r>
            <w:r w:rsidRPr="008057D9">
              <w:rPr>
                <w:rFonts w:eastAsia="Calibri"/>
                <w:i/>
                <w:sz w:val="20"/>
              </w:rPr>
              <w:t>Charter</w:t>
            </w:r>
            <w:r w:rsidRPr="008057D9">
              <w:rPr>
                <w:rFonts w:eastAsia="Calibri"/>
                <w:sz w:val="20"/>
              </w:rPr>
              <w:t xml:space="preserve">.  An appeal to the Court of Appeal was allowed and the arbitration award was quashed.  The court held that the Board did not have jurisdiction to deal with the dispute or to issue a declaration of constitutional invalidity. </w:t>
            </w:r>
          </w:p>
          <w:p w:rsidR="0045676D" w:rsidRPr="008057D9" w:rsidRDefault="0045676D" w:rsidP="00574799">
            <w:pPr>
              <w:jc w:val="both"/>
              <w:rPr>
                <w:rFonts w:eastAsia="Calibri"/>
                <w:sz w:val="20"/>
              </w:rPr>
            </w:pPr>
          </w:p>
          <w:p w:rsidR="0045676D" w:rsidRPr="008057D9" w:rsidRDefault="0045676D" w:rsidP="00574799">
            <w:pPr>
              <w:jc w:val="both"/>
              <w:rPr>
                <w:rFonts w:eastAsia="Calibri"/>
                <w:sz w:val="20"/>
              </w:rPr>
            </w:pPr>
            <w:r w:rsidRPr="008057D9">
              <w:rPr>
                <w:rFonts w:eastAsia="Calibri"/>
                <w:sz w:val="20"/>
              </w:rPr>
              <w:t xml:space="preserve">Alberta then sought leave to reargue the appeal before the Court of Appeal.  The majority of the Court of Appeal dismissed the application. </w:t>
            </w:r>
          </w:p>
          <w:p w:rsidR="0045676D" w:rsidRPr="008057D9" w:rsidRDefault="0045676D" w:rsidP="00574799">
            <w:pPr>
              <w:jc w:val="both"/>
              <w:rPr>
                <w:rFonts w:eastAsia="Calibri"/>
                <w:sz w:val="20"/>
              </w:rPr>
            </w:pPr>
          </w:p>
        </w:tc>
      </w:tr>
      <w:tr w:rsidR="0045676D" w:rsidRPr="008057D9" w:rsidTr="00574799">
        <w:tc>
          <w:tcPr>
            <w:tcW w:w="2427" w:type="pct"/>
          </w:tcPr>
          <w:p w:rsidR="0045676D" w:rsidRPr="008057D9" w:rsidRDefault="0045676D" w:rsidP="00574799">
            <w:pPr>
              <w:jc w:val="both"/>
              <w:rPr>
                <w:rFonts w:eastAsia="Calibri"/>
                <w:sz w:val="20"/>
              </w:rPr>
            </w:pPr>
            <w:r w:rsidRPr="008057D9">
              <w:rPr>
                <w:rFonts w:eastAsia="Calibri"/>
                <w:sz w:val="20"/>
              </w:rPr>
              <w:lastRenderedPageBreak/>
              <w:t>September 12, 2011</w:t>
            </w:r>
          </w:p>
          <w:p w:rsidR="0045676D" w:rsidRPr="008057D9" w:rsidRDefault="0045676D" w:rsidP="00574799">
            <w:pPr>
              <w:jc w:val="both"/>
              <w:rPr>
                <w:rFonts w:eastAsia="Calibri"/>
                <w:sz w:val="20"/>
              </w:rPr>
            </w:pPr>
            <w:r w:rsidRPr="008057D9">
              <w:rPr>
                <w:rFonts w:eastAsia="Calibri"/>
                <w:sz w:val="20"/>
              </w:rPr>
              <w:t>Arbitration Board</w:t>
            </w:r>
          </w:p>
          <w:p w:rsidR="0045676D" w:rsidRPr="008057D9" w:rsidRDefault="0045676D" w:rsidP="00574799">
            <w:pPr>
              <w:jc w:val="both"/>
              <w:rPr>
                <w:rFonts w:eastAsia="Calibri"/>
                <w:sz w:val="20"/>
              </w:rPr>
            </w:pPr>
            <w:r w:rsidRPr="008057D9">
              <w:rPr>
                <w:rFonts w:eastAsia="Calibri"/>
                <w:sz w:val="20"/>
              </w:rPr>
              <w:t>(Jones, chair and Chomyn and Dawson)</w:t>
            </w:r>
          </w:p>
          <w:p w:rsidR="0045676D" w:rsidRPr="008057D9" w:rsidRDefault="0045676D" w:rsidP="00574799">
            <w:pPr>
              <w:jc w:val="both"/>
              <w:rPr>
                <w:rFonts w:eastAsia="Calibri"/>
                <w:sz w:val="20"/>
              </w:rPr>
            </w:pPr>
          </w:p>
        </w:tc>
        <w:tc>
          <w:tcPr>
            <w:tcW w:w="243" w:type="pct"/>
          </w:tcPr>
          <w:p w:rsidR="0045676D" w:rsidRPr="008057D9" w:rsidRDefault="0045676D" w:rsidP="00574799">
            <w:pPr>
              <w:jc w:val="both"/>
              <w:rPr>
                <w:rFonts w:eastAsia="Calibri"/>
                <w:sz w:val="20"/>
              </w:rPr>
            </w:pPr>
          </w:p>
        </w:tc>
        <w:tc>
          <w:tcPr>
            <w:tcW w:w="2330" w:type="pct"/>
          </w:tcPr>
          <w:p w:rsidR="0045676D" w:rsidRPr="008057D9" w:rsidRDefault="0045676D" w:rsidP="00574799">
            <w:pPr>
              <w:jc w:val="both"/>
              <w:rPr>
                <w:rFonts w:eastAsia="Calibri"/>
                <w:sz w:val="20"/>
              </w:rPr>
            </w:pPr>
            <w:r w:rsidRPr="008057D9">
              <w:rPr>
                <w:rFonts w:eastAsia="Calibri"/>
                <w:sz w:val="20"/>
              </w:rPr>
              <w:t>Grievance dismissed</w:t>
            </w:r>
          </w:p>
        </w:tc>
      </w:tr>
      <w:tr w:rsidR="0045676D" w:rsidRPr="008057D9" w:rsidTr="00574799">
        <w:tc>
          <w:tcPr>
            <w:tcW w:w="2427" w:type="pct"/>
          </w:tcPr>
          <w:p w:rsidR="0045676D" w:rsidRPr="008057D9" w:rsidRDefault="0045676D" w:rsidP="00574799">
            <w:pPr>
              <w:jc w:val="both"/>
              <w:rPr>
                <w:rFonts w:eastAsia="Calibri"/>
                <w:sz w:val="20"/>
              </w:rPr>
            </w:pPr>
            <w:r w:rsidRPr="008057D9">
              <w:rPr>
                <w:rFonts w:eastAsia="Calibri"/>
                <w:sz w:val="20"/>
              </w:rPr>
              <w:t>February 4, 2013</w:t>
            </w:r>
          </w:p>
          <w:p w:rsidR="0045676D" w:rsidRPr="008057D9" w:rsidRDefault="0045676D" w:rsidP="00574799">
            <w:pPr>
              <w:jc w:val="both"/>
              <w:rPr>
                <w:rFonts w:eastAsia="Calibri"/>
                <w:sz w:val="20"/>
              </w:rPr>
            </w:pPr>
            <w:r w:rsidRPr="008057D9">
              <w:rPr>
                <w:rFonts w:eastAsia="Calibri"/>
                <w:sz w:val="20"/>
              </w:rPr>
              <w:t>Court of Queen’s Bench of Alberta</w:t>
            </w:r>
          </w:p>
          <w:p w:rsidR="0045676D" w:rsidRPr="008057D9" w:rsidRDefault="0045676D" w:rsidP="00574799">
            <w:pPr>
              <w:jc w:val="both"/>
              <w:rPr>
                <w:rFonts w:eastAsia="Calibri"/>
                <w:sz w:val="20"/>
              </w:rPr>
            </w:pPr>
            <w:r w:rsidRPr="008057D9">
              <w:rPr>
                <w:rFonts w:eastAsia="Calibri"/>
                <w:sz w:val="20"/>
              </w:rPr>
              <w:t>(Lee J.)</w:t>
            </w:r>
          </w:p>
          <w:p w:rsidR="0045676D" w:rsidRPr="008057D9" w:rsidRDefault="0045676D" w:rsidP="00574799">
            <w:pPr>
              <w:jc w:val="both"/>
              <w:rPr>
                <w:rFonts w:eastAsia="Calibri"/>
                <w:sz w:val="20"/>
              </w:rPr>
            </w:pPr>
            <w:r w:rsidRPr="008057D9">
              <w:rPr>
                <w:rFonts w:eastAsia="Calibri"/>
                <w:sz w:val="20"/>
              </w:rPr>
              <w:t>2013 ABQB 83</w:t>
            </w:r>
          </w:p>
          <w:p w:rsidR="0045676D" w:rsidRPr="008057D9" w:rsidRDefault="0045676D" w:rsidP="00574799">
            <w:pPr>
              <w:jc w:val="both"/>
              <w:rPr>
                <w:rFonts w:eastAsia="Calibri"/>
                <w:sz w:val="20"/>
              </w:rPr>
            </w:pPr>
          </w:p>
        </w:tc>
        <w:tc>
          <w:tcPr>
            <w:tcW w:w="243" w:type="pct"/>
          </w:tcPr>
          <w:p w:rsidR="0045676D" w:rsidRPr="008057D9" w:rsidRDefault="0045676D" w:rsidP="00574799">
            <w:pPr>
              <w:jc w:val="both"/>
              <w:rPr>
                <w:rFonts w:eastAsia="Calibri"/>
                <w:sz w:val="20"/>
              </w:rPr>
            </w:pPr>
          </w:p>
        </w:tc>
        <w:tc>
          <w:tcPr>
            <w:tcW w:w="2330" w:type="pct"/>
          </w:tcPr>
          <w:p w:rsidR="0045676D" w:rsidRPr="008057D9" w:rsidRDefault="0045676D" w:rsidP="00574799">
            <w:pPr>
              <w:jc w:val="both"/>
              <w:rPr>
                <w:rFonts w:eastAsia="Calibri"/>
                <w:sz w:val="20"/>
              </w:rPr>
            </w:pPr>
            <w:r w:rsidRPr="008057D9">
              <w:rPr>
                <w:rFonts w:eastAsia="Calibri"/>
                <w:sz w:val="20"/>
              </w:rPr>
              <w:t>Application for judicial review dismissed</w:t>
            </w:r>
          </w:p>
          <w:p w:rsidR="0045676D" w:rsidRPr="008057D9" w:rsidRDefault="0045676D" w:rsidP="00574799">
            <w:pPr>
              <w:jc w:val="both"/>
              <w:rPr>
                <w:rFonts w:eastAsia="Calibri"/>
                <w:sz w:val="20"/>
              </w:rPr>
            </w:pPr>
          </w:p>
        </w:tc>
      </w:tr>
      <w:tr w:rsidR="0045676D" w:rsidRPr="008057D9" w:rsidTr="00574799">
        <w:tc>
          <w:tcPr>
            <w:tcW w:w="2427" w:type="pct"/>
          </w:tcPr>
          <w:p w:rsidR="0045676D" w:rsidRPr="008057D9" w:rsidRDefault="0045676D" w:rsidP="00574799">
            <w:pPr>
              <w:jc w:val="both"/>
              <w:rPr>
                <w:rFonts w:eastAsia="Calibri"/>
                <w:sz w:val="20"/>
              </w:rPr>
            </w:pPr>
            <w:r w:rsidRPr="008057D9">
              <w:rPr>
                <w:rFonts w:eastAsia="Calibri"/>
                <w:sz w:val="20"/>
              </w:rPr>
              <w:t>January 30, 2014</w:t>
            </w:r>
          </w:p>
          <w:p w:rsidR="0045676D" w:rsidRPr="008057D9" w:rsidRDefault="0045676D" w:rsidP="00574799">
            <w:pPr>
              <w:jc w:val="both"/>
              <w:rPr>
                <w:rFonts w:eastAsia="Calibri"/>
                <w:sz w:val="20"/>
              </w:rPr>
            </w:pPr>
            <w:r w:rsidRPr="008057D9">
              <w:rPr>
                <w:rFonts w:eastAsia="Calibri"/>
                <w:sz w:val="20"/>
              </w:rPr>
              <w:t>Court of Appeal of Alberta (Edmonton)</w:t>
            </w:r>
          </w:p>
          <w:p w:rsidR="0045676D" w:rsidRPr="008057D9" w:rsidRDefault="0045676D" w:rsidP="00574799">
            <w:pPr>
              <w:jc w:val="both"/>
              <w:rPr>
                <w:rFonts w:eastAsia="Calibri"/>
                <w:sz w:val="20"/>
              </w:rPr>
            </w:pPr>
            <w:r w:rsidRPr="008057D9">
              <w:rPr>
                <w:rFonts w:eastAsia="Calibri"/>
                <w:sz w:val="20"/>
              </w:rPr>
              <w:t>(Berger, Slatter  and Veldhuis JJ.A.)</w:t>
            </w:r>
          </w:p>
          <w:p w:rsidR="0045676D" w:rsidRPr="008057D9" w:rsidRDefault="0045676D" w:rsidP="00574799">
            <w:pPr>
              <w:jc w:val="both"/>
              <w:rPr>
                <w:rFonts w:eastAsia="Calibri"/>
                <w:sz w:val="20"/>
              </w:rPr>
            </w:pPr>
            <w:r w:rsidRPr="008057D9">
              <w:rPr>
                <w:rFonts w:eastAsia="Calibri"/>
                <w:sz w:val="20"/>
              </w:rPr>
              <w:t>2014 ABCA 43; 1303-0043-AC</w:t>
            </w:r>
          </w:p>
          <w:p w:rsidR="0045676D" w:rsidRPr="008057D9" w:rsidRDefault="00173D9D" w:rsidP="00574799">
            <w:pPr>
              <w:jc w:val="both"/>
              <w:rPr>
                <w:rFonts w:eastAsia="Calibri"/>
                <w:sz w:val="20"/>
              </w:rPr>
            </w:pPr>
            <w:hyperlink r:id="rId73" w:history="1">
              <w:r w:rsidR="0045676D" w:rsidRPr="008057D9">
                <w:rPr>
                  <w:rFonts w:eastAsia="Calibri"/>
                  <w:color w:val="0000FF"/>
                  <w:sz w:val="20"/>
                  <w:u w:val="single"/>
                </w:rPr>
                <w:t>http://canlii.ca/t/g2w7n</w:t>
              </w:r>
            </w:hyperlink>
          </w:p>
          <w:p w:rsidR="0045676D" w:rsidRPr="008057D9" w:rsidRDefault="0045676D" w:rsidP="00574799">
            <w:pPr>
              <w:jc w:val="both"/>
              <w:rPr>
                <w:rFonts w:eastAsia="Calibri"/>
                <w:sz w:val="20"/>
              </w:rPr>
            </w:pPr>
          </w:p>
        </w:tc>
        <w:tc>
          <w:tcPr>
            <w:tcW w:w="243" w:type="pct"/>
          </w:tcPr>
          <w:p w:rsidR="0045676D" w:rsidRPr="008057D9" w:rsidRDefault="0045676D" w:rsidP="00574799">
            <w:pPr>
              <w:jc w:val="both"/>
              <w:rPr>
                <w:rFonts w:eastAsia="Calibri"/>
                <w:sz w:val="20"/>
              </w:rPr>
            </w:pPr>
          </w:p>
        </w:tc>
        <w:tc>
          <w:tcPr>
            <w:tcW w:w="2330" w:type="pct"/>
          </w:tcPr>
          <w:p w:rsidR="0045676D" w:rsidRPr="008057D9" w:rsidRDefault="0045676D" w:rsidP="00574799">
            <w:pPr>
              <w:jc w:val="both"/>
              <w:rPr>
                <w:rFonts w:eastAsia="Calibri"/>
                <w:sz w:val="20"/>
              </w:rPr>
            </w:pPr>
            <w:r w:rsidRPr="008057D9">
              <w:rPr>
                <w:rFonts w:eastAsia="Calibri"/>
                <w:sz w:val="20"/>
              </w:rPr>
              <w:t>Appeal allowed; arbitration award quashed</w:t>
            </w:r>
          </w:p>
          <w:p w:rsidR="0045676D" w:rsidRPr="008057D9" w:rsidRDefault="0045676D" w:rsidP="00574799">
            <w:pPr>
              <w:jc w:val="both"/>
              <w:rPr>
                <w:rFonts w:eastAsia="Calibri"/>
                <w:sz w:val="20"/>
              </w:rPr>
            </w:pPr>
          </w:p>
        </w:tc>
      </w:tr>
      <w:tr w:rsidR="0045676D" w:rsidRPr="008057D9" w:rsidTr="00574799">
        <w:tc>
          <w:tcPr>
            <w:tcW w:w="2427" w:type="pct"/>
          </w:tcPr>
          <w:p w:rsidR="0045676D" w:rsidRPr="008057D9" w:rsidRDefault="0045676D" w:rsidP="00574799">
            <w:pPr>
              <w:jc w:val="both"/>
              <w:rPr>
                <w:rFonts w:eastAsia="Calibri"/>
                <w:sz w:val="20"/>
              </w:rPr>
            </w:pPr>
            <w:r w:rsidRPr="008057D9">
              <w:rPr>
                <w:rFonts w:eastAsia="Calibri"/>
                <w:sz w:val="20"/>
              </w:rPr>
              <w:t>December 22, 2014</w:t>
            </w:r>
          </w:p>
          <w:p w:rsidR="0045676D" w:rsidRPr="008057D9" w:rsidRDefault="0045676D" w:rsidP="00574799">
            <w:pPr>
              <w:jc w:val="both"/>
              <w:rPr>
                <w:rFonts w:eastAsia="Calibri"/>
                <w:sz w:val="20"/>
              </w:rPr>
            </w:pPr>
            <w:r w:rsidRPr="008057D9">
              <w:rPr>
                <w:rFonts w:eastAsia="Calibri"/>
                <w:sz w:val="20"/>
              </w:rPr>
              <w:t>Supreme Court of Canada</w:t>
            </w:r>
          </w:p>
        </w:tc>
        <w:tc>
          <w:tcPr>
            <w:tcW w:w="243" w:type="pct"/>
          </w:tcPr>
          <w:p w:rsidR="0045676D" w:rsidRPr="008057D9" w:rsidRDefault="0045676D" w:rsidP="00574799">
            <w:pPr>
              <w:jc w:val="both"/>
              <w:rPr>
                <w:rFonts w:eastAsia="Calibri"/>
                <w:sz w:val="20"/>
              </w:rPr>
            </w:pPr>
          </w:p>
        </w:tc>
        <w:tc>
          <w:tcPr>
            <w:tcW w:w="2330" w:type="pct"/>
          </w:tcPr>
          <w:p w:rsidR="0045676D" w:rsidRPr="008057D9" w:rsidRDefault="0045676D" w:rsidP="00574799">
            <w:pPr>
              <w:jc w:val="both"/>
              <w:rPr>
                <w:rFonts w:eastAsia="Calibri"/>
                <w:sz w:val="20"/>
              </w:rPr>
            </w:pPr>
            <w:r w:rsidRPr="008057D9">
              <w:rPr>
                <w:rFonts w:eastAsia="Calibri"/>
                <w:sz w:val="20"/>
              </w:rPr>
              <w:t>Motion for extension of time and Application for leave to appeal filed</w:t>
            </w:r>
          </w:p>
        </w:tc>
      </w:tr>
    </w:tbl>
    <w:p w:rsidR="004D32B1" w:rsidRDefault="004D32B1" w:rsidP="004D32B1">
      <w:pPr>
        <w:rPr>
          <w:sz w:val="20"/>
          <w:szCs w:val="20"/>
        </w:rPr>
      </w:pPr>
    </w:p>
    <w:p w:rsidR="004D32B1" w:rsidRPr="00C50A5C" w:rsidRDefault="00173D9D" w:rsidP="004D32B1">
      <w:pPr>
        <w:rPr>
          <w:sz w:val="20"/>
          <w:szCs w:val="20"/>
        </w:rPr>
      </w:pPr>
      <w:r>
        <w:rPr>
          <w:sz w:val="20"/>
          <w:szCs w:val="20"/>
          <w:lang w:val="fr-CA"/>
        </w:rPr>
        <w:pict>
          <v:rect id="_x0000_i1064" style="width:2in;height:1pt" o:hrpct="0" o:hralign="center" o:hrstd="t" o:hrnoshade="t" o:hr="t" fillcolor="black [3213]" stroked="f"/>
        </w:pict>
      </w:r>
    </w:p>
    <w:p w:rsidR="004D32B1" w:rsidRDefault="004D32B1" w:rsidP="004D32B1">
      <w:pPr>
        <w:rPr>
          <w:sz w:val="20"/>
          <w:szCs w:val="20"/>
        </w:rPr>
      </w:pPr>
    </w:p>
    <w:p w:rsidR="004D32B1" w:rsidRPr="001B157C" w:rsidRDefault="004D32B1" w:rsidP="004D32B1">
      <w:pPr>
        <w:rPr>
          <w:sz w:val="20"/>
          <w:szCs w:val="20"/>
          <w:u w:val="single"/>
          <w:lang w:val="fr-CA"/>
        </w:rPr>
      </w:pPr>
      <w:r w:rsidRPr="001B157C">
        <w:rPr>
          <w:sz w:val="20"/>
          <w:szCs w:val="20"/>
          <w:u w:val="single"/>
          <w:lang w:val="fr-CA"/>
        </w:rPr>
        <w:t>RÉSUMÉ DE L’AFFAIRE</w:t>
      </w:r>
    </w:p>
    <w:p w:rsidR="004D32B1" w:rsidRDefault="004D32B1" w:rsidP="004D32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5676D" w:rsidRPr="008057D9" w:rsidTr="00574799">
        <w:tc>
          <w:tcPr>
            <w:tcW w:w="5000" w:type="pct"/>
            <w:gridSpan w:val="3"/>
          </w:tcPr>
          <w:p w:rsidR="0045676D" w:rsidRPr="008057D9" w:rsidRDefault="0045676D" w:rsidP="00574799">
            <w:pPr>
              <w:jc w:val="both"/>
              <w:rPr>
                <w:sz w:val="20"/>
                <w:lang w:val="fr-CA"/>
              </w:rPr>
            </w:pPr>
            <w:r w:rsidRPr="008057D9">
              <w:rPr>
                <w:i/>
                <w:sz w:val="20"/>
                <w:lang w:val="fr-CA"/>
              </w:rPr>
              <w:t>Charte des droits</w:t>
            </w:r>
            <w:r w:rsidRPr="008057D9">
              <w:rPr>
                <w:sz w:val="20"/>
                <w:lang w:val="fr-CA"/>
              </w:rPr>
              <w:t xml:space="preserve"> – Liberté d’association – Relations du travail – Arbitrage – Compétence – Si le raisonnement de la Cour d’appel concernant la compétence d’un arbitre du travail est exact, s’ensuit-il une limitation importante de la compétence présumée des tribunaux administratifs de trancher des questions constitutionnelles? – Si le raisonnement de la Cour d’appel est exact, s’étend-il aux décisions rendues par d’autres tribunaux spécialisés, et non pas uniquement aux arbitres du travail chargés de trancher des litiges qui résultent de conventions collectives? – </w:t>
            </w:r>
            <w:r w:rsidRPr="008057D9">
              <w:rPr>
                <w:i/>
                <w:sz w:val="20"/>
                <w:lang w:val="fr-CA"/>
              </w:rPr>
              <w:t>Charte canadienne des droits et libertés</w:t>
            </w:r>
            <w:r w:rsidRPr="008057D9">
              <w:rPr>
                <w:sz w:val="20"/>
                <w:lang w:val="fr-CA"/>
              </w:rPr>
              <w:t>, al. 2</w:t>
            </w:r>
            <w:r w:rsidRPr="008057D9">
              <w:rPr>
                <w:i/>
                <w:sz w:val="20"/>
                <w:lang w:val="fr-CA"/>
              </w:rPr>
              <w:t>d</w:t>
            </w:r>
            <w:r w:rsidRPr="008057D9">
              <w:rPr>
                <w:sz w:val="20"/>
                <w:lang w:val="fr-CA"/>
              </w:rPr>
              <w:t xml:space="preserve">) – </w:t>
            </w:r>
            <w:r w:rsidRPr="008057D9">
              <w:rPr>
                <w:i/>
                <w:sz w:val="20"/>
                <w:lang w:val="fr-CA"/>
              </w:rPr>
              <w:t>Public Service Employee Relations Act</w:t>
            </w:r>
            <w:r w:rsidRPr="008057D9">
              <w:rPr>
                <w:sz w:val="20"/>
                <w:lang w:val="fr-CA"/>
              </w:rPr>
              <w:t>, R.S.A. 2000, ch. P-43, par. 12(1).</w:t>
            </w:r>
          </w:p>
        </w:tc>
      </w:tr>
      <w:tr w:rsidR="0045676D" w:rsidRPr="008057D9" w:rsidTr="00574799">
        <w:tc>
          <w:tcPr>
            <w:tcW w:w="5000" w:type="pct"/>
            <w:gridSpan w:val="3"/>
          </w:tcPr>
          <w:p w:rsidR="0045676D" w:rsidRPr="008057D9" w:rsidRDefault="0045676D" w:rsidP="00574799">
            <w:pPr>
              <w:jc w:val="both"/>
              <w:rPr>
                <w:sz w:val="20"/>
                <w:lang w:val="fr-CA"/>
              </w:rPr>
            </w:pPr>
          </w:p>
        </w:tc>
      </w:tr>
      <w:tr w:rsidR="0045676D" w:rsidRPr="00EC49A7" w:rsidTr="00574799">
        <w:tc>
          <w:tcPr>
            <w:tcW w:w="5000" w:type="pct"/>
            <w:gridSpan w:val="3"/>
          </w:tcPr>
          <w:p w:rsidR="0045676D" w:rsidRPr="008057D9" w:rsidRDefault="0045676D" w:rsidP="00574799">
            <w:pPr>
              <w:jc w:val="both"/>
              <w:rPr>
                <w:sz w:val="20"/>
                <w:lang w:val="fr-CA"/>
              </w:rPr>
            </w:pPr>
            <w:r w:rsidRPr="008057D9">
              <w:rPr>
                <w:sz w:val="20"/>
                <w:lang w:val="fr-CA"/>
              </w:rPr>
              <w:t xml:space="preserve">La </w:t>
            </w:r>
            <w:r w:rsidRPr="008057D9">
              <w:rPr>
                <w:i/>
                <w:sz w:val="20"/>
                <w:lang w:val="fr-CA"/>
              </w:rPr>
              <w:t>Public Service Employee Relations Act</w:t>
            </w:r>
            <w:r w:rsidRPr="008057D9">
              <w:rPr>
                <w:sz w:val="20"/>
                <w:lang w:val="fr-CA"/>
              </w:rPr>
              <w:t>, R.S.A. 2000, ch. P-43 (« </w:t>
            </w:r>
            <w:r w:rsidRPr="008057D9">
              <w:rPr>
                <w:i/>
                <w:sz w:val="20"/>
                <w:lang w:val="fr-CA"/>
              </w:rPr>
              <w:t>PSERA</w:t>
            </w:r>
            <w:r w:rsidRPr="008057D9">
              <w:rPr>
                <w:sz w:val="20"/>
                <w:lang w:val="fr-CA"/>
              </w:rPr>
              <w:t xml:space="preserve"> ») établit l’Alberta Union of Provincial Employees (« AUPE ») comme agent négociateur exclusif de l’unité de négociation composée d’employés de la </w:t>
            </w:r>
            <w:r w:rsidRPr="008057D9">
              <w:rPr>
                <w:sz w:val="20"/>
                <w:lang w:val="fr-CA"/>
              </w:rPr>
              <w:lastRenderedPageBreak/>
              <w:t xml:space="preserve">Couronne du chef de l’Alberta.  L’AUPE et le gouvernement de l’Alberta (« Alberta ») sont parties à une convention collective, mais cette dernière ne s’applique pas à certains employés exclus par l’art. 12 de la </w:t>
            </w:r>
            <w:r w:rsidRPr="008057D9">
              <w:rPr>
                <w:i/>
                <w:sz w:val="20"/>
                <w:lang w:val="fr-CA"/>
              </w:rPr>
              <w:t>PSERA</w:t>
            </w:r>
            <w:r w:rsidRPr="008057D9">
              <w:rPr>
                <w:sz w:val="20"/>
                <w:lang w:val="fr-CA"/>
              </w:rPr>
              <w:t>.  L’AUPE a déposé un grief de principe en lien avec les employés exclus, alléguant que l’exclusion, par l’Alberta, des employés de l’unité de négociation et l’omission de prélever et de verser des cotisations syndicales violaient plusieurs articles de la convention collective, ainsi que la liberté d’association des employés, garantie par l’al. 2</w:t>
            </w:r>
            <w:r w:rsidRPr="008057D9">
              <w:rPr>
                <w:i/>
                <w:sz w:val="20"/>
                <w:lang w:val="fr-CA"/>
              </w:rPr>
              <w:t>d</w:t>
            </w:r>
            <w:r w:rsidRPr="008057D9">
              <w:rPr>
                <w:sz w:val="20"/>
                <w:lang w:val="fr-CA"/>
              </w:rPr>
              <w:t xml:space="preserve">) de la </w:t>
            </w:r>
            <w:r w:rsidRPr="008057D9">
              <w:rPr>
                <w:i/>
                <w:sz w:val="20"/>
                <w:lang w:val="fr-CA"/>
              </w:rPr>
              <w:t>Charte canadienne des droits et libertés</w:t>
            </w:r>
            <w:r w:rsidRPr="008057D9">
              <w:rPr>
                <w:sz w:val="20"/>
                <w:lang w:val="fr-CA"/>
              </w:rPr>
              <w:t xml:space="preserve">.  Subsidiairement, l’AUPE a allégué que le par. 12(1) de la </w:t>
            </w:r>
            <w:r w:rsidRPr="008057D9">
              <w:rPr>
                <w:i/>
                <w:sz w:val="20"/>
                <w:lang w:val="fr-CA"/>
              </w:rPr>
              <w:t>PSERA</w:t>
            </w:r>
            <w:r w:rsidRPr="008057D9">
              <w:rPr>
                <w:sz w:val="20"/>
                <w:lang w:val="fr-CA"/>
              </w:rPr>
              <w:t xml:space="preserve"> violait l’al. 2</w:t>
            </w:r>
            <w:r w:rsidRPr="008057D9">
              <w:rPr>
                <w:i/>
                <w:sz w:val="20"/>
                <w:lang w:val="fr-CA"/>
              </w:rPr>
              <w:t>d</w:t>
            </w:r>
            <w:r w:rsidRPr="008057D9">
              <w:rPr>
                <w:sz w:val="20"/>
                <w:lang w:val="fr-CA"/>
              </w:rPr>
              <w:t xml:space="preserve">) de la </w:t>
            </w:r>
            <w:r w:rsidRPr="008057D9">
              <w:rPr>
                <w:i/>
                <w:sz w:val="20"/>
                <w:lang w:val="fr-CA"/>
              </w:rPr>
              <w:t>Charte</w:t>
            </w:r>
            <w:r w:rsidRPr="008057D9">
              <w:rPr>
                <w:sz w:val="20"/>
                <w:lang w:val="fr-CA"/>
              </w:rPr>
              <w:t>.  L’AUPE a allégué en outre que l’exclusion des employés de l’unité de négociation portait atteinte à son droit fondamental de représentation, et violait les droits fondamentaux de représentation et de négociation collective des employés exclus.</w:t>
            </w:r>
          </w:p>
          <w:p w:rsidR="0045676D" w:rsidRPr="008057D9" w:rsidRDefault="0045676D" w:rsidP="00574799">
            <w:pPr>
              <w:jc w:val="both"/>
              <w:rPr>
                <w:sz w:val="20"/>
                <w:lang w:val="fr-CA"/>
              </w:rPr>
            </w:pPr>
          </w:p>
          <w:p w:rsidR="0045676D" w:rsidRPr="008057D9" w:rsidRDefault="0045676D" w:rsidP="00574799">
            <w:pPr>
              <w:jc w:val="both"/>
              <w:rPr>
                <w:sz w:val="20"/>
                <w:lang w:val="fr-CA"/>
              </w:rPr>
            </w:pPr>
            <w:r w:rsidRPr="008057D9">
              <w:rPr>
                <w:sz w:val="20"/>
                <w:lang w:val="fr-CA"/>
              </w:rPr>
              <w:t xml:space="preserve">L’AUPE a demandé une réparation semblable dans son grief et dans l’avis de question constitutionnelle qu’elle a déposée.  En particulier, elle a demandé au conseil d’arbitrage de prononcer une sentence déclarant que l’Alberta ou, subsidiairement, le par. 12(1) de la </w:t>
            </w:r>
            <w:r w:rsidRPr="008057D9">
              <w:rPr>
                <w:i/>
                <w:sz w:val="20"/>
                <w:lang w:val="fr-CA"/>
              </w:rPr>
              <w:t>PSERA</w:t>
            </w:r>
            <w:r w:rsidRPr="008057D9">
              <w:rPr>
                <w:sz w:val="20"/>
                <w:lang w:val="fr-CA"/>
              </w:rPr>
              <w:t xml:space="preserve"> violait l’al. 2</w:t>
            </w:r>
            <w:r w:rsidRPr="008057D9">
              <w:rPr>
                <w:i/>
                <w:sz w:val="20"/>
                <w:lang w:val="fr-CA"/>
              </w:rPr>
              <w:t>d</w:t>
            </w:r>
            <w:r w:rsidRPr="008057D9">
              <w:rPr>
                <w:sz w:val="20"/>
                <w:lang w:val="fr-CA"/>
              </w:rPr>
              <w:t xml:space="preserve">) de la </w:t>
            </w:r>
            <w:r w:rsidRPr="008057D9">
              <w:rPr>
                <w:i/>
                <w:sz w:val="20"/>
                <w:lang w:val="fr-CA"/>
              </w:rPr>
              <w:t>Charte</w:t>
            </w:r>
            <w:r w:rsidRPr="008057D9">
              <w:rPr>
                <w:sz w:val="20"/>
                <w:lang w:val="fr-CA"/>
              </w:rPr>
              <w:t>, que le par. 12(1) était constitutionnellement invalide et inopérante et que les exclusions d’employés de l’unité de négociation en application du par. 12(1) étaient nulles et sans effet.  L’AUPE a également demandé une sentence accessoire déclarant que l’Alberta devait prélever et verser des cotisations syndicales à l’AUPE en lien avec les employés exclus.</w:t>
            </w:r>
          </w:p>
          <w:p w:rsidR="0045676D" w:rsidRPr="008057D9" w:rsidRDefault="0045676D" w:rsidP="00574799">
            <w:pPr>
              <w:jc w:val="both"/>
              <w:rPr>
                <w:sz w:val="20"/>
                <w:lang w:val="fr-CA"/>
              </w:rPr>
            </w:pPr>
          </w:p>
          <w:p w:rsidR="0045676D" w:rsidRPr="008057D9" w:rsidRDefault="0045676D" w:rsidP="00574799">
            <w:pPr>
              <w:jc w:val="both"/>
              <w:rPr>
                <w:sz w:val="20"/>
                <w:lang w:val="fr-CA"/>
              </w:rPr>
            </w:pPr>
            <w:r w:rsidRPr="008057D9">
              <w:rPr>
                <w:sz w:val="20"/>
                <w:lang w:val="fr-CA"/>
              </w:rPr>
              <w:t xml:space="preserve">Le conseil d’arbitrage a conclu qu’il avait compétence pour traiter les questions constitutionnelles, puisque la convention collective lui donnait compétence à l’égard du litige.  Le conseil a reconnu que la question touchant l’obligation de l’Alberta de prélever et de verser des cotisations syndicales était suffisante pour constituer un grief régi par la convention collective.  Le conseil a également statué que le par. 12(1) de la </w:t>
            </w:r>
            <w:r w:rsidRPr="008057D9">
              <w:rPr>
                <w:i/>
                <w:sz w:val="20"/>
                <w:lang w:val="fr-CA"/>
              </w:rPr>
              <w:t>PSERA</w:t>
            </w:r>
            <w:r w:rsidRPr="008057D9">
              <w:rPr>
                <w:sz w:val="20"/>
                <w:lang w:val="fr-CA"/>
              </w:rPr>
              <w:t xml:space="preserve"> ne violait pas la </w:t>
            </w:r>
            <w:r w:rsidRPr="008057D9">
              <w:rPr>
                <w:i/>
                <w:sz w:val="20"/>
                <w:lang w:val="fr-CA"/>
              </w:rPr>
              <w:t>Charte</w:t>
            </w:r>
            <w:r w:rsidRPr="008057D9">
              <w:rPr>
                <w:sz w:val="20"/>
                <w:lang w:val="fr-CA"/>
              </w:rPr>
              <w:t xml:space="preserve"> et il a rejeté le grief de l’AUPE, concluant que les employés exclus n’étaient pas membres de l’unité de négociation de l’AUPE, si bien que l’Alberta n’avait pas violé la convention collective en ne prélevant pas et en ne versant pas de cotisations syndicales à l’AUPE.  À l’issue d’un contrôle judiciaire, la décision du conseil a été confirmée, vu que le conseil avait raisonnablement interprété le par. 12(1) de la </w:t>
            </w:r>
            <w:r w:rsidRPr="008057D9">
              <w:rPr>
                <w:i/>
                <w:sz w:val="20"/>
                <w:lang w:val="fr-CA"/>
              </w:rPr>
              <w:t>PSERA</w:t>
            </w:r>
            <w:r w:rsidRPr="008057D9">
              <w:rPr>
                <w:sz w:val="20"/>
                <w:lang w:val="fr-CA"/>
              </w:rPr>
              <w:t xml:space="preserve"> et qu’il avait conclu à bon droit que le par. 12(1) ne violait pas l’al. 2</w:t>
            </w:r>
            <w:r w:rsidRPr="008057D9">
              <w:rPr>
                <w:i/>
                <w:sz w:val="20"/>
                <w:lang w:val="fr-CA"/>
              </w:rPr>
              <w:t>d</w:t>
            </w:r>
            <w:r w:rsidRPr="008057D9">
              <w:rPr>
                <w:sz w:val="20"/>
                <w:lang w:val="fr-CA"/>
              </w:rPr>
              <w:t xml:space="preserve">) de la </w:t>
            </w:r>
            <w:r w:rsidRPr="008057D9">
              <w:rPr>
                <w:i/>
                <w:sz w:val="20"/>
                <w:lang w:val="fr-CA"/>
              </w:rPr>
              <w:t>Charte</w:t>
            </w:r>
            <w:r w:rsidRPr="008057D9">
              <w:rPr>
                <w:sz w:val="20"/>
                <w:lang w:val="fr-CA"/>
              </w:rPr>
              <w:t xml:space="preserve">.  La Cour d’appel a accueilli l’appel et annulé la sentence arbitrale.  La Cour a conclu que le conseil d’arbitrage n’avait pas compétence pour traiter le litige ou pour rendre une sentence déclaratoire d’invalidité constitutionnelle. </w:t>
            </w:r>
          </w:p>
          <w:p w:rsidR="0045676D" w:rsidRPr="008057D9" w:rsidRDefault="0045676D" w:rsidP="00574799">
            <w:pPr>
              <w:jc w:val="both"/>
              <w:rPr>
                <w:sz w:val="20"/>
                <w:lang w:val="fr-CA"/>
              </w:rPr>
            </w:pPr>
          </w:p>
          <w:p w:rsidR="0045676D" w:rsidRPr="008057D9" w:rsidRDefault="0045676D" w:rsidP="00574799">
            <w:pPr>
              <w:jc w:val="both"/>
              <w:rPr>
                <w:sz w:val="20"/>
                <w:lang w:val="fr-CA"/>
              </w:rPr>
            </w:pPr>
            <w:r w:rsidRPr="008057D9">
              <w:rPr>
                <w:sz w:val="20"/>
                <w:lang w:val="fr-CA"/>
              </w:rPr>
              <w:t xml:space="preserve">L’Alberta a alors demandé l’autorisation de plaider l’appel de nouveau devant la Cour d’appel.  Les juges majoritaires de la Cour d’appel ont rejeté la demande. </w:t>
            </w:r>
          </w:p>
          <w:p w:rsidR="0045676D" w:rsidRPr="008057D9" w:rsidRDefault="0045676D" w:rsidP="00574799">
            <w:pPr>
              <w:jc w:val="both"/>
              <w:rPr>
                <w:sz w:val="20"/>
                <w:lang w:val="fr-CA"/>
              </w:rPr>
            </w:pPr>
          </w:p>
        </w:tc>
      </w:tr>
      <w:tr w:rsidR="0045676D" w:rsidRPr="008057D9" w:rsidTr="00574799">
        <w:tc>
          <w:tcPr>
            <w:tcW w:w="2427" w:type="pct"/>
          </w:tcPr>
          <w:p w:rsidR="0045676D" w:rsidRPr="008057D9" w:rsidRDefault="0045676D" w:rsidP="00574799">
            <w:pPr>
              <w:rPr>
                <w:sz w:val="20"/>
                <w:lang w:val="fr-CA"/>
              </w:rPr>
            </w:pPr>
            <w:r w:rsidRPr="008057D9">
              <w:rPr>
                <w:sz w:val="20"/>
                <w:lang w:val="fr-CA"/>
              </w:rPr>
              <w:lastRenderedPageBreak/>
              <w:t>12 septembre 2011</w:t>
            </w:r>
          </w:p>
          <w:p w:rsidR="0045676D" w:rsidRPr="008057D9" w:rsidRDefault="0045676D" w:rsidP="00574799">
            <w:pPr>
              <w:rPr>
                <w:sz w:val="20"/>
                <w:lang w:val="fr-CA"/>
              </w:rPr>
            </w:pPr>
            <w:r w:rsidRPr="008057D9">
              <w:rPr>
                <w:sz w:val="20"/>
                <w:lang w:val="fr-CA"/>
              </w:rPr>
              <w:t>Conseil d’arbitrage</w:t>
            </w:r>
          </w:p>
          <w:p w:rsidR="0045676D" w:rsidRPr="008057D9" w:rsidRDefault="0045676D" w:rsidP="00574799">
            <w:pPr>
              <w:rPr>
                <w:sz w:val="20"/>
                <w:lang w:val="fr-CA"/>
              </w:rPr>
            </w:pPr>
            <w:r w:rsidRPr="008057D9">
              <w:rPr>
                <w:sz w:val="20"/>
                <w:lang w:val="fr-CA"/>
              </w:rPr>
              <w:t>(Président Jones, arbitres Chomyn et Dawson)</w:t>
            </w:r>
          </w:p>
          <w:p w:rsidR="0045676D" w:rsidRPr="008057D9" w:rsidRDefault="0045676D" w:rsidP="00574799">
            <w:pPr>
              <w:rPr>
                <w:sz w:val="20"/>
                <w:lang w:val="fr-CA"/>
              </w:rPr>
            </w:pPr>
          </w:p>
        </w:tc>
        <w:tc>
          <w:tcPr>
            <w:tcW w:w="243" w:type="pct"/>
          </w:tcPr>
          <w:p w:rsidR="0045676D" w:rsidRPr="008057D9" w:rsidRDefault="0045676D" w:rsidP="00574799">
            <w:pPr>
              <w:rPr>
                <w:sz w:val="20"/>
                <w:lang w:val="fr-CA"/>
              </w:rPr>
            </w:pPr>
          </w:p>
        </w:tc>
        <w:tc>
          <w:tcPr>
            <w:tcW w:w="2330" w:type="pct"/>
          </w:tcPr>
          <w:p w:rsidR="0045676D" w:rsidRPr="008057D9" w:rsidRDefault="0045676D" w:rsidP="00574799">
            <w:pPr>
              <w:rPr>
                <w:sz w:val="20"/>
                <w:lang w:val="fr-CA"/>
              </w:rPr>
            </w:pPr>
            <w:r w:rsidRPr="008057D9">
              <w:rPr>
                <w:sz w:val="20"/>
                <w:lang w:val="fr-CA"/>
              </w:rPr>
              <w:t>Rejet du grief</w:t>
            </w:r>
          </w:p>
        </w:tc>
      </w:tr>
      <w:tr w:rsidR="0045676D" w:rsidRPr="00EC49A7" w:rsidTr="00574799">
        <w:tc>
          <w:tcPr>
            <w:tcW w:w="2427" w:type="pct"/>
          </w:tcPr>
          <w:p w:rsidR="0045676D" w:rsidRPr="008057D9" w:rsidRDefault="0045676D" w:rsidP="00574799">
            <w:pPr>
              <w:rPr>
                <w:sz w:val="20"/>
                <w:lang w:val="fr-CA"/>
              </w:rPr>
            </w:pPr>
            <w:r w:rsidRPr="008057D9">
              <w:rPr>
                <w:sz w:val="20"/>
                <w:lang w:val="fr-CA"/>
              </w:rPr>
              <w:t>4 février 2013</w:t>
            </w:r>
          </w:p>
          <w:p w:rsidR="0045676D" w:rsidRPr="008057D9" w:rsidRDefault="0045676D" w:rsidP="00574799">
            <w:pPr>
              <w:rPr>
                <w:sz w:val="20"/>
                <w:lang w:val="fr-CA"/>
              </w:rPr>
            </w:pPr>
            <w:r w:rsidRPr="008057D9">
              <w:rPr>
                <w:sz w:val="20"/>
                <w:lang w:val="fr-CA"/>
              </w:rPr>
              <w:t>Cour du Banc de la Reine de l’Alberta</w:t>
            </w:r>
          </w:p>
          <w:p w:rsidR="0045676D" w:rsidRPr="008057D9" w:rsidRDefault="0045676D" w:rsidP="00574799">
            <w:pPr>
              <w:rPr>
                <w:sz w:val="20"/>
                <w:lang w:val="fr-CA"/>
              </w:rPr>
            </w:pPr>
            <w:r w:rsidRPr="008057D9">
              <w:rPr>
                <w:sz w:val="20"/>
                <w:lang w:val="fr-CA"/>
              </w:rPr>
              <w:t>(Juge Lee)</w:t>
            </w:r>
          </w:p>
          <w:p w:rsidR="0045676D" w:rsidRPr="008057D9" w:rsidRDefault="0045676D" w:rsidP="00574799">
            <w:pPr>
              <w:rPr>
                <w:sz w:val="20"/>
                <w:lang w:val="fr-CA"/>
              </w:rPr>
            </w:pPr>
            <w:r w:rsidRPr="008057D9">
              <w:rPr>
                <w:sz w:val="20"/>
                <w:lang w:val="fr-CA"/>
              </w:rPr>
              <w:t>2013 ABQB 83</w:t>
            </w:r>
          </w:p>
          <w:p w:rsidR="0045676D" w:rsidRPr="008057D9" w:rsidRDefault="0045676D" w:rsidP="00574799">
            <w:pPr>
              <w:rPr>
                <w:sz w:val="20"/>
                <w:lang w:val="fr-CA"/>
              </w:rPr>
            </w:pPr>
          </w:p>
        </w:tc>
        <w:tc>
          <w:tcPr>
            <w:tcW w:w="243" w:type="pct"/>
          </w:tcPr>
          <w:p w:rsidR="0045676D" w:rsidRPr="008057D9" w:rsidRDefault="0045676D" w:rsidP="00574799">
            <w:pPr>
              <w:rPr>
                <w:sz w:val="20"/>
                <w:lang w:val="fr-CA"/>
              </w:rPr>
            </w:pPr>
          </w:p>
        </w:tc>
        <w:tc>
          <w:tcPr>
            <w:tcW w:w="2330" w:type="pct"/>
          </w:tcPr>
          <w:p w:rsidR="0045676D" w:rsidRPr="008057D9" w:rsidRDefault="0045676D" w:rsidP="00574799">
            <w:pPr>
              <w:rPr>
                <w:sz w:val="20"/>
                <w:lang w:val="fr-CA"/>
              </w:rPr>
            </w:pPr>
            <w:r w:rsidRPr="008057D9">
              <w:rPr>
                <w:sz w:val="20"/>
                <w:lang w:val="fr-CA"/>
              </w:rPr>
              <w:t>Rejet de la demande de contrôle judiciaire</w:t>
            </w:r>
          </w:p>
          <w:p w:rsidR="0045676D" w:rsidRPr="008057D9" w:rsidRDefault="0045676D" w:rsidP="00574799">
            <w:pPr>
              <w:rPr>
                <w:sz w:val="20"/>
                <w:lang w:val="fr-CA"/>
              </w:rPr>
            </w:pPr>
          </w:p>
        </w:tc>
      </w:tr>
      <w:tr w:rsidR="0045676D" w:rsidRPr="00EC49A7" w:rsidTr="00574799">
        <w:tc>
          <w:tcPr>
            <w:tcW w:w="2427" w:type="pct"/>
          </w:tcPr>
          <w:p w:rsidR="0045676D" w:rsidRPr="008057D9" w:rsidRDefault="0045676D" w:rsidP="00574799">
            <w:pPr>
              <w:rPr>
                <w:sz w:val="20"/>
                <w:lang w:val="fr-CA"/>
              </w:rPr>
            </w:pPr>
            <w:r w:rsidRPr="008057D9">
              <w:rPr>
                <w:sz w:val="20"/>
                <w:lang w:val="fr-CA"/>
              </w:rPr>
              <w:t>30 janvier 2014</w:t>
            </w:r>
          </w:p>
          <w:p w:rsidR="0045676D" w:rsidRPr="008057D9" w:rsidRDefault="0045676D" w:rsidP="00574799">
            <w:pPr>
              <w:rPr>
                <w:sz w:val="20"/>
                <w:lang w:val="fr-CA"/>
              </w:rPr>
            </w:pPr>
            <w:r w:rsidRPr="008057D9">
              <w:rPr>
                <w:sz w:val="20"/>
                <w:lang w:val="fr-CA"/>
              </w:rPr>
              <w:t>Cour d’appel de l’Alberta (Edmonton)</w:t>
            </w:r>
          </w:p>
          <w:p w:rsidR="0045676D" w:rsidRPr="008057D9" w:rsidRDefault="0045676D" w:rsidP="00574799">
            <w:pPr>
              <w:rPr>
                <w:sz w:val="20"/>
                <w:lang w:val="fr-CA"/>
              </w:rPr>
            </w:pPr>
            <w:r w:rsidRPr="008057D9">
              <w:rPr>
                <w:sz w:val="20"/>
                <w:lang w:val="fr-CA"/>
              </w:rPr>
              <w:t>(Juges Berger, Slatter  et Veldhuis)</w:t>
            </w:r>
          </w:p>
          <w:p w:rsidR="0045676D" w:rsidRPr="008057D9" w:rsidRDefault="0045676D" w:rsidP="00574799">
            <w:pPr>
              <w:rPr>
                <w:sz w:val="20"/>
              </w:rPr>
            </w:pPr>
            <w:r w:rsidRPr="008057D9">
              <w:rPr>
                <w:sz w:val="20"/>
              </w:rPr>
              <w:t>2014 ABCA 43; 1303-0043-AC</w:t>
            </w:r>
          </w:p>
          <w:p w:rsidR="0045676D" w:rsidRPr="008057D9" w:rsidRDefault="00173D9D" w:rsidP="00574799">
            <w:pPr>
              <w:rPr>
                <w:sz w:val="20"/>
              </w:rPr>
            </w:pPr>
            <w:hyperlink r:id="rId74" w:history="1">
              <w:r w:rsidR="0045676D" w:rsidRPr="008057D9">
                <w:rPr>
                  <w:rStyle w:val="Hyperlink"/>
                  <w:sz w:val="20"/>
                </w:rPr>
                <w:t>http://canlii.ca/t/g2w7n</w:t>
              </w:r>
            </w:hyperlink>
          </w:p>
          <w:p w:rsidR="0045676D" w:rsidRPr="008057D9" w:rsidRDefault="0045676D" w:rsidP="00574799">
            <w:pPr>
              <w:rPr>
                <w:sz w:val="20"/>
              </w:rPr>
            </w:pPr>
          </w:p>
        </w:tc>
        <w:tc>
          <w:tcPr>
            <w:tcW w:w="243" w:type="pct"/>
          </w:tcPr>
          <w:p w:rsidR="0045676D" w:rsidRPr="008057D9" w:rsidRDefault="0045676D" w:rsidP="00574799">
            <w:pPr>
              <w:rPr>
                <w:sz w:val="20"/>
              </w:rPr>
            </w:pPr>
          </w:p>
        </w:tc>
        <w:tc>
          <w:tcPr>
            <w:tcW w:w="2330" w:type="pct"/>
          </w:tcPr>
          <w:p w:rsidR="0045676D" w:rsidRPr="008057D9" w:rsidRDefault="0045676D" w:rsidP="00574799">
            <w:pPr>
              <w:rPr>
                <w:sz w:val="20"/>
                <w:lang w:val="fr-CA"/>
              </w:rPr>
            </w:pPr>
            <w:r w:rsidRPr="008057D9">
              <w:rPr>
                <w:sz w:val="20"/>
                <w:lang w:val="fr-CA"/>
              </w:rPr>
              <w:t>Arrêt accueillant l’appel; annulation de la sentence arbitrale</w:t>
            </w:r>
          </w:p>
          <w:p w:rsidR="0045676D" w:rsidRPr="008057D9" w:rsidRDefault="0045676D" w:rsidP="00574799">
            <w:pPr>
              <w:rPr>
                <w:sz w:val="20"/>
                <w:lang w:val="fr-CA"/>
              </w:rPr>
            </w:pPr>
          </w:p>
        </w:tc>
      </w:tr>
      <w:tr w:rsidR="0045676D" w:rsidRPr="00EC49A7" w:rsidTr="00574799">
        <w:tc>
          <w:tcPr>
            <w:tcW w:w="2427" w:type="pct"/>
          </w:tcPr>
          <w:p w:rsidR="0045676D" w:rsidRPr="008057D9" w:rsidRDefault="0045676D" w:rsidP="00574799">
            <w:pPr>
              <w:rPr>
                <w:sz w:val="20"/>
                <w:lang w:val="fr-CA"/>
              </w:rPr>
            </w:pPr>
            <w:r w:rsidRPr="008057D9">
              <w:rPr>
                <w:sz w:val="20"/>
                <w:lang w:val="fr-CA"/>
              </w:rPr>
              <w:t>22 décembre 2014</w:t>
            </w:r>
          </w:p>
          <w:p w:rsidR="0045676D" w:rsidRPr="008057D9" w:rsidRDefault="0045676D" w:rsidP="00574799">
            <w:pPr>
              <w:rPr>
                <w:sz w:val="20"/>
                <w:lang w:val="fr-CA"/>
              </w:rPr>
            </w:pPr>
            <w:r w:rsidRPr="008057D9">
              <w:rPr>
                <w:sz w:val="20"/>
                <w:lang w:val="fr-CA"/>
              </w:rPr>
              <w:t>Cour suprême du Canada</w:t>
            </w:r>
          </w:p>
        </w:tc>
        <w:tc>
          <w:tcPr>
            <w:tcW w:w="243" w:type="pct"/>
          </w:tcPr>
          <w:p w:rsidR="0045676D" w:rsidRPr="008057D9" w:rsidRDefault="0045676D" w:rsidP="00574799">
            <w:pPr>
              <w:rPr>
                <w:sz w:val="20"/>
                <w:lang w:val="fr-CA"/>
              </w:rPr>
            </w:pPr>
          </w:p>
        </w:tc>
        <w:tc>
          <w:tcPr>
            <w:tcW w:w="2330" w:type="pct"/>
          </w:tcPr>
          <w:p w:rsidR="0045676D" w:rsidRPr="008057D9" w:rsidRDefault="0045676D" w:rsidP="00574799">
            <w:pPr>
              <w:rPr>
                <w:sz w:val="20"/>
                <w:lang w:val="fr-CA"/>
              </w:rPr>
            </w:pPr>
            <w:r w:rsidRPr="008057D9">
              <w:rPr>
                <w:sz w:val="20"/>
                <w:lang w:val="fr-CA"/>
              </w:rPr>
              <w:t>Dépôt de la requête en prorogation de délai de la demande d’autorisation d’appel</w:t>
            </w:r>
          </w:p>
        </w:tc>
      </w:tr>
    </w:tbl>
    <w:p w:rsidR="004D32B1" w:rsidRPr="0045676D" w:rsidRDefault="004D32B1" w:rsidP="004D32B1">
      <w:pPr>
        <w:rPr>
          <w:sz w:val="20"/>
          <w:szCs w:val="20"/>
          <w:lang w:val="fr-CA"/>
        </w:rPr>
      </w:pPr>
    </w:p>
    <w:p w:rsidR="004D32B1" w:rsidRDefault="00173D9D" w:rsidP="004D32B1">
      <w:pPr>
        <w:rPr>
          <w:sz w:val="20"/>
          <w:szCs w:val="20"/>
          <w:lang w:val="fr-CA"/>
        </w:rPr>
      </w:pPr>
      <w:r>
        <w:rPr>
          <w:sz w:val="20"/>
          <w:szCs w:val="20"/>
          <w:lang w:val="fr-CA"/>
        </w:rPr>
        <w:pict>
          <v:rect id="_x0000_i1065"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r w:rsidRPr="00CE4EDB">
        <w:rPr>
          <w:rFonts w:eastAsia="Times New Roman" w:cs="Times New Roman"/>
          <w:sz w:val="20"/>
          <w:szCs w:val="20"/>
          <w:lang w:val="fr-CA" w:eastAsia="en-CA"/>
        </w:rPr>
        <w:t>16.03.2015</w:t>
      </w:r>
    </w:p>
    <w:p w:rsidR="00CE4EDB" w:rsidRPr="00CE4EDB" w:rsidRDefault="00CE4EDB" w:rsidP="00CE4EDB">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E4EDB" w:rsidRPr="00CE4EDB" w:rsidTr="00574799">
        <w:trPr>
          <w:trHeight w:val="151"/>
        </w:trPr>
        <w:tc>
          <w:tcPr>
            <w:tcW w:w="4338" w:type="dxa"/>
          </w:tcPr>
          <w:p w:rsidR="00CE4EDB" w:rsidRPr="00CE4EDB" w:rsidRDefault="00D31263" w:rsidP="00CE4EDB">
            <w:pPr>
              <w:tabs>
                <w:tab w:val="left" w:pos="-1440"/>
                <w:tab w:val="left" w:pos="-720"/>
              </w:tabs>
              <w:jc w:val="both"/>
              <w:rPr>
                <w:lang w:val="fr-CA"/>
              </w:rPr>
            </w:pPr>
            <w:r w:rsidRPr="00CE4EDB">
              <w:rPr>
                <w:lang w:val="en-US"/>
              </w:rPr>
              <w:fldChar w:fldCharType="begin"/>
            </w:r>
            <w:r w:rsidR="00CE4EDB" w:rsidRPr="00CE4EDB">
              <w:rPr>
                <w:lang w:val="fr-CA"/>
              </w:rPr>
              <w:instrText xml:space="preserve"> SEQ CHAPTER \h \r 1</w:instrText>
            </w:r>
            <w:r w:rsidRPr="00CE4EDB">
              <w:rPr>
                <w:lang w:val="en-US"/>
              </w:rPr>
              <w:fldChar w:fldCharType="end"/>
            </w:r>
            <w:r w:rsidR="00CE4EDB" w:rsidRPr="00CE4EDB">
              <w:rPr>
                <w:b/>
                <w:bCs/>
                <w:lang w:val="fr-CA"/>
              </w:rPr>
              <w:t>Order</w:t>
            </w:r>
          </w:p>
          <w:p w:rsidR="00CE4EDB" w:rsidRPr="00CE4EDB" w:rsidRDefault="00D31263" w:rsidP="00CE4EDB">
            <w:pPr>
              <w:tabs>
                <w:tab w:val="left" w:pos="-1440"/>
                <w:tab w:val="left" w:pos="-720"/>
              </w:tabs>
              <w:jc w:val="both"/>
              <w:rPr>
                <w:lang w:val="fr-CA"/>
              </w:rPr>
            </w:pPr>
            <w:r w:rsidRPr="00CE4EDB">
              <w:rPr>
                <w:lang w:val="en-US"/>
              </w:rPr>
              <w:fldChar w:fldCharType="begin"/>
            </w:r>
            <w:r w:rsidR="00CE4EDB" w:rsidRPr="00CE4EDB">
              <w:rPr>
                <w:lang w:val="fr-CA"/>
              </w:rPr>
              <w:instrText xml:space="preserve"> SEQ CHAPTER \h \r 1</w:instrText>
            </w:r>
            <w:r w:rsidRPr="00CE4EDB">
              <w:rPr>
                <w:lang w:val="en-US"/>
              </w:rPr>
              <w:fldChar w:fldCharType="end"/>
            </w:r>
          </w:p>
        </w:tc>
        <w:tc>
          <w:tcPr>
            <w:tcW w:w="1170" w:type="dxa"/>
          </w:tcPr>
          <w:p w:rsidR="00CE4EDB" w:rsidRPr="00CE4EDB" w:rsidRDefault="00CE4EDB" w:rsidP="00CE4EDB">
            <w:pPr>
              <w:jc w:val="both"/>
              <w:rPr>
                <w:lang w:val="fr-CA"/>
              </w:rPr>
            </w:pPr>
          </w:p>
          <w:p w:rsidR="00CE4EDB" w:rsidRPr="00CE4EDB" w:rsidRDefault="00CE4EDB" w:rsidP="00CE4EDB">
            <w:pPr>
              <w:jc w:val="both"/>
              <w:rPr>
                <w:lang w:val="fr-CA"/>
              </w:rPr>
            </w:pPr>
          </w:p>
        </w:tc>
        <w:tc>
          <w:tcPr>
            <w:tcW w:w="4327" w:type="dxa"/>
          </w:tcPr>
          <w:p w:rsidR="00CE4EDB" w:rsidRPr="00CE4EDB" w:rsidRDefault="00D31263" w:rsidP="00CE4EDB">
            <w:pPr>
              <w:jc w:val="both"/>
              <w:rPr>
                <w:b/>
                <w:lang w:val="fr-CA"/>
              </w:rPr>
            </w:pPr>
            <w:r w:rsidRPr="00CE4EDB">
              <w:rPr>
                <w:lang w:val="en-US"/>
              </w:rPr>
              <w:fldChar w:fldCharType="begin"/>
            </w:r>
            <w:r w:rsidR="00CE4EDB" w:rsidRPr="00CE4EDB">
              <w:rPr>
                <w:lang w:val="fr-CA"/>
              </w:rPr>
              <w:instrText xml:space="preserve"> SEQ CHAPTER \h \r 1</w:instrText>
            </w:r>
            <w:r w:rsidRPr="00CE4EDB">
              <w:rPr>
                <w:lang w:val="en-US"/>
              </w:rPr>
              <w:fldChar w:fldCharType="end"/>
            </w:r>
            <w:r w:rsidR="00CE4EDB" w:rsidRPr="00CE4EDB">
              <w:rPr>
                <w:b/>
                <w:bCs/>
                <w:lang w:val="fr-CA"/>
              </w:rPr>
              <w:t>Ordonnance</w:t>
            </w:r>
          </w:p>
          <w:p w:rsidR="00CE4EDB" w:rsidRPr="00CE4EDB" w:rsidRDefault="00D31263" w:rsidP="00CE4EDB">
            <w:pPr>
              <w:jc w:val="both"/>
              <w:rPr>
                <w:b/>
                <w:lang w:val="fr-CA"/>
              </w:rPr>
            </w:pPr>
            <w:r w:rsidRPr="00CE4EDB">
              <w:rPr>
                <w:b/>
                <w:lang w:val="en-US"/>
              </w:rPr>
              <w:fldChar w:fldCharType="begin"/>
            </w:r>
            <w:r w:rsidR="00CE4EDB" w:rsidRPr="00CE4EDB">
              <w:rPr>
                <w:b/>
                <w:lang w:val="fr-CA"/>
              </w:rPr>
              <w:instrText xml:space="preserve"> SEQ CHAPTER \h \r 1</w:instrText>
            </w:r>
            <w:r w:rsidRPr="00CE4EDB">
              <w:rPr>
                <w:b/>
                <w:lang w:val="en-US"/>
              </w:rPr>
              <w:fldChar w:fldCharType="end"/>
            </w:r>
            <w:r w:rsidRPr="00CE4EDB">
              <w:rPr>
                <w:b/>
                <w:lang w:val="en-US"/>
              </w:rPr>
              <w:fldChar w:fldCharType="begin"/>
            </w:r>
            <w:r w:rsidR="00CE4EDB" w:rsidRPr="00CE4EDB">
              <w:rPr>
                <w:b/>
                <w:lang w:val="fr-CA"/>
              </w:rPr>
              <w:instrText xml:space="preserve"> SEQ CHAPTER \h \r 1</w:instrText>
            </w:r>
            <w:r w:rsidRPr="00CE4EDB">
              <w:rPr>
                <w:b/>
                <w:lang w:val="en-US"/>
              </w:rPr>
              <w:fldChar w:fldCharType="end"/>
            </w:r>
          </w:p>
        </w:tc>
      </w:tr>
      <w:tr w:rsidR="00CE4EDB" w:rsidRPr="00CE4EDB" w:rsidTr="00574799">
        <w:trPr>
          <w:trHeight w:val="150"/>
        </w:trPr>
        <w:tc>
          <w:tcPr>
            <w:tcW w:w="4338" w:type="dxa"/>
          </w:tcPr>
          <w:p w:rsidR="00CE4EDB" w:rsidRPr="00CE4EDB" w:rsidRDefault="00CE4EDB" w:rsidP="00CE4EDB">
            <w:pPr>
              <w:tabs>
                <w:tab w:val="left" w:pos="-1440"/>
                <w:tab w:val="left" w:pos="-720"/>
              </w:tabs>
              <w:jc w:val="both"/>
            </w:pPr>
            <w:r w:rsidRPr="00CE4EDB">
              <w:t xml:space="preserve">Vlasta Stubicar </w:t>
            </w:r>
          </w:p>
          <w:p w:rsidR="00CE4EDB" w:rsidRPr="00CE4EDB" w:rsidRDefault="00CE4EDB" w:rsidP="00CE4EDB">
            <w:pPr>
              <w:tabs>
                <w:tab w:val="left" w:pos="-1440"/>
                <w:tab w:val="left" w:pos="-720"/>
              </w:tabs>
              <w:jc w:val="both"/>
            </w:pPr>
          </w:p>
          <w:p w:rsidR="00CE4EDB" w:rsidRPr="00CE4EDB" w:rsidRDefault="00CE4EDB" w:rsidP="00CE4EDB">
            <w:pPr>
              <w:tabs>
                <w:tab w:val="left" w:pos="-1440"/>
                <w:tab w:val="left" w:pos="-720"/>
              </w:tabs>
              <w:jc w:val="both"/>
            </w:pPr>
            <w:r w:rsidRPr="00CE4EDB">
              <w:tab/>
              <w:t>v. (35670)</w:t>
            </w:r>
          </w:p>
          <w:p w:rsidR="00CE4EDB" w:rsidRPr="00CE4EDB" w:rsidRDefault="00CE4EDB" w:rsidP="00CE4EDB">
            <w:pPr>
              <w:tabs>
                <w:tab w:val="left" w:pos="-1440"/>
                <w:tab w:val="left" w:pos="-720"/>
              </w:tabs>
              <w:jc w:val="both"/>
            </w:pPr>
          </w:p>
          <w:p w:rsidR="00CE4EDB" w:rsidRPr="00CE4EDB" w:rsidRDefault="00CE4EDB" w:rsidP="00CE4EDB">
            <w:pPr>
              <w:tabs>
                <w:tab w:val="left" w:pos="-1440"/>
                <w:tab w:val="left" w:pos="-720"/>
              </w:tabs>
              <w:jc w:val="both"/>
            </w:pPr>
            <w:r w:rsidRPr="00CE4EDB">
              <w:t>Her Majesty the Queen in Right of Canada (F.C.)</w:t>
            </w:r>
          </w:p>
        </w:tc>
        <w:tc>
          <w:tcPr>
            <w:tcW w:w="1170" w:type="dxa"/>
          </w:tcPr>
          <w:p w:rsidR="00CE4EDB" w:rsidRPr="00CE4EDB" w:rsidRDefault="00CE4EDB" w:rsidP="00CE4EDB">
            <w:pPr>
              <w:jc w:val="both"/>
            </w:pPr>
          </w:p>
        </w:tc>
        <w:tc>
          <w:tcPr>
            <w:tcW w:w="4327" w:type="dxa"/>
          </w:tcPr>
          <w:p w:rsidR="00CE4EDB" w:rsidRPr="00CE4EDB" w:rsidRDefault="00CE4EDB" w:rsidP="00CE4EDB">
            <w:pPr>
              <w:jc w:val="both"/>
            </w:pPr>
          </w:p>
        </w:tc>
      </w:tr>
    </w:tbl>
    <w:p w:rsidR="00CE4EDB" w:rsidRPr="00CE4EDB" w:rsidRDefault="00CE4EDB" w:rsidP="00CE4EDB">
      <w:pPr>
        <w:tabs>
          <w:tab w:val="left" w:pos="-1440"/>
          <w:tab w:val="left" w:pos="-720"/>
        </w:tabs>
        <w:jc w:val="both"/>
        <w:rPr>
          <w:rFonts w:eastAsia="Times New Roman" w:cs="Times New Roman"/>
          <w:sz w:val="20"/>
          <w:szCs w:val="20"/>
          <w:lang w:eastAsia="en-CA"/>
        </w:rPr>
      </w:pPr>
    </w:p>
    <w:p w:rsidR="00CE4EDB" w:rsidRPr="00CE4EDB" w:rsidRDefault="00CE4EDB" w:rsidP="00CE4EDB">
      <w:pPr>
        <w:spacing w:line="233" w:lineRule="auto"/>
        <w:rPr>
          <w:rFonts w:eastAsia="Times New Roman" w:cs="Times New Roman"/>
          <w:sz w:val="20"/>
          <w:szCs w:val="20"/>
          <w:lang w:val="en-US" w:eastAsia="en-CA"/>
        </w:rPr>
      </w:pPr>
      <w:r w:rsidRPr="00CE4EDB">
        <w:rPr>
          <w:rFonts w:eastAsia="Times New Roman" w:cs="Times New Roman"/>
          <w:b/>
          <w:bCs/>
          <w:sz w:val="20"/>
          <w:szCs w:val="20"/>
          <w:u w:val="single"/>
          <w:lang w:val="en-US" w:eastAsia="en-CA"/>
        </w:rPr>
        <w:t>THE REGISTRAR</w:t>
      </w:r>
      <w:r w:rsidRPr="00CE4EDB">
        <w:rPr>
          <w:rFonts w:eastAsia="Times New Roman" w:cs="Times New Roman"/>
          <w:b/>
          <w:bCs/>
          <w:sz w:val="20"/>
          <w:szCs w:val="20"/>
          <w:lang w:val="en-US" w:eastAsia="en-CA"/>
        </w:rPr>
        <w:t>:</w:t>
      </w:r>
    </w:p>
    <w:p w:rsidR="00CE4EDB" w:rsidRPr="00CE4EDB" w:rsidRDefault="00CE4EDB" w:rsidP="00CE4EDB">
      <w:pPr>
        <w:spacing w:line="233" w:lineRule="auto"/>
        <w:rPr>
          <w:rFonts w:eastAsia="Times New Roman" w:cs="Times New Roman"/>
          <w:sz w:val="20"/>
          <w:szCs w:val="20"/>
          <w:lang w:val="en-US" w:eastAsia="en-CA"/>
        </w:rPr>
      </w:pPr>
    </w:p>
    <w:p w:rsidR="00CE4EDB" w:rsidRPr="00CE4EDB" w:rsidRDefault="00CE4EDB" w:rsidP="00CE4EDB">
      <w:pPr>
        <w:jc w:val="both"/>
        <w:rPr>
          <w:rFonts w:eastAsia="Times New Roman" w:cs="Times New Roman"/>
          <w:sz w:val="20"/>
          <w:szCs w:val="20"/>
          <w:lang w:val="en-US" w:eastAsia="en-CA"/>
        </w:rPr>
      </w:pPr>
      <w:r w:rsidRPr="00CE4EDB">
        <w:rPr>
          <w:rFonts w:eastAsia="Times New Roman" w:cs="Times New Roman"/>
          <w:sz w:val="20"/>
          <w:szCs w:val="20"/>
          <w:lang w:val="en-US" w:eastAsia="en-CA"/>
        </w:rPr>
        <w:t xml:space="preserve">[1] </w:t>
      </w:r>
      <w:r w:rsidRPr="00CE4EDB">
        <w:rPr>
          <w:rFonts w:eastAsia="Times New Roman" w:cs="Times New Roman"/>
          <w:sz w:val="20"/>
          <w:szCs w:val="20"/>
          <w:lang w:val="en-US" w:eastAsia="en-CA"/>
        </w:rPr>
        <w:tab/>
        <w:t xml:space="preserve">Under Rule 83(2) of the </w:t>
      </w:r>
      <w:r w:rsidRPr="00CE4EDB">
        <w:rPr>
          <w:rFonts w:eastAsia="Times New Roman" w:cs="Times New Roman"/>
          <w:i/>
          <w:sz w:val="20"/>
          <w:szCs w:val="20"/>
          <w:lang w:val="en-US" w:eastAsia="en-CA"/>
        </w:rPr>
        <w:t>Rules of the Supreme Court of Canada</w:t>
      </w:r>
      <w:r w:rsidRPr="00CE4EDB">
        <w:rPr>
          <w:rFonts w:eastAsia="Times New Roman" w:cs="Times New Roman"/>
          <w:sz w:val="20"/>
          <w:szCs w:val="20"/>
          <w:lang w:val="en-US" w:eastAsia="en-CA"/>
        </w:rPr>
        <w:t>,</w:t>
      </w:r>
      <w:r w:rsidRPr="00CE4EDB">
        <w:rPr>
          <w:rFonts w:eastAsia="Times New Roman" w:cs="Times New Roman"/>
          <w:sz w:val="20"/>
          <w:szCs w:val="20"/>
          <w:lang w:eastAsia="en-CA"/>
        </w:rPr>
        <w:t xml:space="preserve"> SOR/2002-156,</w:t>
      </w:r>
      <w:r w:rsidRPr="00CE4EDB">
        <w:rPr>
          <w:rFonts w:eastAsia="Times New Roman" w:cs="Times New Roman"/>
          <w:sz w:val="20"/>
          <w:szCs w:val="20"/>
          <w:lang w:val="en-US" w:eastAsia="en-CA"/>
        </w:rPr>
        <w:t xml:space="preserve"> a party to whom costs are awarded must serve and file a notice of taxation together with a bill of costs “within six months after the order setting out the final decision on costs”. Rule 83(5) provides that, after the time for disputing the taxation of the bill of costs or one of its items under Rules 83(3) and 83(4) has elapsed, the Registrar “shall issue a certificate of taxation”. </w:t>
      </w:r>
    </w:p>
    <w:p w:rsidR="00CE4EDB" w:rsidRPr="00CE4EDB" w:rsidRDefault="00CE4EDB" w:rsidP="00CE4EDB">
      <w:pPr>
        <w:jc w:val="both"/>
        <w:rPr>
          <w:rFonts w:eastAsia="Times New Roman" w:cs="Times New Roman"/>
          <w:sz w:val="20"/>
          <w:szCs w:val="20"/>
          <w:lang w:val="en-US"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 xml:space="preserve">[2] </w:t>
      </w:r>
      <w:r w:rsidRPr="00CE4EDB">
        <w:rPr>
          <w:rFonts w:eastAsia="Times New Roman" w:cs="Times New Roman"/>
          <w:sz w:val="20"/>
          <w:szCs w:val="20"/>
          <w:lang w:eastAsia="en-CA"/>
        </w:rPr>
        <w:tab/>
        <w:t xml:space="preserve">The issue in this case is whether I can issue a certificate of taxation under Rule 83(5) in circumstances where the notice of taxation and bill of costs were filed more than six months after this Court dismissed the application for leave to appeal to which the costs order relates. In my view, I cannot. In the circumstances of this case, I must refuse the documents for filing on the basis that they do not comply with the </w:t>
      </w:r>
      <w:r w:rsidRPr="00CE4EDB">
        <w:rPr>
          <w:rFonts w:eastAsia="Times New Roman" w:cs="Times New Roman"/>
          <w:i/>
          <w:sz w:val="20"/>
          <w:szCs w:val="20"/>
          <w:lang w:eastAsia="en-CA"/>
        </w:rPr>
        <w:t>Rules</w:t>
      </w:r>
      <w:r w:rsidRPr="00CE4EDB">
        <w:rPr>
          <w:rFonts w:eastAsia="Times New Roman" w:cs="Times New Roman"/>
          <w:sz w:val="20"/>
          <w:szCs w:val="20"/>
          <w:lang w:eastAsia="en-CA"/>
        </w:rPr>
        <w:t>.</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b/>
          <w:sz w:val="20"/>
          <w:szCs w:val="20"/>
          <w:lang w:eastAsia="en-CA"/>
        </w:rPr>
      </w:pPr>
      <w:r w:rsidRPr="00CE4EDB">
        <w:rPr>
          <w:rFonts w:eastAsia="Times New Roman" w:cs="Times New Roman"/>
          <w:b/>
          <w:sz w:val="20"/>
          <w:szCs w:val="20"/>
          <w:lang w:eastAsia="en-CA"/>
        </w:rPr>
        <w:t>Facts and Arguments of the Parties</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val="en-US" w:eastAsia="en-CA"/>
        </w:rPr>
      </w:pPr>
      <w:r w:rsidRPr="00CE4EDB">
        <w:rPr>
          <w:rFonts w:eastAsia="Times New Roman" w:cs="Times New Roman"/>
          <w:sz w:val="20"/>
          <w:szCs w:val="20"/>
          <w:lang w:val="en-US" w:eastAsia="en-CA"/>
        </w:rPr>
        <w:t>[3]</w:t>
      </w:r>
      <w:r w:rsidRPr="00CE4EDB">
        <w:rPr>
          <w:rFonts w:eastAsia="Times New Roman" w:cs="Times New Roman"/>
          <w:sz w:val="20"/>
          <w:szCs w:val="20"/>
          <w:lang w:val="en-US" w:eastAsia="en-CA"/>
        </w:rPr>
        <w:tab/>
        <w:t xml:space="preserve">On </w:t>
      </w:r>
      <w:r w:rsidRPr="00CE4EDB">
        <w:rPr>
          <w:rFonts w:eastAsia="Times New Roman" w:cs="Times New Roman"/>
          <w:sz w:val="20"/>
          <w:szCs w:val="20"/>
          <w:lang w:eastAsia="en-CA"/>
        </w:rPr>
        <w:t>March 13, 2014</w:t>
      </w:r>
      <w:r w:rsidRPr="00CE4EDB">
        <w:rPr>
          <w:rFonts w:eastAsia="Times New Roman" w:cs="Times New Roman"/>
          <w:sz w:val="20"/>
          <w:szCs w:val="20"/>
          <w:lang w:val="en-US" w:eastAsia="en-CA"/>
        </w:rPr>
        <w:t xml:space="preserve">, the Court </w:t>
      </w:r>
      <w:r w:rsidRPr="00CE4EDB">
        <w:rPr>
          <w:rFonts w:eastAsia="Times New Roman" w:cs="Times New Roman"/>
          <w:sz w:val="20"/>
          <w:szCs w:val="20"/>
          <w:lang w:eastAsia="en-CA"/>
        </w:rPr>
        <w:t xml:space="preserve">(Abella, Rothstein and Moldaver JJ.) </w:t>
      </w:r>
      <w:r w:rsidRPr="00CE4EDB">
        <w:rPr>
          <w:rFonts w:eastAsia="Times New Roman" w:cs="Times New Roman"/>
          <w:sz w:val="20"/>
          <w:szCs w:val="20"/>
          <w:lang w:val="en-US" w:eastAsia="en-CA"/>
        </w:rPr>
        <w:t>dismissed an application for leave to appeal by Ms. Stubicar, with costs to the respondent Crown. The Crown served and filed its notice of taxation and bill of costs approximately eight months later, on November 10, 2014.</w:t>
      </w:r>
    </w:p>
    <w:p w:rsidR="00CE4EDB" w:rsidRPr="00CE4EDB" w:rsidRDefault="00CE4EDB" w:rsidP="00CE4EDB">
      <w:pPr>
        <w:jc w:val="both"/>
        <w:rPr>
          <w:rFonts w:eastAsia="Times New Roman" w:cs="Times New Roman"/>
          <w:sz w:val="20"/>
          <w:szCs w:val="20"/>
          <w:lang w:val="en-US"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val="en-US" w:eastAsia="en-CA"/>
        </w:rPr>
        <w:t>[4]</w:t>
      </w:r>
      <w:r w:rsidRPr="00CE4EDB">
        <w:rPr>
          <w:rFonts w:eastAsia="Times New Roman" w:cs="Times New Roman"/>
          <w:sz w:val="20"/>
          <w:szCs w:val="20"/>
          <w:lang w:val="en-US" w:eastAsia="en-CA"/>
        </w:rPr>
        <w:tab/>
        <w:t xml:space="preserve">After the Court dismissed her application for leave to appeal, </w:t>
      </w:r>
      <w:r w:rsidRPr="00CE4EDB">
        <w:rPr>
          <w:rFonts w:eastAsia="Times New Roman" w:cs="Times New Roman"/>
          <w:sz w:val="20"/>
          <w:szCs w:val="20"/>
          <w:lang w:eastAsia="en-CA"/>
        </w:rPr>
        <w:t>Ms. Stubicar attempted to file a motion for reconsideration of the Court’s decision. Before the motion could be accepted for filing, I was required to decide whether the affidavit in support of that motion set out “exceedingly rare circumstances in the case that warrant consideration by the Court and an explanation of why the issue was not previously raised” (Rule 73(3)(</w:t>
      </w:r>
      <w:r w:rsidRPr="00CE4EDB">
        <w:rPr>
          <w:rFonts w:eastAsia="Times New Roman" w:cs="Times New Roman"/>
          <w:i/>
          <w:sz w:val="20"/>
          <w:szCs w:val="20"/>
          <w:lang w:eastAsia="en-CA"/>
        </w:rPr>
        <w:t>b</w:t>
      </w:r>
      <w:r w:rsidRPr="00CE4EDB">
        <w:rPr>
          <w:rFonts w:eastAsia="Times New Roman" w:cs="Times New Roman"/>
          <w:sz w:val="20"/>
          <w:szCs w:val="20"/>
          <w:lang w:eastAsia="en-CA"/>
        </w:rPr>
        <w:t>)). If it did not, the motion would “not be submitted to the Court” and, in accordance with established practice, the materials would be returned to the applicant (Rule 73(4)).</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[5]</w:t>
      </w:r>
      <w:r w:rsidRPr="00CE4EDB">
        <w:rPr>
          <w:rFonts w:eastAsia="Times New Roman" w:cs="Times New Roman"/>
          <w:sz w:val="20"/>
          <w:szCs w:val="20"/>
          <w:lang w:eastAsia="en-CA"/>
        </w:rPr>
        <w:tab/>
        <w:t>On April 22, 2014, before I could decide whether to accept the motion for reconsideration materials for filing, Ms. Stubicar filed a “motion for directions” under Rule 47. In that motion, she sought an order directing me to refer her motion for reconsideration directly to a judge.</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[6]</w:t>
      </w:r>
      <w:r w:rsidRPr="00CE4EDB">
        <w:rPr>
          <w:rFonts w:eastAsia="Times New Roman" w:cs="Times New Roman"/>
          <w:sz w:val="20"/>
          <w:szCs w:val="20"/>
          <w:lang w:eastAsia="en-CA"/>
        </w:rPr>
        <w:tab/>
        <w:t xml:space="preserve">I referred the matter to Justice Rothstein on May 7, 2014. </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[7]</w:t>
      </w:r>
      <w:r w:rsidRPr="00CE4EDB">
        <w:rPr>
          <w:rFonts w:eastAsia="Times New Roman" w:cs="Times New Roman"/>
          <w:sz w:val="20"/>
          <w:szCs w:val="20"/>
          <w:lang w:eastAsia="en-CA"/>
        </w:rPr>
        <w:tab/>
        <w:t xml:space="preserve">Justice Rothstein first decided a motion in a companion case: </w:t>
      </w:r>
      <w:r w:rsidRPr="00CE4EDB">
        <w:rPr>
          <w:rFonts w:eastAsia="Times New Roman" w:cs="Times New Roman"/>
          <w:i/>
          <w:sz w:val="20"/>
          <w:szCs w:val="20"/>
          <w:lang w:eastAsia="en-CA"/>
        </w:rPr>
        <w:t>Stubicar v. Canada (Public Safety and Emergency Preparedness)</w:t>
      </w:r>
      <w:r w:rsidRPr="00CE4EDB">
        <w:rPr>
          <w:rFonts w:eastAsia="Times New Roman" w:cs="Times New Roman"/>
          <w:sz w:val="20"/>
          <w:szCs w:val="20"/>
          <w:lang w:eastAsia="en-CA"/>
        </w:rPr>
        <w:t xml:space="preserve">, 2014 SCC 38, [2014] 2 S.C.R. 104. In that case, he issued reasons explaining that the Registrar has the power under the </w:t>
      </w:r>
      <w:r w:rsidRPr="00CE4EDB">
        <w:rPr>
          <w:rFonts w:eastAsia="Times New Roman" w:cs="Times New Roman"/>
          <w:i/>
          <w:sz w:val="20"/>
          <w:szCs w:val="20"/>
          <w:lang w:eastAsia="en-CA"/>
        </w:rPr>
        <w:t>Rules</w:t>
      </w:r>
      <w:r w:rsidRPr="00CE4EDB">
        <w:rPr>
          <w:rFonts w:eastAsia="Times New Roman" w:cs="Times New Roman"/>
          <w:sz w:val="20"/>
          <w:szCs w:val="20"/>
          <w:lang w:eastAsia="en-CA"/>
        </w:rPr>
        <w:t xml:space="preserve"> to refuse a motion for reconsideration for filing if the affidavit filed in support does not set out what he or she considers to be “exceedingly rare circumstances”.</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[8]</w:t>
      </w:r>
      <w:r w:rsidRPr="00CE4EDB">
        <w:rPr>
          <w:rFonts w:eastAsia="Times New Roman" w:cs="Times New Roman"/>
          <w:sz w:val="20"/>
          <w:szCs w:val="20"/>
          <w:lang w:eastAsia="en-CA"/>
        </w:rPr>
        <w:tab/>
        <w:t xml:space="preserve">Then, on </w:t>
      </w:r>
      <w:r w:rsidRPr="00CE4EDB">
        <w:rPr>
          <w:rFonts w:eastAsia="Times New Roman" w:cs="Times New Roman"/>
          <w:sz w:val="20"/>
          <w:szCs w:val="20"/>
          <w:lang w:val="en-US" w:eastAsia="en-CA"/>
        </w:rPr>
        <w:t>May 22, 2014, J</w:t>
      </w:r>
      <w:r w:rsidRPr="00CE4EDB">
        <w:rPr>
          <w:rFonts w:eastAsia="Times New Roman" w:cs="Times New Roman"/>
          <w:sz w:val="20"/>
          <w:szCs w:val="20"/>
          <w:lang w:eastAsia="en-CA"/>
        </w:rPr>
        <w:t>ustice Rothstein refused the motion for reconsideration in this case for filing, dismissed the motion for directions and ordered that the documents be returned to Ms. Stubicar.</w:t>
      </w:r>
    </w:p>
    <w:p w:rsidR="00CE4EDB" w:rsidRPr="00CE4EDB" w:rsidRDefault="00CE4EDB" w:rsidP="00CE4EDB">
      <w:pPr>
        <w:jc w:val="both"/>
        <w:rPr>
          <w:rFonts w:eastAsia="Times New Roman" w:cs="Times New Roman"/>
          <w:sz w:val="20"/>
          <w:szCs w:val="20"/>
          <w:lang w:val="en-US" w:eastAsia="en-CA"/>
        </w:rPr>
      </w:pPr>
    </w:p>
    <w:p w:rsidR="00CE4EDB" w:rsidRPr="00CE4EDB" w:rsidRDefault="00CE4EDB" w:rsidP="00CE4EDB">
      <w:pPr>
        <w:jc w:val="both"/>
        <w:rPr>
          <w:rFonts w:eastAsia="Times New Roman" w:cs="Times New Roman"/>
          <w:sz w:val="20"/>
          <w:szCs w:val="20"/>
          <w:lang w:val="en-US" w:eastAsia="en-CA"/>
        </w:rPr>
      </w:pPr>
      <w:r w:rsidRPr="00CE4EDB">
        <w:rPr>
          <w:rFonts w:eastAsia="Times New Roman" w:cs="Times New Roman"/>
          <w:sz w:val="20"/>
          <w:szCs w:val="20"/>
          <w:lang w:val="en-US" w:eastAsia="en-CA"/>
        </w:rPr>
        <w:t>[9]</w:t>
      </w:r>
      <w:r w:rsidRPr="00CE4EDB">
        <w:rPr>
          <w:rFonts w:eastAsia="Times New Roman" w:cs="Times New Roman"/>
          <w:sz w:val="20"/>
          <w:szCs w:val="20"/>
          <w:lang w:val="en-US" w:eastAsia="en-CA"/>
        </w:rPr>
        <w:tab/>
        <w:t>The Crown contends that by seeking a reconsideration of the application for leave to appeal, Ms. Stubicar “appealed” the determination of the Court and that the “order setting out the final decision on costs” for the purposes of Rule 83(2) was the decision made on May 22, 2014. Counsel for the Crown explained:</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ind w:left="720"/>
        <w:jc w:val="both"/>
        <w:rPr>
          <w:rFonts w:eastAsia="Times New Roman" w:cs="Times New Roman"/>
          <w:sz w:val="20"/>
          <w:szCs w:val="20"/>
          <w:lang w:eastAsia="en-CA"/>
        </w:rPr>
      </w:pPr>
      <w:r w:rsidRPr="00CE4EDB">
        <w:rPr>
          <w:rFonts w:eastAsia="Times New Roman" w:cs="Times New Roman"/>
          <w:sz w:val="20"/>
          <w:szCs w:val="20"/>
          <w:lang w:eastAsia="en-CA"/>
        </w:rPr>
        <w:lastRenderedPageBreak/>
        <w:t>Justice Rothstein’s judgment is the final decision on costs because it dismissed the appeal of the decision that contains the Order as to costs. Had the motion been successful, my client may not have been entitled to costs. I was not in a position to collect costs until the Order was upheld on May 22, 2014.</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[10]</w:t>
      </w:r>
      <w:r w:rsidRPr="00CE4EDB">
        <w:rPr>
          <w:rFonts w:eastAsia="Times New Roman" w:cs="Times New Roman"/>
          <w:sz w:val="20"/>
          <w:szCs w:val="20"/>
          <w:lang w:eastAsia="en-CA"/>
        </w:rPr>
        <w:tab/>
        <w:t xml:space="preserve">Conversely, Ms. Stubicar contends that an extension of time was required, especially in light of Rule 80, which provides that “Every judgment shall bear the date on which it is rendered and </w:t>
      </w:r>
      <w:r w:rsidRPr="00CE4EDB">
        <w:rPr>
          <w:rFonts w:eastAsia="Times New Roman" w:cs="Times New Roman"/>
          <w:sz w:val="20"/>
          <w:szCs w:val="20"/>
          <w:u w:val="single"/>
          <w:lang w:eastAsia="en-CA"/>
        </w:rPr>
        <w:t>shall take effect from that day</w:t>
      </w:r>
      <w:r w:rsidRPr="00CE4EDB">
        <w:rPr>
          <w:rFonts w:eastAsia="Times New Roman" w:cs="Times New Roman"/>
          <w:sz w:val="20"/>
          <w:szCs w:val="20"/>
          <w:lang w:eastAsia="en-CA"/>
        </w:rPr>
        <w:t xml:space="preserve"> unless the Court otherwise orders.” She also notes that the Crown is not an ordinary litigant and argues that it should be held to strict compliance with minimum standards of diligence. </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b/>
          <w:sz w:val="20"/>
          <w:szCs w:val="20"/>
          <w:lang w:eastAsia="en-CA"/>
        </w:rPr>
      </w:pPr>
      <w:r w:rsidRPr="00CE4EDB">
        <w:rPr>
          <w:rFonts w:eastAsia="Times New Roman" w:cs="Times New Roman"/>
          <w:b/>
          <w:sz w:val="20"/>
          <w:szCs w:val="20"/>
          <w:lang w:eastAsia="en-CA"/>
        </w:rPr>
        <w:t>Analysis</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[11]</w:t>
      </w:r>
      <w:r w:rsidRPr="00CE4EDB">
        <w:rPr>
          <w:rFonts w:eastAsia="Times New Roman" w:cs="Times New Roman"/>
          <w:sz w:val="20"/>
          <w:szCs w:val="20"/>
          <w:lang w:eastAsia="en-CA"/>
        </w:rPr>
        <w:tab/>
        <w:t xml:space="preserve">In my view, the “order setting out the final decision on costs” for the purposes of Rule 83(2) is the judgment of the Court dismissing the application for leave to appeal dated March 13, 2014. In light of Rule 80, the judgment took effect from that date, and the Crown was required to file its bill of costs within six months. </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[12]</w:t>
      </w:r>
      <w:r w:rsidRPr="00CE4EDB">
        <w:rPr>
          <w:rFonts w:eastAsia="Times New Roman" w:cs="Times New Roman"/>
          <w:sz w:val="20"/>
          <w:szCs w:val="20"/>
          <w:lang w:eastAsia="en-CA"/>
        </w:rPr>
        <w:tab/>
        <w:t xml:space="preserve">The fact that a motion for reconsideration was pending in this case had no effect on the calculation of the six-month period. Nothing supports the Crown’s position that a request for reconsideration is an appeal of the Court’s judgment on an application for leave to appeal. A party to whom costs have been awarded on a leave application must follow the requirements of the </w:t>
      </w:r>
      <w:r w:rsidRPr="00CE4EDB">
        <w:rPr>
          <w:rFonts w:eastAsia="Times New Roman" w:cs="Times New Roman"/>
          <w:i/>
          <w:sz w:val="20"/>
          <w:szCs w:val="20"/>
          <w:lang w:eastAsia="en-CA"/>
        </w:rPr>
        <w:t>Rules</w:t>
      </w:r>
      <w:r w:rsidRPr="00CE4EDB">
        <w:rPr>
          <w:rFonts w:eastAsia="Times New Roman" w:cs="Times New Roman"/>
          <w:sz w:val="20"/>
          <w:szCs w:val="20"/>
          <w:lang w:eastAsia="en-CA"/>
        </w:rPr>
        <w:t>. In addition, late documents must be accompanied by a motion for an extension of time (</w:t>
      </w:r>
      <w:r w:rsidRPr="00CE4EDB">
        <w:rPr>
          <w:rFonts w:eastAsia="Times New Roman" w:cs="Times New Roman"/>
          <w:i/>
          <w:sz w:val="20"/>
          <w:szCs w:val="20"/>
          <w:lang w:eastAsia="en-CA"/>
        </w:rPr>
        <w:t>Saskatchewan (Human Rights Commission) v. Whatcott</w:t>
      </w:r>
      <w:r w:rsidRPr="00CE4EDB">
        <w:rPr>
          <w:rFonts w:eastAsia="Times New Roman" w:cs="Times New Roman"/>
          <w:sz w:val="20"/>
          <w:szCs w:val="20"/>
          <w:lang w:eastAsia="en-CA"/>
        </w:rPr>
        <w:t xml:space="preserve">, SCC File No. 33676, December 18, 2014). </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eastAsia="en-CA"/>
        </w:rPr>
      </w:pPr>
      <w:r w:rsidRPr="00CE4EDB">
        <w:rPr>
          <w:rFonts w:eastAsia="Times New Roman" w:cs="Times New Roman"/>
          <w:sz w:val="20"/>
          <w:szCs w:val="20"/>
          <w:lang w:eastAsia="en-CA"/>
        </w:rPr>
        <w:t>[13]</w:t>
      </w:r>
      <w:r w:rsidRPr="00CE4EDB">
        <w:rPr>
          <w:rFonts w:eastAsia="Times New Roman" w:cs="Times New Roman"/>
          <w:sz w:val="20"/>
          <w:szCs w:val="20"/>
          <w:lang w:eastAsia="en-CA"/>
        </w:rPr>
        <w:tab/>
        <w:t xml:space="preserve">Here, the Crown did not seek an extension of time, arguing instead that no such extension was required. Consequently, the substance of the matter of taxation is not properly before me and I cannot issue a certificate of taxation under Rule 83(5). </w:t>
      </w:r>
    </w:p>
    <w:p w:rsidR="00CE4EDB" w:rsidRPr="00CE4EDB" w:rsidRDefault="00CE4EDB" w:rsidP="00CE4EDB">
      <w:pPr>
        <w:jc w:val="both"/>
        <w:rPr>
          <w:rFonts w:eastAsia="Times New Roman" w:cs="Times New Roman"/>
          <w:sz w:val="20"/>
          <w:szCs w:val="20"/>
          <w:lang w:eastAsia="en-CA"/>
        </w:rPr>
      </w:pPr>
    </w:p>
    <w:p w:rsidR="00CE4EDB" w:rsidRPr="00CE4EDB" w:rsidRDefault="00CE4EDB" w:rsidP="00CE4EDB">
      <w:pPr>
        <w:jc w:val="both"/>
        <w:rPr>
          <w:rFonts w:eastAsia="Times New Roman" w:cs="Times New Roman"/>
          <w:sz w:val="20"/>
          <w:szCs w:val="20"/>
          <w:lang w:val="en-US" w:eastAsia="en-CA"/>
        </w:rPr>
      </w:pPr>
      <w:r w:rsidRPr="00CE4EDB">
        <w:rPr>
          <w:rFonts w:eastAsia="Times New Roman" w:cs="Times New Roman"/>
          <w:sz w:val="20"/>
          <w:szCs w:val="20"/>
          <w:lang w:eastAsia="en-CA"/>
        </w:rPr>
        <w:t>[14]</w:t>
      </w:r>
      <w:r w:rsidRPr="00CE4EDB">
        <w:rPr>
          <w:rFonts w:eastAsia="Times New Roman" w:cs="Times New Roman"/>
          <w:sz w:val="20"/>
          <w:szCs w:val="20"/>
          <w:lang w:eastAsia="en-CA"/>
        </w:rPr>
        <w:tab/>
        <w:t xml:space="preserve">Pursuant to Rules 3, 8(2) and 19(2), I have considered the parties’ arguments and conclude that the Crown’s notice of taxation and bill of costs cannot be accepted for filing, as those documents do not comply with the </w:t>
      </w:r>
      <w:r w:rsidRPr="00CE4EDB">
        <w:rPr>
          <w:rFonts w:eastAsia="Times New Roman" w:cs="Times New Roman"/>
          <w:i/>
          <w:sz w:val="20"/>
          <w:szCs w:val="20"/>
          <w:lang w:eastAsia="en-CA"/>
        </w:rPr>
        <w:t>Rules</w:t>
      </w:r>
      <w:r w:rsidRPr="00CE4EDB">
        <w:rPr>
          <w:rFonts w:eastAsia="Times New Roman" w:cs="Times New Roman"/>
          <w:sz w:val="20"/>
          <w:szCs w:val="20"/>
          <w:lang w:eastAsia="en-CA"/>
        </w:rPr>
        <w:t>. The request for taxation of the bill of costs is therefore denied on that basis.</w:t>
      </w:r>
    </w:p>
    <w:p w:rsidR="00CE4EDB" w:rsidRPr="00CE4EDB" w:rsidRDefault="00CE4EDB" w:rsidP="00CE4EDB">
      <w:pPr>
        <w:spacing w:line="233" w:lineRule="auto"/>
        <w:rPr>
          <w:rFonts w:eastAsia="Times New Roman" w:cs="Times New Roman"/>
          <w:sz w:val="20"/>
          <w:szCs w:val="20"/>
          <w:lang w:val="en-US" w:eastAsia="en-CA"/>
        </w:rPr>
      </w:pPr>
    </w:p>
    <w:p w:rsidR="00CE4EDB" w:rsidRPr="00CE4EDB" w:rsidRDefault="00CE4EDB" w:rsidP="00CE4EDB">
      <w:pPr>
        <w:spacing w:line="233" w:lineRule="auto"/>
        <w:rPr>
          <w:rFonts w:eastAsia="Times New Roman" w:cs="Times New Roman"/>
          <w:sz w:val="20"/>
          <w:szCs w:val="20"/>
          <w:lang w:val="en-US" w:eastAsia="en-CA"/>
        </w:rPr>
      </w:pPr>
    </w:p>
    <w:p w:rsidR="00CE4EDB" w:rsidRPr="00CE4EDB" w:rsidRDefault="00CE4EDB" w:rsidP="00CE4EDB">
      <w:pPr>
        <w:rPr>
          <w:rFonts w:eastAsia="Times New Roman" w:cs="Times New Roman"/>
          <w:sz w:val="20"/>
          <w:szCs w:val="20"/>
          <w:lang w:eastAsia="en-CA"/>
        </w:rPr>
      </w:pPr>
    </w:p>
    <w:p w:rsidR="00CE4EDB" w:rsidRPr="00CE4EDB" w:rsidRDefault="00CE4EDB" w:rsidP="00CE4EDB">
      <w:pPr>
        <w:rPr>
          <w:rFonts w:eastAsia="Times New Roman" w:cs="Times New Roman"/>
          <w:sz w:val="20"/>
          <w:szCs w:val="20"/>
          <w:lang w:val="fr-CA" w:eastAsia="en-CA"/>
        </w:rPr>
      </w:pPr>
      <w:r w:rsidRPr="00CE4EDB">
        <w:rPr>
          <w:rFonts w:eastAsia="Times New Roman" w:cs="Times New Roman"/>
          <w:b/>
          <w:bCs/>
          <w:sz w:val="20"/>
          <w:szCs w:val="20"/>
          <w:u w:val="single"/>
          <w:lang w:val="fr-CA" w:eastAsia="en-CA"/>
        </w:rPr>
        <w:t>LE REGISTRAIRE :</w:t>
      </w:r>
    </w:p>
    <w:p w:rsidR="00CE4EDB" w:rsidRPr="00CE4EDB" w:rsidRDefault="00CE4EDB" w:rsidP="00CE4EDB">
      <w:pPr>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 xml:space="preserve">[1] </w:t>
      </w:r>
      <w:r w:rsidRPr="00CE4EDB">
        <w:rPr>
          <w:rFonts w:eastAsia="Times New Roman" w:cs="Times New Roman"/>
          <w:sz w:val="20"/>
          <w:szCs w:val="20"/>
          <w:lang w:val="fr-CA" w:eastAsia="en-CA"/>
        </w:rPr>
        <w:tab/>
        <w:t xml:space="preserve">Selon le par. 83(2) des </w:t>
      </w:r>
      <w:r w:rsidRPr="00CE4EDB">
        <w:rPr>
          <w:rFonts w:eastAsia="Times New Roman" w:cs="Times New Roman"/>
          <w:i/>
          <w:sz w:val="20"/>
          <w:szCs w:val="20"/>
          <w:lang w:val="fr-CA" w:eastAsia="en-CA"/>
        </w:rPr>
        <w:t>Règles de la Cour suprême du Canada</w:t>
      </w:r>
      <w:r w:rsidRPr="00CE4EDB">
        <w:rPr>
          <w:rFonts w:eastAsia="Times New Roman" w:cs="Times New Roman"/>
          <w:sz w:val="20"/>
          <w:szCs w:val="20"/>
          <w:lang w:val="fr-CA" w:eastAsia="en-CA"/>
        </w:rPr>
        <w:t xml:space="preserve">, DORS/2002-156, la partie qui obtient les dépens doit signifier et déposer un avis de taxation des dépens accompagné d’un mémoire de frais « [d]ans les six mois suivant l’ordonnance qui tranche définitivement la question des dépens ». Le par. 83(5) dispose qu’après l’expiration du délai pour contester la taxation des dépens ou un poste du mémoire de frais en vertu des par. 83(3) et 83(4), le registraire « délivre un certificat de taxation des dépens ».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 xml:space="preserve">[2] </w:t>
      </w:r>
      <w:r w:rsidRPr="00CE4EDB">
        <w:rPr>
          <w:rFonts w:eastAsia="Times New Roman" w:cs="Times New Roman"/>
          <w:sz w:val="20"/>
          <w:szCs w:val="20"/>
          <w:lang w:val="fr-CA" w:eastAsia="en-CA"/>
        </w:rPr>
        <w:tab/>
        <w:t xml:space="preserve">Il s’agit en l’espèce de savoir si je peux délivrer un certificat de taxation des dépens en vertu du par. 83(5) dans un cas où l’avis de taxation des dépens et le mémoire de frais ont été déposés plus de six mois après que notre Cour eut rejeté la demande d’autorisation d’appel sur laquelle porte l’ordonnance relative aux dépens. J’estime ne pas pouvoir le faire. Dans les circonstances de l’espèce, je dois refuser les documents à déposer parce qu’ils ne respectent pas les </w:t>
      </w:r>
      <w:r w:rsidRPr="00CE4EDB">
        <w:rPr>
          <w:rFonts w:eastAsia="Times New Roman" w:cs="Times New Roman"/>
          <w:i/>
          <w:sz w:val="20"/>
          <w:szCs w:val="20"/>
          <w:lang w:val="fr-CA" w:eastAsia="en-CA"/>
        </w:rPr>
        <w:t>Règles</w:t>
      </w:r>
      <w:r w:rsidRPr="00CE4EDB">
        <w:rPr>
          <w:rFonts w:eastAsia="Times New Roman" w:cs="Times New Roman"/>
          <w:sz w:val="20"/>
          <w:szCs w:val="20"/>
          <w:lang w:val="fr-CA" w:eastAsia="en-CA"/>
        </w:rPr>
        <w:t>.</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b/>
          <w:sz w:val="20"/>
          <w:szCs w:val="20"/>
          <w:lang w:val="fr-CA" w:eastAsia="en-CA"/>
        </w:rPr>
      </w:pPr>
      <w:r w:rsidRPr="00CE4EDB">
        <w:rPr>
          <w:rFonts w:eastAsia="Times New Roman" w:cs="Times New Roman"/>
          <w:b/>
          <w:sz w:val="20"/>
          <w:szCs w:val="20"/>
          <w:lang w:val="fr-CA" w:eastAsia="en-CA"/>
        </w:rPr>
        <w:t>Faits et arguments des parties</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[3]</w:t>
      </w:r>
      <w:r w:rsidRPr="00CE4EDB">
        <w:rPr>
          <w:rFonts w:eastAsia="Times New Roman" w:cs="Times New Roman"/>
          <w:sz w:val="20"/>
          <w:szCs w:val="20"/>
          <w:lang w:val="fr-CA" w:eastAsia="en-CA"/>
        </w:rPr>
        <w:tab/>
        <w:t>Le 13 mars 2014, la Cour (les juges Abella, Rothstein et Moldaver) a rejeté une demande d’autorisation d’appel de M</w:t>
      </w:r>
      <w:r w:rsidRPr="00CE4EDB">
        <w:rPr>
          <w:rFonts w:eastAsia="Times New Roman" w:cs="Times New Roman"/>
          <w:sz w:val="20"/>
          <w:szCs w:val="20"/>
          <w:vertAlign w:val="superscript"/>
          <w:lang w:val="fr-CA" w:eastAsia="en-CA"/>
        </w:rPr>
        <w:t>me</w:t>
      </w:r>
      <w:r w:rsidRPr="00CE4EDB">
        <w:rPr>
          <w:rFonts w:eastAsia="Times New Roman" w:cs="Times New Roman"/>
          <w:sz w:val="20"/>
          <w:szCs w:val="20"/>
          <w:lang w:val="fr-CA" w:eastAsia="en-CA"/>
        </w:rPr>
        <w:t xml:space="preserve"> Stubicar, avec dépens en faveur de la Couronne intimée. Cette dernière a signifié et déposé ses avis de taxation des dépens et mémoire de frais environ huit mois plus tard, soit le 10 novembre 2014.</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[4]</w:t>
      </w:r>
      <w:r w:rsidRPr="00CE4EDB">
        <w:rPr>
          <w:rFonts w:eastAsia="Times New Roman" w:cs="Times New Roman"/>
          <w:sz w:val="20"/>
          <w:szCs w:val="20"/>
          <w:lang w:val="fr-CA" w:eastAsia="en-CA"/>
        </w:rPr>
        <w:tab/>
        <w:t>Après que la Cour eut rejeté sa demande d’autorisation d’appel, M</w:t>
      </w:r>
      <w:r w:rsidRPr="00CE4EDB">
        <w:rPr>
          <w:rFonts w:eastAsia="Times New Roman" w:cs="Times New Roman"/>
          <w:sz w:val="20"/>
          <w:szCs w:val="20"/>
          <w:vertAlign w:val="superscript"/>
          <w:lang w:val="fr-CA" w:eastAsia="en-CA"/>
        </w:rPr>
        <w:t>me</w:t>
      </w:r>
      <w:r w:rsidRPr="00CE4EDB">
        <w:rPr>
          <w:rFonts w:eastAsia="Times New Roman" w:cs="Times New Roman"/>
          <w:sz w:val="20"/>
          <w:szCs w:val="20"/>
          <w:lang w:val="fr-CA" w:eastAsia="en-CA"/>
        </w:rPr>
        <w:t xml:space="preserve"> Stubicar a tenté de déposer une requête en réexamen de la décision de la Cour. Avant que la requête à déposer puisse être acceptée, je devais décider si l’affidavit à l’appui de cette requête exposait des « circonstances extrêmement rares qui justifient le réexamen et expliqua[i]t pourquoi la question n’a pas été soulevée auparavant » (al. 73(3)</w:t>
      </w:r>
      <w:r w:rsidRPr="00CE4EDB">
        <w:rPr>
          <w:rFonts w:eastAsia="Times New Roman" w:cs="Times New Roman"/>
          <w:i/>
          <w:sz w:val="20"/>
          <w:szCs w:val="20"/>
          <w:lang w:val="fr-CA" w:eastAsia="en-CA"/>
        </w:rPr>
        <w:t>b</w:t>
      </w:r>
      <w:r w:rsidRPr="00CE4EDB">
        <w:rPr>
          <w:rFonts w:eastAsia="Times New Roman" w:cs="Times New Roman"/>
          <w:sz w:val="20"/>
          <w:szCs w:val="20"/>
          <w:lang w:val="fr-CA" w:eastAsia="en-CA"/>
        </w:rPr>
        <w:t xml:space="preserve">)). Si ce n’était pas le cas, la requête « ne </w:t>
      </w:r>
      <w:r w:rsidRPr="00CE4EDB">
        <w:rPr>
          <w:rFonts w:eastAsia="Times New Roman" w:cs="Times New Roman"/>
          <w:sz w:val="20"/>
          <w:szCs w:val="20"/>
          <w:lang w:val="fr-CA" w:eastAsia="en-CA"/>
        </w:rPr>
        <w:lastRenderedPageBreak/>
        <w:t>[pouvait pas] être soumise à la Cour » et, conformément à la pratique établie, les documents seraient remis à la demanderesse (par. 73(4)).</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[5]</w:t>
      </w:r>
      <w:r w:rsidRPr="00CE4EDB">
        <w:rPr>
          <w:rFonts w:eastAsia="Times New Roman" w:cs="Times New Roman"/>
          <w:sz w:val="20"/>
          <w:szCs w:val="20"/>
          <w:lang w:val="fr-CA" w:eastAsia="en-CA"/>
        </w:rPr>
        <w:tab/>
        <w:t>Le 22 avril 2014, avant que j’aie eu l’occasion de décider s’il y avait lieu d’accepter le dépôt des documents relatifs à la requête en réexamen, M</w:t>
      </w:r>
      <w:r w:rsidRPr="00CE4EDB">
        <w:rPr>
          <w:rFonts w:eastAsia="Times New Roman" w:cs="Times New Roman"/>
          <w:sz w:val="20"/>
          <w:szCs w:val="20"/>
          <w:vertAlign w:val="superscript"/>
          <w:lang w:val="fr-CA" w:eastAsia="en-CA"/>
        </w:rPr>
        <w:t>me</w:t>
      </w:r>
      <w:r w:rsidRPr="00CE4EDB">
        <w:rPr>
          <w:rFonts w:eastAsia="Times New Roman" w:cs="Times New Roman"/>
          <w:sz w:val="20"/>
          <w:szCs w:val="20"/>
          <w:lang w:val="fr-CA" w:eastAsia="en-CA"/>
        </w:rPr>
        <w:t xml:space="preserve"> Stubicar a déposé une « requête sollicitant des directives » en vertu de l’art. 47. Dans cette requête, elle demandait une ordonnance m’enjoignant de renvoyer directement à un juge sa requête en réexamen.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[6]</w:t>
      </w:r>
      <w:r w:rsidRPr="00CE4EDB">
        <w:rPr>
          <w:rFonts w:eastAsia="Times New Roman" w:cs="Times New Roman"/>
          <w:sz w:val="20"/>
          <w:szCs w:val="20"/>
          <w:lang w:val="fr-CA" w:eastAsia="en-CA"/>
        </w:rPr>
        <w:tab/>
        <w:t xml:space="preserve">J’ai renvoyé l’affaire au juge Rothstein le 7 mai 2014.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[7]</w:t>
      </w:r>
      <w:r w:rsidRPr="00CE4EDB">
        <w:rPr>
          <w:rFonts w:eastAsia="Times New Roman" w:cs="Times New Roman"/>
          <w:sz w:val="20"/>
          <w:szCs w:val="20"/>
          <w:lang w:val="fr-CA" w:eastAsia="en-CA"/>
        </w:rPr>
        <w:tab/>
        <w:t xml:space="preserve">Le juge Rothstein a d’abord tranché une requête dans une affaire connexe, </w:t>
      </w:r>
      <w:r w:rsidRPr="00CE4EDB">
        <w:rPr>
          <w:rFonts w:eastAsia="Times New Roman" w:cs="Times New Roman"/>
          <w:i/>
          <w:sz w:val="20"/>
          <w:szCs w:val="20"/>
          <w:lang w:val="fr-CA" w:eastAsia="en-CA"/>
        </w:rPr>
        <w:t>Stubicar c. Canada (Sécurité publique et Protection civile)</w:t>
      </w:r>
      <w:r w:rsidRPr="00CE4EDB">
        <w:rPr>
          <w:rFonts w:eastAsia="Times New Roman" w:cs="Times New Roman"/>
          <w:sz w:val="20"/>
          <w:szCs w:val="20"/>
          <w:lang w:val="fr-CA" w:eastAsia="en-CA"/>
        </w:rPr>
        <w:t xml:space="preserve">, 2014 CSC 38, [2014] 2 R.C.S. 104. Dans cette affaire, il a rendu des motifs de jugement expliquant que les </w:t>
      </w:r>
      <w:r w:rsidRPr="00CE4EDB">
        <w:rPr>
          <w:rFonts w:eastAsia="Times New Roman" w:cs="Times New Roman"/>
          <w:i/>
          <w:sz w:val="20"/>
          <w:szCs w:val="20"/>
          <w:lang w:val="fr-CA" w:eastAsia="en-CA"/>
        </w:rPr>
        <w:t>Règles</w:t>
      </w:r>
      <w:r w:rsidRPr="00CE4EDB">
        <w:rPr>
          <w:rFonts w:eastAsia="Times New Roman" w:cs="Times New Roman"/>
          <w:sz w:val="20"/>
          <w:szCs w:val="20"/>
          <w:lang w:val="fr-CA" w:eastAsia="en-CA"/>
        </w:rPr>
        <w:t xml:space="preserve"> accordent au registraire le pouvoir de refuser le dépôt d’une requête en réexamen si l’affidavit déposé à l’appui de celle-ci n’expose pas ce qu’il considère être des « circonstances extrêmement rares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[8]</w:t>
      </w:r>
      <w:r w:rsidRPr="00CE4EDB">
        <w:rPr>
          <w:rFonts w:eastAsia="Times New Roman" w:cs="Times New Roman"/>
          <w:sz w:val="20"/>
          <w:szCs w:val="20"/>
          <w:lang w:val="fr-CA" w:eastAsia="en-CA"/>
        </w:rPr>
        <w:tab/>
        <w:t>Puis, le 22 mai 2014, le juge Rothstein a refusé le dépôt de la requête en réexamen dans la présente affaire, rejeté la requête sollicitant des directives et ordonné la remise des documents à M</w:t>
      </w:r>
      <w:r w:rsidRPr="00CE4EDB">
        <w:rPr>
          <w:rFonts w:eastAsia="Times New Roman" w:cs="Times New Roman"/>
          <w:sz w:val="20"/>
          <w:szCs w:val="20"/>
          <w:vertAlign w:val="superscript"/>
          <w:lang w:val="fr-CA" w:eastAsia="en-CA"/>
        </w:rPr>
        <w:t>me</w:t>
      </w:r>
      <w:r w:rsidRPr="00CE4EDB">
        <w:rPr>
          <w:rFonts w:eastAsia="Times New Roman" w:cs="Times New Roman"/>
          <w:sz w:val="20"/>
          <w:szCs w:val="20"/>
          <w:lang w:val="fr-CA" w:eastAsia="en-CA"/>
        </w:rPr>
        <w:t xml:space="preserve"> Stubicar.</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[9]</w:t>
      </w:r>
      <w:r w:rsidRPr="00CE4EDB">
        <w:rPr>
          <w:rFonts w:eastAsia="Times New Roman" w:cs="Times New Roman"/>
          <w:sz w:val="20"/>
          <w:szCs w:val="20"/>
          <w:lang w:val="fr-CA" w:eastAsia="en-CA"/>
        </w:rPr>
        <w:tab/>
        <w:t>La Couronne prétend qu’en sollicitant le réexamen de la demande d’autorisation d’appel, M</w:t>
      </w:r>
      <w:r w:rsidRPr="00CE4EDB">
        <w:rPr>
          <w:rFonts w:eastAsia="Times New Roman" w:cs="Times New Roman"/>
          <w:sz w:val="20"/>
          <w:szCs w:val="20"/>
          <w:vertAlign w:val="superscript"/>
          <w:lang w:val="fr-CA" w:eastAsia="en-CA"/>
        </w:rPr>
        <w:t>me</w:t>
      </w:r>
      <w:r w:rsidRPr="00CE4EDB">
        <w:rPr>
          <w:rFonts w:eastAsia="Times New Roman" w:cs="Times New Roman"/>
          <w:sz w:val="20"/>
          <w:szCs w:val="20"/>
          <w:lang w:val="fr-CA" w:eastAsia="en-CA"/>
        </w:rPr>
        <w:t> Stubicar [</w:t>
      </w:r>
      <w:r w:rsidRPr="00CE4EDB">
        <w:rPr>
          <w:rFonts w:eastAsia="Times New Roman" w:cs="Times New Roman"/>
          <w:smallCaps/>
          <w:sz w:val="20"/>
          <w:szCs w:val="20"/>
          <w:lang w:val="fr-CA" w:eastAsia="en-CA"/>
        </w:rPr>
        <w:t>traduction</w:t>
      </w:r>
      <w:r w:rsidRPr="00CE4EDB">
        <w:rPr>
          <w:rFonts w:eastAsia="Times New Roman" w:cs="Times New Roman"/>
          <w:sz w:val="20"/>
          <w:szCs w:val="20"/>
          <w:lang w:val="fr-CA" w:eastAsia="en-CA"/>
        </w:rPr>
        <w:t>] « a interjeté appel » de la décision de la Cour et que « l’ordonnance qui tranche définitivement la question des dépens » pour l’application du par. 83(2) était la décision du 22 mai 2014. L’avocat de la Couronne a donné les explications suivantes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ind w:left="720"/>
        <w:jc w:val="both"/>
        <w:rPr>
          <w:rFonts w:eastAsia="Times New Roman" w:cs="Times New Roman"/>
          <w:sz w:val="20"/>
          <w:szCs w:val="20"/>
          <w:lang w:val="fr-CA" w:eastAsia="en-CA"/>
        </w:rPr>
      </w:pPr>
      <w:r w:rsidRPr="00CE4EDB">
        <w:rPr>
          <w:rFonts w:eastAsia="Times New Roman" w:cs="Times New Roman"/>
          <w:sz w:val="20"/>
          <w:szCs w:val="20"/>
          <w:lang w:val="fr-CA" w:eastAsia="en-CA"/>
        </w:rPr>
        <w:t>[</w:t>
      </w:r>
      <w:r w:rsidRPr="00CE4EDB">
        <w:rPr>
          <w:rFonts w:eastAsia="Times New Roman" w:cs="Times New Roman"/>
          <w:smallCaps/>
          <w:sz w:val="20"/>
          <w:szCs w:val="20"/>
          <w:lang w:val="fr-CA" w:eastAsia="en-CA"/>
        </w:rPr>
        <w:t>traduction</w:t>
      </w:r>
      <w:r w:rsidRPr="00CE4EDB">
        <w:rPr>
          <w:rFonts w:eastAsia="Times New Roman" w:cs="Times New Roman"/>
          <w:sz w:val="20"/>
          <w:szCs w:val="20"/>
          <w:lang w:val="fr-CA" w:eastAsia="en-CA"/>
        </w:rPr>
        <w:t>] Le jugement du juge Rothstein tranche définitivement la question des dépens parce qu’il rejette l’appel de la décision qui comporte l’ordonnance relative aux dépens. Ma cliente n’aurait possiblement pas eu droit aux dépens si la requête avait été accueillie. Je n’étais pas en mesure de percevoir les dépens avant que la Cour ne confirme l’ordonnance le 22 mai 2014.</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[10]</w:t>
      </w:r>
      <w:r w:rsidRPr="00CE4EDB">
        <w:rPr>
          <w:rFonts w:eastAsia="Times New Roman" w:cs="Times New Roman"/>
          <w:sz w:val="20"/>
          <w:szCs w:val="20"/>
          <w:lang w:val="fr-CA" w:eastAsia="en-CA"/>
        </w:rPr>
        <w:tab/>
        <w:t xml:space="preserve">Madame Stubicar soutient en revanche qu’il fallait obtenir une prorogation de délai, surtout compte tenu de l’art. 80, qui prévoit que « Chaque jugement porte la date du jour où il est rendu et </w:t>
      </w:r>
      <w:r w:rsidRPr="00CE4EDB">
        <w:rPr>
          <w:rFonts w:eastAsia="Times New Roman" w:cs="Times New Roman"/>
          <w:sz w:val="20"/>
          <w:szCs w:val="20"/>
          <w:u w:val="single"/>
          <w:lang w:val="fr-CA" w:eastAsia="en-CA"/>
        </w:rPr>
        <w:t>prend effet à cette date</w:t>
      </w:r>
      <w:r w:rsidRPr="00CE4EDB">
        <w:rPr>
          <w:rFonts w:eastAsia="Times New Roman" w:cs="Times New Roman"/>
          <w:sz w:val="20"/>
          <w:szCs w:val="20"/>
          <w:lang w:val="fr-CA" w:eastAsia="en-CA"/>
        </w:rPr>
        <w:t xml:space="preserve">, sauf ordonnance contraire de la Cour. » Elle ajoute que la Couronne n’est pas une partie comme les autres et fait valoir que la Couronne devrait être tenue de respecter rigoureusement les normes minimales de diligence.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b/>
          <w:sz w:val="20"/>
          <w:szCs w:val="20"/>
          <w:lang w:val="fr-CA" w:eastAsia="en-CA"/>
        </w:rPr>
      </w:pPr>
      <w:r w:rsidRPr="00CE4EDB">
        <w:rPr>
          <w:rFonts w:eastAsia="Times New Roman" w:cs="Times New Roman"/>
          <w:b/>
          <w:sz w:val="20"/>
          <w:szCs w:val="20"/>
          <w:lang w:val="fr-CA" w:eastAsia="en-CA"/>
        </w:rPr>
        <w:t>Analyse</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[11]</w:t>
      </w:r>
      <w:r w:rsidRPr="00CE4EDB">
        <w:rPr>
          <w:rFonts w:eastAsia="Times New Roman" w:cs="Times New Roman"/>
          <w:sz w:val="20"/>
          <w:szCs w:val="20"/>
          <w:lang w:val="fr-CA" w:eastAsia="en-CA"/>
        </w:rPr>
        <w:tab/>
        <w:t xml:space="preserve">À mon avis, « l’ordonnance qui tranche définitivement la question des dépens » pour l’application du par. 83(2) est le jugement daté du 13 mars 2014 par lequel la Cour a rejeté la demande d’autorisation d’appel. Vu l’art. 80, le jugement a pris effet à cette date, et la Couronne devait déposer son mémoire de frais dans les six mois.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[12]</w:t>
      </w:r>
      <w:r w:rsidRPr="00CE4EDB">
        <w:rPr>
          <w:rFonts w:eastAsia="Times New Roman" w:cs="Times New Roman"/>
          <w:sz w:val="20"/>
          <w:szCs w:val="20"/>
          <w:lang w:val="fr-CA" w:eastAsia="en-CA"/>
        </w:rPr>
        <w:tab/>
        <w:t xml:space="preserve">Le fait qu’une requête en réexamen était pendante en l’espèce n’a pas eu d’incidence sur le calcul du délai de six mois. Rien n’étaye la thèse de la Couronne selon laquelle une demande de réexamen constitue l’appel du jugement de la Cour sur une demande d’autorisation d’appel. La partie qui a obtenu les dépens à l’égard d’une demande d’autorisation d’appel doit respecter les exigences des </w:t>
      </w:r>
      <w:r w:rsidRPr="00CE4EDB">
        <w:rPr>
          <w:rFonts w:eastAsia="Times New Roman" w:cs="Times New Roman"/>
          <w:i/>
          <w:sz w:val="20"/>
          <w:szCs w:val="20"/>
          <w:lang w:val="fr-CA" w:eastAsia="en-CA"/>
        </w:rPr>
        <w:t>Règles</w:t>
      </w:r>
      <w:r w:rsidRPr="00CE4EDB">
        <w:rPr>
          <w:rFonts w:eastAsia="Times New Roman" w:cs="Times New Roman"/>
          <w:sz w:val="20"/>
          <w:szCs w:val="20"/>
          <w:lang w:val="fr-CA" w:eastAsia="en-CA"/>
        </w:rPr>
        <w:t>. En outre, les documents déposés en retard doivent être accompagnés d’une requête en prorogation de délai (</w:t>
      </w:r>
      <w:r w:rsidRPr="00CE4EDB">
        <w:rPr>
          <w:rFonts w:eastAsia="Times New Roman" w:cs="Times New Roman"/>
          <w:i/>
          <w:sz w:val="20"/>
          <w:szCs w:val="20"/>
          <w:lang w:val="fr-CA" w:eastAsia="en-CA"/>
        </w:rPr>
        <w:t>Saskachewan (Human Rights Commission) c. Whatcott</w:t>
      </w:r>
      <w:r w:rsidRPr="00CE4EDB">
        <w:rPr>
          <w:rFonts w:eastAsia="Times New Roman" w:cs="Times New Roman"/>
          <w:sz w:val="20"/>
          <w:szCs w:val="20"/>
          <w:lang w:val="fr-CA" w:eastAsia="en-CA"/>
        </w:rPr>
        <w:t>, n</w:t>
      </w:r>
      <w:r w:rsidRPr="00CE4EDB">
        <w:rPr>
          <w:rFonts w:eastAsia="Times New Roman" w:cs="Times New Roman"/>
          <w:sz w:val="20"/>
          <w:szCs w:val="20"/>
          <w:vertAlign w:val="superscript"/>
          <w:lang w:val="fr-CA" w:eastAsia="en-CA"/>
        </w:rPr>
        <w:t>o</w:t>
      </w:r>
      <w:r w:rsidRPr="00CE4EDB">
        <w:rPr>
          <w:rFonts w:eastAsia="Times New Roman" w:cs="Times New Roman"/>
          <w:sz w:val="20"/>
          <w:szCs w:val="20"/>
          <w:lang w:val="fr-CA" w:eastAsia="en-CA"/>
        </w:rPr>
        <w:t xml:space="preserve"> du greffe de la CSC 33676, 18 décembre 2014).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[13]</w:t>
      </w:r>
      <w:r w:rsidRPr="00CE4EDB">
        <w:rPr>
          <w:rFonts w:eastAsia="Times New Roman" w:cs="Times New Roman"/>
          <w:sz w:val="20"/>
          <w:szCs w:val="20"/>
          <w:lang w:val="fr-CA" w:eastAsia="en-CA"/>
        </w:rPr>
        <w:tab/>
        <w:t xml:space="preserve">En l’espèce, la Couronne n’a pas demandé de prorogation de délai, soutenant plutôt qu’aucune prorogation de cette nature n’était nécessaire. Par conséquent, je ne suis pas régulièrement saisi du fond de la question des dépens et il m’est impossible de délivrer un certificat de taxation des dépens en vertu du par. 83(5). </w:t>
      </w:r>
    </w:p>
    <w:p w:rsidR="00CE4EDB" w:rsidRPr="00CE4EDB" w:rsidRDefault="00CE4EDB" w:rsidP="00CE4EDB">
      <w:pPr>
        <w:jc w:val="both"/>
        <w:rPr>
          <w:rFonts w:eastAsia="Times New Roman" w:cs="Times New Roman"/>
          <w:sz w:val="20"/>
          <w:szCs w:val="20"/>
          <w:lang w:val="fr-CA" w:eastAsia="en-CA"/>
        </w:rPr>
      </w:pPr>
    </w:p>
    <w:p w:rsidR="00CE4EDB" w:rsidRPr="00CE4EDB" w:rsidRDefault="00CE4EDB" w:rsidP="00CE4EDB">
      <w:pPr>
        <w:jc w:val="both"/>
        <w:rPr>
          <w:rFonts w:eastAsia="Times New Roman" w:cs="Times New Roman"/>
          <w:sz w:val="20"/>
          <w:szCs w:val="20"/>
          <w:lang w:val="fr-CA" w:eastAsia="en-CA"/>
        </w:rPr>
      </w:pPr>
      <w:r w:rsidRPr="00CE4EDB">
        <w:rPr>
          <w:rFonts w:eastAsia="Times New Roman" w:cs="Times New Roman"/>
          <w:sz w:val="20"/>
          <w:szCs w:val="20"/>
          <w:lang w:val="fr-CA" w:eastAsia="en-CA"/>
        </w:rPr>
        <w:t>[14]</w:t>
      </w:r>
      <w:r w:rsidRPr="00CE4EDB">
        <w:rPr>
          <w:rFonts w:eastAsia="Times New Roman" w:cs="Times New Roman"/>
          <w:sz w:val="20"/>
          <w:szCs w:val="20"/>
          <w:lang w:val="fr-CA" w:eastAsia="en-CA"/>
        </w:rPr>
        <w:tab/>
        <w:t xml:space="preserve">En vertu de l’art. 3 et des par. 8(2) et 19(2), j’ai examiné les arguments des parties, et je conclus que je ne peux accepter le dépôt de l’avis de taxation des dépens et du mémoire de frais de la Couronne, car ces documents ne respectent pas les </w:t>
      </w:r>
      <w:r w:rsidRPr="00CE4EDB">
        <w:rPr>
          <w:rFonts w:eastAsia="Times New Roman" w:cs="Times New Roman"/>
          <w:i/>
          <w:sz w:val="20"/>
          <w:szCs w:val="20"/>
          <w:lang w:val="fr-CA" w:eastAsia="en-CA"/>
        </w:rPr>
        <w:t>Règles</w:t>
      </w:r>
      <w:r w:rsidRPr="00CE4EDB">
        <w:rPr>
          <w:rFonts w:eastAsia="Times New Roman" w:cs="Times New Roman"/>
          <w:sz w:val="20"/>
          <w:szCs w:val="20"/>
          <w:lang w:val="fr-CA" w:eastAsia="en-CA"/>
        </w:rPr>
        <w:t xml:space="preserve">. La demande de taxation des dépens est donc refusée pour cette raison. </w: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173D9D" w:rsidP="00CE4ED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r w:rsidRPr="00CE4EDB">
        <w:rPr>
          <w:rFonts w:eastAsia="Times New Roman" w:cs="Times New Roman"/>
          <w:sz w:val="20"/>
          <w:szCs w:val="20"/>
          <w:lang w:val="fr-CA" w:eastAsia="en-CA"/>
        </w:rPr>
        <w:t>19.03.2015</w: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r w:rsidRPr="00CE4EDB">
        <w:rPr>
          <w:rFonts w:eastAsia="Times New Roman" w:cs="Times New Roman"/>
          <w:sz w:val="20"/>
          <w:szCs w:val="20"/>
          <w:lang w:val="fr-CA" w:eastAsia="en-CA"/>
        </w:rPr>
        <w:t>Before / Devant :   KARAKATSANIS J. / LA JUGE KARAKATSANIS</w:t>
      </w:r>
    </w:p>
    <w:p w:rsidR="00CE4EDB" w:rsidRPr="00CE4EDB" w:rsidRDefault="00CE4EDB" w:rsidP="00CE4ED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E4EDB" w:rsidRPr="00CE4EDB" w:rsidTr="00574799">
        <w:tc>
          <w:tcPr>
            <w:tcW w:w="4338" w:type="dxa"/>
            <w:gridSpan w:val="2"/>
          </w:tcPr>
          <w:p w:rsidR="00CE4EDB" w:rsidRPr="00CE4EDB" w:rsidRDefault="00CE4EDB" w:rsidP="00CE4EDB">
            <w:pPr>
              <w:rPr>
                <w:b/>
              </w:rPr>
            </w:pPr>
            <w:r w:rsidRPr="00CE4EDB">
              <w:rPr>
                <w:b/>
              </w:rPr>
              <w:t>Motions for leave to intervene</w:t>
            </w:r>
            <w:r w:rsidRPr="00CE4EDB">
              <w:rPr>
                <w:lang w:val="en-US"/>
              </w:rPr>
              <w:t xml:space="preserve"> </w:t>
            </w:r>
            <w:r w:rsidR="00D31263" w:rsidRPr="00CE4EDB">
              <w:rPr>
                <w:lang w:val="en-US"/>
              </w:rPr>
              <w:fldChar w:fldCharType="begin"/>
            </w:r>
            <w:r w:rsidRPr="00CE4EDB">
              <w:instrText xml:space="preserve"> SEQ CHAPTER \h \r 1</w:instrText>
            </w:r>
            <w:r w:rsidR="00D31263" w:rsidRPr="00CE4EDB">
              <w:rPr>
                <w:lang w:val="en-US"/>
              </w:rPr>
              <w:fldChar w:fldCharType="end"/>
            </w:r>
          </w:p>
        </w:tc>
        <w:tc>
          <w:tcPr>
            <w:tcW w:w="1170" w:type="dxa"/>
          </w:tcPr>
          <w:p w:rsidR="00CE4EDB" w:rsidRPr="00CE4EDB" w:rsidRDefault="00CE4EDB" w:rsidP="00CE4EDB"/>
          <w:p w:rsidR="00CE4EDB" w:rsidRPr="00CE4EDB" w:rsidRDefault="00CE4EDB" w:rsidP="00CE4EDB"/>
        </w:tc>
        <w:tc>
          <w:tcPr>
            <w:tcW w:w="4327" w:type="dxa"/>
          </w:tcPr>
          <w:p w:rsidR="00CE4EDB" w:rsidRPr="00CE4EDB" w:rsidRDefault="00CE4EDB" w:rsidP="00CE4EDB">
            <w:pPr>
              <w:rPr>
                <w:b/>
              </w:rPr>
            </w:pPr>
            <w:r w:rsidRPr="00CE4EDB">
              <w:rPr>
                <w:b/>
                <w:bCs/>
                <w:lang w:val="fr-CA"/>
              </w:rPr>
              <w:t>Requêtes en autorisation d’intervenir</w:t>
            </w:r>
            <w:r w:rsidRPr="00CE4EDB">
              <w:rPr>
                <w:lang w:val="en-US"/>
              </w:rPr>
              <w:t xml:space="preserve"> </w:t>
            </w:r>
            <w:r w:rsidR="00D31263" w:rsidRPr="00CE4EDB">
              <w:rPr>
                <w:lang w:val="en-US"/>
              </w:rPr>
              <w:fldChar w:fldCharType="begin"/>
            </w:r>
            <w:r w:rsidRPr="00CE4EDB">
              <w:instrText xml:space="preserve"> SEQ CHAPTER \h \r 1</w:instrText>
            </w:r>
            <w:r w:rsidR="00D31263" w:rsidRPr="00CE4EDB">
              <w:rPr>
                <w:lang w:val="en-US"/>
              </w:rPr>
              <w:fldChar w:fldCharType="end"/>
            </w:r>
          </w:p>
        </w:tc>
      </w:tr>
      <w:tr w:rsidR="00CE4EDB" w:rsidRPr="00CE4EDB" w:rsidTr="00574799">
        <w:trPr>
          <w:trHeight w:hRule="exact" w:val="360"/>
        </w:trPr>
        <w:tc>
          <w:tcPr>
            <w:tcW w:w="1368" w:type="dxa"/>
          </w:tcPr>
          <w:p w:rsidR="00CE4EDB" w:rsidRPr="00CE4EDB" w:rsidRDefault="00CE4EDB" w:rsidP="00CE4EDB">
            <w:r w:rsidRPr="00CE4EDB">
              <w:t>BY / PAR</w:t>
            </w:r>
          </w:p>
        </w:tc>
        <w:tc>
          <w:tcPr>
            <w:tcW w:w="2970" w:type="dxa"/>
          </w:tcPr>
          <w:p w:rsidR="00CE4EDB" w:rsidRPr="00CE4EDB" w:rsidRDefault="00CE4EDB" w:rsidP="00CE4EDB">
            <w:r w:rsidRPr="00CE4EDB">
              <w:rPr>
                <w:lang w:val="en-US"/>
              </w:rPr>
              <w:t>Canadian Council for Refugees;</w:t>
            </w:r>
          </w:p>
        </w:tc>
        <w:tc>
          <w:tcPr>
            <w:tcW w:w="1170" w:type="dxa"/>
          </w:tcPr>
          <w:p w:rsidR="00CE4EDB" w:rsidRPr="00CE4EDB" w:rsidRDefault="00CE4EDB" w:rsidP="00CE4EDB"/>
        </w:tc>
        <w:tc>
          <w:tcPr>
            <w:tcW w:w="4327" w:type="dxa"/>
          </w:tcPr>
          <w:p w:rsidR="00CE4EDB" w:rsidRPr="00CE4EDB" w:rsidRDefault="00CE4EDB" w:rsidP="00CE4EDB"/>
        </w:tc>
      </w:tr>
      <w:tr w:rsidR="00CE4EDB" w:rsidRPr="00CE4EDB" w:rsidTr="00574799">
        <w:trPr>
          <w:trHeight w:hRule="exact" w:val="360"/>
        </w:trPr>
        <w:tc>
          <w:tcPr>
            <w:tcW w:w="1368" w:type="dxa"/>
          </w:tcPr>
          <w:p w:rsidR="00CE4EDB" w:rsidRPr="00CE4EDB" w:rsidRDefault="00CE4EDB" w:rsidP="00CE4EDB"/>
        </w:tc>
        <w:tc>
          <w:tcPr>
            <w:tcW w:w="2970" w:type="dxa"/>
          </w:tcPr>
          <w:p w:rsidR="00CE4EDB" w:rsidRPr="00CE4EDB" w:rsidRDefault="00CE4EDB" w:rsidP="00CE4EDB">
            <w:pPr>
              <w:rPr>
                <w:lang w:val="en-US"/>
              </w:rPr>
            </w:pPr>
            <w:r w:rsidRPr="00CE4EDB">
              <w:rPr>
                <w:lang w:val="en-US"/>
              </w:rPr>
              <w:t>Justice for Children and Youth;</w:t>
            </w:r>
          </w:p>
        </w:tc>
        <w:tc>
          <w:tcPr>
            <w:tcW w:w="1170" w:type="dxa"/>
          </w:tcPr>
          <w:p w:rsidR="00CE4EDB" w:rsidRPr="00CE4EDB" w:rsidRDefault="00CE4EDB" w:rsidP="00CE4EDB"/>
        </w:tc>
        <w:tc>
          <w:tcPr>
            <w:tcW w:w="4327" w:type="dxa"/>
          </w:tcPr>
          <w:p w:rsidR="00CE4EDB" w:rsidRPr="00CE4EDB" w:rsidRDefault="00CE4EDB" w:rsidP="00CE4EDB"/>
        </w:tc>
      </w:tr>
      <w:tr w:rsidR="00CE4EDB" w:rsidRPr="00CE4EDB" w:rsidTr="00574799">
        <w:trPr>
          <w:trHeight w:hRule="exact" w:val="864"/>
        </w:trPr>
        <w:tc>
          <w:tcPr>
            <w:tcW w:w="1368" w:type="dxa"/>
          </w:tcPr>
          <w:p w:rsidR="00CE4EDB" w:rsidRPr="00CE4EDB" w:rsidRDefault="00CE4EDB" w:rsidP="00CE4EDB"/>
        </w:tc>
        <w:tc>
          <w:tcPr>
            <w:tcW w:w="2970" w:type="dxa"/>
          </w:tcPr>
          <w:p w:rsidR="00CE4EDB" w:rsidRPr="00CE4EDB" w:rsidRDefault="00CE4EDB" w:rsidP="00CE4EDB">
            <w:pPr>
              <w:rPr>
                <w:lang w:val="en-US"/>
              </w:rPr>
            </w:pPr>
            <w:r w:rsidRPr="00CE4EDB">
              <w:rPr>
                <w:lang w:val="en-US"/>
              </w:rPr>
              <w:t>Barbra Schlifer Commemorative Clinic and the Canadian Centre for Victims of Torture (jointly);</w:t>
            </w:r>
          </w:p>
        </w:tc>
        <w:tc>
          <w:tcPr>
            <w:tcW w:w="1170" w:type="dxa"/>
          </w:tcPr>
          <w:p w:rsidR="00CE4EDB" w:rsidRPr="00CE4EDB" w:rsidRDefault="00CE4EDB" w:rsidP="00CE4EDB"/>
        </w:tc>
        <w:tc>
          <w:tcPr>
            <w:tcW w:w="4327" w:type="dxa"/>
          </w:tcPr>
          <w:p w:rsidR="00CE4EDB" w:rsidRPr="00CE4EDB" w:rsidRDefault="00CE4EDB" w:rsidP="00CE4EDB"/>
        </w:tc>
      </w:tr>
      <w:tr w:rsidR="00CE4EDB" w:rsidRPr="00CE4EDB" w:rsidTr="00574799">
        <w:trPr>
          <w:trHeight w:hRule="exact" w:val="576"/>
        </w:trPr>
        <w:tc>
          <w:tcPr>
            <w:tcW w:w="1368" w:type="dxa"/>
          </w:tcPr>
          <w:p w:rsidR="00CE4EDB" w:rsidRPr="00CE4EDB" w:rsidRDefault="00CE4EDB" w:rsidP="00CE4EDB"/>
        </w:tc>
        <w:tc>
          <w:tcPr>
            <w:tcW w:w="2970" w:type="dxa"/>
          </w:tcPr>
          <w:p w:rsidR="00CE4EDB" w:rsidRPr="00CE4EDB" w:rsidRDefault="00CE4EDB" w:rsidP="00CE4EDB">
            <w:pPr>
              <w:rPr>
                <w:lang w:val="en-US"/>
              </w:rPr>
            </w:pPr>
            <w:r w:rsidRPr="00CE4EDB">
              <w:rPr>
                <w:lang w:val="en-US"/>
              </w:rPr>
              <w:t>Canadian Association of Refugee Lawyers;</w:t>
            </w:r>
          </w:p>
        </w:tc>
        <w:tc>
          <w:tcPr>
            <w:tcW w:w="1170" w:type="dxa"/>
          </w:tcPr>
          <w:p w:rsidR="00CE4EDB" w:rsidRPr="00CE4EDB" w:rsidRDefault="00CE4EDB" w:rsidP="00CE4EDB"/>
        </w:tc>
        <w:tc>
          <w:tcPr>
            <w:tcW w:w="4327" w:type="dxa"/>
          </w:tcPr>
          <w:p w:rsidR="00CE4EDB" w:rsidRPr="00CE4EDB" w:rsidRDefault="00CE4EDB" w:rsidP="00CE4EDB"/>
        </w:tc>
      </w:tr>
      <w:tr w:rsidR="00CE4EDB" w:rsidRPr="00CE4EDB" w:rsidTr="00574799">
        <w:trPr>
          <w:trHeight w:hRule="exact" w:val="576"/>
        </w:trPr>
        <w:tc>
          <w:tcPr>
            <w:tcW w:w="1368" w:type="dxa"/>
          </w:tcPr>
          <w:p w:rsidR="00CE4EDB" w:rsidRPr="00CE4EDB" w:rsidRDefault="00CE4EDB" w:rsidP="00CE4EDB"/>
        </w:tc>
        <w:tc>
          <w:tcPr>
            <w:tcW w:w="2970" w:type="dxa"/>
          </w:tcPr>
          <w:p w:rsidR="00CE4EDB" w:rsidRPr="00CE4EDB" w:rsidRDefault="00CE4EDB" w:rsidP="00CE4EDB">
            <w:pPr>
              <w:rPr>
                <w:lang w:val="en-US"/>
              </w:rPr>
            </w:pPr>
            <w:r w:rsidRPr="00CE4EDB">
              <w:rPr>
                <w:lang w:val="en-US"/>
              </w:rPr>
              <w:t>Parkdale Community Legal Services</w:t>
            </w:r>
          </w:p>
        </w:tc>
        <w:tc>
          <w:tcPr>
            <w:tcW w:w="1170" w:type="dxa"/>
          </w:tcPr>
          <w:p w:rsidR="00CE4EDB" w:rsidRPr="00CE4EDB" w:rsidRDefault="00CE4EDB" w:rsidP="00CE4EDB"/>
        </w:tc>
        <w:tc>
          <w:tcPr>
            <w:tcW w:w="4327" w:type="dxa"/>
          </w:tcPr>
          <w:p w:rsidR="00CE4EDB" w:rsidRPr="00CE4EDB" w:rsidRDefault="00CE4EDB" w:rsidP="00CE4EDB"/>
        </w:tc>
      </w:tr>
      <w:tr w:rsidR="00CE4EDB" w:rsidRPr="00CE4EDB" w:rsidTr="00574799">
        <w:tc>
          <w:tcPr>
            <w:tcW w:w="1368" w:type="dxa"/>
          </w:tcPr>
          <w:p w:rsidR="00CE4EDB" w:rsidRPr="00CE4EDB" w:rsidRDefault="00CE4EDB" w:rsidP="00CE4EDB"/>
        </w:tc>
        <w:tc>
          <w:tcPr>
            <w:tcW w:w="2970" w:type="dxa"/>
          </w:tcPr>
          <w:p w:rsidR="00CE4EDB" w:rsidRPr="00CE4EDB" w:rsidRDefault="00CE4EDB" w:rsidP="00CE4EDB">
            <w:pPr>
              <w:rPr>
                <w:lang w:val="en-US"/>
              </w:rPr>
            </w:pPr>
          </w:p>
        </w:tc>
        <w:tc>
          <w:tcPr>
            <w:tcW w:w="1170" w:type="dxa"/>
          </w:tcPr>
          <w:p w:rsidR="00CE4EDB" w:rsidRPr="00CE4EDB" w:rsidRDefault="00CE4EDB" w:rsidP="00CE4EDB"/>
        </w:tc>
        <w:tc>
          <w:tcPr>
            <w:tcW w:w="4327" w:type="dxa"/>
          </w:tcPr>
          <w:p w:rsidR="00CE4EDB" w:rsidRPr="00CE4EDB" w:rsidRDefault="00CE4EDB" w:rsidP="00CE4EDB"/>
        </w:tc>
      </w:tr>
      <w:tr w:rsidR="00CE4EDB" w:rsidRPr="00CE4EDB" w:rsidTr="00574799">
        <w:tc>
          <w:tcPr>
            <w:tcW w:w="1368" w:type="dxa"/>
          </w:tcPr>
          <w:p w:rsidR="00CE4EDB" w:rsidRPr="00CE4EDB" w:rsidRDefault="00CE4EDB" w:rsidP="00CE4EDB">
            <w:r w:rsidRPr="00CE4EDB">
              <w:t>IN / DANS :</w:t>
            </w:r>
          </w:p>
        </w:tc>
        <w:tc>
          <w:tcPr>
            <w:tcW w:w="2970" w:type="dxa"/>
          </w:tcPr>
          <w:p w:rsidR="00CE4EDB" w:rsidRPr="00CE4EDB" w:rsidRDefault="00CE4EDB" w:rsidP="00CE4EDB">
            <w:r w:rsidRPr="00CE4EDB">
              <w:t>Jeyakannan Kanthasamy</w:t>
            </w:r>
          </w:p>
          <w:p w:rsidR="00CE4EDB" w:rsidRPr="00CE4EDB" w:rsidRDefault="00CE4EDB" w:rsidP="00CE4EDB"/>
          <w:p w:rsidR="00CE4EDB" w:rsidRPr="00CE4EDB" w:rsidRDefault="00CE4EDB" w:rsidP="00CE4EDB">
            <w:r w:rsidRPr="00CE4EDB">
              <w:tab/>
              <w:t>v. (35990)</w:t>
            </w:r>
          </w:p>
          <w:p w:rsidR="00CE4EDB" w:rsidRPr="00CE4EDB" w:rsidRDefault="00CE4EDB" w:rsidP="00CE4EDB"/>
          <w:p w:rsidR="00CE4EDB" w:rsidRPr="00CE4EDB" w:rsidRDefault="00CE4EDB" w:rsidP="00CE4EDB">
            <w:r w:rsidRPr="00CE4EDB">
              <w:t>Minister of Citizenship and Immigration (F.C.)</w:t>
            </w:r>
          </w:p>
        </w:tc>
        <w:tc>
          <w:tcPr>
            <w:tcW w:w="1170" w:type="dxa"/>
          </w:tcPr>
          <w:p w:rsidR="00CE4EDB" w:rsidRPr="00CE4EDB" w:rsidRDefault="00CE4EDB" w:rsidP="00CE4EDB"/>
        </w:tc>
        <w:tc>
          <w:tcPr>
            <w:tcW w:w="4327" w:type="dxa"/>
          </w:tcPr>
          <w:p w:rsidR="00CE4EDB" w:rsidRPr="00CE4EDB" w:rsidRDefault="00CE4EDB" w:rsidP="00CE4EDB"/>
        </w:tc>
      </w:tr>
    </w:tbl>
    <w:p w:rsidR="00CE4EDB" w:rsidRPr="00CE4EDB" w:rsidRDefault="00CE4EDB" w:rsidP="00CE4EDB">
      <w:pPr>
        <w:tabs>
          <w:tab w:val="left" w:pos="-1440"/>
          <w:tab w:val="left" w:pos="-720"/>
        </w:tabs>
        <w:jc w:val="both"/>
        <w:rPr>
          <w:rFonts w:eastAsia="Times New Roman" w:cs="Times New Roman"/>
          <w:sz w:val="20"/>
          <w:szCs w:val="20"/>
          <w:lang w:eastAsia="en-CA"/>
        </w:rPr>
      </w:pPr>
    </w:p>
    <w:p w:rsidR="00CE4EDB" w:rsidRPr="00CE4EDB" w:rsidRDefault="00CE4EDB" w:rsidP="00CE4EDB">
      <w:pPr>
        <w:tabs>
          <w:tab w:val="left" w:pos="-1440"/>
          <w:tab w:val="left" w:pos="-720"/>
        </w:tabs>
        <w:jc w:val="both"/>
        <w:rPr>
          <w:rFonts w:eastAsia="Times New Roman" w:cs="Times New Roman"/>
          <w:sz w:val="20"/>
          <w:szCs w:val="20"/>
          <w:lang w:eastAsia="en-CA"/>
        </w:rPr>
      </w:pPr>
      <w:r w:rsidRPr="00CE4EDB">
        <w:rPr>
          <w:rFonts w:eastAsia="Times New Roman" w:cs="Times New Roman"/>
          <w:b/>
          <w:sz w:val="20"/>
          <w:szCs w:val="20"/>
          <w:lang w:eastAsia="en-CA"/>
        </w:rPr>
        <w:t>GRANTED / ACCORDÉES</w:t>
      </w:r>
    </w:p>
    <w:p w:rsidR="00CE4EDB" w:rsidRPr="00CE4EDB" w:rsidRDefault="00CE4EDB" w:rsidP="00CE4EDB">
      <w:pPr>
        <w:tabs>
          <w:tab w:val="left" w:pos="-1440"/>
          <w:tab w:val="left" w:pos="-720"/>
        </w:tabs>
        <w:jc w:val="both"/>
        <w:rPr>
          <w:rFonts w:eastAsia="Times New Roman" w:cs="Times New Roman"/>
          <w:sz w:val="20"/>
          <w:szCs w:val="20"/>
          <w:lang w:eastAsia="en-CA"/>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r w:rsidRPr="00CE4EDB">
        <w:rPr>
          <w:rFonts w:eastAsiaTheme="minorEastAsia" w:cs="Times New Roman"/>
          <w:b/>
          <w:bCs/>
          <w:sz w:val="20"/>
          <w:szCs w:val="20"/>
          <w:lang w:val="en-US"/>
        </w:rPr>
        <w:t xml:space="preserve">UPON APPLICATIONS </w:t>
      </w:r>
      <w:r w:rsidRPr="00CE4EDB">
        <w:rPr>
          <w:rFonts w:eastAsiaTheme="minorEastAsia" w:cs="Times New Roman"/>
          <w:sz w:val="20"/>
          <w:szCs w:val="20"/>
          <w:lang w:val="en-US"/>
        </w:rPr>
        <w:t>by the Canadian Council for Refugees, Justice for Children and Youth, the Barbra Schlifer Commemorative Clinic and the Canadian Centre for Victims of Torture (jointly), the Canadian Association of Refugee Lawyers and the Parkdale Community Legal Services for leave to intervene in the above appeal;</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r w:rsidRPr="00CE4EDB">
        <w:rPr>
          <w:rFonts w:eastAsiaTheme="minorEastAsia" w:cs="Times New Roman"/>
          <w:b/>
          <w:bCs/>
          <w:sz w:val="20"/>
          <w:szCs w:val="20"/>
          <w:lang w:val="en-US"/>
        </w:rPr>
        <w:t>AND THE MATERIAL FILED</w:t>
      </w:r>
      <w:r w:rsidRPr="00CE4EDB">
        <w:rPr>
          <w:rFonts w:eastAsiaTheme="minorEastAsia" w:cs="Times New Roman"/>
          <w:sz w:val="20"/>
          <w:szCs w:val="20"/>
          <w:lang w:val="en-US"/>
        </w:rPr>
        <w:t xml:space="preserve"> having been read;</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r w:rsidRPr="00CE4EDB">
        <w:rPr>
          <w:rFonts w:eastAsiaTheme="minorEastAsia" w:cs="Times New Roman"/>
          <w:b/>
          <w:bCs/>
          <w:sz w:val="20"/>
          <w:szCs w:val="20"/>
          <w:lang w:val="en-US"/>
        </w:rPr>
        <w:t>IT IS HEREBY ORDERED THAT:</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r w:rsidRPr="00CE4EDB">
        <w:rPr>
          <w:rFonts w:eastAsiaTheme="minorEastAsia" w:cs="Times New Roman"/>
          <w:sz w:val="20"/>
          <w:szCs w:val="20"/>
          <w:lang w:val="en-US"/>
        </w:rPr>
        <w:t xml:space="preserve">The motions for leave to intervene by the Canadian Council for Refugees, Justice for Children and Youth, the Barbra Schlifer Commemorative Clinic and the Canadian Centre for Victims of Torture (jointly), the Canadian Association of Refugee Lawyers and the Parkdale Community Legal Services </w:t>
      </w:r>
      <w:r w:rsidRPr="00CE4EDB">
        <w:rPr>
          <w:rFonts w:eastAsiaTheme="minorEastAsia" w:cs="Times New Roman"/>
          <w:sz w:val="20"/>
          <w:szCs w:val="20"/>
        </w:rPr>
        <w:t xml:space="preserve">are </w:t>
      </w:r>
      <w:r w:rsidRPr="00CE4EDB">
        <w:rPr>
          <w:rFonts w:eastAsiaTheme="minorEastAsia" w:cs="Times New Roman"/>
          <w:sz w:val="20"/>
          <w:szCs w:val="20"/>
          <w:lang w:val="en-US"/>
        </w:rPr>
        <w:t>granted and the said interveners shall be entitled to each serve and file a factum not to exceed 10 pages in length in this appeal on or before April 2, 2015.</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r w:rsidRPr="00CE4EDB">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D31263" w:rsidP="00CE4EDB">
      <w:pPr>
        <w:widowControl w:val="0"/>
        <w:autoSpaceDE w:val="0"/>
        <w:autoSpaceDN w:val="0"/>
        <w:adjustRightInd w:val="0"/>
        <w:spacing w:line="233" w:lineRule="auto"/>
        <w:jc w:val="both"/>
        <w:rPr>
          <w:rFonts w:eastAsiaTheme="minorEastAsia" w:cs="Times New Roman"/>
          <w:sz w:val="20"/>
          <w:szCs w:val="20"/>
          <w:lang w:val="en-US"/>
        </w:rPr>
      </w:pPr>
      <w:r w:rsidRPr="00CE4EDB">
        <w:rPr>
          <w:rFonts w:eastAsiaTheme="minorEastAsia" w:cs="Times New Roman"/>
          <w:sz w:val="20"/>
          <w:szCs w:val="20"/>
        </w:rPr>
        <w:fldChar w:fldCharType="begin"/>
      </w:r>
      <w:r w:rsidR="00CE4EDB" w:rsidRPr="00CE4EDB">
        <w:rPr>
          <w:rFonts w:eastAsiaTheme="minorEastAsia" w:cs="Times New Roman"/>
          <w:sz w:val="20"/>
          <w:szCs w:val="20"/>
        </w:rPr>
        <w:instrText xml:space="preserve"> SEQ CHAPTER \h \r 1</w:instrText>
      </w:r>
      <w:r w:rsidRPr="00CE4EDB">
        <w:rPr>
          <w:rFonts w:eastAsiaTheme="minorEastAsia" w:cs="Times New Roman"/>
          <w:sz w:val="20"/>
          <w:szCs w:val="20"/>
        </w:rPr>
        <w:fldChar w:fldCharType="end"/>
      </w:r>
      <w:r w:rsidR="00CE4EDB" w:rsidRPr="00CE4EDB">
        <w:rPr>
          <w:rFonts w:eastAsiaTheme="minorEastAsia" w:cs="Times New Roman"/>
          <w:bCs/>
          <w:sz w:val="20"/>
          <w:szCs w:val="20"/>
          <w:lang w:val="en-US"/>
        </w:rPr>
        <w:t>The interveners are not entitled to raise new issues or to adduce further evidence or otherwise to supplement the record of the parties.</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r w:rsidRPr="00CE4EDB">
        <w:rPr>
          <w:rFonts w:eastAsiaTheme="minorEastAsia" w:cs="Times New Roman"/>
          <w:sz w:val="20"/>
          <w:szCs w:val="20"/>
          <w:lang w:val="en-US"/>
        </w:rPr>
        <w:t>Pursuant to Rule 59(1)(</w:t>
      </w:r>
      <w:r w:rsidRPr="00CE4EDB">
        <w:rPr>
          <w:rFonts w:eastAsiaTheme="minorEastAsia" w:cs="Times New Roman"/>
          <w:i/>
          <w:iCs/>
          <w:sz w:val="20"/>
          <w:szCs w:val="20"/>
          <w:lang w:val="en-US"/>
        </w:rPr>
        <w:t>a</w:t>
      </w:r>
      <w:r w:rsidRPr="00CE4EDB">
        <w:rPr>
          <w:rFonts w:eastAsiaTheme="minorEastAsia" w:cs="Times New Roman"/>
          <w:sz w:val="20"/>
          <w:szCs w:val="20"/>
          <w:lang w:val="en-US"/>
        </w:rPr>
        <w:t xml:space="preserve">) of the </w:t>
      </w:r>
      <w:r w:rsidRPr="00CE4EDB">
        <w:rPr>
          <w:rFonts w:eastAsiaTheme="minorEastAsia" w:cs="Times New Roman"/>
          <w:i/>
          <w:iCs/>
          <w:sz w:val="20"/>
          <w:szCs w:val="20"/>
          <w:lang w:val="en-US"/>
        </w:rPr>
        <w:t>Rules of the Supreme Court of Canada</w:t>
      </w:r>
      <w:r w:rsidRPr="00CE4EDB">
        <w:rPr>
          <w:rFonts w:eastAsiaTheme="minorEastAsia" w:cs="Times New Roman"/>
          <w:sz w:val="20"/>
          <w:szCs w:val="20"/>
          <w:lang w:val="en-US"/>
        </w:rPr>
        <w:t>, the interveners shall pay to the appellant and respondent any additional disbursements occasioned to the appellant and respondent by their interventions.</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en-US"/>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r w:rsidRPr="00CE4EDB">
        <w:rPr>
          <w:rFonts w:eastAsiaTheme="minorEastAsia" w:cs="Times New Roman"/>
          <w:b/>
          <w:sz w:val="20"/>
          <w:szCs w:val="20"/>
          <w:lang w:val="fr-CA"/>
        </w:rPr>
        <w:t>À LA SUITE DES REQUÊTES</w:t>
      </w:r>
      <w:r w:rsidRPr="00CE4EDB">
        <w:rPr>
          <w:rFonts w:eastAsiaTheme="minorEastAsia" w:cs="Times New Roman"/>
          <w:sz w:val="20"/>
          <w:szCs w:val="20"/>
          <w:lang w:val="fr-CA"/>
        </w:rPr>
        <w:t xml:space="preserve"> présentées par le Conseil canadien pour les réfugiés, Justice for Children and Youth, la Barbra Schlifer Commemorative Clinic et le Canadian Centre for Victims of Torture (conjointement), l’Association canadienne des avocats et avocates en droit des réfugiés et les Parkdale Community Legal Services en vue d’intervenir </w:t>
      </w:r>
      <w:r w:rsidRPr="00CE4EDB">
        <w:rPr>
          <w:rFonts w:eastAsiaTheme="minorEastAsia" w:cs="Times New Roman"/>
          <w:sz w:val="20"/>
          <w:szCs w:val="20"/>
          <w:lang w:val="fr-CA"/>
        </w:rPr>
        <w:lastRenderedPageBreak/>
        <w:t>dans l’appel;</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r w:rsidRPr="00CE4EDB">
        <w:rPr>
          <w:rFonts w:eastAsiaTheme="minorEastAsia" w:cs="Times New Roman"/>
          <w:b/>
          <w:sz w:val="20"/>
          <w:szCs w:val="20"/>
          <w:lang w:val="fr-CA"/>
        </w:rPr>
        <w:t>ET APRÈS EXAMEN</w:t>
      </w:r>
      <w:r w:rsidRPr="00CE4EDB">
        <w:rPr>
          <w:rFonts w:eastAsiaTheme="minorEastAsia" w:cs="Times New Roman"/>
          <w:sz w:val="20"/>
          <w:szCs w:val="20"/>
          <w:lang w:val="fr-CA"/>
        </w:rPr>
        <w:t xml:space="preserve"> des documents déposés;</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p>
    <w:p w:rsidR="00CE4EDB" w:rsidRPr="00CE4EDB" w:rsidRDefault="00CE4EDB" w:rsidP="00CE4EDB">
      <w:pPr>
        <w:widowControl w:val="0"/>
        <w:autoSpaceDE w:val="0"/>
        <w:autoSpaceDN w:val="0"/>
        <w:adjustRightInd w:val="0"/>
        <w:spacing w:line="233" w:lineRule="auto"/>
        <w:jc w:val="both"/>
        <w:rPr>
          <w:rFonts w:eastAsiaTheme="minorEastAsia" w:cs="Times New Roman"/>
          <w:b/>
          <w:sz w:val="20"/>
          <w:szCs w:val="20"/>
          <w:lang w:val="fr-CA"/>
        </w:rPr>
      </w:pPr>
      <w:r w:rsidRPr="00CE4EDB">
        <w:rPr>
          <w:rFonts w:eastAsiaTheme="minorEastAsia" w:cs="Times New Roman"/>
          <w:b/>
          <w:sz w:val="20"/>
          <w:szCs w:val="20"/>
          <w:lang w:val="fr-CA"/>
        </w:rPr>
        <w:t>IL EST ORDONNÉ CE QUI SUIT :</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r w:rsidRPr="00CE4EDB">
        <w:rPr>
          <w:rFonts w:eastAsiaTheme="minorEastAsia" w:cs="Times New Roman"/>
          <w:sz w:val="20"/>
          <w:szCs w:val="20"/>
          <w:lang w:val="fr-CA"/>
        </w:rPr>
        <w:t>Les requêtes en autorisation d’intervenir présentées par le Conseil canadien pour les réfugiés, Justice for Children and Youth, la Barbra Schlifer Commemorative Clinic et le Canadian Centre for Victims of Torture (conjointement), l’Association canadienne des avocats et avocates en droit des réfugiés et les Parkdale Community Legal Services sont accueillies, et chacun de ces intervenants pourra signifier et déposer un mémoire d’au plus 10 pages au plus tard le 2 avril 2015.</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r w:rsidRPr="00CE4EDB">
        <w:rPr>
          <w:rFonts w:eastAsiaTheme="minorEastAsia" w:cs="Times New Roman"/>
          <w:sz w:val="20"/>
          <w:szCs w:val="20"/>
          <w:lang w:val="fr-CA"/>
        </w:rPr>
        <w:t>Les décisions sur les requêtes en vue de présenter une plaidoirie orale seront rendues après réception et examen des arguments écrits des parties et des intervenants.</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r w:rsidRPr="00CE4EDB">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p>
    <w:p w:rsidR="00CE4EDB" w:rsidRPr="00CE4EDB" w:rsidRDefault="00CE4EDB" w:rsidP="00CE4EDB">
      <w:pPr>
        <w:widowControl w:val="0"/>
        <w:autoSpaceDE w:val="0"/>
        <w:autoSpaceDN w:val="0"/>
        <w:adjustRightInd w:val="0"/>
        <w:spacing w:line="233" w:lineRule="auto"/>
        <w:jc w:val="both"/>
        <w:rPr>
          <w:rFonts w:eastAsiaTheme="minorEastAsia" w:cs="Times New Roman"/>
          <w:sz w:val="20"/>
          <w:szCs w:val="20"/>
          <w:lang w:val="fr-CA"/>
        </w:rPr>
      </w:pPr>
      <w:r w:rsidRPr="00CE4EDB">
        <w:rPr>
          <w:rFonts w:eastAsiaTheme="minorEastAsia" w:cs="Times New Roman"/>
          <w:sz w:val="20"/>
          <w:szCs w:val="20"/>
          <w:lang w:val="fr-CA"/>
        </w:rPr>
        <w:t>Conformément à l’alinéa 59(1)</w:t>
      </w:r>
      <w:r w:rsidRPr="00CE4EDB">
        <w:rPr>
          <w:rFonts w:eastAsiaTheme="minorEastAsia" w:cs="Times New Roman"/>
          <w:i/>
          <w:sz w:val="20"/>
          <w:szCs w:val="20"/>
          <w:lang w:val="fr-CA"/>
        </w:rPr>
        <w:t>a</w:t>
      </w:r>
      <w:r w:rsidRPr="00CE4EDB">
        <w:rPr>
          <w:rFonts w:eastAsiaTheme="minorEastAsia" w:cs="Times New Roman"/>
          <w:sz w:val="20"/>
          <w:szCs w:val="20"/>
          <w:lang w:val="fr-CA"/>
        </w:rPr>
        <w:t xml:space="preserve">) des </w:t>
      </w:r>
      <w:r w:rsidRPr="00CE4EDB">
        <w:rPr>
          <w:rFonts w:eastAsiaTheme="minorEastAsia" w:cs="Times New Roman"/>
          <w:i/>
          <w:sz w:val="20"/>
          <w:szCs w:val="20"/>
          <w:lang w:val="fr-CA"/>
        </w:rPr>
        <w:t>Règles de la Cour suprême du Canada</w:t>
      </w:r>
      <w:r w:rsidRPr="00CE4EDB">
        <w:rPr>
          <w:rFonts w:eastAsiaTheme="minorEastAsia" w:cs="Times New Roman"/>
          <w:sz w:val="20"/>
          <w:szCs w:val="20"/>
          <w:lang w:val="fr-CA"/>
        </w:rPr>
        <w:t>, les intervenants paieront à l’appelant et à l’intimé tous débours supplémentaires résultant de leur intervention.</w: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173D9D" w:rsidP="00CE4ED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r w:rsidRPr="00CE4EDB">
        <w:rPr>
          <w:rFonts w:eastAsia="Times New Roman" w:cs="Times New Roman"/>
          <w:sz w:val="20"/>
          <w:szCs w:val="20"/>
          <w:lang w:val="fr-CA" w:eastAsia="en-CA"/>
        </w:rPr>
        <w:t>20.03.2015</w: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r w:rsidRPr="00CE4EDB">
        <w:rPr>
          <w:rFonts w:eastAsia="Times New Roman" w:cs="Times New Roman"/>
          <w:sz w:val="20"/>
          <w:szCs w:val="20"/>
          <w:lang w:val="fr-CA" w:eastAsia="en-CA"/>
        </w:rPr>
        <w:t>Before / Devant :   ABELLA J. / LA JUGE ABELLA</w:t>
      </w:r>
    </w:p>
    <w:p w:rsidR="00CE4EDB" w:rsidRPr="00CE4EDB" w:rsidRDefault="00CE4EDB" w:rsidP="00CE4ED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E4EDB" w:rsidRPr="00CE4EDB" w:rsidTr="00574799">
        <w:trPr>
          <w:trHeight w:val="151"/>
        </w:trPr>
        <w:tc>
          <w:tcPr>
            <w:tcW w:w="4338" w:type="dxa"/>
          </w:tcPr>
          <w:p w:rsidR="00CE4EDB" w:rsidRPr="00CE4EDB" w:rsidRDefault="00D31263" w:rsidP="00CE4EDB">
            <w:pPr>
              <w:tabs>
                <w:tab w:val="left" w:pos="-1440"/>
                <w:tab w:val="left" w:pos="-720"/>
              </w:tabs>
              <w:jc w:val="both"/>
              <w:rPr>
                <w:lang w:val="fr-CA"/>
              </w:rPr>
            </w:pPr>
            <w:r w:rsidRPr="00CE4EDB">
              <w:rPr>
                <w:lang w:val="en-US"/>
              </w:rPr>
              <w:fldChar w:fldCharType="begin"/>
            </w:r>
            <w:r w:rsidR="00CE4EDB" w:rsidRPr="00CE4EDB">
              <w:rPr>
                <w:lang w:val="fr-CA"/>
              </w:rPr>
              <w:instrText xml:space="preserve"> SEQ CHAPTER \h \r 1</w:instrText>
            </w:r>
            <w:r w:rsidRPr="00CE4EDB">
              <w:rPr>
                <w:lang w:val="en-US"/>
              </w:rPr>
              <w:fldChar w:fldCharType="end"/>
            </w:r>
            <w:r w:rsidR="00CE4EDB" w:rsidRPr="00CE4EDB">
              <w:rPr>
                <w:b/>
                <w:bCs/>
                <w:lang w:val="fr-CA"/>
              </w:rPr>
              <w:t>Miscellaneous motion</w:t>
            </w:r>
          </w:p>
          <w:p w:rsidR="00CE4EDB" w:rsidRPr="00CE4EDB" w:rsidRDefault="00D31263" w:rsidP="00CE4EDB">
            <w:pPr>
              <w:tabs>
                <w:tab w:val="left" w:pos="-1440"/>
                <w:tab w:val="left" w:pos="-720"/>
              </w:tabs>
              <w:jc w:val="both"/>
              <w:rPr>
                <w:lang w:val="fr-CA"/>
              </w:rPr>
            </w:pPr>
            <w:r w:rsidRPr="00CE4EDB">
              <w:rPr>
                <w:lang w:val="en-US"/>
              </w:rPr>
              <w:fldChar w:fldCharType="begin"/>
            </w:r>
            <w:r w:rsidR="00CE4EDB" w:rsidRPr="00CE4EDB">
              <w:rPr>
                <w:lang w:val="fr-CA"/>
              </w:rPr>
              <w:instrText xml:space="preserve"> SEQ CHAPTER \h \r 1</w:instrText>
            </w:r>
            <w:r w:rsidRPr="00CE4EDB">
              <w:rPr>
                <w:lang w:val="en-US"/>
              </w:rPr>
              <w:fldChar w:fldCharType="end"/>
            </w:r>
          </w:p>
        </w:tc>
        <w:tc>
          <w:tcPr>
            <w:tcW w:w="1170" w:type="dxa"/>
          </w:tcPr>
          <w:p w:rsidR="00CE4EDB" w:rsidRPr="00CE4EDB" w:rsidRDefault="00CE4EDB" w:rsidP="00CE4EDB">
            <w:pPr>
              <w:jc w:val="both"/>
              <w:rPr>
                <w:lang w:val="fr-CA"/>
              </w:rPr>
            </w:pPr>
          </w:p>
          <w:p w:rsidR="00CE4EDB" w:rsidRPr="00CE4EDB" w:rsidRDefault="00CE4EDB" w:rsidP="00CE4EDB">
            <w:pPr>
              <w:jc w:val="both"/>
              <w:rPr>
                <w:lang w:val="fr-CA"/>
              </w:rPr>
            </w:pPr>
          </w:p>
        </w:tc>
        <w:tc>
          <w:tcPr>
            <w:tcW w:w="4327" w:type="dxa"/>
          </w:tcPr>
          <w:p w:rsidR="00CE4EDB" w:rsidRPr="00CE4EDB" w:rsidRDefault="00D31263" w:rsidP="00CE4EDB">
            <w:pPr>
              <w:jc w:val="both"/>
              <w:rPr>
                <w:b/>
                <w:lang w:val="fr-CA"/>
              </w:rPr>
            </w:pPr>
            <w:r w:rsidRPr="00CE4EDB">
              <w:rPr>
                <w:lang w:val="en-US"/>
              </w:rPr>
              <w:fldChar w:fldCharType="begin"/>
            </w:r>
            <w:r w:rsidR="00CE4EDB" w:rsidRPr="00CE4EDB">
              <w:rPr>
                <w:lang w:val="fr-CA"/>
              </w:rPr>
              <w:instrText xml:space="preserve"> SEQ CHAPTER \h \r 1</w:instrText>
            </w:r>
            <w:r w:rsidRPr="00CE4EDB">
              <w:rPr>
                <w:lang w:val="en-US"/>
              </w:rPr>
              <w:fldChar w:fldCharType="end"/>
            </w:r>
            <w:r w:rsidR="00CE4EDB" w:rsidRPr="00CE4EDB">
              <w:rPr>
                <w:b/>
                <w:bCs/>
                <w:lang w:val="fr-CA"/>
              </w:rPr>
              <w:t>Requête diverse</w:t>
            </w:r>
          </w:p>
          <w:p w:rsidR="00CE4EDB" w:rsidRPr="00CE4EDB" w:rsidRDefault="00D31263" w:rsidP="00CE4EDB">
            <w:pPr>
              <w:jc w:val="both"/>
              <w:rPr>
                <w:b/>
                <w:lang w:val="fr-CA"/>
              </w:rPr>
            </w:pPr>
            <w:r w:rsidRPr="00CE4EDB">
              <w:rPr>
                <w:b/>
                <w:lang w:val="en-US"/>
              </w:rPr>
              <w:fldChar w:fldCharType="begin"/>
            </w:r>
            <w:r w:rsidR="00CE4EDB" w:rsidRPr="00CE4EDB">
              <w:rPr>
                <w:b/>
                <w:lang w:val="fr-CA"/>
              </w:rPr>
              <w:instrText xml:space="preserve"> SEQ CHAPTER \h \r 1</w:instrText>
            </w:r>
            <w:r w:rsidRPr="00CE4EDB">
              <w:rPr>
                <w:b/>
                <w:lang w:val="en-US"/>
              </w:rPr>
              <w:fldChar w:fldCharType="end"/>
            </w:r>
            <w:r w:rsidRPr="00CE4EDB">
              <w:rPr>
                <w:b/>
                <w:lang w:val="en-US"/>
              </w:rPr>
              <w:fldChar w:fldCharType="begin"/>
            </w:r>
            <w:r w:rsidR="00CE4EDB" w:rsidRPr="00CE4EDB">
              <w:rPr>
                <w:b/>
                <w:lang w:val="fr-CA"/>
              </w:rPr>
              <w:instrText xml:space="preserve"> SEQ CHAPTER \h \r 1</w:instrText>
            </w:r>
            <w:r w:rsidRPr="00CE4EDB">
              <w:rPr>
                <w:b/>
                <w:lang w:val="en-US"/>
              </w:rPr>
              <w:fldChar w:fldCharType="end"/>
            </w:r>
          </w:p>
        </w:tc>
      </w:tr>
      <w:tr w:rsidR="00CE4EDB" w:rsidRPr="00EC49A7" w:rsidTr="00574799">
        <w:trPr>
          <w:trHeight w:val="150"/>
        </w:trPr>
        <w:tc>
          <w:tcPr>
            <w:tcW w:w="4338" w:type="dxa"/>
          </w:tcPr>
          <w:p w:rsidR="00CE4EDB" w:rsidRPr="00CE4EDB" w:rsidRDefault="00CE4EDB" w:rsidP="00CE4EDB">
            <w:pPr>
              <w:tabs>
                <w:tab w:val="left" w:pos="-1440"/>
                <w:tab w:val="left" w:pos="-720"/>
              </w:tabs>
              <w:jc w:val="both"/>
              <w:rPr>
                <w:lang w:val="fr-CA"/>
              </w:rPr>
            </w:pPr>
            <w:r w:rsidRPr="00CE4EDB">
              <w:rPr>
                <w:lang w:val="fr-CA"/>
              </w:rPr>
              <w:t>Shappour Jannesar</w:t>
            </w:r>
          </w:p>
          <w:p w:rsidR="00CE4EDB" w:rsidRPr="00CE4EDB" w:rsidRDefault="00CE4EDB" w:rsidP="00CE4EDB">
            <w:pPr>
              <w:tabs>
                <w:tab w:val="left" w:pos="-1440"/>
                <w:tab w:val="left" w:pos="-720"/>
              </w:tabs>
              <w:jc w:val="both"/>
              <w:rPr>
                <w:lang w:val="fr-CA"/>
              </w:rPr>
            </w:pPr>
          </w:p>
          <w:p w:rsidR="00CE4EDB" w:rsidRPr="00CE4EDB" w:rsidRDefault="00CE4EDB" w:rsidP="00CE4EDB">
            <w:pPr>
              <w:tabs>
                <w:tab w:val="left" w:pos="-1440"/>
                <w:tab w:val="left" w:pos="-720"/>
              </w:tabs>
              <w:jc w:val="both"/>
              <w:rPr>
                <w:lang w:val="fr-CA"/>
              </w:rPr>
            </w:pPr>
            <w:r w:rsidRPr="00CE4EDB">
              <w:rPr>
                <w:lang w:val="fr-CA"/>
              </w:rPr>
              <w:tab/>
              <w:t>c. (36271)</w:t>
            </w:r>
          </w:p>
          <w:p w:rsidR="00CE4EDB" w:rsidRPr="00CE4EDB" w:rsidRDefault="00CE4EDB" w:rsidP="00CE4EDB">
            <w:pPr>
              <w:tabs>
                <w:tab w:val="left" w:pos="-1440"/>
                <w:tab w:val="left" w:pos="-720"/>
              </w:tabs>
              <w:jc w:val="both"/>
              <w:rPr>
                <w:lang w:val="fr-CA"/>
              </w:rPr>
            </w:pPr>
          </w:p>
          <w:p w:rsidR="00CE4EDB" w:rsidRPr="00CE4EDB" w:rsidRDefault="00CE4EDB" w:rsidP="00CE4EDB">
            <w:pPr>
              <w:tabs>
                <w:tab w:val="left" w:pos="-1440"/>
                <w:tab w:val="left" w:pos="-720"/>
              </w:tabs>
              <w:jc w:val="both"/>
              <w:rPr>
                <w:lang w:val="fr-CA"/>
              </w:rPr>
            </w:pPr>
            <w:r w:rsidRPr="00CE4EDB">
              <w:rPr>
                <w:lang w:val="fr-CA"/>
              </w:rPr>
              <w:t>Sabiha Ali Sultan Yousuf (Qc)</w:t>
            </w:r>
          </w:p>
        </w:tc>
        <w:tc>
          <w:tcPr>
            <w:tcW w:w="1170" w:type="dxa"/>
          </w:tcPr>
          <w:p w:rsidR="00CE4EDB" w:rsidRPr="00CE4EDB" w:rsidRDefault="00CE4EDB" w:rsidP="00CE4EDB">
            <w:pPr>
              <w:jc w:val="both"/>
              <w:rPr>
                <w:lang w:val="fr-CA"/>
              </w:rPr>
            </w:pPr>
          </w:p>
        </w:tc>
        <w:tc>
          <w:tcPr>
            <w:tcW w:w="4327" w:type="dxa"/>
          </w:tcPr>
          <w:p w:rsidR="00CE4EDB" w:rsidRPr="00CE4EDB" w:rsidRDefault="00CE4EDB" w:rsidP="00CE4EDB">
            <w:pPr>
              <w:jc w:val="both"/>
              <w:rPr>
                <w:lang w:val="fr-CA"/>
              </w:rPr>
            </w:pPr>
          </w:p>
        </w:tc>
      </w:tr>
    </w:tbl>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r w:rsidRPr="00CE4EDB">
        <w:rPr>
          <w:rFonts w:eastAsia="Times New Roman" w:cs="Times New Roman"/>
          <w:b/>
          <w:sz w:val="20"/>
          <w:szCs w:val="20"/>
          <w:lang w:val="fr-CA" w:eastAsia="en-CA"/>
        </w:rPr>
        <w:t>DISMISSED / REJETÉE</w: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spacing w:line="233" w:lineRule="auto"/>
        <w:jc w:val="both"/>
        <w:rPr>
          <w:rFonts w:eastAsia="Times New Roman" w:cs="Times New Roman"/>
          <w:sz w:val="20"/>
          <w:szCs w:val="20"/>
          <w:lang w:val="fr-CA" w:eastAsia="en-CA"/>
        </w:rPr>
      </w:pPr>
      <w:r w:rsidRPr="00CE4EDB">
        <w:rPr>
          <w:rFonts w:eastAsia="Times New Roman" w:cs="Times New Roman"/>
          <w:b/>
          <w:sz w:val="20"/>
          <w:szCs w:val="20"/>
          <w:lang w:val="fr-CA" w:eastAsia="en-CA"/>
        </w:rPr>
        <w:t>À LA SUITE DE LA REQUÊTE</w:t>
      </w:r>
      <w:r w:rsidRPr="00CE4EDB">
        <w:rPr>
          <w:rFonts w:eastAsia="Times New Roman" w:cs="Times New Roman"/>
          <w:sz w:val="20"/>
          <w:szCs w:val="20"/>
          <w:lang w:val="fr-CA" w:eastAsia="en-CA"/>
        </w:rPr>
        <w:t xml:space="preserve"> présentée par l’intimée en vue d’obtenir le dépôt d’une caution de quinze mille dollars par le demandeur;</w:t>
      </w:r>
    </w:p>
    <w:p w:rsidR="00CE4EDB" w:rsidRPr="00CE4EDB" w:rsidRDefault="00CE4EDB" w:rsidP="00CE4EDB">
      <w:pPr>
        <w:spacing w:line="233" w:lineRule="auto"/>
        <w:jc w:val="both"/>
        <w:rPr>
          <w:rFonts w:eastAsia="Times New Roman" w:cs="Times New Roman"/>
          <w:sz w:val="20"/>
          <w:szCs w:val="20"/>
          <w:lang w:val="fr-CA" w:eastAsia="en-CA"/>
        </w:rPr>
      </w:pPr>
    </w:p>
    <w:p w:rsidR="00CE4EDB" w:rsidRPr="00CE4EDB" w:rsidRDefault="00CE4EDB" w:rsidP="00CE4EDB">
      <w:pPr>
        <w:spacing w:line="233" w:lineRule="auto"/>
        <w:jc w:val="both"/>
        <w:rPr>
          <w:rFonts w:eastAsia="Times New Roman" w:cs="Times New Roman"/>
          <w:sz w:val="20"/>
          <w:szCs w:val="20"/>
          <w:lang w:val="fr-CA" w:eastAsia="en-CA"/>
        </w:rPr>
      </w:pPr>
      <w:r w:rsidRPr="00CE4EDB">
        <w:rPr>
          <w:rFonts w:eastAsia="Times New Roman" w:cs="Times New Roman"/>
          <w:b/>
          <w:sz w:val="20"/>
          <w:szCs w:val="20"/>
          <w:lang w:val="fr-CA" w:eastAsia="en-CA"/>
        </w:rPr>
        <w:t>ET À LA SUITE DE LA REQUÊTE</w:t>
      </w:r>
      <w:r w:rsidRPr="00CE4EDB">
        <w:rPr>
          <w:rFonts w:eastAsia="Times New Roman" w:cs="Times New Roman"/>
          <w:sz w:val="20"/>
          <w:szCs w:val="20"/>
          <w:lang w:val="fr-CA" w:eastAsia="en-CA"/>
        </w:rPr>
        <w:t xml:space="preserve"> présentée par le demandeur en vue d’obtenir une prorogation du délai de signification et de dépôt de la réponse à la requête de l’intimée; </w:t>
      </w:r>
    </w:p>
    <w:p w:rsidR="00CE4EDB" w:rsidRPr="00CE4EDB" w:rsidRDefault="00CE4EDB" w:rsidP="00CE4EDB">
      <w:pPr>
        <w:spacing w:line="233" w:lineRule="auto"/>
        <w:jc w:val="both"/>
        <w:rPr>
          <w:rFonts w:eastAsia="Times New Roman" w:cs="Times New Roman"/>
          <w:b/>
          <w:sz w:val="20"/>
          <w:szCs w:val="20"/>
          <w:lang w:val="fr-CA" w:eastAsia="en-CA"/>
        </w:rPr>
      </w:pPr>
    </w:p>
    <w:p w:rsidR="00CE4EDB" w:rsidRPr="00CE4EDB" w:rsidRDefault="00CE4EDB" w:rsidP="00CE4EDB">
      <w:pPr>
        <w:spacing w:line="233" w:lineRule="auto"/>
        <w:jc w:val="both"/>
        <w:rPr>
          <w:rFonts w:eastAsia="Times New Roman" w:cs="Times New Roman"/>
          <w:sz w:val="20"/>
          <w:szCs w:val="20"/>
          <w:lang w:val="fr-CA" w:eastAsia="en-CA"/>
        </w:rPr>
      </w:pPr>
      <w:r w:rsidRPr="00CE4EDB">
        <w:rPr>
          <w:rFonts w:eastAsia="Times New Roman" w:cs="Times New Roman"/>
          <w:b/>
          <w:sz w:val="20"/>
          <w:szCs w:val="20"/>
          <w:lang w:val="fr-CA" w:eastAsia="en-CA"/>
        </w:rPr>
        <w:t>ET APRÈS EXAMEN</w:t>
      </w:r>
      <w:r w:rsidRPr="00CE4EDB">
        <w:rPr>
          <w:rFonts w:eastAsia="Times New Roman" w:cs="Times New Roman"/>
          <w:sz w:val="20"/>
          <w:szCs w:val="20"/>
          <w:lang w:val="fr-CA" w:eastAsia="en-CA"/>
        </w:rPr>
        <w:t xml:space="preserve"> des documents déposés;</w:t>
      </w:r>
    </w:p>
    <w:p w:rsidR="00CE4EDB" w:rsidRPr="00CE4EDB" w:rsidRDefault="00CE4EDB" w:rsidP="00CE4EDB">
      <w:pPr>
        <w:spacing w:line="233" w:lineRule="auto"/>
        <w:jc w:val="both"/>
        <w:rPr>
          <w:rFonts w:eastAsia="Times New Roman" w:cs="Times New Roman"/>
          <w:b/>
          <w:sz w:val="20"/>
          <w:szCs w:val="20"/>
          <w:lang w:val="fr-CA" w:eastAsia="en-CA"/>
        </w:rPr>
      </w:pPr>
    </w:p>
    <w:p w:rsidR="00CE4EDB" w:rsidRPr="00CE4EDB" w:rsidRDefault="00CE4EDB" w:rsidP="00CE4EDB">
      <w:pPr>
        <w:spacing w:line="233" w:lineRule="auto"/>
        <w:jc w:val="both"/>
        <w:rPr>
          <w:rFonts w:eastAsia="Times New Roman" w:cs="Times New Roman"/>
          <w:sz w:val="20"/>
          <w:szCs w:val="20"/>
          <w:lang w:val="fr-CA" w:eastAsia="en-CA"/>
        </w:rPr>
      </w:pPr>
      <w:r w:rsidRPr="00CE4EDB">
        <w:rPr>
          <w:rFonts w:eastAsia="Times New Roman" w:cs="Times New Roman"/>
          <w:b/>
          <w:sz w:val="20"/>
          <w:szCs w:val="20"/>
          <w:lang w:val="fr-CA" w:eastAsia="en-CA"/>
        </w:rPr>
        <w:t>IL EST PAR LA PRÉSENTE ORDONNÉ CE QUI SUIT</w:t>
      </w:r>
      <w:r w:rsidRPr="00CE4EDB">
        <w:rPr>
          <w:rFonts w:eastAsia="Times New Roman" w:cs="Times New Roman"/>
          <w:sz w:val="20"/>
          <w:szCs w:val="20"/>
          <w:lang w:val="fr-CA" w:eastAsia="en-CA"/>
        </w:rPr>
        <w:t xml:space="preserve"> :</w:t>
      </w:r>
    </w:p>
    <w:p w:rsidR="00CE4EDB" w:rsidRPr="00CE4EDB" w:rsidRDefault="00CE4EDB" w:rsidP="00CE4EDB">
      <w:pPr>
        <w:spacing w:line="233" w:lineRule="auto"/>
        <w:jc w:val="both"/>
        <w:rPr>
          <w:rFonts w:eastAsia="Times New Roman" w:cs="Times New Roman"/>
          <w:b/>
          <w:sz w:val="20"/>
          <w:szCs w:val="20"/>
          <w:lang w:val="fr-CA" w:eastAsia="en-CA"/>
        </w:rPr>
      </w:pPr>
    </w:p>
    <w:p w:rsidR="00CE4EDB" w:rsidRPr="00CE4EDB" w:rsidRDefault="00CE4EDB" w:rsidP="00CE4EDB">
      <w:pPr>
        <w:spacing w:line="233" w:lineRule="auto"/>
        <w:jc w:val="both"/>
        <w:rPr>
          <w:rFonts w:eastAsia="Times New Roman" w:cs="Times New Roman"/>
          <w:sz w:val="20"/>
          <w:szCs w:val="20"/>
          <w:lang w:val="fr-CA" w:eastAsia="en-CA"/>
        </w:rPr>
      </w:pPr>
      <w:r w:rsidRPr="00CE4EDB">
        <w:rPr>
          <w:rFonts w:eastAsia="Times New Roman" w:cs="Times New Roman"/>
          <w:sz w:val="20"/>
          <w:szCs w:val="20"/>
          <w:lang w:val="fr-CA" w:eastAsia="en-CA"/>
        </w:rPr>
        <w:t>La requête en prorogation du délai est accueillie et la requête en cautionnement pour frais est rejetée.</w:t>
      </w:r>
    </w:p>
    <w:p w:rsidR="00CE4EDB" w:rsidRPr="00CE4EDB" w:rsidRDefault="00CE4EDB" w:rsidP="00CE4EDB">
      <w:pPr>
        <w:spacing w:line="233" w:lineRule="auto"/>
        <w:jc w:val="both"/>
        <w:rPr>
          <w:rFonts w:eastAsia="Times New Roman" w:cs="Times New Roman"/>
          <w:sz w:val="20"/>
          <w:szCs w:val="20"/>
          <w:lang w:val="fr-CA" w:eastAsia="en-CA"/>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E4EDB" w:rsidRPr="00CE4EDB" w:rsidRDefault="00CE4EDB" w:rsidP="00CE4EDB">
      <w:pPr>
        <w:spacing w:line="233" w:lineRule="auto"/>
        <w:jc w:val="both"/>
        <w:rPr>
          <w:rFonts w:eastAsia="Times New Roman" w:cs="Times New Roman"/>
          <w:sz w:val="20"/>
          <w:szCs w:val="20"/>
          <w:lang w:eastAsia="en-CA"/>
        </w:rPr>
      </w:pPr>
      <w:r w:rsidRPr="00CE4EDB">
        <w:rPr>
          <w:rFonts w:eastAsia="Times New Roman" w:cs="Times New Roman"/>
          <w:b/>
          <w:sz w:val="20"/>
          <w:szCs w:val="20"/>
          <w:lang w:eastAsia="en-CA"/>
        </w:rPr>
        <w:t>UPON A MOTION</w:t>
      </w:r>
      <w:r w:rsidRPr="00CE4EDB">
        <w:rPr>
          <w:rFonts w:eastAsia="Times New Roman" w:cs="Times New Roman"/>
          <w:sz w:val="20"/>
          <w:szCs w:val="20"/>
          <w:lang w:eastAsia="en-CA"/>
        </w:rPr>
        <w:t xml:space="preserve"> by the respondent for an order that the applicant deposit security to the value of fifteen thousand dollars;</w:t>
      </w:r>
    </w:p>
    <w:p w:rsidR="00CE4EDB" w:rsidRPr="00CE4EDB" w:rsidRDefault="00CE4EDB" w:rsidP="00CE4EDB">
      <w:pPr>
        <w:spacing w:line="233" w:lineRule="auto"/>
        <w:jc w:val="both"/>
        <w:rPr>
          <w:rFonts w:eastAsia="Times New Roman" w:cs="Times New Roman"/>
          <w:sz w:val="20"/>
          <w:szCs w:val="20"/>
          <w:lang w:eastAsia="en-CA"/>
        </w:rPr>
      </w:pPr>
    </w:p>
    <w:p w:rsidR="00CE4EDB" w:rsidRPr="00CE4EDB" w:rsidRDefault="00CE4EDB" w:rsidP="00CE4EDB">
      <w:pPr>
        <w:spacing w:line="233" w:lineRule="auto"/>
        <w:jc w:val="both"/>
        <w:rPr>
          <w:rFonts w:eastAsia="Times New Roman" w:cs="Times New Roman"/>
          <w:sz w:val="20"/>
          <w:szCs w:val="20"/>
          <w:lang w:eastAsia="en-CA"/>
        </w:rPr>
      </w:pPr>
      <w:r w:rsidRPr="00CE4EDB">
        <w:rPr>
          <w:rFonts w:eastAsia="Times New Roman" w:cs="Times New Roman"/>
          <w:b/>
          <w:sz w:val="20"/>
          <w:szCs w:val="20"/>
          <w:lang w:eastAsia="en-CA"/>
        </w:rPr>
        <w:t>AND UPON A MOTION</w:t>
      </w:r>
      <w:r w:rsidRPr="00CE4EDB">
        <w:rPr>
          <w:rFonts w:eastAsia="Times New Roman" w:cs="Times New Roman"/>
          <w:sz w:val="20"/>
          <w:szCs w:val="20"/>
          <w:lang w:eastAsia="en-CA"/>
        </w:rPr>
        <w:t xml:space="preserve"> by the applicant for an order extending the time within which the applicant may serve and file his response to the respondent’s motion; </w:t>
      </w:r>
    </w:p>
    <w:p w:rsidR="00CE4EDB" w:rsidRPr="00CE4EDB" w:rsidRDefault="00CE4EDB" w:rsidP="00CE4EDB">
      <w:pPr>
        <w:spacing w:line="233" w:lineRule="auto"/>
        <w:jc w:val="both"/>
        <w:rPr>
          <w:rFonts w:eastAsia="Times New Roman" w:cs="Times New Roman"/>
          <w:b/>
          <w:sz w:val="20"/>
          <w:szCs w:val="20"/>
          <w:lang w:eastAsia="en-CA"/>
        </w:rPr>
      </w:pPr>
    </w:p>
    <w:p w:rsidR="00CE4EDB" w:rsidRPr="00CE4EDB" w:rsidRDefault="00CE4EDB" w:rsidP="00CE4EDB">
      <w:pPr>
        <w:spacing w:line="233" w:lineRule="auto"/>
        <w:jc w:val="both"/>
        <w:rPr>
          <w:rFonts w:eastAsia="Times New Roman" w:cs="Times New Roman"/>
          <w:sz w:val="20"/>
          <w:szCs w:val="20"/>
          <w:lang w:eastAsia="en-CA"/>
        </w:rPr>
      </w:pPr>
      <w:r w:rsidRPr="00CE4EDB">
        <w:rPr>
          <w:rFonts w:eastAsia="Times New Roman" w:cs="Times New Roman"/>
          <w:b/>
          <w:sz w:val="20"/>
          <w:szCs w:val="20"/>
          <w:lang w:eastAsia="en-CA"/>
        </w:rPr>
        <w:t>AND THE MATERIAL FILED</w:t>
      </w:r>
      <w:r w:rsidRPr="00CE4EDB">
        <w:rPr>
          <w:rFonts w:eastAsia="Times New Roman" w:cs="Times New Roman"/>
          <w:sz w:val="20"/>
          <w:szCs w:val="20"/>
          <w:lang w:eastAsia="en-CA"/>
        </w:rPr>
        <w:t xml:space="preserve"> having been read;</w:t>
      </w:r>
    </w:p>
    <w:p w:rsidR="00CE4EDB" w:rsidRPr="00CE4EDB" w:rsidRDefault="00CE4EDB" w:rsidP="00CE4EDB">
      <w:pPr>
        <w:spacing w:line="233" w:lineRule="auto"/>
        <w:jc w:val="both"/>
        <w:rPr>
          <w:rFonts w:eastAsia="Times New Roman" w:cs="Times New Roman"/>
          <w:b/>
          <w:sz w:val="20"/>
          <w:szCs w:val="20"/>
          <w:lang w:eastAsia="en-CA"/>
        </w:rPr>
      </w:pPr>
    </w:p>
    <w:p w:rsidR="00CE4EDB" w:rsidRPr="00CE4EDB" w:rsidRDefault="00CE4EDB" w:rsidP="00CE4EDB">
      <w:pPr>
        <w:spacing w:line="233" w:lineRule="auto"/>
        <w:jc w:val="both"/>
        <w:rPr>
          <w:rFonts w:eastAsia="Times New Roman" w:cs="Times New Roman"/>
          <w:sz w:val="20"/>
          <w:szCs w:val="20"/>
          <w:lang w:eastAsia="en-CA"/>
        </w:rPr>
      </w:pPr>
      <w:r w:rsidRPr="00CE4EDB">
        <w:rPr>
          <w:rFonts w:eastAsia="Times New Roman" w:cs="Times New Roman"/>
          <w:b/>
          <w:sz w:val="20"/>
          <w:szCs w:val="20"/>
          <w:lang w:eastAsia="en-CA"/>
        </w:rPr>
        <w:t>IT IS HEREBY ORDERED THAT</w:t>
      </w:r>
      <w:r w:rsidRPr="00CE4EDB">
        <w:rPr>
          <w:rFonts w:eastAsia="Times New Roman" w:cs="Times New Roman"/>
          <w:sz w:val="20"/>
          <w:szCs w:val="20"/>
          <w:lang w:eastAsia="en-CA"/>
        </w:rPr>
        <w:t>:</w:t>
      </w:r>
    </w:p>
    <w:p w:rsidR="00CE4EDB" w:rsidRPr="00CE4EDB" w:rsidRDefault="00CE4EDB" w:rsidP="00CE4EDB">
      <w:pPr>
        <w:spacing w:line="233" w:lineRule="auto"/>
        <w:rPr>
          <w:rFonts w:eastAsia="Times New Roman" w:cs="Times New Roman"/>
          <w:b/>
          <w:sz w:val="20"/>
          <w:szCs w:val="20"/>
          <w:lang w:eastAsia="en-CA"/>
        </w:rPr>
      </w:pPr>
    </w:p>
    <w:p w:rsidR="00CE4EDB" w:rsidRPr="00CE4EDB" w:rsidRDefault="00CE4EDB" w:rsidP="00CE4EDB">
      <w:pPr>
        <w:spacing w:line="233" w:lineRule="auto"/>
        <w:rPr>
          <w:rFonts w:eastAsia="Times New Roman" w:cs="Times New Roman"/>
          <w:sz w:val="20"/>
          <w:szCs w:val="20"/>
          <w:lang w:eastAsia="en-CA"/>
        </w:rPr>
      </w:pPr>
      <w:r w:rsidRPr="00CE4EDB">
        <w:rPr>
          <w:rFonts w:eastAsia="Times New Roman" w:cs="Times New Roman"/>
          <w:sz w:val="20"/>
          <w:szCs w:val="20"/>
          <w:lang w:eastAsia="en-CA"/>
        </w:rPr>
        <w:t>The motion for an extension of time is granted and the motion for security for costs is dismissed.</w:t>
      </w:r>
    </w:p>
    <w:p w:rsidR="00CE4EDB" w:rsidRPr="00CE4EDB" w:rsidRDefault="00CE4EDB" w:rsidP="00CE4EDB">
      <w:pPr>
        <w:tabs>
          <w:tab w:val="left" w:pos="-1440"/>
          <w:tab w:val="left" w:pos="-720"/>
        </w:tabs>
        <w:jc w:val="both"/>
        <w:rPr>
          <w:rFonts w:eastAsia="Times New Roman" w:cs="Times New Roman"/>
          <w:sz w:val="20"/>
          <w:szCs w:val="20"/>
          <w:lang w:eastAsia="en-CA"/>
        </w:rPr>
      </w:pPr>
    </w:p>
    <w:p w:rsidR="00CE4EDB" w:rsidRPr="00CE4EDB" w:rsidRDefault="00173D9D" w:rsidP="00CE4ED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CE4EDB" w:rsidRPr="00CE4EDB" w:rsidRDefault="00CE4EDB" w:rsidP="00CE4EDB">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C49A7"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4D4927" w:rsidRDefault="00704433" w:rsidP="005F1ED8">
            <w:pPr>
              <w:rPr>
                <w:sz w:val="20"/>
                <w:szCs w:val="20"/>
                <w:lang w:val="fr-CA"/>
              </w:rPr>
            </w:pPr>
            <w:r w:rsidRPr="004D4927">
              <w:rPr>
                <w:sz w:val="20"/>
                <w:szCs w:val="20"/>
                <w:lang w:val="fr-CA"/>
              </w:rPr>
              <w:t>02</w:t>
            </w:r>
            <w:r w:rsidR="0086340B" w:rsidRPr="004D4927">
              <w:rPr>
                <w:sz w:val="20"/>
                <w:szCs w:val="20"/>
                <w:lang w:val="fr-CA"/>
              </w:rPr>
              <w:t>.</w:t>
            </w:r>
            <w:r w:rsidRPr="004D4927">
              <w:rPr>
                <w:sz w:val="20"/>
                <w:szCs w:val="20"/>
                <w:lang w:val="fr-CA"/>
              </w:rPr>
              <w:t>03</w:t>
            </w:r>
            <w:r w:rsidR="0086340B" w:rsidRPr="004D4927">
              <w:rPr>
                <w:sz w:val="20"/>
                <w:szCs w:val="20"/>
                <w:lang w:val="fr-CA"/>
              </w:rPr>
              <w:t>.201</w:t>
            </w:r>
            <w:r w:rsidRPr="004D4927">
              <w:rPr>
                <w:sz w:val="20"/>
                <w:szCs w:val="20"/>
                <w:lang w:val="fr-CA"/>
              </w:rPr>
              <w:t>5</w:t>
            </w:r>
          </w:p>
          <w:p w:rsidR="0086340B" w:rsidRPr="004D4927" w:rsidRDefault="0086340B" w:rsidP="005F1ED8">
            <w:pPr>
              <w:rPr>
                <w:sz w:val="20"/>
                <w:szCs w:val="20"/>
                <w:lang w:val="fr-CA"/>
              </w:rPr>
            </w:pPr>
          </w:p>
          <w:p w:rsidR="0086340B" w:rsidRPr="004D4927" w:rsidRDefault="00704433" w:rsidP="005F1ED8">
            <w:pPr>
              <w:rPr>
                <w:b/>
                <w:sz w:val="20"/>
                <w:szCs w:val="20"/>
                <w:lang w:val="fr-CA"/>
              </w:rPr>
            </w:pPr>
            <w:r w:rsidRPr="004D4927">
              <w:rPr>
                <w:b/>
                <w:sz w:val="20"/>
                <w:szCs w:val="20"/>
                <w:lang w:val="fr-CA"/>
              </w:rPr>
              <w:t>Rog</w:t>
            </w:r>
            <w:r w:rsidR="0086340B" w:rsidRPr="004D4927">
              <w:rPr>
                <w:b/>
                <w:sz w:val="20"/>
                <w:szCs w:val="20"/>
                <w:lang w:val="fr-CA"/>
              </w:rPr>
              <w:t>e</w:t>
            </w:r>
            <w:r w:rsidRPr="004D4927">
              <w:rPr>
                <w:b/>
                <w:sz w:val="20"/>
                <w:szCs w:val="20"/>
                <w:lang w:val="fr-CA"/>
              </w:rPr>
              <w:t>r</w:t>
            </w:r>
            <w:r w:rsidR="0086340B" w:rsidRPr="004D4927">
              <w:rPr>
                <w:b/>
                <w:sz w:val="20"/>
                <w:szCs w:val="20"/>
                <w:lang w:val="fr-CA"/>
              </w:rPr>
              <w:t>s</w:t>
            </w:r>
            <w:r w:rsidRPr="004D4927">
              <w:rPr>
                <w:b/>
                <w:sz w:val="20"/>
                <w:szCs w:val="20"/>
                <w:lang w:val="fr-CA"/>
              </w:rPr>
              <w:t xml:space="preserve"> </w:t>
            </w:r>
            <w:r w:rsidR="0086340B" w:rsidRPr="004D4927">
              <w:rPr>
                <w:b/>
                <w:sz w:val="20"/>
                <w:szCs w:val="20"/>
                <w:lang w:val="fr-CA"/>
              </w:rPr>
              <w:t>C</w:t>
            </w:r>
            <w:r w:rsidRPr="004D4927">
              <w:rPr>
                <w:b/>
                <w:sz w:val="20"/>
                <w:szCs w:val="20"/>
                <w:lang w:val="fr-CA"/>
              </w:rPr>
              <w:t>ommunic</w:t>
            </w:r>
            <w:r w:rsidR="0086340B" w:rsidRPr="004D4927">
              <w:rPr>
                <w:b/>
                <w:sz w:val="20"/>
                <w:szCs w:val="20"/>
                <w:lang w:val="fr-CA"/>
              </w:rPr>
              <w:t>at</w:t>
            </w:r>
            <w:r w:rsidRPr="004D4927">
              <w:rPr>
                <w:b/>
                <w:sz w:val="20"/>
                <w:szCs w:val="20"/>
                <w:lang w:val="fr-CA"/>
              </w:rPr>
              <w:t>i</w:t>
            </w:r>
            <w:r w:rsidR="0086340B" w:rsidRPr="004D4927">
              <w:rPr>
                <w:b/>
                <w:sz w:val="20"/>
                <w:szCs w:val="20"/>
                <w:lang w:val="fr-CA"/>
              </w:rPr>
              <w:t>on</w:t>
            </w:r>
            <w:r w:rsidRPr="004D4927">
              <w:rPr>
                <w:b/>
                <w:sz w:val="20"/>
                <w:szCs w:val="20"/>
                <w:lang w:val="fr-CA"/>
              </w:rPr>
              <w:t>s I</w:t>
            </w:r>
            <w:r w:rsidR="0086340B" w:rsidRPr="004D4927">
              <w:rPr>
                <w:b/>
                <w:sz w:val="20"/>
                <w:szCs w:val="20"/>
                <w:lang w:val="fr-CA"/>
              </w:rPr>
              <w:t>n</w:t>
            </w:r>
            <w:r w:rsidRPr="004D4927">
              <w:rPr>
                <w:b/>
                <w:sz w:val="20"/>
                <w:szCs w:val="20"/>
                <w:lang w:val="fr-CA"/>
              </w:rPr>
              <w:t>c</w:t>
            </w:r>
            <w:r w:rsidR="0086340B" w:rsidRPr="004D4927">
              <w:rPr>
                <w:b/>
                <w:sz w:val="20"/>
                <w:szCs w:val="20"/>
                <w:lang w:val="fr-CA"/>
              </w:rPr>
              <w:t>.</w:t>
            </w:r>
          </w:p>
          <w:p w:rsidR="0086340B" w:rsidRPr="004D4927" w:rsidRDefault="0086340B" w:rsidP="005F1ED8">
            <w:pPr>
              <w:rPr>
                <w:b/>
                <w:sz w:val="20"/>
                <w:szCs w:val="20"/>
                <w:lang w:val="fr-CA"/>
              </w:rPr>
            </w:pPr>
          </w:p>
          <w:p w:rsidR="0086340B" w:rsidRPr="004D4927" w:rsidRDefault="0086340B" w:rsidP="005F1ED8">
            <w:pPr>
              <w:rPr>
                <w:b/>
                <w:sz w:val="20"/>
                <w:szCs w:val="20"/>
                <w:lang w:val="fr-CA"/>
              </w:rPr>
            </w:pPr>
            <w:r w:rsidRPr="004D4927">
              <w:rPr>
                <w:b/>
                <w:sz w:val="20"/>
                <w:szCs w:val="20"/>
                <w:lang w:val="fr-CA"/>
              </w:rPr>
              <w:tab/>
              <w:t>v. (3</w:t>
            </w:r>
            <w:r w:rsidR="004D4927" w:rsidRPr="004D4927">
              <w:rPr>
                <w:b/>
                <w:sz w:val="20"/>
                <w:szCs w:val="20"/>
                <w:lang w:val="fr-CA"/>
              </w:rPr>
              <w:t>60</w:t>
            </w:r>
            <w:r w:rsidRPr="004D4927">
              <w:rPr>
                <w:b/>
                <w:sz w:val="20"/>
                <w:szCs w:val="20"/>
                <w:lang w:val="fr-CA"/>
              </w:rPr>
              <w:t>2</w:t>
            </w:r>
            <w:r w:rsidR="004D4927" w:rsidRPr="004D4927">
              <w:rPr>
                <w:b/>
                <w:sz w:val="20"/>
                <w:szCs w:val="20"/>
                <w:lang w:val="fr-CA"/>
              </w:rPr>
              <w:t>7</w:t>
            </w:r>
            <w:r w:rsidRPr="004D4927">
              <w:rPr>
                <w:b/>
                <w:sz w:val="20"/>
                <w:szCs w:val="20"/>
                <w:lang w:val="fr-CA"/>
              </w:rPr>
              <w:t>)</w:t>
            </w:r>
          </w:p>
          <w:p w:rsidR="0086340B" w:rsidRPr="004D4927" w:rsidRDefault="0086340B" w:rsidP="005F1ED8">
            <w:pPr>
              <w:rPr>
                <w:b/>
                <w:sz w:val="20"/>
                <w:szCs w:val="20"/>
                <w:lang w:val="fr-CA"/>
              </w:rPr>
            </w:pPr>
          </w:p>
          <w:p w:rsidR="0086340B" w:rsidRPr="004D4927" w:rsidRDefault="004D4927" w:rsidP="005F1ED8">
            <w:pPr>
              <w:rPr>
                <w:b/>
                <w:sz w:val="20"/>
                <w:szCs w:val="20"/>
              </w:rPr>
            </w:pPr>
            <w:r w:rsidRPr="004D4927">
              <w:rPr>
                <w:b/>
                <w:sz w:val="20"/>
                <w:szCs w:val="20"/>
                <w:lang w:val="fr-CA"/>
              </w:rPr>
              <w:t xml:space="preserve">Ville de </w:t>
            </w:r>
            <w:r w:rsidR="0086340B" w:rsidRPr="004D4927">
              <w:rPr>
                <w:b/>
                <w:sz w:val="20"/>
                <w:szCs w:val="20"/>
                <w:lang w:val="fr-CA"/>
              </w:rPr>
              <w:t>C</w:t>
            </w:r>
            <w:r w:rsidRPr="004D4927">
              <w:rPr>
                <w:b/>
                <w:sz w:val="20"/>
                <w:szCs w:val="20"/>
                <w:lang w:val="fr-CA"/>
              </w:rPr>
              <w:t>hâteaugu</w:t>
            </w:r>
            <w:r w:rsidR="0086340B" w:rsidRPr="004D4927">
              <w:rPr>
                <w:b/>
                <w:sz w:val="20"/>
                <w:szCs w:val="20"/>
                <w:lang w:val="fr-CA"/>
              </w:rPr>
              <w:t xml:space="preserve">ay et al. </w:t>
            </w:r>
            <w:r w:rsidR="0086340B" w:rsidRPr="004D4927">
              <w:rPr>
                <w:b/>
                <w:sz w:val="20"/>
                <w:szCs w:val="20"/>
              </w:rPr>
              <w:t>(</w:t>
            </w:r>
            <w:r w:rsidRPr="004D4927">
              <w:rPr>
                <w:b/>
                <w:sz w:val="20"/>
                <w:szCs w:val="20"/>
              </w:rPr>
              <w:t>Que</w:t>
            </w:r>
            <w:r w:rsidR="0086340B" w:rsidRPr="004D4927">
              <w:rPr>
                <w:b/>
                <w:sz w:val="20"/>
                <w:szCs w:val="20"/>
              </w:rPr>
              <w:t>.)</w:t>
            </w:r>
          </w:p>
          <w:p w:rsidR="0086340B" w:rsidRPr="004D4927" w:rsidRDefault="0086340B" w:rsidP="005F1ED8">
            <w:pPr>
              <w:rPr>
                <w:sz w:val="20"/>
                <w:szCs w:val="20"/>
              </w:rPr>
            </w:pPr>
          </w:p>
          <w:p w:rsidR="0086340B" w:rsidRPr="004D4927" w:rsidRDefault="0086340B" w:rsidP="005F1ED8">
            <w:pPr>
              <w:rPr>
                <w:sz w:val="20"/>
                <w:szCs w:val="20"/>
              </w:rPr>
            </w:pPr>
            <w:r w:rsidRPr="004D4927">
              <w:rPr>
                <w:sz w:val="20"/>
                <w:szCs w:val="20"/>
              </w:rPr>
              <w:t>(By Leave)</w:t>
            </w:r>
          </w:p>
          <w:p w:rsidR="0086340B" w:rsidRPr="004D4927" w:rsidRDefault="0086340B" w:rsidP="005F1ED8">
            <w:pPr>
              <w:rPr>
                <w:sz w:val="20"/>
                <w:szCs w:val="20"/>
              </w:rPr>
            </w:pPr>
          </w:p>
          <w:p w:rsidR="0086340B" w:rsidRPr="003B3977" w:rsidRDefault="00173D9D" w:rsidP="005F1ED8">
            <w:pPr>
              <w:rPr>
                <w:sz w:val="20"/>
                <w:szCs w:val="20"/>
                <w:lang w:val="fr-CA"/>
              </w:rPr>
            </w:pPr>
            <w:r>
              <w:rPr>
                <w:sz w:val="20"/>
                <w:szCs w:val="20"/>
                <w:lang w:val="fr-CA"/>
              </w:rPr>
              <w:pict>
                <v:rect id="_x0000_i1073"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4D4927" w:rsidRDefault="004D4927" w:rsidP="005F1ED8">
            <w:pPr>
              <w:rPr>
                <w:sz w:val="20"/>
                <w:szCs w:val="20"/>
              </w:rPr>
            </w:pPr>
            <w:r w:rsidRPr="004D4927">
              <w:rPr>
                <w:sz w:val="20"/>
                <w:szCs w:val="20"/>
              </w:rPr>
              <w:t>06</w:t>
            </w:r>
            <w:r w:rsidR="0086340B" w:rsidRPr="004D4927">
              <w:rPr>
                <w:sz w:val="20"/>
                <w:szCs w:val="20"/>
              </w:rPr>
              <w:t>.</w:t>
            </w:r>
            <w:r w:rsidRPr="004D4927">
              <w:rPr>
                <w:sz w:val="20"/>
                <w:szCs w:val="20"/>
              </w:rPr>
              <w:t>03</w:t>
            </w:r>
            <w:r w:rsidR="0086340B" w:rsidRPr="004D4927">
              <w:rPr>
                <w:sz w:val="20"/>
                <w:szCs w:val="20"/>
              </w:rPr>
              <w:t>.201</w:t>
            </w:r>
            <w:r w:rsidRPr="004D4927">
              <w:rPr>
                <w:sz w:val="20"/>
                <w:szCs w:val="20"/>
              </w:rPr>
              <w:t>5</w:t>
            </w:r>
          </w:p>
          <w:p w:rsidR="0086340B" w:rsidRPr="004D4927" w:rsidRDefault="0086340B" w:rsidP="005F1ED8">
            <w:pPr>
              <w:rPr>
                <w:sz w:val="20"/>
                <w:szCs w:val="20"/>
              </w:rPr>
            </w:pPr>
          </w:p>
          <w:p w:rsidR="0086340B" w:rsidRPr="004D4927" w:rsidRDefault="004D4927" w:rsidP="005F1ED8">
            <w:pPr>
              <w:rPr>
                <w:b/>
                <w:sz w:val="20"/>
                <w:szCs w:val="20"/>
              </w:rPr>
            </w:pPr>
            <w:r>
              <w:rPr>
                <w:b/>
                <w:sz w:val="20"/>
                <w:szCs w:val="20"/>
              </w:rPr>
              <w:t>H</w:t>
            </w:r>
            <w:r w:rsidRPr="004D4927">
              <w:rPr>
                <w:b/>
                <w:sz w:val="20"/>
                <w:szCs w:val="20"/>
              </w:rPr>
              <w:t xml:space="preserve">er </w:t>
            </w:r>
            <w:r>
              <w:rPr>
                <w:b/>
                <w:sz w:val="20"/>
                <w:szCs w:val="20"/>
              </w:rPr>
              <w:t>M</w:t>
            </w:r>
            <w:r w:rsidRPr="004D4927">
              <w:rPr>
                <w:b/>
                <w:sz w:val="20"/>
                <w:szCs w:val="20"/>
              </w:rPr>
              <w:t>a</w:t>
            </w:r>
            <w:r>
              <w:rPr>
                <w:b/>
                <w:sz w:val="20"/>
                <w:szCs w:val="20"/>
              </w:rPr>
              <w:t>jes</w:t>
            </w:r>
            <w:r w:rsidRPr="004D4927">
              <w:rPr>
                <w:b/>
                <w:sz w:val="20"/>
                <w:szCs w:val="20"/>
              </w:rPr>
              <w:t>t</w:t>
            </w:r>
            <w:r>
              <w:rPr>
                <w:b/>
                <w:sz w:val="20"/>
                <w:szCs w:val="20"/>
              </w:rPr>
              <w:t xml:space="preserve">y </w:t>
            </w:r>
            <w:r w:rsidRPr="004D4927">
              <w:rPr>
                <w:b/>
                <w:sz w:val="20"/>
                <w:szCs w:val="20"/>
              </w:rPr>
              <w:t>t</w:t>
            </w:r>
            <w:r>
              <w:rPr>
                <w:b/>
                <w:sz w:val="20"/>
                <w:szCs w:val="20"/>
              </w:rPr>
              <w:t>h</w:t>
            </w:r>
            <w:r w:rsidRPr="004D4927">
              <w:rPr>
                <w:b/>
                <w:sz w:val="20"/>
                <w:szCs w:val="20"/>
              </w:rPr>
              <w:t>e</w:t>
            </w:r>
            <w:r>
              <w:rPr>
                <w:b/>
                <w:sz w:val="20"/>
                <w:szCs w:val="20"/>
              </w:rPr>
              <w:t xml:space="preserve"> Quee</w:t>
            </w:r>
            <w:r w:rsidRPr="004D4927">
              <w:rPr>
                <w:b/>
                <w:sz w:val="20"/>
                <w:szCs w:val="20"/>
              </w:rPr>
              <w:t>n</w:t>
            </w:r>
          </w:p>
          <w:p w:rsidR="0086340B" w:rsidRPr="004D4927" w:rsidRDefault="0086340B" w:rsidP="005F1ED8">
            <w:pPr>
              <w:rPr>
                <w:b/>
                <w:sz w:val="20"/>
                <w:szCs w:val="20"/>
              </w:rPr>
            </w:pPr>
          </w:p>
          <w:p w:rsidR="0086340B" w:rsidRPr="004D4927" w:rsidRDefault="0086340B" w:rsidP="005F1ED8">
            <w:pPr>
              <w:rPr>
                <w:b/>
                <w:sz w:val="20"/>
                <w:szCs w:val="20"/>
              </w:rPr>
            </w:pPr>
            <w:r w:rsidRPr="004D4927">
              <w:rPr>
                <w:b/>
                <w:sz w:val="20"/>
                <w:szCs w:val="20"/>
              </w:rPr>
              <w:tab/>
            </w:r>
            <w:r w:rsidR="004D4927" w:rsidRPr="004D4927">
              <w:rPr>
                <w:b/>
                <w:sz w:val="20"/>
                <w:szCs w:val="20"/>
              </w:rPr>
              <w:t>v</w:t>
            </w:r>
            <w:r w:rsidRPr="004D4927">
              <w:rPr>
                <w:b/>
                <w:sz w:val="20"/>
                <w:szCs w:val="20"/>
              </w:rPr>
              <w:t>. (3</w:t>
            </w:r>
            <w:r w:rsidR="004D4927" w:rsidRPr="004D4927">
              <w:rPr>
                <w:b/>
                <w:sz w:val="20"/>
                <w:szCs w:val="20"/>
              </w:rPr>
              <w:t>61</w:t>
            </w:r>
            <w:r w:rsidR="004D4927">
              <w:rPr>
                <w:b/>
                <w:sz w:val="20"/>
                <w:szCs w:val="20"/>
              </w:rPr>
              <w:t>62</w:t>
            </w:r>
            <w:r w:rsidRPr="004D4927">
              <w:rPr>
                <w:b/>
                <w:sz w:val="20"/>
                <w:szCs w:val="20"/>
              </w:rPr>
              <w:t>)</w:t>
            </w:r>
          </w:p>
          <w:p w:rsidR="0086340B" w:rsidRPr="004D4927" w:rsidRDefault="0086340B" w:rsidP="005F1ED8">
            <w:pPr>
              <w:rPr>
                <w:b/>
                <w:sz w:val="20"/>
                <w:szCs w:val="20"/>
              </w:rPr>
            </w:pPr>
          </w:p>
          <w:p w:rsidR="0086340B" w:rsidRPr="004D4927" w:rsidRDefault="004D4927" w:rsidP="005F1ED8">
            <w:pPr>
              <w:rPr>
                <w:b/>
                <w:sz w:val="20"/>
                <w:szCs w:val="20"/>
              </w:rPr>
            </w:pPr>
            <w:r>
              <w:rPr>
                <w:b/>
                <w:sz w:val="20"/>
                <w:szCs w:val="20"/>
              </w:rPr>
              <w:t>Hamidreza S</w:t>
            </w:r>
            <w:r w:rsidRPr="004D4927">
              <w:rPr>
                <w:b/>
                <w:sz w:val="20"/>
                <w:szCs w:val="20"/>
              </w:rPr>
              <w:t>a</w:t>
            </w:r>
            <w:r>
              <w:rPr>
                <w:b/>
                <w:sz w:val="20"/>
                <w:szCs w:val="20"/>
              </w:rPr>
              <w:t>farzadeh-Markhali</w:t>
            </w:r>
            <w:r w:rsidRPr="004D4927">
              <w:rPr>
                <w:b/>
                <w:sz w:val="20"/>
                <w:szCs w:val="20"/>
              </w:rPr>
              <w:t xml:space="preserve"> </w:t>
            </w:r>
            <w:r w:rsidR="0086340B" w:rsidRPr="004D4927">
              <w:rPr>
                <w:b/>
                <w:sz w:val="20"/>
                <w:szCs w:val="20"/>
              </w:rPr>
              <w:t>(</w:t>
            </w:r>
            <w:r>
              <w:rPr>
                <w:b/>
                <w:sz w:val="20"/>
                <w:szCs w:val="20"/>
              </w:rPr>
              <w:t>Ont</w:t>
            </w:r>
            <w:r w:rsidRPr="004D4927">
              <w:rPr>
                <w:b/>
                <w:sz w:val="20"/>
                <w:szCs w:val="20"/>
              </w:rPr>
              <w:t>.</w:t>
            </w:r>
            <w:r w:rsidR="0086340B" w:rsidRPr="004D4927">
              <w:rPr>
                <w:b/>
                <w:sz w:val="20"/>
                <w:szCs w:val="20"/>
              </w:rPr>
              <w:t>)</w:t>
            </w:r>
          </w:p>
          <w:p w:rsidR="0086340B" w:rsidRPr="004D4927" w:rsidRDefault="0086340B" w:rsidP="005F1ED8">
            <w:pPr>
              <w:rPr>
                <w:sz w:val="20"/>
                <w:szCs w:val="20"/>
              </w:rPr>
            </w:pPr>
          </w:p>
          <w:p w:rsidR="0086340B" w:rsidRPr="003B3977" w:rsidRDefault="0086340B" w:rsidP="005F1ED8">
            <w:pPr>
              <w:rPr>
                <w:sz w:val="20"/>
                <w:szCs w:val="20"/>
              </w:rPr>
            </w:pPr>
            <w:r w:rsidRPr="003B3977">
              <w:rPr>
                <w:sz w:val="20"/>
                <w:szCs w:val="20"/>
              </w:rPr>
              <w:t>(</w:t>
            </w:r>
            <w:r w:rsidR="004D4927">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173D9D" w:rsidP="005F1ED8">
            <w:pPr>
              <w:rPr>
                <w:sz w:val="20"/>
                <w:szCs w:val="20"/>
              </w:rPr>
            </w:pPr>
            <w:r>
              <w:rPr>
                <w:sz w:val="20"/>
                <w:szCs w:val="20"/>
                <w:lang w:val="fr-CA"/>
              </w:rPr>
              <w:pict>
                <v:rect id="_x0000_i1074"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Pr="003B3977" w:rsidRDefault="004D4927" w:rsidP="005F1ED8">
            <w:pPr>
              <w:rPr>
                <w:sz w:val="20"/>
                <w:szCs w:val="20"/>
              </w:rPr>
            </w:pPr>
            <w:r>
              <w:rPr>
                <w:sz w:val="20"/>
                <w:szCs w:val="20"/>
              </w:rPr>
              <w:t>06</w:t>
            </w:r>
            <w:r w:rsidR="0086340B" w:rsidRPr="003B3977">
              <w:rPr>
                <w:sz w:val="20"/>
                <w:szCs w:val="20"/>
              </w:rPr>
              <w:t>.</w:t>
            </w:r>
            <w:r>
              <w:rPr>
                <w:sz w:val="20"/>
                <w:szCs w:val="20"/>
              </w:rPr>
              <w:t>03</w:t>
            </w:r>
            <w:r w:rsidR="0086340B" w:rsidRPr="003B3977">
              <w:rPr>
                <w:sz w:val="20"/>
                <w:szCs w:val="20"/>
              </w:rPr>
              <w:t>.201</w:t>
            </w:r>
            <w:r>
              <w:rPr>
                <w:sz w:val="20"/>
                <w:szCs w:val="20"/>
              </w:rPr>
              <w:t>5</w:t>
            </w:r>
          </w:p>
          <w:p w:rsidR="0086340B" w:rsidRPr="003B3977" w:rsidRDefault="0086340B" w:rsidP="005F1ED8">
            <w:pPr>
              <w:rPr>
                <w:sz w:val="20"/>
                <w:szCs w:val="20"/>
              </w:rPr>
            </w:pPr>
          </w:p>
          <w:p w:rsidR="004D4927" w:rsidRPr="004D4927" w:rsidRDefault="004D4927" w:rsidP="004D4927">
            <w:pPr>
              <w:rPr>
                <w:b/>
                <w:sz w:val="20"/>
                <w:szCs w:val="20"/>
              </w:rPr>
            </w:pPr>
            <w:r w:rsidRPr="004D4927">
              <w:rPr>
                <w:b/>
                <w:sz w:val="20"/>
                <w:szCs w:val="20"/>
              </w:rPr>
              <w:t>In the Matter of an Application for Warrants Pursuants to Sections 12 and 21 of the C</w:t>
            </w:r>
            <w:r>
              <w:rPr>
                <w:b/>
                <w:sz w:val="20"/>
                <w:szCs w:val="20"/>
              </w:rPr>
              <w:t>anadian Security Intelligence Service Act, R.S.C. 1985, c. C-23</w:t>
            </w:r>
          </w:p>
          <w:p w:rsidR="004D4927" w:rsidRPr="004D4927" w:rsidRDefault="004D4927" w:rsidP="004D4927">
            <w:pPr>
              <w:rPr>
                <w:b/>
                <w:sz w:val="20"/>
                <w:szCs w:val="20"/>
              </w:rPr>
            </w:pPr>
          </w:p>
          <w:p w:rsidR="004D4927" w:rsidRPr="004D4927" w:rsidRDefault="004D4927" w:rsidP="004D4927">
            <w:pPr>
              <w:rPr>
                <w:b/>
                <w:sz w:val="20"/>
                <w:szCs w:val="20"/>
              </w:rPr>
            </w:pPr>
            <w:r w:rsidRPr="004D4927">
              <w:rPr>
                <w:b/>
                <w:sz w:val="20"/>
                <w:szCs w:val="20"/>
              </w:rPr>
              <w:tab/>
              <w:t>v. (36107)</w:t>
            </w:r>
          </w:p>
          <w:p w:rsidR="004D4927" w:rsidRPr="004D4927" w:rsidRDefault="004D4927" w:rsidP="004D4927">
            <w:pPr>
              <w:rPr>
                <w:b/>
                <w:sz w:val="20"/>
                <w:szCs w:val="20"/>
              </w:rPr>
            </w:pPr>
          </w:p>
          <w:p w:rsidR="004D4927" w:rsidRPr="004D4927" w:rsidRDefault="004D4927" w:rsidP="004D4927">
            <w:pPr>
              <w:rPr>
                <w:b/>
                <w:sz w:val="20"/>
                <w:szCs w:val="20"/>
              </w:rPr>
            </w:pPr>
            <w:r w:rsidRPr="004D4927">
              <w:rPr>
                <w:b/>
                <w:sz w:val="20"/>
                <w:szCs w:val="20"/>
              </w:rPr>
              <w:t>Gordon Cameron (F.C.)</w:t>
            </w:r>
          </w:p>
          <w:p w:rsidR="004D4927" w:rsidRPr="004D4927" w:rsidRDefault="004D4927" w:rsidP="004D4927">
            <w:pPr>
              <w:rPr>
                <w:sz w:val="20"/>
                <w:szCs w:val="20"/>
              </w:rPr>
            </w:pPr>
          </w:p>
          <w:p w:rsidR="004D4927" w:rsidRPr="003B3977" w:rsidRDefault="004D4927" w:rsidP="004D4927">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173D9D" w:rsidP="005F1ED8">
            <w:pPr>
              <w:rPr>
                <w:sz w:val="20"/>
                <w:szCs w:val="20"/>
              </w:rPr>
            </w:pPr>
            <w:r>
              <w:rPr>
                <w:sz w:val="20"/>
                <w:szCs w:val="20"/>
                <w:lang w:val="fr-CA"/>
              </w:rPr>
              <w:pict>
                <v:rect id="_x0000_i1075"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rPr>
            </w:pPr>
            <w:r w:rsidRPr="00130B0E">
              <w:rPr>
                <w:sz w:val="20"/>
                <w:szCs w:val="20"/>
              </w:rPr>
              <w:t>2</w:t>
            </w:r>
            <w:r w:rsidR="004D4927">
              <w:rPr>
                <w:sz w:val="20"/>
                <w:szCs w:val="20"/>
              </w:rPr>
              <w:t>0</w:t>
            </w:r>
            <w:r w:rsidRPr="00130B0E">
              <w:rPr>
                <w:sz w:val="20"/>
                <w:szCs w:val="20"/>
              </w:rPr>
              <w:t>.0</w:t>
            </w:r>
            <w:r w:rsidR="004D4927">
              <w:rPr>
                <w:sz w:val="20"/>
                <w:szCs w:val="20"/>
              </w:rPr>
              <w:t>3</w:t>
            </w:r>
            <w:r w:rsidRPr="00130B0E">
              <w:rPr>
                <w:sz w:val="20"/>
                <w:szCs w:val="20"/>
              </w:rPr>
              <w:t>.201</w:t>
            </w:r>
            <w:r w:rsidR="004D4927">
              <w:rPr>
                <w:sz w:val="20"/>
                <w:szCs w:val="20"/>
              </w:rPr>
              <w:t>5</w:t>
            </w:r>
          </w:p>
          <w:p w:rsidR="0086340B" w:rsidRPr="00130B0E" w:rsidRDefault="0086340B" w:rsidP="005F1ED8">
            <w:pPr>
              <w:rPr>
                <w:sz w:val="20"/>
                <w:szCs w:val="20"/>
              </w:rPr>
            </w:pPr>
          </w:p>
          <w:p w:rsidR="0086340B" w:rsidRPr="00130B0E" w:rsidRDefault="004D4927" w:rsidP="005F1ED8">
            <w:pPr>
              <w:rPr>
                <w:b/>
                <w:sz w:val="20"/>
                <w:szCs w:val="20"/>
              </w:rPr>
            </w:pPr>
            <w:r>
              <w:rPr>
                <w:b/>
                <w:sz w:val="20"/>
                <w:szCs w:val="20"/>
              </w:rPr>
              <w:t>Derek Riesberry</w:t>
            </w:r>
          </w:p>
          <w:p w:rsidR="0086340B" w:rsidRPr="00130B0E" w:rsidRDefault="0086340B" w:rsidP="005F1ED8">
            <w:pPr>
              <w:rPr>
                <w:b/>
                <w:sz w:val="20"/>
                <w:szCs w:val="20"/>
              </w:rPr>
            </w:pPr>
          </w:p>
          <w:p w:rsidR="0086340B" w:rsidRPr="00130B0E" w:rsidRDefault="0086340B" w:rsidP="005F1ED8">
            <w:pPr>
              <w:rPr>
                <w:b/>
                <w:sz w:val="20"/>
                <w:szCs w:val="20"/>
              </w:rPr>
            </w:pPr>
            <w:r w:rsidRPr="00130B0E">
              <w:rPr>
                <w:b/>
                <w:sz w:val="20"/>
                <w:szCs w:val="20"/>
              </w:rPr>
              <w:tab/>
              <w:t>v. (36</w:t>
            </w:r>
            <w:r w:rsidR="004D4927">
              <w:rPr>
                <w:b/>
                <w:sz w:val="20"/>
                <w:szCs w:val="20"/>
              </w:rPr>
              <w:t>17</w:t>
            </w:r>
            <w:r w:rsidRPr="00130B0E">
              <w:rPr>
                <w:b/>
                <w:sz w:val="20"/>
                <w:szCs w:val="20"/>
              </w:rPr>
              <w:t>9)</w:t>
            </w:r>
          </w:p>
          <w:p w:rsidR="0086340B" w:rsidRPr="00130B0E" w:rsidRDefault="0086340B" w:rsidP="005F1ED8">
            <w:pPr>
              <w:rPr>
                <w:b/>
                <w:sz w:val="20"/>
                <w:szCs w:val="20"/>
              </w:rPr>
            </w:pPr>
          </w:p>
          <w:p w:rsidR="0086340B" w:rsidRPr="00130B0E" w:rsidRDefault="004D4927" w:rsidP="005F1ED8">
            <w:pPr>
              <w:rPr>
                <w:b/>
                <w:sz w:val="20"/>
                <w:szCs w:val="20"/>
              </w:rPr>
            </w:pPr>
            <w:r w:rsidRPr="00130B0E">
              <w:rPr>
                <w:b/>
                <w:sz w:val="20"/>
                <w:szCs w:val="20"/>
              </w:rPr>
              <w:t xml:space="preserve">Her Majesty the Queen </w:t>
            </w:r>
            <w:r w:rsidR="0086340B" w:rsidRPr="00130B0E">
              <w:rPr>
                <w:b/>
                <w:sz w:val="20"/>
                <w:szCs w:val="20"/>
              </w:rPr>
              <w:t>(</w:t>
            </w:r>
            <w:r>
              <w:rPr>
                <w:b/>
                <w:sz w:val="20"/>
                <w:szCs w:val="20"/>
              </w:rPr>
              <w:t>Ont.</w:t>
            </w:r>
            <w:r w:rsidR="0086340B" w:rsidRPr="00130B0E">
              <w:rPr>
                <w:b/>
                <w:sz w:val="20"/>
                <w:szCs w:val="20"/>
              </w:rPr>
              <w:t>)</w:t>
            </w:r>
          </w:p>
          <w:p w:rsidR="0086340B" w:rsidRPr="00130B0E" w:rsidRDefault="0086340B" w:rsidP="005F1ED8">
            <w:pPr>
              <w:rPr>
                <w:sz w:val="20"/>
                <w:szCs w:val="20"/>
              </w:rPr>
            </w:pPr>
          </w:p>
          <w:p w:rsidR="0086340B" w:rsidRPr="0085756D" w:rsidRDefault="0086340B" w:rsidP="005F1ED8">
            <w:pPr>
              <w:rPr>
                <w:sz w:val="20"/>
                <w:szCs w:val="20"/>
              </w:rPr>
            </w:pPr>
            <w:r w:rsidRPr="0085756D">
              <w:rPr>
                <w:sz w:val="20"/>
                <w:szCs w:val="20"/>
              </w:rPr>
              <w:t>(</w:t>
            </w:r>
            <w:r w:rsidR="004D4927">
              <w:rPr>
                <w:sz w:val="20"/>
                <w:szCs w:val="20"/>
              </w:rPr>
              <w:t xml:space="preserve">By Leave and </w:t>
            </w:r>
            <w:r w:rsidRPr="0085756D">
              <w:rPr>
                <w:sz w:val="20"/>
                <w:szCs w:val="20"/>
              </w:rPr>
              <w:t>As of Right)</w:t>
            </w:r>
          </w:p>
          <w:p w:rsidR="0086340B" w:rsidRPr="0085756D" w:rsidRDefault="0086340B" w:rsidP="005F1ED8">
            <w:pPr>
              <w:rPr>
                <w:sz w:val="20"/>
                <w:szCs w:val="20"/>
              </w:rPr>
            </w:pPr>
          </w:p>
          <w:p w:rsidR="0086340B" w:rsidRPr="00130B0E" w:rsidRDefault="00173D9D" w:rsidP="005F1ED8">
            <w:pPr>
              <w:rPr>
                <w:sz w:val="20"/>
                <w:szCs w:val="20"/>
                <w:lang w:val="fr-CA"/>
              </w:rPr>
            </w:pPr>
            <w:r>
              <w:rPr>
                <w:sz w:val="20"/>
                <w:szCs w:val="20"/>
                <w:lang w:val="fr-CA"/>
              </w:rPr>
              <w:pict>
                <v:rect id="_x0000_i1076"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87"/>
          <w:headerReference w:type="default" r:id="rId88"/>
          <w:footerReference w:type="even"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EC49A7"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D21A33" w:rsidRPr="00794936" w:rsidRDefault="00D21A33" w:rsidP="00D21A33">
      <w:pPr>
        <w:widowControl w:val="0"/>
        <w:rPr>
          <w:sz w:val="20"/>
          <w:szCs w:val="20"/>
        </w:rPr>
      </w:pPr>
      <w:r w:rsidRPr="00794936">
        <w:rPr>
          <w:sz w:val="20"/>
          <w:szCs w:val="20"/>
        </w:rPr>
        <w:t>19.03.2015</w:t>
      </w:r>
    </w:p>
    <w:p w:rsidR="00D21A33" w:rsidRPr="00794936" w:rsidRDefault="00D21A33" w:rsidP="00D21A33">
      <w:pPr>
        <w:widowControl w:val="0"/>
        <w:rPr>
          <w:sz w:val="20"/>
          <w:szCs w:val="20"/>
        </w:rPr>
      </w:pPr>
    </w:p>
    <w:p w:rsidR="00D21A33" w:rsidRPr="000819BB" w:rsidRDefault="00D21A33" w:rsidP="00D21A33">
      <w:pPr>
        <w:widowControl w:val="0"/>
        <w:ind w:left="720" w:hanging="720"/>
        <w:rPr>
          <w:sz w:val="20"/>
          <w:szCs w:val="20"/>
          <w:u w:val="single"/>
        </w:rPr>
      </w:pPr>
      <w:r w:rsidRPr="000819BB">
        <w:rPr>
          <w:sz w:val="20"/>
          <w:szCs w:val="20"/>
        </w:rPr>
        <w:t xml:space="preserve">Coram: </w:t>
      </w:r>
      <w:r w:rsidRPr="000819BB">
        <w:rPr>
          <w:sz w:val="20"/>
          <w:szCs w:val="20"/>
        </w:rPr>
        <w:tab/>
      </w:r>
      <w:r w:rsidRPr="000819BB">
        <w:rPr>
          <w:sz w:val="20"/>
          <w:szCs w:val="20"/>
          <w:u w:val="single"/>
        </w:rPr>
        <w:t>McLachlin C.J. and Abella, Rothstein, Moldaver, Karakatsanis, Gascon and Côté JJ.</w:t>
      </w:r>
    </w:p>
    <w:p w:rsidR="00D21A33" w:rsidRPr="00794936" w:rsidRDefault="00D21A33" w:rsidP="00D21A3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21A33" w:rsidRPr="00794936" w:rsidTr="00375123">
        <w:tc>
          <w:tcPr>
            <w:tcW w:w="4380" w:type="dxa"/>
            <w:tcMar>
              <w:left w:w="0" w:type="dxa"/>
              <w:right w:w="0" w:type="dxa"/>
            </w:tcMar>
          </w:tcPr>
          <w:p w:rsidR="00D21A33" w:rsidRDefault="00D21A33" w:rsidP="00375123">
            <w:pPr>
              <w:widowControl w:val="0"/>
              <w:jc w:val="both"/>
              <w:rPr>
                <w:b/>
                <w:iCs/>
                <w:sz w:val="20"/>
                <w:szCs w:val="20"/>
              </w:rPr>
            </w:pPr>
            <w:r w:rsidRPr="0092556A">
              <w:rPr>
                <w:b/>
                <w:iCs/>
                <w:sz w:val="20"/>
                <w:szCs w:val="20"/>
              </w:rPr>
              <w:t xml:space="preserve">Savdip Sanghera </w:t>
            </w:r>
          </w:p>
          <w:p w:rsidR="00D21A33" w:rsidRDefault="00D21A33" w:rsidP="00375123">
            <w:pPr>
              <w:widowControl w:val="0"/>
              <w:jc w:val="both"/>
              <w:rPr>
                <w:b/>
                <w:iCs/>
                <w:sz w:val="20"/>
                <w:szCs w:val="20"/>
              </w:rPr>
            </w:pPr>
          </w:p>
          <w:p w:rsidR="00D21A33" w:rsidRDefault="00D21A33" w:rsidP="00375123">
            <w:pPr>
              <w:widowControl w:val="0"/>
              <w:jc w:val="both"/>
              <w:rPr>
                <w:b/>
                <w:iCs/>
                <w:sz w:val="20"/>
                <w:szCs w:val="20"/>
              </w:rPr>
            </w:pPr>
            <w:r>
              <w:rPr>
                <w:b/>
                <w:iCs/>
                <w:sz w:val="20"/>
                <w:szCs w:val="20"/>
              </w:rPr>
              <w:tab/>
            </w:r>
            <w:r w:rsidRPr="0092556A">
              <w:rPr>
                <w:b/>
                <w:iCs/>
                <w:sz w:val="20"/>
                <w:szCs w:val="20"/>
              </w:rPr>
              <w:t xml:space="preserve">v. </w:t>
            </w:r>
            <w:r w:rsidRPr="00106318">
              <w:rPr>
                <w:sz w:val="20"/>
                <w:szCs w:val="20"/>
              </w:rPr>
              <w:t>(</w:t>
            </w:r>
            <w:hyperlink r:id="rId93" w:history="1">
              <w:r w:rsidRPr="00106318">
                <w:rPr>
                  <w:rStyle w:val="Hyperlink"/>
                  <w:sz w:val="20"/>
                  <w:szCs w:val="20"/>
                </w:rPr>
                <w:t>36017</w:t>
              </w:r>
            </w:hyperlink>
            <w:r w:rsidRPr="00106318">
              <w:rPr>
                <w:sz w:val="20"/>
                <w:szCs w:val="20"/>
              </w:rPr>
              <w:t>)</w:t>
            </w:r>
          </w:p>
          <w:p w:rsidR="00D21A33" w:rsidRDefault="00D21A33" w:rsidP="00375123">
            <w:pPr>
              <w:widowControl w:val="0"/>
              <w:jc w:val="both"/>
              <w:rPr>
                <w:b/>
                <w:iCs/>
                <w:sz w:val="20"/>
                <w:szCs w:val="20"/>
              </w:rPr>
            </w:pPr>
          </w:p>
          <w:p w:rsidR="00D21A33" w:rsidRDefault="00D21A33" w:rsidP="00375123">
            <w:pPr>
              <w:widowControl w:val="0"/>
              <w:jc w:val="both"/>
              <w:rPr>
                <w:b/>
                <w:sz w:val="20"/>
                <w:szCs w:val="20"/>
              </w:rPr>
            </w:pPr>
            <w:r w:rsidRPr="0092556A">
              <w:rPr>
                <w:b/>
                <w:iCs/>
                <w:sz w:val="20"/>
                <w:szCs w:val="20"/>
              </w:rPr>
              <w:t xml:space="preserve">Her Majesty the Queen </w:t>
            </w:r>
            <w:r w:rsidRPr="00106318">
              <w:rPr>
                <w:b/>
                <w:sz w:val="20"/>
                <w:szCs w:val="20"/>
              </w:rPr>
              <w:t xml:space="preserve">(B.C.) (Criminal) </w:t>
            </w:r>
          </w:p>
          <w:p w:rsidR="00D21A33" w:rsidRPr="00794936" w:rsidRDefault="00D21A33" w:rsidP="00375123">
            <w:pPr>
              <w:widowControl w:val="0"/>
              <w:jc w:val="both"/>
              <w:rPr>
                <w:sz w:val="20"/>
                <w:szCs w:val="20"/>
              </w:rPr>
            </w:pPr>
            <w:r w:rsidRPr="00106318">
              <w:rPr>
                <w:b/>
                <w:sz w:val="20"/>
                <w:szCs w:val="20"/>
              </w:rPr>
              <w:t>(As of Right)</w:t>
            </w:r>
          </w:p>
        </w:tc>
        <w:tc>
          <w:tcPr>
            <w:tcW w:w="720" w:type="dxa"/>
            <w:tcMar>
              <w:left w:w="0" w:type="dxa"/>
              <w:right w:w="0" w:type="dxa"/>
            </w:tcMar>
          </w:tcPr>
          <w:p w:rsidR="00D21A33" w:rsidRPr="00794936" w:rsidRDefault="00D21A33" w:rsidP="00375123">
            <w:pPr>
              <w:widowControl w:val="0"/>
              <w:jc w:val="center"/>
              <w:rPr>
                <w:sz w:val="20"/>
                <w:szCs w:val="20"/>
              </w:rPr>
            </w:pPr>
          </w:p>
        </w:tc>
        <w:tc>
          <w:tcPr>
            <w:tcW w:w="4380" w:type="dxa"/>
            <w:tcMar>
              <w:left w:w="0" w:type="dxa"/>
              <w:right w:w="0" w:type="dxa"/>
            </w:tcMar>
          </w:tcPr>
          <w:p w:rsidR="00D21A33" w:rsidRDefault="00D21A33" w:rsidP="00375123">
            <w:pPr>
              <w:tabs>
                <w:tab w:val="left" w:pos="-2970"/>
              </w:tabs>
              <w:jc w:val="both"/>
              <w:rPr>
                <w:sz w:val="20"/>
                <w:szCs w:val="20"/>
                <w:lang w:val="en-US"/>
              </w:rPr>
            </w:pPr>
            <w:r w:rsidRPr="00C24AE1">
              <w:rPr>
                <w:sz w:val="20"/>
                <w:szCs w:val="20"/>
                <w:lang w:val="en-US"/>
              </w:rPr>
              <w:t>Colleen E. Elden</w:t>
            </w:r>
            <w:r>
              <w:rPr>
                <w:sz w:val="20"/>
                <w:szCs w:val="20"/>
                <w:lang w:val="en-US"/>
              </w:rPr>
              <w:t xml:space="preserve"> f</w:t>
            </w:r>
            <w:r w:rsidRPr="00C24AE1">
              <w:rPr>
                <w:sz w:val="20"/>
                <w:szCs w:val="20"/>
                <w:lang w:val="en-US"/>
              </w:rPr>
              <w:t xml:space="preserve">or the </w:t>
            </w:r>
            <w:r>
              <w:rPr>
                <w:sz w:val="20"/>
                <w:szCs w:val="20"/>
                <w:lang w:val="en-US"/>
              </w:rPr>
              <w:t>a</w:t>
            </w:r>
            <w:r w:rsidRPr="00C24AE1">
              <w:rPr>
                <w:sz w:val="20"/>
                <w:szCs w:val="20"/>
                <w:lang w:val="en-US"/>
              </w:rPr>
              <w:t>ppellant</w:t>
            </w:r>
            <w:r>
              <w:rPr>
                <w:sz w:val="20"/>
                <w:szCs w:val="20"/>
                <w:lang w:val="en-US"/>
              </w:rPr>
              <w:t>.</w:t>
            </w:r>
          </w:p>
          <w:p w:rsidR="00D21A33" w:rsidRPr="00C24AE1" w:rsidRDefault="00D21A33" w:rsidP="00375123">
            <w:pPr>
              <w:tabs>
                <w:tab w:val="left" w:pos="-2970"/>
              </w:tabs>
              <w:jc w:val="both"/>
              <w:rPr>
                <w:sz w:val="20"/>
                <w:szCs w:val="20"/>
                <w:lang w:val="en-US"/>
              </w:rPr>
            </w:pPr>
          </w:p>
          <w:p w:rsidR="00D21A33" w:rsidRPr="00794936" w:rsidRDefault="00D21A33" w:rsidP="00375123">
            <w:pPr>
              <w:widowControl w:val="0"/>
              <w:jc w:val="both"/>
              <w:rPr>
                <w:sz w:val="20"/>
                <w:szCs w:val="20"/>
              </w:rPr>
            </w:pPr>
            <w:r w:rsidRPr="00C24AE1">
              <w:rPr>
                <w:sz w:val="20"/>
                <w:szCs w:val="20"/>
                <w:lang w:val="en-US"/>
              </w:rPr>
              <w:t>Christie Lusk</w:t>
            </w:r>
            <w:r>
              <w:rPr>
                <w:sz w:val="20"/>
                <w:szCs w:val="20"/>
                <w:lang w:val="en-US"/>
              </w:rPr>
              <w:t xml:space="preserve"> and </w:t>
            </w:r>
            <w:r w:rsidRPr="00C24AE1">
              <w:rPr>
                <w:sz w:val="20"/>
                <w:szCs w:val="20"/>
                <w:lang w:val="en-US"/>
              </w:rPr>
              <w:t>John Gordon, Q.C.</w:t>
            </w:r>
            <w:r>
              <w:rPr>
                <w:sz w:val="20"/>
                <w:szCs w:val="20"/>
                <w:lang w:val="en-US"/>
              </w:rPr>
              <w:t xml:space="preserve"> f</w:t>
            </w:r>
            <w:r w:rsidRPr="00C24AE1">
              <w:rPr>
                <w:sz w:val="20"/>
                <w:szCs w:val="20"/>
                <w:lang w:val="en-US"/>
              </w:rPr>
              <w:t xml:space="preserve">or the </w:t>
            </w:r>
            <w:r>
              <w:rPr>
                <w:sz w:val="20"/>
                <w:szCs w:val="20"/>
                <w:lang w:val="en-US"/>
              </w:rPr>
              <w:t>r</w:t>
            </w:r>
            <w:r w:rsidRPr="00C24AE1">
              <w:rPr>
                <w:sz w:val="20"/>
                <w:szCs w:val="20"/>
                <w:lang w:val="en-US"/>
              </w:rPr>
              <w:t>espondent</w:t>
            </w:r>
            <w:r>
              <w:rPr>
                <w:sz w:val="20"/>
                <w:szCs w:val="20"/>
                <w:lang w:val="en-US"/>
              </w:rPr>
              <w:t>.</w:t>
            </w:r>
          </w:p>
        </w:tc>
      </w:tr>
    </w:tbl>
    <w:p w:rsidR="00D21A33" w:rsidRDefault="00D21A33" w:rsidP="00D21A33">
      <w:pPr>
        <w:widowControl w:val="0"/>
        <w:rPr>
          <w:sz w:val="20"/>
          <w:szCs w:val="20"/>
        </w:rPr>
      </w:pPr>
    </w:p>
    <w:p w:rsidR="00D21A33" w:rsidRPr="00BD381A" w:rsidRDefault="00D21A33" w:rsidP="00D21A33">
      <w:pPr>
        <w:rPr>
          <w:b/>
          <w:bCs/>
          <w:sz w:val="20"/>
          <w:szCs w:val="20"/>
        </w:rPr>
      </w:pPr>
      <w:r w:rsidRPr="00BD381A">
        <w:rPr>
          <w:b/>
          <w:bCs/>
          <w:sz w:val="20"/>
          <w:szCs w:val="20"/>
        </w:rPr>
        <w:t>2015 SCC 13 / 2015 CSC 13</w:t>
      </w:r>
    </w:p>
    <w:p w:rsidR="00D21A33" w:rsidRPr="00794936" w:rsidRDefault="00D21A33" w:rsidP="00D21A33">
      <w:pPr>
        <w:widowControl w:val="0"/>
        <w:rPr>
          <w:sz w:val="20"/>
          <w:szCs w:val="20"/>
        </w:rPr>
      </w:pPr>
    </w:p>
    <w:p w:rsidR="00D21A33" w:rsidRPr="0085476B" w:rsidRDefault="00D21A33" w:rsidP="00D21A33">
      <w:pPr>
        <w:widowControl w:val="0"/>
        <w:rPr>
          <w:sz w:val="20"/>
          <w:szCs w:val="20"/>
        </w:rPr>
      </w:pPr>
      <w:r>
        <w:rPr>
          <w:b/>
          <w:sz w:val="20"/>
          <w:szCs w:val="20"/>
        </w:rPr>
        <w:t>DISMISS</w:t>
      </w:r>
      <w:r w:rsidRPr="0085476B">
        <w:rPr>
          <w:b/>
          <w:sz w:val="20"/>
          <w:szCs w:val="20"/>
        </w:rPr>
        <w:t xml:space="preserve">ED / </w:t>
      </w:r>
      <w:r>
        <w:rPr>
          <w:b/>
          <w:sz w:val="20"/>
          <w:szCs w:val="20"/>
        </w:rPr>
        <w:t>R</w:t>
      </w:r>
      <w:r w:rsidRPr="0085476B">
        <w:rPr>
          <w:b/>
          <w:sz w:val="20"/>
          <w:szCs w:val="20"/>
          <w:lang w:val="fr-CA"/>
        </w:rPr>
        <w:t>E</w:t>
      </w:r>
      <w:r>
        <w:rPr>
          <w:b/>
          <w:sz w:val="20"/>
          <w:szCs w:val="20"/>
          <w:lang w:val="fr-CA"/>
        </w:rPr>
        <w:t>JETÉE</w:t>
      </w:r>
    </w:p>
    <w:p w:rsidR="00D21A33" w:rsidRDefault="00D21A33" w:rsidP="00D21A3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21A33" w:rsidRPr="00EC49A7" w:rsidTr="00375123">
        <w:tc>
          <w:tcPr>
            <w:tcW w:w="4380" w:type="dxa"/>
            <w:tcMar>
              <w:left w:w="0" w:type="dxa"/>
              <w:right w:w="0" w:type="dxa"/>
            </w:tcMar>
          </w:tcPr>
          <w:p w:rsidR="00D21A33" w:rsidRPr="00CC4D84" w:rsidRDefault="00D21A33" w:rsidP="00375123">
            <w:pPr>
              <w:widowControl w:val="0"/>
              <w:jc w:val="both"/>
              <w:rPr>
                <w:b/>
                <w:sz w:val="20"/>
                <w:szCs w:val="20"/>
                <w:u w:val="single"/>
              </w:rPr>
            </w:pPr>
            <w:r w:rsidRPr="00CC4D84">
              <w:rPr>
                <w:b/>
                <w:sz w:val="20"/>
                <w:szCs w:val="20"/>
                <w:u w:val="single"/>
              </w:rPr>
              <w:t>Nature of the case:</w:t>
            </w:r>
          </w:p>
          <w:p w:rsidR="00D21A33" w:rsidRPr="001A663B" w:rsidRDefault="00D21A33" w:rsidP="00375123">
            <w:pPr>
              <w:widowControl w:val="0"/>
              <w:jc w:val="both"/>
              <w:rPr>
                <w:b/>
                <w:sz w:val="20"/>
                <w:szCs w:val="20"/>
              </w:rPr>
            </w:pPr>
          </w:p>
          <w:p w:rsidR="00D21A33" w:rsidRPr="00C1697B" w:rsidRDefault="00D21A33" w:rsidP="00375123">
            <w:pPr>
              <w:widowControl w:val="0"/>
              <w:jc w:val="both"/>
              <w:rPr>
                <w:b/>
                <w:sz w:val="20"/>
                <w:szCs w:val="20"/>
              </w:rPr>
            </w:pPr>
            <w:r w:rsidRPr="00052A5C">
              <w:rPr>
                <w:i/>
                <w:sz w:val="20"/>
                <w:szCs w:val="20"/>
              </w:rPr>
              <w:t>Charter of rights</w:t>
            </w:r>
            <w:r w:rsidRPr="00052A5C">
              <w:rPr>
                <w:sz w:val="20"/>
                <w:szCs w:val="20"/>
              </w:rPr>
              <w:t xml:space="preserve"> - Right to be tried within a reasonable time - Whether the trial judge erred in concluding that the Crown was not responsible for the delay caused by the direct indictment - Whether the majority of the Court of Appeal erred in concluding that the trial judge failed to attribute sufficient delay to the appellant - Whether a stay of proceedings should be granted pursuant to s. 24(1) of the </w:t>
            </w:r>
            <w:r w:rsidRPr="00052A5C">
              <w:rPr>
                <w:i/>
                <w:sz w:val="20"/>
                <w:szCs w:val="20"/>
              </w:rPr>
              <w:t>Charter</w:t>
            </w:r>
            <w:r w:rsidRPr="00052A5C">
              <w:rPr>
                <w:sz w:val="20"/>
                <w:szCs w:val="20"/>
              </w:rPr>
              <w:t>.</w:t>
            </w:r>
          </w:p>
        </w:tc>
        <w:tc>
          <w:tcPr>
            <w:tcW w:w="720" w:type="dxa"/>
            <w:tcMar>
              <w:left w:w="0" w:type="dxa"/>
              <w:right w:w="0" w:type="dxa"/>
            </w:tcMar>
          </w:tcPr>
          <w:p w:rsidR="00D21A33" w:rsidRPr="00C1697B" w:rsidRDefault="00D21A33" w:rsidP="00375123">
            <w:pPr>
              <w:widowControl w:val="0"/>
              <w:jc w:val="center"/>
              <w:rPr>
                <w:sz w:val="20"/>
                <w:szCs w:val="20"/>
              </w:rPr>
            </w:pPr>
          </w:p>
        </w:tc>
        <w:tc>
          <w:tcPr>
            <w:tcW w:w="4380" w:type="dxa"/>
            <w:tcMar>
              <w:left w:w="0" w:type="dxa"/>
              <w:right w:w="0" w:type="dxa"/>
            </w:tcMar>
          </w:tcPr>
          <w:p w:rsidR="00D21A33" w:rsidRPr="00CC4D84" w:rsidRDefault="00D21A33" w:rsidP="00375123">
            <w:pPr>
              <w:widowControl w:val="0"/>
              <w:jc w:val="both"/>
              <w:rPr>
                <w:b/>
                <w:sz w:val="20"/>
                <w:szCs w:val="20"/>
                <w:u w:val="single"/>
                <w:lang w:val="fr-CA"/>
              </w:rPr>
            </w:pPr>
            <w:r w:rsidRPr="00CC4D84">
              <w:rPr>
                <w:b/>
                <w:sz w:val="20"/>
                <w:szCs w:val="20"/>
                <w:u w:val="single"/>
                <w:lang w:val="fr-CA"/>
              </w:rPr>
              <w:t>Nature de la cause :</w:t>
            </w:r>
          </w:p>
          <w:p w:rsidR="00D21A33" w:rsidRPr="00C1697B" w:rsidRDefault="00D21A33" w:rsidP="00375123">
            <w:pPr>
              <w:widowControl w:val="0"/>
              <w:jc w:val="both"/>
              <w:rPr>
                <w:sz w:val="20"/>
                <w:szCs w:val="20"/>
                <w:lang w:val="fr-CA"/>
              </w:rPr>
            </w:pPr>
          </w:p>
          <w:p w:rsidR="00D21A33" w:rsidRPr="00C1697B" w:rsidRDefault="00D21A33" w:rsidP="00375123">
            <w:pPr>
              <w:widowControl w:val="0"/>
              <w:jc w:val="both"/>
              <w:rPr>
                <w:sz w:val="20"/>
                <w:szCs w:val="20"/>
                <w:lang w:val="fr-CA"/>
              </w:rPr>
            </w:pPr>
            <w:r w:rsidRPr="00864C4C">
              <w:rPr>
                <w:i/>
                <w:sz w:val="20"/>
                <w:szCs w:val="20"/>
                <w:lang w:val="fr-CA"/>
              </w:rPr>
              <w:t xml:space="preserve">Charte des droits - </w:t>
            </w:r>
            <w:r w:rsidRPr="00864C4C">
              <w:rPr>
                <w:sz w:val="20"/>
                <w:szCs w:val="20"/>
                <w:lang w:val="fr-CA"/>
              </w:rPr>
              <w:t xml:space="preserve">Droit d’être jugé dans un délai raisonnable - La juge du procès a-t-elle eu tort de conclure que le ministère public n’était pas responsable du délai causé par la mise en accusation directe? - Les juges majoritaires de la Cour d’appel ont-ils eu tort de conclure que la juge du procès avait omis d’attribuer un délai suffisant à l’appelant? - L’arrêt des procédures devrait-il être accordé en application du par. 24(1) de la </w:t>
            </w:r>
            <w:r w:rsidRPr="00864C4C">
              <w:rPr>
                <w:i/>
                <w:sz w:val="20"/>
                <w:szCs w:val="20"/>
                <w:lang w:val="fr-CA"/>
              </w:rPr>
              <w:t>Charte</w:t>
            </w:r>
            <w:r w:rsidRPr="00864C4C">
              <w:rPr>
                <w:sz w:val="20"/>
                <w:szCs w:val="20"/>
                <w:lang w:val="fr-CA"/>
              </w:rPr>
              <w:t>?</w:t>
            </w:r>
          </w:p>
        </w:tc>
      </w:tr>
    </w:tbl>
    <w:p w:rsidR="00D21A33" w:rsidRDefault="00D21A33" w:rsidP="00D21A33">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21A33" w:rsidRPr="002C70B1" w:rsidTr="00375123">
        <w:tc>
          <w:tcPr>
            <w:tcW w:w="4380" w:type="dxa"/>
            <w:tcMar>
              <w:left w:w="0" w:type="dxa"/>
              <w:right w:w="0" w:type="dxa"/>
            </w:tcMar>
          </w:tcPr>
          <w:p w:rsidR="00D21A33" w:rsidRPr="00CC4D84" w:rsidRDefault="00D21A33" w:rsidP="00375123">
            <w:pPr>
              <w:widowControl w:val="0"/>
              <w:jc w:val="both"/>
              <w:rPr>
                <w:b/>
                <w:sz w:val="20"/>
                <w:szCs w:val="20"/>
                <w:u w:val="single"/>
              </w:rPr>
            </w:pPr>
            <w:r>
              <w:rPr>
                <w:b/>
                <w:sz w:val="20"/>
                <w:szCs w:val="20"/>
                <w:u w:val="single"/>
              </w:rPr>
              <w:t>JUDGMENT</w:t>
            </w:r>
            <w:r w:rsidRPr="00CC4D84">
              <w:rPr>
                <w:b/>
                <w:sz w:val="20"/>
                <w:szCs w:val="20"/>
                <w:u w:val="single"/>
              </w:rPr>
              <w:t>:</w:t>
            </w:r>
          </w:p>
          <w:p w:rsidR="00D21A33" w:rsidRPr="001A663B" w:rsidRDefault="00D21A33" w:rsidP="00375123">
            <w:pPr>
              <w:widowControl w:val="0"/>
              <w:jc w:val="both"/>
              <w:rPr>
                <w:b/>
                <w:sz w:val="20"/>
                <w:szCs w:val="20"/>
              </w:rPr>
            </w:pPr>
          </w:p>
          <w:p w:rsidR="00D21A33" w:rsidRPr="00DE307B" w:rsidRDefault="00D21A33" w:rsidP="00D21A33">
            <w:pPr>
              <w:jc w:val="both"/>
              <w:rPr>
                <w:sz w:val="20"/>
                <w:szCs w:val="20"/>
              </w:rPr>
            </w:pPr>
            <w:r w:rsidRPr="00DE307B">
              <w:rPr>
                <w:sz w:val="20"/>
                <w:szCs w:val="20"/>
              </w:rPr>
              <w:t xml:space="preserve">The appeal from the judgment of the Court of Appeal for British Columbia (Vancouver), Number CA040012, 2014 BCCA 249, dated June 26, 2014, was heard on March 19, 2015 and the Court on that day delivered the following judgment orally: </w:t>
            </w:r>
          </w:p>
          <w:p w:rsidR="00D21A33" w:rsidRPr="00DE307B" w:rsidRDefault="00D21A33" w:rsidP="00D21A33">
            <w:pPr>
              <w:jc w:val="both"/>
              <w:rPr>
                <w:sz w:val="20"/>
                <w:szCs w:val="20"/>
              </w:rPr>
            </w:pPr>
          </w:p>
          <w:p w:rsidR="00D21A33" w:rsidRPr="00DE307B" w:rsidRDefault="00D21A33" w:rsidP="00D21A33">
            <w:pPr>
              <w:jc w:val="both"/>
              <w:rPr>
                <w:smallCaps/>
                <w:sz w:val="20"/>
                <w:szCs w:val="20"/>
              </w:rPr>
            </w:pPr>
          </w:p>
          <w:p w:rsidR="00D21A33" w:rsidRPr="00DE307B" w:rsidRDefault="00D21A33" w:rsidP="00D21A33">
            <w:pPr>
              <w:jc w:val="both"/>
              <w:rPr>
                <w:sz w:val="20"/>
                <w:szCs w:val="20"/>
              </w:rPr>
            </w:pPr>
            <w:r w:rsidRPr="00DE307B">
              <w:rPr>
                <w:smallCaps/>
                <w:sz w:val="20"/>
                <w:szCs w:val="20"/>
              </w:rPr>
              <w:t>The Chief Justice</w:t>
            </w:r>
            <w:r w:rsidRPr="00DE307B">
              <w:rPr>
                <w:sz w:val="20"/>
                <w:szCs w:val="20"/>
              </w:rPr>
              <w:t xml:space="preserve"> </w:t>
            </w:r>
            <w:r w:rsidRPr="00DE307B">
              <w:rPr>
                <w:rFonts w:cs="Times New Roman"/>
                <w:sz w:val="20"/>
                <w:szCs w:val="20"/>
              </w:rPr>
              <w:t>—</w:t>
            </w:r>
            <w:r w:rsidRPr="00DE307B">
              <w:rPr>
                <w:sz w:val="20"/>
                <w:szCs w:val="20"/>
              </w:rPr>
              <w:t xml:space="preserve"> This is an appeal as of right based on the dissenting view of Bennett J.A. of the British Columbia Court of Appeal that the five-month delay caused by the Crown’s preferment of a direct indictment, which was not considered by the trial judge, established an unreasonable delay in violation of s. 11(</w:t>
            </w:r>
            <w:r w:rsidRPr="00DE307B">
              <w:rPr>
                <w:i/>
                <w:sz w:val="20"/>
                <w:szCs w:val="20"/>
              </w:rPr>
              <w:t>b</w:t>
            </w:r>
            <w:r w:rsidRPr="00DE307B">
              <w:rPr>
                <w:sz w:val="20"/>
                <w:szCs w:val="20"/>
              </w:rPr>
              <w:t xml:space="preserve">) of the </w:t>
            </w:r>
            <w:r w:rsidRPr="00DE307B">
              <w:rPr>
                <w:i/>
                <w:sz w:val="20"/>
                <w:szCs w:val="20"/>
              </w:rPr>
              <w:t>Charter</w:t>
            </w:r>
            <w:r w:rsidRPr="00DE307B">
              <w:rPr>
                <w:sz w:val="20"/>
                <w:szCs w:val="20"/>
              </w:rPr>
              <w:t>.</w:t>
            </w:r>
          </w:p>
          <w:p w:rsidR="00D21A33" w:rsidRPr="00DE307B" w:rsidRDefault="00D21A33" w:rsidP="00D21A33">
            <w:pPr>
              <w:jc w:val="both"/>
              <w:rPr>
                <w:sz w:val="20"/>
                <w:szCs w:val="20"/>
              </w:rPr>
            </w:pPr>
          </w:p>
          <w:p w:rsidR="00D21A33" w:rsidRPr="00DE307B" w:rsidRDefault="00D21A33" w:rsidP="00D21A33">
            <w:pPr>
              <w:jc w:val="both"/>
              <w:rPr>
                <w:sz w:val="20"/>
                <w:szCs w:val="20"/>
              </w:rPr>
            </w:pPr>
          </w:p>
          <w:p w:rsidR="00D21A33" w:rsidRPr="00DE307B" w:rsidRDefault="00D21A33" w:rsidP="00D21A33">
            <w:pPr>
              <w:jc w:val="both"/>
              <w:rPr>
                <w:sz w:val="20"/>
                <w:szCs w:val="20"/>
              </w:rPr>
            </w:pPr>
          </w:p>
          <w:p w:rsidR="00D21A33" w:rsidRPr="00DE307B" w:rsidRDefault="00D21A33" w:rsidP="00D21A33">
            <w:pPr>
              <w:jc w:val="both"/>
              <w:rPr>
                <w:sz w:val="20"/>
                <w:szCs w:val="20"/>
              </w:rPr>
            </w:pPr>
            <w:r w:rsidRPr="00DE307B">
              <w:rPr>
                <w:sz w:val="20"/>
                <w:szCs w:val="20"/>
              </w:rPr>
              <w:t>MacKenzie J.A., for the majority of the British Columbia Court of Appeal, concluded (at para. 148):</w:t>
            </w:r>
          </w:p>
          <w:p w:rsidR="00D21A33" w:rsidRPr="00DE307B" w:rsidRDefault="00D21A33" w:rsidP="00D21A33">
            <w:pPr>
              <w:jc w:val="both"/>
              <w:rPr>
                <w:sz w:val="20"/>
                <w:szCs w:val="20"/>
              </w:rPr>
            </w:pPr>
          </w:p>
          <w:p w:rsidR="00D21A33" w:rsidRPr="00DE307B" w:rsidRDefault="00D21A33" w:rsidP="00D21A33">
            <w:pPr>
              <w:jc w:val="both"/>
              <w:rPr>
                <w:sz w:val="20"/>
                <w:szCs w:val="20"/>
              </w:rPr>
            </w:pPr>
          </w:p>
          <w:p w:rsidR="00D21A33" w:rsidRPr="00DE307B" w:rsidRDefault="00D21A33" w:rsidP="00D21A33">
            <w:pPr>
              <w:jc w:val="both"/>
              <w:rPr>
                <w:sz w:val="20"/>
                <w:szCs w:val="20"/>
              </w:rPr>
            </w:pPr>
          </w:p>
          <w:p w:rsidR="00D21A33" w:rsidRPr="00DE307B" w:rsidRDefault="00D21A33" w:rsidP="00D21A33">
            <w:pPr>
              <w:ind w:left="360"/>
              <w:jc w:val="both"/>
              <w:rPr>
                <w:sz w:val="20"/>
                <w:szCs w:val="20"/>
              </w:rPr>
            </w:pPr>
            <w:r w:rsidRPr="00DE307B">
              <w:rPr>
                <w:sz w:val="20"/>
                <w:szCs w:val="20"/>
              </w:rPr>
              <w:t xml:space="preserve">It is my view that if [the trial judge] erred in not attributing to the Crown responsibility for the five </w:t>
            </w:r>
            <w:r w:rsidRPr="00DE307B">
              <w:rPr>
                <w:sz w:val="20"/>
                <w:szCs w:val="20"/>
              </w:rPr>
              <w:lastRenderedPageBreak/>
              <w:t>months’ delay arising from the direct indictment, . . . such error does not upset the overall result, as I have found that other factors weigh more heavily on the other side of the balance.</w:t>
            </w:r>
          </w:p>
          <w:p w:rsidR="00D21A33" w:rsidRPr="00DE307B" w:rsidRDefault="00D21A33" w:rsidP="00D21A33">
            <w:pPr>
              <w:ind w:left="360"/>
              <w:jc w:val="both"/>
              <w:rPr>
                <w:sz w:val="20"/>
                <w:szCs w:val="20"/>
              </w:rPr>
            </w:pPr>
          </w:p>
          <w:p w:rsidR="00D21A33" w:rsidRPr="00DE307B" w:rsidRDefault="00D21A33" w:rsidP="00D21A33">
            <w:pPr>
              <w:jc w:val="both"/>
              <w:rPr>
                <w:sz w:val="20"/>
                <w:szCs w:val="20"/>
              </w:rPr>
            </w:pPr>
          </w:p>
          <w:p w:rsidR="00D21A33" w:rsidRPr="00DE307B" w:rsidRDefault="00D21A33" w:rsidP="00D21A33">
            <w:pPr>
              <w:jc w:val="both"/>
              <w:rPr>
                <w:sz w:val="20"/>
                <w:szCs w:val="20"/>
              </w:rPr>
            </w:pPr>
            <w:r w:rsidRPr="00DE307B">
              <w:rPr>
                <w:sz w:val="20"/>
                <w:szCs w:val="20"/>
              </w:rPr>
              <w:t>The majority of the Court sees no error in the conclusion of the majority of the British Columbia Court of Appeal. The majority would accordingly dismiss the appeal.</w:t>
            </w:r>
          </w:p>
          <w:p w:rsidR="00D21A33" w:rsidRPr="00DE307B" w:rsidRDefault="00D21A33" w:rsidP="00D21A33">
            <w:pPr>
              <w:jc w:val="both"/>
              <w:rPr>
                <w:sz w:val="20"/>
                <w:szCs w:val="20"/>
              </w:rPr>
            </w:pPr>
          </w:p>
          <w:p w:rsidR="00D21A33" w:rsidRPr="00DE307B" w:rsidRDefault="00D21A33" w:rsidP="00D21A33">
            <w:pPr>
              <w:jc w:val="both"/>
              <w:rPr>
                <w:sz w:val="20"/>
                <w:szCs w:val="20"/>
              </w:rPr>
            </w:pPr>
            <w:r w:rsidRPr="00DE307B">
              <w:rPr>
                <w:sz w:val="20"/>
                <w:szCs w:val="20"/>
              </w:rPr>
              <w:t>Karakatsanis and Côté JJ., dissenting, would allow the appeal for the reasons of Bennett J.A.</w:t>
            </w:r>
          </w:p>
          <w:p w:rsidR="00D21A33" w:rsidRDefault="00D21A33" w:rsidP="00D21A33">
            <w:pPr>
              <w:jc w:val="both"/>
              <w:rPr>
                <w:sz w:val="20"/>
                <w:szCs w:val="20"/>
              </w:rPr>
            </w:pPr>
          </w:p>
          <w:p w:rsidR="00D21A33" w:rsidRPr="00DE307B" w:rsidRDefault="00D21A33" w:rsidP="00D21A33">
            <w:pPr>
              <w:jc w:val="both"/>
              <w:rPr>
                <w:sz w:val="20"/>
                <w:szCs w:val="20"/>
              </w:rPr>
            </w:pPr>
          </w:p>
          <w:p w:rsidR="00D21A33" w:rsidRPr="00C1697B" w:rsidRDefault="00D21A33" w:rsidP="00D21A33">
            <w:pPr>
              <w:jc w:val="both"/>
              <w:rPr>
                <w:b/>
                <w:sz w:val="20"/>
                <w:szCs w:val="20"/>
              </w:rPr>
            </w:pPr>
            <w:r w:rsidRPr="00DE307B">
              <w:rPr>
                <w:sz w:val="20"/>
                <w:szCs w:val="20"/>
              </w:rPr>
              <w:t>The appeal is dismissed.</w:t>
            </w:r>
          </w:p>
        </w:tc>
        <w:tc>
          <w:tcPr>
            <w:tcW w:w="720" w:type="dxa"/>
            <w:tcMar>
              <w:left w:w="0" w:type="dxa"/>
              <w:right w:w="0" w:type="dxa"/>
            </w:tcMar>
          </w:tcPr>
          <w:p w:rsidR="00D21A33" w:rsidRPr="00C1697B" w:rsidRDefault="00D21A33" w:rsidP="00375123">
            <w:pPr>
              <w:widowControl w:val="0"/>
              <w:jc w:val="center"/>
              <w:rPr>
                <w:sz w:val="20"/>
                <w:szCs w:val="20"/>
              </w:rPr>
            </w:pPr>
          </w:p>
        </w:tc>
        <w:tc>
          <w:tcPr>
            <w:tcW w:w="4380" w:type="dxa"/>
            <w:tcMar>
              <w:left w:w="0" w:type="dxa"/>
              <w:right w:w="0" w:type="dxa"/>
            </w:tcMar>
          </w:tcPr>
          <w:p w:rsidR="00D21A33" w:rsidRPr="00CC4D84" w:rsidRDefault="00D21A33" w:rsidP="00375123">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D21A33" w:rsidRPr="00C1697B" w:rsidRDefault="00D21A33" w:rsidP="00375123">
            <w:pPr>
              <w:widowControl w:val="0"/>
              <w:jc w:val="both"/>
              <w:rPr>
                <w:sz w:val="20"/>
                <w:szCs w:val="20"/>
                <w:lang w:val="fr-CA"/>
              </w:rPr>
            </w:pPr>
          </w:p>
          <w:p w:rsidR="00D21A33" w:rsidRPr="00DE307B" w:rsidRDefault="00D21A33" w:rsidP="00D21A33">
            <w:pPr>
              <w:jc w:val="both"/>
              <w:rPr>
                <w:sz w:val="20"/>
                <w:szCs w:val="20"/>
                <w:lang w:val="fr-CA"/>
              </w:rPr>
            </w:pPr>
            <w:r w:rsidRPr="00DE307B">
              <w:rPr>
                <w:sz w:val="20"/>
                <w:szCs w:val="20"/>
                <w:lang w:val="fr-CA"/>
              </w:rPr>
              <w:t>L’appel interjeté contre l’arrêt de la Cour d’appel de la Colombie-Britannique (Vancouver), numéro CA040012, 2014 BCCA 249, daté du 26 juin 2014, a été entendu le 19 mars 2015 et la Cour a prononcé oralement le même jour le jugement suivant :</w:t>
            </w:r>
          </w:p>
          <w:p w:rsidR="00D21A33" w:rsidRPr="00DE307B" w:rsidRDefault="00D21A33" w:rsidP="00D21A33">
            <w:pPr>
              <w:jc w:val="both"/>
              <w:rPr>
                <w:sz w:val="20"/>
                <w:szCs w:val="20"/>
                <w:lang w:val="fr-CA"/>
              </w:rPr>
            </w:pPr>
          </w:p>
          <w:p w:rsidR="00D21A33" w:rsidRPr="00DE307B" w:rsidRDefault="00D21A33" w:rsidP="00D21A33">
            <w:pPr>
              <w:jc w:val="both"/>
              <w:rPr>
                <w:smallCaps/>
                <w:sz w:val="20"/>
                <w:szCs w:val="20"/>
                <w:lang w:val="fr-CA"/>
              </w:rPr>
            </w:pPr>
            <w:r w:rsidRPr="00DE307B">
              <w:rPr>
                <w:sz w:val="20"/>
                <w:szCs w:val="20"/>
                <w:lang w:val="fr-CA"/>
              </w:rPr>
              <w:t>[T</w:t>
            </w:r>
            <w:r w:rsidRPr="00DE307B">
              <w:rPr>
                <w:smallCaps/>
                <w:sz w:val="20"/>
                <w:szCs w:val="20"/>
                <w:lang w:val="fr-CA"/>
              </w:rPr>
              <w:t>raduction]</w:t>
            </w:r>
          </w:p>
          <w:p w:rsidR="00D21A33" w:rsidRPr="00DE307B" w:rsidRDefault="00D21A33" w:rsidP="00D21A33">
            <w:pPr>
              <w:jc w:val="both"/>
              <w:rPr>
                <w:sz w:val="20"/>
                <w:szCs w:val="20"/>
                <w:lang w:val="fr-CA"/>
              </w:rPr>
            </w:pPr>
            <w:r w:rsidRPr="00DE307B">
              <w:rPr>
                <w:smallCaps/>
                <w:sz w:val="20"/>
                <w:szCs w:val="20"/>
                <w:lang w:val="fr-CA"/>
              </w:rPr>
              <w:t>La Juge en chef</w:t>
            </w:r>
            <w:r w:rsidRPr="00DE307B">
              <w:rPr>
                <w:sz w:val="20"/>
                <w:szCs w:val="20"/>
                <w:lang w:val="fr-CA"/>
              </w:rPr>
              <w:t xml:space="preserve"> </w:t>
            </w:r>
            <w:r w:rsidRPr="00DE307B">
              <w:rPr>
                <w:rFonts w:cs="Times New Roman"/>
                <w:sz w:val="20"/>
                <w:szCs w:val="20"/>
                <w:lang w:val="fr-CA"/>
              </w:rPr>
              <w:t xml:space="preserve">— Il s’agit d’un appel de plein droit fondé sur l’opinion dissidente exprimée par la juge </w:t>
            </w:r>
            <w:r w:rsidRPr="00DE307B">
              <w:rPr>
                <w:sz w:val="20"/>
                <w:szCs w:val="20"/>
                <w:lang w:val="fr-CA"/>
              </w:rPr>
              <w:t>Bennett de la Cour d’appel de la Colombie-Britannique, selon laquelle le délai de cinq mois résultant du dépôt par la Couronne d’un acte d’accusation direct, facteur que n’a pas pris en considération la juge du procès, démontrait l’existence d’un délai déraisonnable et contraire à l’al. 11</w:t>
            </w:r>
            <w:r w:rsidRPr="00DE307B">
              <w:rPr>
                <w:i/>
                <w:sz w:val="20"/>
                <w:szCs w:val="20"/>
                <w:lang w:val="fr-CA"/>
              </w:rPr>
              <w:t>b</w:t>
            </w:r>
            <w:r w:rsidRPr="00DE307B">
              <w:rPr>
                <w:sz w:val="20"/>
                <w:szCs w:val="20"/>
                <w:lang w:val="fr-CA"/>
              </w:rPr>
              <w:t xml:space="preserve">) de la </w:t>
            </w:r>
            <w:r w:rsidRPr="00DE307B">
              <w:rPr>
                <w:i/>
                <w:sz w:val="20"/>
                <w:szCs w:val="20"/>
                <w:lang w:val="fr-CA"/>
              </w:rPr>
              <w:t>Charte</w:t>
            </w:r>
            <w:r w:rsidRPr="00DE307B">
              <w:rPr>
                <w:sz w:val="20"/>
                <w:szCs w:val="20"/>
                <w:lang w:val="fr-CA"/>
              </w:rPr>
              <w:t xml:space="preserve">. </w:t>
            </w:r>
          </w:p>
          <w:p w:rsidR="00D21A33" w:rsidRPr="00DE307B" w:rsidRDefault="00D21A33" w:rsidP="00D21A33">
            <w:pPr>
              <w:jc w:val="both"/>
              <w:rPr>
                <w:sz w:val="20"/>
                <w:szCs w:val="20"/>
                <w:lang w:val="fr-CA"/>
              </w:rPr>
            </w:pPr>
          </w:p>
          <w:p w:rsidR="00D21A33" w:rsidRPr="00DE307B" w:rsidRDefault="00D21A33" w:rsidP="00D21A33">
            <w:pPr>
              <w:jc w:val="both"/>
              <w:rPr>
                <w:sz w:val="20"/>
                <w:szCs w:val="20"/>
                <w:lang w:val="fr-CA"/>
              </w:rPr>
            </w:pPr>
            <w:r w:rsidRPr="00DE307B">
              <w:rPr>
                <w:sz w:val="20"/>
                <w:szCs w:val="20"/>
                <w:lang w:val="fr-CA"/>
              </w:rPr>
              <w:t>La juge MacKenzie, qui a rédigé l’opinion de la majorité en Cour d’appel de la Colombie-Britannique, a tiré la conclusion suivante (au par. 148) :</w:t>
            </w:r>
          </w:p>
          <w:p w:rsidR="00D21A33" w:rsidRPr="00DE307B" w:rsidRDefault="00D21A33" w:rsidP="00D21A33">
            <w:pPr>
              <w:jc w:val="both"/>
              <w:rPr>
                <w:sz w:val="20"/>
                <w:szCs w:val="20"/>
                <w:lang w:val="fr-CA"/>
              </w:rPr>
            </w:pPr>
          </w:p>
          <w:p w:rsidR="00D21A33" w:rsidRPr="00DE307B" w:rsidRDefault="00D21A33" w:rsidP="00D21A33">
            <w:pPr>
              <w:ind w:left="378"/>
              <w:jc w:val="both"/>
              <w:rPr>
                <w:sz w:val="20"/>
                <w:szCs w:val="20"/>
                <w:lang w:val="fr-CA"/>
              </w:rPr>
            </w:pPr>
            <w:r w:rsidRPr="00DE307B">
              <w:rPr>
                <w:sz w:val="20"/>
                <w:szCs w:val="20"/>
                <w:lang w:val="fr-CA"/>
              </w:rPr>
              <w:t>[T</w:t>
            </w:r>
            <w:r w:rsidRPr="00DE307B">
              <w:rPr>
                <w:smallCaps/>
                <w:sz w:val="20"/>
                <w:szCs w:val="20"/>
                <w:lang w:val="fr-CA"/>
              </w:rPr>
              <w:t>raduction]</w:t>
            </w:r>
          </w:p>
          <w:p w:rsidR="00D21A33" w:rsidRPr="00DE307B" w:rsidRDefault="00D21A33" w:rsidP="00D21A33">
            <w:pPr>
              <w:ind w:left="378"/>
              <w:jc w:val="both"/>
              <w:rPr>
                <w:sz w:val="20"/>
                <w:szCs w:val="20"/>
                <w:lang w:val="fr-CA"/>
              </w:rPr>
            </w:pPr>
            <w:r w:rsidRPr="00DE307B">
              <w:rPr>
                <w:sz w:val="20"/>
                <w:szCs w:val="20"/>
                <w:lang w:val="fr-CA"/>
              </w:rPr>
              <w:t xml:space="preserve">Je suis d’avis que si [la juge du procès] a fait erreur en n’imputant pas à la Couronne la </w:t>
            </w:r>
            <w:r w:rsidRPr="00DE307B">
              <w:rPr>
                <w:sz w:val="20"/>
                <w:szCs w:val="20"/>
                <w:lang w:val="fr-CA"/>
              </w:rPr>
              <w:lastRenderedPageBreak/>
              <w:t xml:space="preserve">responsabilité du délai de cinq mois découlant de la mise en accusation directe, […] cette erreur ne compromet pas le résultat global, car j’estime que d’autres facteurs font davantage pencher la balance de l’autre côté. </w:t>
            </w:r>
          </w:p>
          <w:p w:rsidR="00D21A33" w:rsidRPr="00DE307B" w:rsidRDefault="00D21A33" w:rsidP="00D21A33">
            <w:pPr>
              <w:jc w:val="both"/>
              <w:rPr>
                <w:sz w:val="20"/>
                <w:szCs w:val="20"/>
                <w:lang w:val="fr-CA"/>
              </w:rPr>
            </w:pPr>
          </w:p>
          <w:p w:rsidR="00D21A33" w:rsidRPr="00DE307B" w:rsidRDefault="00D21A33" w:rsidP="00D21A33">
            <w:pPr>
              <w:jc w:val="both"/>
              <w:rPr>
                <w:sz w:val="20"/>
                <w:szCs w:val="20"/>
                <w:lang w:val="fr-CA"/>
              </w:rPr>
            </w:pPr>
            <w:r w:rsidRPr="00DE307B">
              <w:rPr>
                <w:sz w:val="20"/>
                <w:szCs w:val="20"/>
                <w:lang w:val="fr-CA"/>
              </w:rPr>
              <w:t>Les juges majoritaires de notre Cour ne voient aucune erreur dans la conclusion de la majorité en Cour d’appel de la Colombie-Britannique. Ils sont en conséquence d’avis de rejeter l’appel.</w:t>
            </w:r>
          </w:p>
          <w:p w:rsidR="00D21A33" w:rsidRPr="00DE307B" w:rsidRDefault="00D21A33" w:rsidP="00D21A33">
            <w:pPr>
              <w:jc w:val="both"/>
              <w:rPr>
                <w:sz w:val="20"/>
                <w:szCs w:val="20"/>
                <w:lang w:val="fr-CA"/>
              </w:rPr>
            </w:pPr>
          </w:p>
          <w:p w:rsidR="00D21A33" w:rsidRPr="00DE307B" w:rsidRDefault="00D21A33" w:rsidP="00D21A33">
            <w:pPr>
              <w:jc w:val="both"/>
              <w:rPr>
                <w:sz w:val="20"/>
                <w:szCs w:val="20"/>
                <w:lang w:val="fr-CA"/>
              </w:rPr>
            </w:pPr>
            <w:r w:rsidRPr="00DE307B">
              <w:rPr>
                <w:sz w:val="20"/>
                <w:szCs w:val="20"/>
                <w:lang w:val="fr-CA"/>
              </w:rPr>
              <w:t>Les juges Karakatsanis et Côté sont dissidentes et accueilleraient l’appel, pour les motifs exposés par la juge d’appel Bennett.</w:t>
            </w:r>
          </w:p>
          <w:p w:rsidR="00D21A33" w:rsidRPr="00DE307B" w:rsidRDefault="00D21A33" w:rsidP="00D21A33">
            <w:pPr>
              <w:jc w:val="both"/>
              <w:rPr>
                <w:sz w:val="20"/>
                <w:szCs w:val="20"/>
                <w:lang w:val="fr-CA"/>
              </w:rPr>
            </w:pPr>
          </w:p>
          <w:p w:rsidR="00D21A33" w:rsidRPr="00C1697B" w:rsidRDefault="00D21A33" w:rsidP="00D21A33">
            <w:pPr>
              <w:jc w:val="both"/>
              <w:rPr>
                <w:sz w:val="20"/>
                <w:szCs w:val="20"/>
                <w:lang w:val="fr-CA"/>
              </w:rPr>
            </w:pPr>
            <w:r w:rsidRPr="00DE307B">
              <w:rPr>
                <w:sz w:val="20"/>
                <w:szCs w:val="20"/>
                <w:lang w:val="fr-CA"/>
              </w:rPr>
              <w:t>L’appel est rejeté</w:t>
            </w:r>
            <w:r w:rsidRPr="00DE307B">
              <w:rPr>
                <w:smallCaps/>
                <w:sz w:val="20"/>
                <w:szCs w:val="20"/>
                <w:lang w:val="fr-CA"/>
              </w:rPr>
              <w:t>.</w:t>
            </w:r>
          </w:p>
        </w:tc>
      </w:tr>
    </w:tbl>
    <w:p w:rsidR="00D21A33" w:rsidRDefault="00D21A33" w:rsidP="00D21A33">
      <w:pPr>
        <w:widowControl w:val="0"/>
        <w:rPr>
          <w:sz w:val="20"/>
          <w:szCs w:val="20"/>
          <w:lang w:val="fr-CA"/>
        </w:rPr>
      </w:pPr>
    </w:p>
    <w:p w:rsidR="00D21A33" w:rsidRDefault="00173D9D" w:rsidP="00852B84">
      <w:pPr>
        <w:widowControl w:val="0"/>
        <w:rPr>
          <w:sz w:val="20"/>
          <w:szCs w:val="20"/>
          <w:lang w:val="fr-CA"/>
        </w:rPr>
      </w:pPr>
      <w:r>
        <w:rPr>
          <w:sz w:val="20"/>
          <w:szCs w:val="20"/>
          <w:lang w:val="fr-CA"/>
        </w:rPr>
        <w:pict>
          <v:rect id="_x0000_i1079" style="width:2in;height:1pt" o:hrpct="0" o:hralign="center" o:hrstd="t" o:hrnoshade="t" o:hr="t" fillcolor="black [3213]" stroked="f"/>
        </w:pict>
      </w:r>
    </w:p>
    <w:p w:rsidR="00D21A33" w:rsidRPr="00D21A33" w:rsidRDefault="00D21A33" w:rsidP="00852B84">
      <w:pPr>
        <w:widowControl w:val="0"/>
        <w:rPr>
          <w:sz w:val="20"/>
          <w:szCs w:val="20"/>
          <w:lang w:val="fr-CA"/>
        </w:rPr>
      </w:pPr>
    </w:p>
    <w:p w:rsidR="00852B84" w:rsidRPr="00794936" w:rsidRDefault="00852B84" w:rsidP="00852B84">
      <w:pPr>
        <w:widowControl w:val="0"/>
        <w:rPr>
          <w:sz w:val="20"/>
          <w:szCs w:val="20"/>
        </w:rPr>
      </w:pPr>
      <w:r>
        <w:rPr>
          <w:sz w:val="20"/>
          <w:szCs w:val="20"/>
        </w:rPr>
        <w:t>20</w:t>
      </w:r>
      <w:r w:rsidRPr="00794936">
        <w:rPr>
          <w:sz w:val="20"/>
          <w:szCs w:val="20"/>
        </w:rPr>
        <w:t>.03.2015</w:t>
      </w:r>
    </w:p>
    <w:p w:rsidR="00852B84" w:rsidRPr="00794936" w:rsidRDefault="00852B84" w:rsidP="00852B84">
      <w:pPr>
        <w:widowControl w:val="0"/>
        <w:rPr>
          <w:sz w:val="20"/>
          <w:szCs w:val="20"/>
        </w:rPr>
      </w:pPr>
    </w:p>
    <w:p w:rsidR="00852B84" w:rsidRPr="000819BB" w:rsidRDefault="00852B84" w:rsidP="00852B84">
      <w:pPr>
        <w:widowControl w:val="0"/>
        <w:ind w:left="720" w:hanging="720"/>
        <w:rPr>
          <w:sz w:val="20"/>
          <w:szCs w:val="20"/>
          <w:u w:val="single"/>
        </w:rPr>
      </w:pPr>
      <w:r w:rsidRPr="000819BB">
        <w:rPr>
          <w:sz w:val="20"/>
          <w:szCs w:val="20"/>
        </w:rPr>
        <w:t xml:space="preserve">Coram: </w:t>
      </w:r>
      <w:r w:rsidRPr="000819BB">
        <w:rPr>
          <w:sz w:val="20"/>
          <w:szCs w:val="20"/>
        </w:rPr>
        <w:tab/>
      </w:r>
      <w:r w:rsidRPr="000819BB">
        <w:rPr>
          <w:sz w:val="20"/>
          <w:szCs w:val="20"/>
          <w:u w:val="single"/>
        </w:rPr>
        <w:t>McLachlin C.J. and Abella, Cromwell, Karakatsanis, Wagner</w:t>
      </w:r>
      <w:r>
        <w:rPr>
          <w:sz w:val="20"/>
          <w:szCs w:val="20"/>
          <w:u w:val="single"/>
        </w:rPr>
        <w:t>, Gascon</w:t>
      </w:r>
      <w:r w:rsidRPr="000819BB">
        <w:rPr>
          <w:sz w:val="20"/>
          <w:szCs w:val="20"/>
          <w:u w:val="single"/>
        </w:rPr>
        <w:t xml:space="preserve"> and Côté JJ.</w:t>
      </w:r>
    </w:p>
    <w:p w:rsidR="00852B84" w:rsidRPr="00794936" w:rsidRDefault="00852B84" w:rsidP="00852B84">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52B84" w:rsidRPr="00794936" w:rsidTr="00206566">
        <w:tc>
          <w:tcPr>
            <w:tcW w:w="4380" w:type="dxa"/>
            <w:tcMar>
              <w:left w:w="0" w:type="dxa"/>
              <w:right w:w="0" w:type="dxa"/>
            </w:tcMar>
          </w:tcPr>
          <w:p w:rsidR="00D74D3D" w:rsidRDefault="00D74D3D" w:rsidP="00D74D3D">
            <w:pPr>
              <w:rPr>
                <w:b/>
                <w:iCs/>
                <w:sz w:val="20"/>
                <w:szCs w:val="20"/>
              </w:rPr>
            </w:pPr>
            <w:r w:rsidRPr="00D25B2A">
              <w:rPr>
                <w:b/>
                <w:iCs/>
                <w:sz w:val="20"/>
                <w:szCs w:val="20"/>
              </w:rPr>
              <w:t xml:space="preserve">Her Majesty the Queen </w:t>
            </w:r>
          </w:p>
          <w:p w:rsidR="00D74D3D" w:rsidRDefault="00D74D3D" w:rsidP="00D74D3D">
            <w:pPr>
              <w:rPr>
                <w:b/>
                <w:iCs/>
                <w:sz w:val="20"/>
                <w:szCs w:val="20"/>
              </w:rPr>
            </w:pPr>
          </w:p>
          <w:p w:rsidR="00D74D3D" w:rsidRDefault="00D74D3D" w:rsidP="00D74D3D">
            <w:pPr>
              <w:rPr>
                <w:b/>
                <w:iCs/>
                <w:sz w:val="20"/>
                <w:szCs w:val="20"/>
              </w:rPr>
            </w:pPr>
            <w:r>
              <w:rPr>
                <w:b/>
                <w:iCs/>
                <w:sz w:val="20"/>
                <w:szCs w:val="20"/>
              </w:rPr>
              <w:tab/>
            </w:r>
            <w:r w:rsidRPr="00D25B2A">
              <w:rPr>
                <w:b/>
                <w:iCs/>
                <w:sz w:val="20"/>
                <w:szCs w:val="20"/>
              </w:rPr>
              <w:t xml:space="preserve">v. </w:t>
            </w:r>
            <w:r w:rsidRPr="00D74D3D">
              <w:rPr>
                <w:sz w:val="20"/>
                <w:szCs w:val="20"/>
              </w:rPr>
              <w:t>(</w:t>
            </w:r>
            <w:hyperlink r:id="rId94" w:history="1">
              <w:r w:rsidRPr="00D74D3D">
                <w:rPr>
                  <w:rStyle w:val="Hyperlink"/>
                  <w:sz w:val="20"/>
                  <w:szCs w:val="20"/>
                </w:rPr>
                <w:t>36059</w:t>
              </w:r>
            </w:hyperlink>
            <w:r w:rsidRPr="00D74D3D">
              <w:rPr>
                <w:sz w:val="20"/>
                <w:szCs w:val="20"/>
              </w:rPr>
              <w:t>)</w:t>
            </w:r>
          </w:p>
          <w:p w:rsidR="00D74D3D" w:rsidRDefault="00D74D3D" w:rsidP="00D74D3D">
            <w:pPr>
              <w:rPr>
                <w:b/>
                <w:iCs/>
                <w:sz w:val="20"/>
                <w:szCs w:val="20"/>
              </w:rPr>
            </w:pPr>
          </w:p>
          <w:p w:rsidR="00D74D3D" w:rsidRDefault="00D74D3D" w:rsidP="00D74D3D">
            <w:pPr>
              <w:rPr>
                <w:b/>
                <w:sz w:val="20"/>
                <w:szCs w:val="20"/>
              </w:rPr>
            </w:pPr>
            <w:r w:rsidRPr="00D25B2A">
              <w:rPr>
                <w:b/>
                <w:iCs/>
                <w:sz w:val="20"/>
                <w:szCs w:val="20"/>
              </w:rPr>
              <w:t xml:space="preserve">Owen Edward Smith </w:t>
            </w:r>
            <w:r w:rsidRPr="00D74D3D">
              <w:rPr>
                <w:b/>
                <w:sz w:val="20"/>
                <w:szCs w:val="20"/>
              </w:rPr>
              <w:t xml:space="preserve">(B.C.) (Criminal) </w:t>
            </w:r>
          </w:p>
          <w:p w:rsidR="00852B84" w:rsidRPr="00794936" w:rsidRDefault="00D74D3D" w:rsidP="00D74D3D">
            <w:pPr>
              <w:rPr>
                <w:sz w:val="20"/>
                <w:szCs w:val="20"/>
              </w:rPr>
            </w:pPr>
            <w:r w:rsidRPr="00D74D3D">
              <w:rPr>
                <w:b/>
                <w:sz w:val="20"/>
                <w:szCs w:val="20"/>
              </w:rPr>
              <w:t>(As of Right)</w:t>
            </w:r>
            <w:r w:rsidRPr="00D74D3D">
              <w:rPr>
                <w:sz w:val="20"/>
                <w:szCs w:val="20"/>
              </w:rPr>
              <w:t xml:space="preserve"> </w:t>
            </w:r>
          </w:p>
        </w:tc>
        <w:tc>
          <w:tcPr>
            <w:tcW w:w="720" w:type="dxa"/>
            <w:tcMar>
              <w:left w:w="0" w:type="dxa"/>
              <w:right w:w="0" w:type="dxa"/>
            </w:tcMar>
          </w:tcPr>
          <w:p w:rsidR="00852B84" w:rsidRPr="00794936" w:rsidRDefault="00852B84" w:rsidP="00206566">
            <w:pPr>
              <w:widowControl w:val="0"/>
              <w:jc w:val="center"/>
              <w:rPr>
                <w:sz w:val="20"/>
                <w:szCs w:val="20"/>
              </w:rPr>
            </w:pPr>
          </w:p>
        </w:tc>
        <w:tc>
          <w:tcPr>
            <w:tcW w:w="4380" w:type="dxa"/>
            <w:tcMar>
              <w:left w:w="0" w:type="dxa"/>
              <w:right w:w="0" w:type="dxa"/>
            </w:tcMar>
          </w:tcPr>
          <w:p w:rsidR="00D21A33" w:rsidRDefault="00D21A33" w:rsidP="00D21A33">
            <w:pPr>
              <w:tabs>
                <w:tab w:val="left" w:pos="-2970"/>
              </w:tabs>
              <w:rPr>
                <w:sz w:val="20"/>
                <w:szCs w:val="20"/>
                <w:lang w:val="en-US"/>
              </w:rPr>
            </w:pPr>
            <w:r w:rsidRPr="002641E0">
              <w:rPr>
                <w:sz w:val="20"/>
                <w:szCs w:val="20"/>
              </w:rPr>
              <w:t xml:space="preserve">W. Paul Riley, Q.C. and </w:t>
            </w:r>
            <w:r w:rsidRPr="002641E0">
              <w:rPr>
                <w:sz w:val="20"/>
                <w:szCs w:val="20"/>
                <w:lang w:val="en-US"/>
              </w:rPr>
              <w:t>Kevin Wilson</w:t>
            </w:r>
            <w:r>
              <w:rPr>
                <w:sz w:val="20"/>
                <w:szCs w:val="20"/>
                <w:lang w:val="en-US"/>
              </w:rPr>
              <w:t xml:space="preserve"> f</w:t>
            </w:r>
            <w:r w:rsidRPr="002641E0">
              <w:rPr>
                <w:sz w:val="20"/>
                <w:szCs w:val="20"/>
                <w:lang w:val="en-US"/>
              </w:rPr>
              <w:t xml:space="preserve">or the </w:t>
            </w:r>
            <w:r>
              <w:rPr>
                <w:sz w:val="20"/>
                <w:szCs w:val="20"/>
                <w:lang w:val="en-US"/>
              </w:rPr>
              <w:t>a</w:t>
            </w:r>
            <w:r w:rsidRPr="002641E0">
              <w:rPr>
                <w:sz w:val="20"/>
                <w:szCs w:val="20"/>
                <w:lang w:val="en-US"/>
              </w:rPr>
              <w:t>ppellant</w:t>
            </w:r>
            <w:r>
              <w:rPr>
                <w:sz w:val="20"/>
                <w:szCs w:val="20"/>
                <w:lang w:val="en-US"/>
              </w:rPr>
              <w:t>.</w:t>
            </w:r>
          </w:p>
          <w:p w:rsidR="00D21A33" w:rsidRPr="002641E0" w:rsidRDefault="00D21A33" w:rsidP="00D21A33">
            <w:pPr>
              <w:tabs>
                <w:tab w:val="left" w:pos="-2970"/>
              </w:tabs>
              <w:rPr>
                <w:sz w:val="20"/>
                <w:szCs w:val="20"/>
                <w:lang w:val="en-US"/>
              </w:rPr>
            </w:pPr>
          </w:p>
          <w:p w:rsidR="00D21A33" w:rsidRDefault="00D21A33" w:rsidP="00D21A33">
            <w:pPr>
              <w:tabs>
                <w:tab w:val="left" w:pos="-2970"/>
              </w:tabs>
              <w:rPr>
                <w:sz w:val="20"/>
                <w:szCs w:val="20"/>
                <w:lang w:val="en-US"/>
              </w:rPr>
            </w:pPr>
            <w:r w:rsidRPr="002641E0">
              <w:rPr>
                <w:sz w:val="20"/>
                <w:szCs w:val="20"/>
                <w:lang w:val="en-US"/>
              </w:rPr>
              <w:t>Kirk I. Tousaw</w:t>
            </w:r>
            <w:r>
              <w:rPr>
                <w:sz w:val="20"/>
                <w:szCs w:val="20"/>
                <w:lang w:val="en-US"/>
              </w:rPr>
              <w:t xml:space="preserve">, </w:t>
            </w:r>
            <w:r w:rsidRPr="002641E0">
              <w:rPr>
                <w:sz w:val="20"/>
                <w:szCs w:val="20"/>
                <w:lang w:val="en-US"/>
              </w:rPr>
              <w:t>John W. Conroy, Q.C.</w:t>
            </w:r>
            <w:r>
              <w:rPr>
                <w:sz w:val="20"/>
                <w:szCs w:val="20"/>
                <w:lang w:val="en-US"/>
              </w:rPr>
              <w:t xml:space="preserve">, </w:t>
            </w:r>
            <w:r w:rsidRPr="002641E0">
              <w:rPr>
                <w:sz w:val="20"/>
                <w:szCs w:val="20"/>
                <w:lang w:val="en-US"/>
              </w:rPr>
              <w:t>Matthew J. Jackson</w:t>
            </w:r>
            <w:r>
              <w:rPr>
                <w:sz w:val="20"/>
                <w:szCs w:val="20"/>
                <w:lang w:val="en-US"/>
              </w:rPr>
              <w:t xml:space="preserve"> and </w:t>
            </w:r>
            <w:r w:rsidRPr="002641E0">
              <w:rPr>
                <w:sz w:val="20"/>
                <w:szCs w:val="20"/>
                <w:lang w:val="en-US"/>
              </w:rPr>
              <w:t>Bibhas D. Vaze</w:t>
            </w:r>
            <w:r>
              <w:rPr>
                <w:sz w:val="20"/>
                <w:szCs w:val="20"/>
                <w:lang w:val="en-US"/>
              </w:rPr>
              <w:t xml:space="preserve"> f</w:t>
            </w:r>
            <w:r w:rsidRPr="002641E0">
              <w:rPr>
                <w:sz w:val="20"/>
                <w:szCs w:val="20"/>
                <w:lang w:val="en-US"/>
              </w:rPr>
              <w:t xml:space="preserve">or the </w:t>
            </w:r>
            <w:r>
              <w:rPr>
                <w:sz w:val="20"/>
                <w:szCs w:val="20"/>
                <w:lang w:val="en-US"/>
              </w:rPr>
              <w:t>r</w:t>
            </w:r>
            <w:r w:rsidRPr="002641E0">
              <w:rPr>
                <w:sz w:val="20"/>
                <w:szCs w:val="20"/>
                <w:lang w:val="en-US"/>
              </w:rPr>
              <w:t>espondent</w:t>
            </w:r>
            <w:r>
              <w:rPr>
                <w:sz w:val="20"/>
                <w:szCs w:val="20"/>
                <w:lang w:val="en-US"/>
              </w:rPr>
              <w:t>.</w:t>
            </w:r>
          </w:p>
          <w:p w:rsidR="00D21A33" w:rsidRPr="002641E0" w:rsidRDefault="00D21A33" w:rsidP="00D21A33">
            <w:pPr>
              <w:tabs>
                <w:tab w:val="left" w:pos="-2970"/>
              </w:tabs>
              <w:rPr>
                <w:sz w:val="20"/>
                <w:szCs w:val="20"/>
                <w:lang w:val="en-US"/>
              </w:rPr>
            </w:pPr>
          </w:p>
          <w:p w:rsidR="00D21A33" w:rsidRPr="002641E0" w:rsidRDefault="00D21A33" w:rsidP="00D21A33">
            <w:pPr>
              <w:tabs>
                <w:tab w:val="left" w:pos="-2970"/>
              </w:tabs>
              <w:rPr>
                <w:sz w:val="20"/>
                <w:szCs w:val="20"/>
                <w:lang w:val="en-US"/>
              </w:rPr>
            </w:pPr>
            <w:r w:rsidRPr="002641E0">
              <w:rPr>
                <w:sz w:val="20"/>
                <w:szCs w:val="20"/>
                <w:lang w:val="en-US"/>
              </w:rPr>
              <w:t>Gerald Chan</w:t>
            </w:r>
            <w:r>
              <w:rPr>
                <w:sz w:val="20"/>
                <w:szCs w:val="20"/>
                <w:lang w:val="en-US"/>
              </w:rPr>
              <w:t xml:space="preserve"> and </w:t>
            </w:r>
            <w:r w:rsidRPr="002641E0">
              <w:rPr>
                <w:sz w:val="20"/>
                <w:szCs w:val="20"/>
                <w:lang w:val="en-US"/>
              </w:rPr>
              <w:t>Nader R. Hasan</w:t>
            </w:r>
            <w:r>
              <w:rPr>
                <w:sz w:val="20"/>
                <w:szCs w:val="20"/>
                <w:lang w:val="en-US"/>
              </w:rPr>
              <w:t xml:space="preserve"> f</w:t>
            </w:r>
            <w:r w:rsidRPr="002641E0">
              <w:rPr>
                <w:sz w:val="20"/>
                <w:szCs w:val="20"/>
                <w:lang w:val="en-US"/>
              </w:rPr>
              <w:t xml:space="preserve">or the </w:t>
            </w:r>
            <w:r>
              <w:rPr>
                <w:sz w:val="20"/>
                <w:szCs w:val="20"/>
                <w:lang w:val="en-US"/>
              </w:rPr>
              <w:t>i</w:t>
            </w:r>
            <w:r w:rsidRPr="002641E0">
              <w:rPr>
                <w:sz w:val="20"/>
                <w:szCs w:val="20"/>
                <w:lang w:val="en-US"/>
              </w:rPr>
              <w:t>ntervener</w:t>
            </w:r>
            <w:r>
              <w:rPr>
                <w:sz w:val="20"/>
                <w:szCs w:val="20"/>
                <w:lang w:val="en-US"/>
              </w:rPr>
              <w:t xml:space="preserve"> </w:t>
            </w:r>
            <w:r w:rsidRPr="002641E0">
              <w:rPr>
                <w:sz w:val="20"/>
                <w:szCs w:val="20"/>
              </w:rPr>
              <w:t>Criminal Lawyers' Association (Ontario)</w:t>
            </w:r>
            <w:r>
              <w:rPr>
                <w:sz w:val="20"/>
                <w:szCs w:val="20"/>
              </w:rPr>
              <w:t>.</w:t>
            </w:r>
          </w:p>
          <w:p w:rsidR="00D21A33" w:rsidRPr="002641E0" w:rsidRDefault="00D21A33" w:rsidP="00D21A33">
            <w:pPr>
              <w:tabs>
                <w:tab w:val="left" w:pos="-2970"/>
              </w:tabs>
              <w:rPr>
                <w:sz w:val="20"/>
                <w:szCs w:val="20"/>
                <w:lang w:val="en-US"/>
              </w:rPr>
            </w:pPr>
          </w:p>
          <w:p w:rsidR="00D21A33" w:rsidRPr="002641E0" w:rsidRDefault="00D21A33" w:rsidP="00D21A33">
            <w:pPr>
              <w:tabs>
                <w:tab w:val="left" w:pos="-2970"/>
              </w:tabs>
              <w:rPr>
                <w:sz w:val="20"/>
                <w:szCs w:val="20"/>
              </w:rPr>
            </w:pPr>
            <w:r w:rsidRPr="002641E0">
              <w:rPr>
                <w:sz w:val="20"/>
                <w:szCs w:val="20"/>
                <w:lang w:val="en-US"/>
              </w:rPr>
              <w:t>Andrew K. Lokan</w:t>
            </w:r>
            <w:r>
              <w:rPr>
                <w:sz w:val="20"/>
                <w:szCs w:val="20"/>
                <w:lang w:val="en-US"/>
              </w:rPr>
              <w:t xml:space="preserve"> and </w:t>
            </w:r>
            <w:r w:rsidRPr="002641E0">
              <w:rPr>
                <w:sz w:val="20"/>
                <w:szCs w:val="20"/>
                <w:lang w:val="en-US"/>
              </w:rPr>
              <w:t>Debra McKenna</w:t>
            </w:r>
            <w:r>
              <w:rPr>
                <w:sz w:val="20"/>
                <w:szCs w:val="20"/>
                <w:lang w:val="en-US"/>
              </w:rPr>
              <w:t xml:space="preserve"> f</w:t>
            </w:r>
            <w:r w:rsidRPr="002641E0">
              <w:rPr>
                <w:sz w:val="20"/>
                <w:szCs w:val="20"/>
                <w:lang w:val="en-US"/>
              </w:rPr>
              <w:t xml:space="preserve">or the </w:t>
            </w:r>
            <w:r>
              <w:rPr>
                <w:sz w:val="20"/>
                <w:szCs w:val="20"/>
                <w:lang w:val="en-US"/>
              </w:rPr>
              <w:t>i</w:t>
            </w:r>
            <w:r w:rsidRPr="002641E0">
              <w:rPr>
                <w:sz w:val="20"/>
                <w:szCs w:val="20"/>
                <w:lang w:val="en-US"/>
              </w:rPr>
              <w:t>ntervener</w:t>
            </w:r>
            <w:r>
              <w:rPr>
                <w:sz w:val="20"/>
                <w:szCs w:val="20"/>
                <w:lang w:val="en-US"/>
              </w:rPr>
              <w:t xml:space="preserve"> C</w:t>
            </w:r>
            <w:r w:rsidRPr="002641E0">
              <w:rPr>
                <w:sz w:val="20"/>
                <w:szCs w:val="20"/>
              </w:rPr>
              <w:t>anadian Civil Liberties Association</w:t>
            </w:r>
            <w:r>
              <w:rPr>
                <w:sz w:val="20"/>
                <w:szCs w:val="20"/>
              </w:rPr>
              <w:t>.</w:t>
            </w:r>
          </w:p>
          <w:p w:rsidR="00D21A33" w:rsidRPr="002641E0" w:rsidRDefault="00D21A33" w:rsidP="00D21A33">
            <w:pPr>
              <w:tabs>
                <w:tab w:val="left" w:pos="-2970"/>
              </w:tabs>
              <w:rPr>
                <w:sz w:val="20"/>
                <w:szCs w:val="20"/>
              </w:rPr>
            </w:pPr>
          </w:p>
          <w:p w:rsidR="00D21A33" w:rsidRPr="002641E0" w:rsidRDefault="00D21A33" w:rsidP="00D21A33">
            <w:pPr>
              <w:tabs>
                <w:tab w:val="left" w:pos="-2970"/>
              </w:tabs>
              <w:rPr>
                <w:sz w:val="20"/>
                <w:szCs w:val="20"/>
              </w:rPr>
            </w:pPr>
            <w:r w:rsidRPr="002641E0">
              <w:rPr>
                <w:sz w:val="20"/>
                <w:szCs w:val="20"/>
              </w:rPr>
              <w:t>Jason B. Gratl</w:t>
            </w:r>
            <w:r>
              <w:rPr>
                <w:sz w:val="20"/>
                <w:szCs w:val="20"/>
              </w:rPr>
              <w:t xml:space="preserve"> f</w:t>
            </w:r>
            <w:r w:rsidRPr="002641E0">
              <w:rPr>
                <w:sz w:val="20"/>
                <w:szCs w:val="20"/>
              </w:rPr>
              <w:t xml:space="preserve">or the </w:t>
            </w:r>
            <w:r>
              <w:rPr>
                <w:sz w:val="20"/>
                <w:szCs w:val="20"/>
              </w:rPr>
              <w:t>i</w:t>
            </w:r>
            <w:r w:rsidRPr="002641E0">
              <w:rPr>
                <w:sz w:val="20"/>
                <w:szCs w:val="20"/>
              </w:rPr>
              <w:t>ntervener</w:t>
            </w:r>
            <w:r>
              <w:rPr>
                <w:sz w:val="20"/>
                <w:szCs w:val="20"/>
              </w:rPr>
              <w:t xml:space="preserve"> </w:t>
            </w:r>
            <w:r w:rsidRPr="002641E0">
              <w:rPr>
                <w:sz w:val="20"/>
                <w:szCs w:val="20"/>
              </w:rPr>
              <w:t>British Columbia Civil Liberties Association</w:t>
            </w:r>
            <w:r>
              <w:rPr>
                <w:sz w:val="20"/>
                <w:szCs w:val="20"/>
              </w:rPr>
              <w:t>.</w:t>
            </w:r>
          </w:p>
          <w:p w:rsidR="00D21A33" w:rsidRPr="002641E0" w:rsidRDefault="00D21A33" w:rsidP="00D21A33">
            <w:pPr>
              <w:tabs>
                <w:tab w:val="left" w:pos="-2970"/>
              </w:tabs>
              <w:rPr>
                <w:sz w:val="20"/>
                <w:szCs w:val="20"/>
              </w:rPr>
            </w:pPr>
          </w:p>
          <w:p w:rsidR="00D21A33" w:rsidRPr="002641E0" w:rsidRDefault="00D21A33" w:rsidP="00D21A33">
            <w:pPr>
              <w:tabs>
                <w:tab w:val="left" w:pos="-2970"/>
              </w:tabs>
              <w:rPr>
                <w:sz w:val="20"/>
                <w:szCs w:val="20"/>
              </w:rPr>
            </w:pPr>
            <w:r w:rsidRPr="002641E0">
              <w:rPr>
                <w:sz w:val="20"/>
                <w:szCs w:val="20"/>
                <w:lang w:val="en-US"/>
              </w:rPr>
              <w:t xml:space="preserve">Written submissions </w:t>
            </w:r>
            <w:r w:rsidRPr="002641E0">
              <w:rPr>
                <w:sz w:val="20"/>
                <w:szCs w:val="20"/>
              </w:rPr>
              <w:t>only</w:t>
            </w:r>
            <w:r w:rsidRPr="002641E0">
              <w:rPr>
                <w:sz w:val="20"/>
                <w:szCs w:val="20"/>
                <w:lang w:val="en-US"/>
              </w:rPr>
              <w:t xml:space="preserve"> </w:t>
            </w:r>
            <w:r>
              <w:rPr>
                <w:sz w:val="20"/>
                <w:szCs w:val="20"/>
                <w:lang w:val="en-US"/>
              </w:rPr>
              <w:t xml:space="preserve">from </w:t>
            </w:r>
            <w:r w:rsidRPr="002641E0">
              <w:rPr>
                <w:sz w:val="20"/>
                <w:szCs w:val="20"/>
                <w:lang w:val="en-US"/>
              </w:rPr>
              <w:t>Julius H. Grey</w:t>
            </w:r>
            <w:r>
              <w:rPr>
                <w:sz w:val="20"/>
                <w:szCs w:val="20"/>
                <w:lang w:val="en-US"/>
              </w:rPr>
              <w:t xml:space="preserve"> and </w:t>
            </w:r>
            <w:r w:rsidRPr="002641E0">
              <w:rPr>
                <w:sz w:val="20"/>
                <w:szCs w:val="20"/>
                <w:lang w:val="en-US"/>
              </w:rPr>
              <w:t>Geneviève Grey</w:t>
            </w:r>
            <w:r>
              <w:rPr>
                <w:sz w:val="20"/>
                <w:szCs w:val="20"/>
                <w:lang w:val="en-US"/>
              </w:rPr>
              <w:t xml:space="preserve"> f</w:t>
            </w:r>
            <w:r w:rsidRPr="002641E0">
              <w:rPr>
                <w:sz w:val="20"/>
                <w:szCs w:val="20"/>
                <w:lang w:val="en-US"/>
              </w:rPr>
              <w:t xml:space="preserve">or the </w:t>
            </w:r>
            <w:r>
              <w:rPr>
                <w:sz w:val="20"/>
                <w:szCs w:val="20"/>
                <w:lang w:val="en-US"/>
              </w:rPr>
              <w:t>i</w:t>
            </w:r>
            <w:r w:rsidRPr="002641E0">
              <w:rPr>
                <w:sz w:val="20"/>
                <w:szCs w:val="20"/>
                <w:lang w:val="en-US"/>
              </w:rPr>
              <w:t>ntervener</w:t>
            </w:r>
            <w:r>
              <w:rPr>
                <w:sz w:val="20"/>
                <w:szCs w:val="20"/>
                <w:lang w:val="en-US"/>
              </w:rPr>
              <w:t xml:space="preserve"> </w:t>
            </w:r>
            <w:r w:rsidRPr="002641E0">
              <w:rPr>
                <w:sz w:val="20"/>
                <w:szCs w:val="20"/>
              </w:rPr>
              <w:t>Santé Cannabis</w:t>
            </w:r>
            <w:r>
              <w:rPr>
                <w:sz w:val="20"/>
                <w:szCs w:val="20"/>
              </w:rPr>
              <w:t>.</w:t>
            </w:r>
          </w:p>
          <w:p w:rsidR="00D21A33" w:rsidRPr="002641E0" w:rsidRDefault="00D21A33" w:rsidP="00D21A33">
            <w:pPr>
              <w:tabs>
                <w:tab w:val="left" w:pos="-2970"/>
              </w:tabs>
              <w:rPr>
                <w:sz w:val="20"/>
                <w:szCs w:val="20"/>
              </w:rPr>
            </w:pPr>
          </w:p>
          <w:p w:rsidR="00852B84" w:rsidRPr="00794936" w:rsidRDefault="00D21A33" w:rsidP="00D21A33">
            <w:pPr>
              <w:widowControl w:val="0"/>
              <w:jc w:val="both"/>
              <w:rPr>
                <w:sz w:val="20"/>
                <w:szCs w:val="20"/>
              </w:rPr>
            </w:pPr>
            <w:r w:rsidRPr="002641E0">
              <w:rPr>
                <w:sz w:val="20"/>
                <w:szCs w:val="20"/>
                <w:lang w:val="en-US"/>
              </w:rPr>
              <w:t xml:space="preserve">Written submissions </w:t>
            </w:r>
            <w:r w:rsidRPr="002641E0">
              <w:rPr>
                <w:sz w:val="20"/>
                <w:szCs w:val="20"/>
              </w:rPr>
              <w:t xml:space="preserve">only </w:t>
            </w:r>
            <w:r>
              <w:rPr>
                <w:sz w:val="20"/>
                <w:szCs w:val="20"/>
              </w:rPr>
              <w:t>f</w:t>
            </w:r>
            <w:r w:rsidRPr="002641E0">
              <w:rPr>
                <w:sz w:val="20"/>
                <w:szCs w:val="20"/>
              </w:rPr>
              <w:t xml:space="preserve">or the </w:t>
            </w:r>
            <w:r>
              <w:rPr>
                <w:sz w:val="20"/>
                <w:szCs w:val="20"/>
              </w:rPr>
              <w:t>i</w:t>
            </w:r>
            <w:r w:rsidRPr="002641E0">
              <w:rPr>
                <w:sz w:val="20"/>
                <w:szCs w:val="20"/>
              </w:rPr>
              <w:t>nterveners</w:t>
            </w:r>
            <w:r>
              <w:rPr>
                <w:sz w:val="20"/>
                <w:szCs w:val="20"/>
              </w:rPr>
              <w:t xml:space="preserve"> </w:t>
            </w:r>
            <w:r w:rsidRPr="002641E0">
              <w:rPr>
                <w:sz w:val="20"/>
                <w:szCs w:val="20"/>
              </w:rPr>
              <w:t>Canadian AIDS Society et al.</w:t>
            </w:r>
          </w:p>
        </w:tc>
      </w:tr>
    </w:tbl>
    <w:p w:rsidR="00852B84" w:rsidRPr="00794936" w:rsidRDefault="00852B84" w:rsidP="00852B84">
      <w:pPr>
        <w:widowControl w:val="0"/>
        <w:rPr>
          <w:sz w:val="20"/>
          <w:szCs w:val="20"/>
        </w:rPr>
      </w:pPr>
    </w:p>
    <w:p w:rsidR="00852B84" w:rsidRPr="0085476B" w:rsidRDefault="00852B84" w:rsidP="00852B84">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852B84" w:rsidRDefault="00852B84" w:rsidP="00852B84"/>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52B84" w:rsidRPr="00EC49A7" w:rsidTr="00206566">
        <w:tc>
          <w:tcPr>
            <w:tcW w:w="4380" w:type="dxa"/>
            <w:tcMar>
              <w:left w:w="0" w:type="dxa"/>
              <w:right w:w="0" w:type="dxa"/>
            </w:tcMar>
          </w:tcPr>
          <w:p w:rsidR="00852B84" w:rsidRPr="00CC4D84" w:rsidRDefault="00852B84" w:rsidP="00206566">
            <w:pPr>
              <w:widowControl w:val="0"/>
              <w:jc w:val="both"/>
              <w:rPr>
                <w:b/>
                <w:sz w:val="20"/>
                <w:szCs w:val="20"/>
                <w:u w:val="single"/>
              </w:rPr>
            </w:pPr>
            <w:r w:rsidRPr="00CC4D84">
              <w:rPr>
                <w:b/>
                <w:sz w:val="20"/>
                <w:szCs w:val="20"/>
                <w:u w:val="single"/>
              </w:rPr>
              <w:t>Nature of the case:</w:t>
            </w:r>
          </w:p>
          <w:p w:rsidR="00852B84" w:rsidRDefault="00852B84" w:rsidP="00206566">
            <w:pPr>
              <w:pStyle w:val="SCCBanSummary"/>
              <w:rPr>
                <w:sz w:val="20"/>
                <w:szCs w:val="20"/>
              </w:rPr>
            </w:pPr>
          </w:p>
          <w:p w:rsidR="00852B84" w:rsidRPr="00C1697B" w:rsidRDefault="00D21A33" w:rsidP="00206566">
            <w:pPr>
              <w:jc w:val="both"/>
              <w:rPr>
                <w:b/>
                <w:sz w:val="20"/>
                <w:szCs w:val="20"/>
              </w:rPr>
            </w:pPr>
            <w:r w:rsidRPr="004B1F9D">
              <w:rPr>
                <w:i/>
                <w:sz w:val="20"/>
                <w:szCs w:val="20"/>
              </w:rPr>
              <w:t>Charter of Rights</w:t>
            </w:r>
            <w:r w:rsidRPr="004B1F9D">
              <w:rPr>
                <w:sz w:val="20"/>
                <w:szCs w:val="20"/>
              </w:rPr>
              <w:t xml:space="preserve"> - Right to life, liberty and security of person - Medical marihuana users limited by regulation to use of marihuana in form of dried plant material - Whether restriction in</w:t>
            </w:r>
            <w:r w:rsidRPr="004B1F9D">
              <w:rPr>
                <w:i/>
                <w:sz w:val="20"/>
                <w:szCs w:val="20"/>
              </w:rPr>
              <w:t xml:space="preserve"> Marihuana Medical Access Regulations</w:t>
            </w:r>
            <w:r w:rsidRPr="004B1F9D">
              <w:rPr>
                <w:sz w:val="20"/>
                <w:szCs w:val="20"/>
              </w:rPr>
              <w:t xml:space="preserve">, SOR/2001-227, as amended, infringes s. 7 of </w:t>
            </w:r>
            <w:r w:rsidRPr="004B1F9D">
              <w:rPr>
                <w:i/>
                <w:sz w:val="20"/>
                <w:szCs w:val="20"/>
              </w:rPr>
              <w:t xml:space="preserve">Canadian Charter of Rights and </w:t>
            </w:r>
            <w:r w:rsidRPr="004B1F9D">
              <w:rPr>
                <w:i/>
                <w:sz w:val="20"/>
                <w:szCs w:val="20"/>
              </w:rPr>
              <w:lastRenderedPageBreak/>
              <w:t>Freedoms</w:t>
            </w:r>
            <w:r w:rsidRPr="004B1F9D">
              <w:rPr>
                <w:sz w:val="20"/>
                <w:szCs w:val="20"/>
              </w:rPr>
              <w:t xml:space="preserve"> - Criminal law - Procedure - Standing - Whether respondent has standing to challenge constitutional validity of </w:t>
            </w:r>
            <w:r w:rsidRPr="004B1F9D">
              <w:rPr>
                <w:i/>
                <w:sz w:val="20"/>
                <w:szCs w:val="20"/>
              </w:rPr>
              <w:t xml:space="preserve">Marihuana Medical Access Regulations. </w:t>
            </w:r>
            <w:r w:rsidR="00852B84" w:rsidRPr="008A5E02">
              <w:rPr>
                <w:sz w:val="20"/>
                <w:szCs w:val="20"/>
              </w:rPr>
              <w:t xml:space="preserve"> </w:t>
            </w:r>
          </w:p>
        </w:tc>
        <w:tc>
          <w:tcPr>
            <w:tcW w:w="720" w:type="dxa"/>
            <w:tcMar>
              <w:left w:w="0" w:type="dxa"/>
              <w:right w:w="0" w:type="dxa"/>
            </w:tcMar>
          </w:tcPr>
          <w:p w:rsidR="00852B84" w:rsidRPr="00C1697B" w:rsidRDefault="00852B84" w:rsidP="00206566">
            <w:pPr>
              <w:widowControl w:val="0"/>
              <w:jc w:val="center"/>
              <w:rPr>
                <w:sz w:val="20"/>
                <w:szCs w:val="20"/>
              </w:rPr>
            </w:pPr>
          </w:p>
        </w:tc>
        <w:tc>
          <w:tcPr>
            <w:tcW w:w="4380" w:type="dxa"/>
            <w:tcMar>
              <w:left w:w="0" w:type="dxa"/>
              <w:right w:w="0" w:type="dxa"/>
            </w:tcMar>
          </w:tcPr>
          <w:p w:rsidR="00852B84" w:rsidRPr="00CC4D84" w:rsidRDefault="00852B84" w:rsidP="00206566">
            <w:pPr>
              <w:widowControl w:val="0"/>
              <w:jc w:val="both"/>
              <w:rPr>
                <w:b/>
                <w:sz w:val="20"/>
                <w:szCs w:val="20"/>
                <w:u w:val="single"/>
                <w:lang w:val="fr-CA"/>
              </w:rPr>
            </w:pPr>
            <w:r w:rsidRPr="00CC4D84">
              <w:rPr>
                <w:b/>
                <w:sz w:val="20"/>
                <w:szCs w:val="20"/>
                <w:u w:val="single"/>
                <w:lang w:val="fr-CA"/>
              </w:rPr>
              <w:t>Nature de la cause :</w:t>
            </w:r>
          </w:p>
          <w:p w:rsidR="00852B84" w:rsidRPr="00B54106" w:rsidRDefault="00852B84" w:rsidP="00206566">
            <w:pPr>
              <w:widowControl w:val="0"/>
              <w:ind w:left="720" w:hanging="720"/>
              <w:jc w:val="both"/>
              <w:rPr>
                <w:b/>
                <w:sz w:val="20"/>
                <w:szCs w:val="20"/>
                <w:lang w:val="fr-CA"/>
              </w:rPr>
            </w:pPr>
          </w:p>
          <w:p w:rsidR="00852B84" w:rsidRPr="00C1697B" w:rsidRDefault="00D21A33" w:rsidP="00206566">
            <w:pPr>
              <w:widowControl w:val="0"/>
              <w:jc w:val="both"/>
              <w:rPr>
                <w:sz w:val="20"/>
                <w:szCs w:val="20"/>
                <w:lang w:val="fr-CA"/>
              </w:rPr>
            </w:pPr>
            <w:r w:rsidRPr="003B6FF3">
              <w:rPr>
                <w:i/>
                <w:sz w:val="20"/>
                <w:szCs w:val="20"/>
                <w:lang w:val="fr-CA"/>
              </w:rPr>
              <w:t>Charte des droits</w:t>
            </w:r>
            <w:r w:rsidRPr="003B6FF3">
              <w:rPr>
                <w:sz w:val="20"/>
                <w:szCs w:val="20"/>
                <w:lang w:val="fr-CA"/>
              </w:rPr>
              <w:t xml:space="preserve"> - Droit à la vie, à la liberté et à la sécurité de la personne - Par application d’un règlement, les utilisateurs de marihuana à des fins médicales ne peuvent utiliser de la marihuana que sous la forme de plante séchée - Cette restriction prescrite par le</w:t>
            </w:r>
            <w:r w:rsidRPr="003B6FF3">
              <w:rPr>
                <w:i/>
                <w:sz w:val="20"/>
                <w:szCs w:val="20"/>
                <w:lang w:val="fr-CA"/>
              </w:rPr>
              <w:t xml:space="preserve"> Règlement sur l’accès à la marihuana </w:t>
            </w:r>
            <w:r w:rsidRPr="003B6FF3">
              <w:rPr>
                <w:i/>
                <w:sz w:val="20"/>
                <w:szCs w:val="20"/>
                <w:lang w:val="fr-CA"/>
              </w:rPr>
              <w:lastRenderedPageBreak/>
              <w:t>à des fins médicales</w:t>
            </w:r>
            <w:r w:rsidRPr="003B6FF3">
              <w:rPr>
                <w:sz w:val="20"/>
                <w:szCs w:val="20"/>
                <w:lang w:val="fr-CA"/>
              </w:rPr>
              <w:t xml:space="preserve">, DORS/2001-227, modifié, viole-t-elle l’art. 7 de la </w:t>
            </w:r>
            <w:r w:rsidRPr="003B6FF3">
              <w:rPr>
                <w:i/>
                <w:sz w:val="20"/>
                <w:szCs w:val="20"/>
                <w:lang w:val="fr-CA"/>
              </w:rPr>
              <w:t>Charte canadienne des droits et libertés</w:t>
            </w:r>
            <w:r w:rsidRPr="003B6FF3">
              <w:rPr>
                <w:sz w:val="20"/>
                <w:szCs w:val="20"/>
                <w:lang w:val="fr-CA"/>
              </w:rPr>
              <w:t xml:space="preserve">? - Droit criminel - Procédure - Qualité pour agir - L’intimé a-t-il qualité pour contester la validité constitutionnelle du </w:t>
            </w:r>
            <w:r w:rsidRPr="003B6FF3">
              <w:rPr>
                <w:i/>
                <w:sz w:val="20"/>
                <w:szCs w:val="20"/>
                <w:lang w:val="fr-CA"/>
              </w:rPr>
              <w:t>Règlement sur l’accès à la marihuana à des fins médicales</w:t>
            </w:r>
            <w:r w:rsidRPr="003B6FF3">
              <w:rPr>
                <w:sz w:val="20"/>
                <w:szCs w:val="20"/>
                <w:lang w:val="fr-CA"/>
              </w:rPr>
              <w:t>?</w:t>
            </w:r>
          </w:p>
        </w:tc>
      </w:tr>
    </w:tbl>
    <w:p w:rsidR="00852B84" w:rsidRDefault="00852B84" w:rsidP="00852B84">
      <w:pPr>
        <w:widowControl w:val="0"/>
        <w:rPr>
          <w:sz w:val="20"/>
          <w:szCs w:val="20"/>
          <w:lang w:val="fr-CA"/>
        </w:rPr>
      </w:pPr>
    </w:p>
    <w:p w:rsidR="00852B84" w:rsidRDefault="00173D9D" w:rsidP="007C47C2">
      <w:pPr>
        <w:widowControl w:val="0"/>
        <w:rPr>
          <w:sz w:val="20"/>
          <w:szCs w:val="20"/>
          <w:lang w:val="fr-CA"/>
        </w:rPr>
      </w:pPr>
      <w:r>
        <w:rPr>
          <w:sz w:val="20"/>
          <w:szCs w:val="20"/>
          <w:lang w:val="fr-CA"/>
        </w:rPr>
        <w:pict>
          <v:rect id="_x0000_i1080" style="width:2in;height:1pt" o:hrpct="0" o:hralign="center" o:hrstd="t" o:hrnoshade="t" o:hr="t" fillcolor="black [3213]" stroked="f"/>
        </w:pict>
      </w:r>
    </w:p>
    <w:p w:rsidR="00852B84" w:rsidRDefault="00852B84" w:rsidP="007C47C2">
      <w:pPr>
        <w:widowControl w:val="0"/>
        <w:rPr>
          <w:sz w:val="20"/>
          <w:szCs w:val="20"/>
          <w:lang w:val="fr-CA"/>
        </w:rPr>
      </w:pPr>
    </w:p>
    <w:p w:rsidR="00852B84" w:rsidRDefault="00852B84" w:rsidP="007C47C2">
      <w:pPr>
        <w:widowControl w:val="0"/>
        <w:rPr>
          <w:sz w:val="20"/>
          <w:szCs w:val="20"/>
          <w:lang w:val="fr-CA"/>
        </w:rPr>
      </w:pPr>
    </w:p>
    <w:p w:rsidR="00D74D3D" w:rsidRDefault="00D74D3D" w:rsidP="007C47C2">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C49A7"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8C7EAC" w:rsidP="0052229C">
      <w:pPr>
        <w:rPr>
          <w:b/>
          <w:sz w:val="20"/>
          <w:szCs w:val="20"/>
          <w:lang w:val="fr-CA"/>
        </w:rPr>
      </w:pPr>
      <w:r>
        <w:rPr>
          <w:b/>
          <w:sz w:val="20"/>
          <w:szCs w:val="20"/>
          <w:lang w:val="fr-CA"/>
        </w:rPr>
        <w:t>M</w:t>
      </w:r>
      <w:r w:rsidR="0052229C" w:rsidRPr="00C42C54">
        <w:rPr>
          <w:b/>
          <w:sz w:val="20"/>
          <w:szCs w:val="20"/>
          <w:lang w:val="fr-CA"/>
        </w:rPr>
        <w:t>AR</w:t>
      </w:r>
      <w:r>
        <w:rPr>
          <w:b/>
          <w:sz w:val="20"/>
          <w:szCs w:val="20"/>
          <w:lang w:val="fr-CA"/>
        </w:rPr>
        <w:t>CH</w:t>
      </w:r>
      <w:r w:rsidR="0052229C" w:rsidRPr="00C42C54">
        <w:rPr>
          <w:b/>
          <w:sz w:val="20"/>
          <w:szCs w:val="20"/>
          <w:lang w:val="fr-CA"/>
        </w:rPr>
        <w:t xml:space="preserve"> </w:t>
      </w:r>
      <w:r>
        <w:rPr>
          <w:b/>
          <w:sz w:val="20"/>
          <w:szCs w:val="20"/>
          <w:lang w:val="fr-CA"/>
        </w:rPr>
        <w:t>27</w:t>
      </w:r>
      <w:r w:rsidR="0052229C" w:rsidRPr="00C42C54">
        <w:rPr>
          <w:b/>
          <w:sz w:val="20"/>
          <w:szCs w:val="20"/>
          <w:lang w:val="fr-CA"/>
        </w:rPr>
        <w:t>, 201</w:t>
      </w:r>
      <w:r>
        <w:rPr>
          <w:b/>
          <w:sz w:val="20"/>
          <w:szCs w:val="20"/>
          <w:lang w:val="fr-CA"/>
        </w:rPr>
        <w:t>5</w:t>
      </w:r>
      <w:r w:rsidR="0052229C" w:rsidRPr="00C42C54">
        <w:rPr>
          <w:b/>
          <w:sz w:val="20"/>
          <w:szCs w:val="20"/>
          <w:lang w:val="fr-CA"/>
        </w:rPr>
        <w:t xml:space="preserve"> / LE </w:t>
      </w:r>
      <w:r>
        <w:rPr>
          <w:b/>
          <w:sz w:val="20"/>
          <w:szCs w:val="20"/>
          <w:lang w:val="fr-CA"/>
        </w:rPr>
        <w:t>27</w:t>
      </w:r>
      <w:r w:rsidR="0052229C" w:rsidRPr="00C42C54">
        <w:rPr>
          <w:b/>
          <w:sz w:val="20"/>
          <w:szCs w:val="20"/>
          <w:lang w:val="fr-CA"/>
        </w:rPr>
        <w:t xml:space="preserve"> </w:t>
      </w:r>
      <w:r>
        <w:rPr>
          <w:b/>
          <w:sz w:val="20"/>
          <w:szCs w:val="20"/>
          <w:lang w:val="fr-CA"/>
        </w:rPr>
        <w:t>M</w:t>
      </w:r>
      <w:r w:rsidR="0052229C" w:rsidRPr="00C42C54">
        <w:rPr>
          <w:b/>
          <w:sz w:val="20"/>
          <w:szCs w:val="20"/>
          <w:lang w:val="fr-CA"/>
        </w:rPr>
        <w:t>AR</w:t>
      </w:r>
      <w:r>
        <w:rPr>
          <w:b/>
          <w:sz w:val="20"/>
          <w:szCs w:val="20"/>
          <w:lang w:val="fr-CA"/>
        </w:rPr>
        <w:t>S</w:t>
      </w:r>
      <w:r w:rsidR="0052229C" w:rsidRPr="00C42C54">
        <w:rPr>
          <w:b/>
          <w:sz w:val="20"/>
          <w:szCs w:val="20"/>
          <w:lang w:val="fr-CA"/>
        </w:rPr>
        <w:t xml:space="preserve"> 201</w:t>
      </w:r>
      <w:r>
        <w:rPr>
          <w:b/>
          <w:sz w:val="20"/>
          <w:szCs w:val="20"/>
          <w:lang w:val="fr-CA"/>
        </w:rPr>
        <w:t>5</w:t>
      </w:r>
    </w:p>
    <w:p w:rsidR="0052229C" w:rsidRDefault="0052229C" w:rsidP="0052229C">
      <w:pPr>
        <w:rPr>
          <w:sz w:val="20"/>
          <w:szCs w:val="20"/>
          <w:lang w:val="fr-CA"/>
        </w:rPr>
      </w:pPr>
    </w:p>
    <w:p w:rsidR="00984F0A" w:rsidRPr="00CC6438" w:rsidRDefault="00D31263" w:rsidP="00984F0A">
      <w:pPr>
        <w:ind w:left="1440" w:hanging="1440"/>
        <w:jc w:val="both"/>
        <w:rPr>
          <w:sz w:val="20"/>
          <w:szCs w:val="20"/>
          <w:lang w:val="fr-CA"/>
        </w:rPr>
      </w:pPr>
      <w:r w:rsidRPr="00CC6438">
        <w:rPr>
          <w:b/>
          <w:sz w:val="20"/>
          <w:szCs w:val="20"/>
        </w:rPr>
        <w:fldChar w:fldCharType="begin"/>
      </w:r>
      <w:r w:rsidR="00984F0A" w:rsidRPr="00CC6438">
        <w:rPr>
          <w:b/>
          <w:sz w:val="20"/>
          <w:szCs w:val="20"/>
          <w:lang w:val="fr-CA"/>
        </w:rPr>
        <w:instrText xml:space="preserve"> SEQ CHAPTER \h \r 1</w:instrText>
      </w:r>
      <w:r w:rsidRPr="00CC6438">
        <w:rPr>
          <w:b/>
          <w:sz w:val="20"/>
          <w:szCs w:val="20"/>
        </w:rPr>
        <w:fldChar w:fldCharType="end"/>
      </w:r>
      <w:r w:rsidR="00984F0A" w:rsidRPr="00CC6438">
        <w:rPr>
          <w:b/>
          <w:sz w:val="20"/>
          <w:szCs w:val="20"/>
          <w:lang w:val="fr-CA"/>
        </w:rPr>
        <w:t>35448</w:t>
      </w:r>
      <w:r w:rsidR="00984F0A" w:rsidRPr="00CC6438">
        <w:rPr>
          <w:sz w:val="20"/>
          <w:szCs w:val="20"/>
          <w:lang w:val="fr-CA"/>
        </w:rPr>
        <w:tab/>
      </w:r>
      <w:r w:rsidR="00984F0A" w:rsidRPr="00CC6438">
        <w:rPr>
          <w:b/>
          <w:sz w:val="20"/>
          <w:szCs w:val="20"/>
          <w:u w:val="single"/>
          <w:lang w:val="fr-CA"/>
        </w:rPr>
        <w:t>Procureur général du Québec c. Procureur général du Canada, Commissaire aux armes à feu et Directeur de l’enregistrement – et – Contrôleur des armes à feu, Coalition pour le contrôle des armes et Association canadienne pour les armes à feu</w:t>
      </w:r>
      <w:r w:rsidR="00984F0A" w:rsidRPr="00CC6438">
        <w:rPr>
          <w:sz w:val="20"/>
          <w:szCs w:val="20"/>
          <w:lang w:val="fr-CA"/>
        </w:rPr>
        <w:t xml:space="preserve"> (Qc)</w:t>
      </w:r>
    </w:p>
    <w:p w:rsidR="00984F0A" w:rsidRPr="00CC6438" w:rsidRDefault="00984F0A" w:rsidP="00984F0A">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lang w:val="fr-CA"/>
        </w:rPr>
      </w:pPr>
      <w:r w:rsidRPr="00CC6438">
        <w:rPr>
          <w:b/>
          <w:sz w:val="20"/>
          <w:szCs w:val="20"/>
          <w:lang w:val="fr-CA"/>
        </w:rPr>
        <w:t>2015 SCC 14 / 2015 CSC 14</w:t>
      </w:r>
    </w:p>
    <w:p w:rsidR="00984F0A" w:rsidRPr="00CC6438" w:rsidRDefault="00984F0A" w:rsidP="00984F0A">
      <w:pPr>
        <w:ind w:left="1440" w:hanging="1440"/>
        <w:rPr>
          <w:sz w:val="20"/>
          <w:szCs w:val="20"/>
          <w:lang w:val="fr-CA"/>
        </w:rPr>
      </w:pPr>
    </w:p>
    <w:p w:rsidR="00984F0A" w:rsidRPr="00CC6438" w:rsidRDefault="00984F0A" w:rsidP="00984F0A">
      <w:pPr>
        <w:ind w:left="1440" w:hanging="1440"/>
        <w:rPr>
          <w:sz w:val="20"/>
          <w:szCs w:val="20"/>
          <w:u w:val="single"/>
          <w:lang w:val="fr-CA"/>
        </w:rPr>
      </w:pPr>
      <w:r w:rsidRPr="00CC6438">
        <w:rPr>
          <w:sz w:val="20"/>
          <w:szCs w:val="20"/>
          <w:lang w:val="fr-CA"/>
        </w:rPr>
        <w:t>Coram:</w:t>
      </w:r>
      <w:r w:rsidRPr="00CC6438">
        <w:rPr>
          <w:sz w:val="20"/>
          <w:szCs w:val="20"/>
          <w:lang w:val="fr-CA"/>
        </w:rPr>
        <w:tab/>
      </w:r>
      <w:r w:rsidRPr="00CC6438">
        <w:rPr>
          <w:sz w:val="20"/>
          <w:szCs w:val="20"/>
          <w:u w:val="single"/>
          <w:lang w:val="fr-CA"/>
        </w:rPr>
        <w:t>La juge en chef McLachlin et les juges LeBel, Abella, Rothstein, Cromwell, Moldaver, Karakatsanis, Wagner et Gascon</w:t>
      </w:r>
    </w:p>
    <w:p w:rsidR="00984F0A" w:rsidRPr="00CC6438" w:rsidRDefault="00984F0A" w:rsidP="00984F0A">
      <w:pPr>
        <w:jc w:val="both"/>
        <w:rPr>
          <w:sz w:val="20"/>
          <w:szCs w:val="20"/>
          <w:lang w:val="fr-CA"/>
        </w:rPr>
      </w:pPr>
    </w:p>
    <w:p w:rsidR="00984F0A" w:rsidRPr="00CC6438" w:rsidRDefault="00984F0A" w:rsidP="00984F0A">
      <w:pPr>
        <w:jc w:val="both"/>
        <w:rPr>
          <w:rFonts w:eastAsia="Calibri"/>
          <w:sz w:val="20"/>
          <w:szCs w:val="20"/>
          <w:lang w:val="fr-CA"/>
        </w:rPr>
      </w:pPr>
      <w:r w:rsidRPr="00CC6438">
        <w:rPr>
          <w:rFonts w:eastAsia="Calibri"/>
          <w:sz w:val="20"/>
          <w:szCs w:val="20"/>
          <w:lang w:val="fr-CA"/>
        </w:rPr>
        <w:t xml:space="preserve">L’appel interjeté contre l’arrêt de la Cour d’appel du Québec (Montréal), numéro 500-09-023030-125, 2013 QCCA 1138, en date du 27 juin 2013, entendu le 8 octobre 2014, est rejeté avec dépens devant toutes les cours. Les juges LeBel, Abella, Wagner et Gascon sont dissidents. La question constitutionnelle reçoit la réponse suivante : </w:t>
      </w:r>
    </w:p>
    <w:p w:rsidR="00984F0A" w:rsidRPr="00CC6438" w:rsidRDefault="00984F0A" w:rsidP="00984F0A">
      <w:pPr>
        <w:jc w:val="both"/>
        <w:rPr>
          <w:rFonts w:eastAsia="Calibri"/>
          <w:sz w:val="20"/>
          <w:szCs w:val="20"/>
          <w:lang w:val="fr-CA"/>
        </w:rPr>
      </w:pPr>
    </w:p>
    <w:p w:rsidR="00984F0A" w:rsidRPr="00CC6438" w:rsidRDefault="00984F0A" w:rsidP="00984F0A">
      <w:pPr>
        <w:numPr>
          <w:ilvl w:val="0"/>
          <w:numId w:val="7"/>
        </w:numPr>
        <w:ind w:left="360"/>
        <w:contextualSpacing/>
        <w:jc w:val="both"/>
        <w:rPr>
          <w:rFonts w:eastAsia="Calibri"/>
          <w:i/>
          <w:iCs/>
          <w:sz w:val="20"/>
          <w:szCs w:val="20"/>
          <w:lang w:val="fr-CA"/>
        </w:rPr>
      </w:pPr>
      <w:r w:rsidRPr="00CC6438">
        <w:rPr>
          <w:rFonts w:eastAsia="Calibri"/>
          <w:sz w:val="20"/>
          <w:szCs w:val="20"/>
          <w:lang w:val="fr-CA"/>
        </w:rPr>
        <w:t xml:space="preserve">L’article 29 de la </w:t>
      </w:r>
      <w:r w:rsidRPr="00CC6438">
        <w:rPr>
          <w:rFonts w:eastAsia="Calibri"/>
          <w:i/>
          <w:iCs/>
          <w:sz w:val="20"/>
          <w:szCs w:val="20"/>
          <w:lang w:val="fr-CA"/>
        </w:rPr>
        <w:t>Loi sur l’abolition du registre des armes d’épaule</w:t>
      </w:r>
      <w:r w:rsidRPr="00CC6438">
        <w:rPr>
          <w:rFonts w:eastAsia="Calibri"/>
          <w:sz w:val="20"/>
          <w:szCs w:val="20"/>
          <w:lang w:val="fr-CA"/>
        </w:rPr>
        <w:t xml:space="preserve">, L.C. 2012, c. 6, outrepasse-t-il les pouvoirs du Parlement en matière de droit criminel que lui confère le par. 91(27) de la </w:t>
      </w:r>
      <w:r w:rsidRPr="00CC6438">
        <w:rPr>
          <w:rFonts w:eastAsia="Calibri"/>
          <w:i/>
          <w:iCs/>
          <w:sz w:val="20"/>
          <w:szCs w:val="20"/>
          <w:lang w:val="fr-CA"/>
        </w:rPr>
        <w:t>Loi constitutionnelle de 1867</w:t>
      </w:r>
      <w:r w:rsidRPr="00CC6438">
        <w:rPr>
          <w:rFonts w:eastAsia="Calibri"/>
          <w:iCs/>
          <w:sz w:val="20"/>
          <w:szCs w:val="20"/>
          <w:lang w:val="fr-CA"/>
        </w:rPr>
        <w:t>?</w:t>
      </w:r>
    </w:p>
    <w:p w:rsidR="00984F0A" w:rsidRPr="00CC6438" w:rsidRDefault="00984F0A" w:rsidP="00984F0A">
      <w:pPr>
        <w:jc w:val="both"/>
        <w:rPr>
          <w:rFonts w:eastAsia="Calibri"/>
          <w:sz w:val="20"/>
          <w:szCs w:val="20"/>
          <w:lang w:val="fr-CA"/>
        </w:rPr>
      </w:pPr>
    </w:p>
    <w:p w:rsidR="00984F0A" w:rsidRPr="00CC6438" w:rsidRDefault="00984F0A" w:rsidP="00984F0A">
      <w:pPr>
        <w:jc w:val="both"/>
        <w:rPr>
          <w:rFonts w:eastAsia="Calibri"/>
          <w:sz w:val="20"/>
          <w:szCs w:val="20"/>
          <w:lang w:val="fr-CA"/>
        </w:rPr>
      </w:pPr>
      <w:r w:rsidRPr="00CC6438">
        <w:rPr>
          <w:rFonts w:eastAsia="Calibri"/>
          <w:sz w:val="20"/>
          <w:szCs w:val="20"/>
          <w:u w:val="single"/>
          <w:lang w:val="fr-CA"/>
        </w:rPr>
        <w:t>Réponse</w:t>
      </w:r>
      <w:r w:rsidRPr="00CC6438">
        <w:rPr>
          <w:rFonts w:eastAsia="Calibri"/>
          <w:sz w:val="20"/>
          <w:szCs w:val="20"/>
          <w:lang w:val="fr-CA"/>
        </w:rPr>
        <w:t> : Non. Les juges LeBel, Abella, Wagner et Gascon répondraient par l’affirmative.</w:t>
      </w:r>
    </w:p>
    <w:p w:rsidR="00984F0A" w:rsidRPr="00CC6438" w:rsidRDefault="00984F0A" w:rsidP="00984F0A">
      <w:pPr>
        <w:widowControl w:val="0"/>
        <w:jc w:val="both"/>
        <w:outlineLvl w:val="0"/>
        <w:rPr>
          <w:sz w:val="20"/>
          <w:szCs w:val="20"/>
          <w:lang w:val="fr-CA"/>
        </w:rPr>
      </w:pPr>
    </w:p>
    <w:p w:rsidR="00984F0A" w:rsidRPr="00CC6438" w:rsidRDefault="00984F0A" w:rsidP="00984F0A">
      <w:pPr>
        <w:widowControl w:val="0"/>
        <w:jc w:val="both"/>
        <w:outlineLvl w:val="0"/>
        <w:rPr>
          <w:sz w:val="20"/>
          <w:szCs w:val="20"/>
          <w:lang w:val="fr-CA"/>
        </w:rPr>
      </w:pPr>
    </w:p>
    <w:p w:rsidR="00984F0A" w:rsidRPr="00CC6438" w:rsidRDefault="00984F0A" w:rsidP="00984F0A">
      <w:pPr>
        <w:jc w:val="both"/>
        <w:rPr>
          <w:rFonts w:eastAsia="Calibri"/>
          <w:sz w:val="20"/>
          <w:szCs w:val="20"/>
        </w:rPr>
      </w:pPr>
      <w:r w:rsidRPr="00CC6438">
        <w:rPr>
          <w:rFonts w:eastAsia="Calibri"/>
          <w:sz w:val="20"/>
          <w:szCs w:val="20"/>
        </w:rPr>
        <w:t xml:space="preserve">The appeal from the judgment </w:t>
      </w:r>
      <w:bookmarkStart w:id="3" w:name="BM_1_"/>
      <w:bookmarkEnd w:id="3"/>
      <w:r w:rsidRPr="00CC6438">
        <w:rPr>
          <w:rFonts w:eastAsia="Calibri"/>
          <w:sz w:val="20"/>
          <w:szCs w:val="20"/>
        </w:rPr>
        <w:t>of the Court of Appeal of Quebec (Montréal), Number 500-09-023030-125, 2013 QCCA 1138, dated June 27, 2013, heard on October 8, 2014, is dismissed with costs throughout, LeBel, Abella, Wagner and Gascon JJ. dissenting. The constitutional question is answered as follows:</w:t>
      </w:r>
    </w:p>
    <w:p w:rsidR="00984F0A" w:rsidRPr="00CC6438" w:rsidRDefault="00984F0A" w:rsidP="00984F0A">
      <w:pPr>
        <w:rPr>
          <w:rFonts w:eastAsia="Calibri"/>
          <w:sz w:val="20"/>
          <w:szCs w:val="20"/>
        </w:rPr>
      </w:pPr>
    </w:p>
    <w:p w:rsidR="00984F0A" w:rsidRPr="00CC6438" w:rsidRDefault="00984F0A" w:rsidP="00984F0A">
      <w:pPr>
        <w:numPr>
          <w:ilvl w:val="0"/>
          <w:numId w:val="8"/>
        </w:numPr>
        <w:ind w:left="316" w:hanging="316"/>
        <w:contextualSpacing/>
        <w:jc w:val="both"/>
        <w:rPr>
          <w:rFonts w:eastAsia="Calibri"/>
          <w:sz w:val="20"/>
          <w:szCs w:val="20"/>
        </w:rPr>
      </w:pPr>
      <w:r w:rsidRPr="00CC6438">
        <w:rPr>
          <w:rFonts w:eastAsia="Calibri"/>
          <w:sz w:val="20"/>
          <w:szCs w:val="20"/>
        </w:rPr>
        <w:t xml:space="preserve">Is s. 29 of the </w:t>
      </w:r>
      <w:r w:rsidRPr="00CC6438">
        <w:rPr>
          <w:rFonts w:eastAsia="Calibri"/>
          <w:i/>
          <w:sz w:val="20"/>
          <w:szCs w:val="20"/>
        </w:rPr>
        <w:t>Ending the Long-gun Registry Act</w:t>
      </w:r>
      <w:r w:rsidRPr="00CC6438">
        <w:rPr>
          <w:rFonts w:eastAsia="Calibri"/>
          <w:sz w:val="20"/>
          <w:szCs w:val="20"/>
        </w:rPr>
        <w:t xml:space="preserve">, S.C. 2012, c. 6, </w:t>
      </w:r>
      <w:r w:rsidRPr="00CC6438">
        <w:rPr>
          <w:rFonts w:eastAsia="Calibri"/>
          <w:i/>
          <w:sz w:val="20"/>
          <w:szCs w:val="20"/>
        </w:rPr>
        <w:t>ultra vires</w:t>
      </w:r>
      <w:r w:rsidRPr="00CC6438">
        <w:rPr>
          <w:rFonts w:eastAsia="Calibri"/>
          <w:sz w:val="20"/>
          <w:szCs w:val="20"/>
        </w:rPr>
        <w:t xml:space="preserve"> Parliament having regard to its criminal law power under s. 91(27) of the </w:t>
      </w:r>
      <w:r w:rsidRPr="00CC6438">
        <w:rPr>
          <w:rFonts w:eastAsia="Calibri"/>
          <w:i/>
          <w:sz w:val="20"/>
          <w:szCs w:val="20"/>
        </w:rPr>
        <w:t>Constitution Act, 1867</w:t>
      </w:r>
      <w:r w:rsidRPr="00CC6438">
        <w:rPr>
          <w:rFonts w:eastAsia="Calibri"/>
          <w:sz w:val="20"/>
          <w:szCs w:val="20"/>
        </w:rPr>
        <w:t>?</w:t>
      </w:r>
    </w:p>
    <w:p w:rsidR="00984F0A" w:rsidRPr="00CC6438" w:rsidRDefault="00984F0A" w:rsidP="00984F0A">
      <w:pPr>
        <w:jc w:val="both"/>
        <w:rPr>
          <w:rFonts w:eastAsia="Calibri"/>
          <w:sz w:val="20"/>
          <w:szCs w:val="20"/>
        </w:rPr>
      </w:pPr>
    </w:p>
    <w:p w:rsidR="00984F0A" w:rsidRPr="00CC6438" w:rsidRDefault="00984F0A" w:rsidP="00984F0A">
      <w:pPr>
        <w:jc w:val="both"/>
        <w:rPr>
          <w:rFonts w:eastAsia="Calibri"/>
          <w:sz w:val="20"/>
          <w:szCs w:val="20"/>
        </w:rPr>
      </w:pPr>
      <w:r w:rsidRPr="00CC6438">
        <w:rPr>
          <w:rFonts w:eastAsia="Calibri"/>
          <w:sz w:val="20"/>
          <w:szCs w:val="20"/>
          <w:u w:val="single"/>
        </w:rPr>
        <w:t>Answer</w:t>
      </w:r>
      <w:r w:rsidRPr="00CC6438">
        <w:rPr>
          <w:rFonts w:eastAsia="Calibri"/>
          <w:sz w:val="20"/>
          <w:szCs w:val="20"/>
        </w:rPr>
        <w:t>: No. LeBel, Abella, Wagner and Gascon JJ. would answer in the affirmative.</w:t>
      </w:r>
    </w:p>
    <w:p w:rsidR="00984F0A" w:rsidRPr="00984F0A" w:rsidRDefault="00984F0A" w:rsidP="0052229C">
      <w:pPr>
        <w:rPr>
          <w:sz w:val="20"/>
          <w:szCs w:val="20"/>
        </w:rPr>
      </w:pPr>
    </w:p>
    <w:p w:rsidR="0052229C" w:rsidRPr="003B3977" w:rsidRDefault="00173D9D" w:rsidP="0052229C">
      <w:pPr>
        <w:spacing w:line="0" w:lineRule="atLeast"/>
        <w:rPr>
          <w:sz w:val="20"/>
          <w:szCs w:val="20"/>
        </w:rPr>
      </w:pPr>
      <w:r>
        <w:rPr>
          <w:b/>
          <w:sz w:val="20"/>
          <w:szCs w:val="20"/>
        </w:rPr>
        <w:pict>
          <v:rect id="_x0000_i1083"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01"/>
          <w:headerReference w:type="default" r:id="rId102"/>
          <w:footerReference w:type="even" r:id="rId103"/>
          <w:footerReference w:type="default" r:id="rId104"/>
          <w:headerReference w:type="first" r:id="rId105"/>
          <w:footerReference w:type="first" r:id="rId10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93E04" w:rsidRPr="00375123" w:rsidRDefault="00193E04" w:rsidP="0052229C">
      <w:pPr>
        <w:ind w:left="1440" w:hanging="1440"/>
        <w:jc w:val="both"/>
        <w:rPr>
          <w:sz w:val="20"/>
          <w:szCs w:val="20"/>
          <w:lang w:val="fr-CA"/>
        </w:rPr>
      </w:pPr>
      <w:r w:rsidRPr="00517E88">
        <w:rPr>
          <w:i/>
          <w:sz w:val="20"/>
          <w:szCs w:val="20"/>
          <w:lang w:val="fr-CA"/>
        </w:rPr>
        <w:t xml:space="preserve">Procureur général du Québec c. Procureur général du Canada et autres </w:t>
      </w:r>
      <w:r w:rsidRPr="00517E88">
        <w:rPr>
          <w:sz w:val="20"/>
          <w:szCs w:val="20"/>
          <w:lang w:val="fr-CA"/>
        </w:rPr>
        <w:t>(Qc) (</w:t>
      </w:r>
      <w:hyperlink r:id="rId107" w:history="1">
        <w:r w:rsidRPr="00517E88">
          <w:rPr>
            <w:rStyle w:val="Hyperlink"/>
            <w:sz w:val="20"/>
            <w:szCs w:val="20"/>
            <w:lang w:val="fr-CA"/>
          </w:rPr>
          <w:t>35448</w:t>
        </w:r>
      </w:hyperlink>
      <w:r w:rsidRPr="00517E88">
        <w:rPr>
          <w:sz w:val="20"/>
          <w:szCs w:val="20"/>
          <w:lang w:val="fr-CA"/>
        </w:rPr>
        <w:t>)</w:t>
      </w:r>
      <w:r w:rsidR="00D31263" w:rsidRPr="00517E88">
        <w:rPr>
          <w:sz w:val="20"/>
          <w:szCs w:val="20"/>
          <w:lang w:val="fr-CA"/>
        </w:rPr>
        <w:fldChar w:fldCharType="begin"/>
      </w:r>
      <w:r w:rsidRPr="00517E88">
        <w:rPr>
          <w:sz w:val="20"/>
          <w:szCs w:val="20"/>
          <w:lang w:val="fr-CA"/>
        </w:rPr>
        <w:instrText xml:space="preserve"> SEQ CHAPTER \h \r 1</w:instrText>
      </w:r>
      <w:r w:rsidR="00D31263" w:rsidRPr="00517E88">
        <w:rPr>
          <w:sz w:val="20"/>
          <w:szCs w:val="20"/>
        </w:rPr>
        <w:fldChar w:fldCharType="end"/>
      </w:r>
    </w:p>
    <w:p w:rsidR="00EC49A7" w:rsidRPr="00EC49A7" w:rsidRDefault="00EC49A7" w:rsidP="00EC49A7">
      <w:pPr>
        <w:jc w:val="both"/>
        <w:outlineLvl w:val="0"/>
        <w:rPr>
          <w:b/>
          <w:sz w:val="20"/>
          <w:szCs w:val="20"/>
        </w:rPr>
      </w:pPr>
      <w:r w:rsidRPr="007415CF">
        <w:rPr>
          <w:b/>
          <w:sz w:val="20"/>
          <w:szCs w:val="20"/>
        </w:rPr>
        <w:t xml:space="preserve">Indexed as: </w:t>
      </w:r>
      <w:r w:rsidRPr="00EC49A7">
        <w:rPr>
          <w:rStyle w:val="SCCAppellantForIndexChar"/>
          <w:rFonts w:eastAsiaTheme="minorHAnsi"/>
          <w:sz w:val="20"/>
          <w:lang w:val="en-CA"/>
        </w:rPr>
        <w:t>Quebec (Attorney General)</w:t>
      </w:r>
      <w:r w:rsidRPr="007415CF">
        <w:rPr>
          <w:b/>
          <w:sz w:val="20"/>
          <w:szCs w:val="20"/>
        </w:rPr>
        <w:t xml:space="preserve"> </w:t>
      </w:r>
      <w:r w:rsidRPr="007415CF">
        <w:rPr>
          <w:b/>
          <w:i/>
          <w:sz w:val="20"/>
          <w:szCs w:val="20"/>
        </w:rPr>
        <w:t>v.</w:t>
      </w:r>
      <w:r w:rsidRPr="007415CF">
        <w:rPr>
          <w:b/>
          <w:sz w:val="20"/>
          <w:szCs w:val="20"/>
        </w:rPr>
        <w:t xml:space="preserve"> Canada (</w:t>
      </w:r>
      <w:r w:rsidRPr="007415CF">
        <w:rPr>
          <w:rStyle w:val="SCCRespondentForIndexChar"/>
          <w:rFonts w:eastAsiaTheme="minorHAnsi"/>
          <w:sz w:val="20"/>
        </w:rPr>
        <w:t>Attorney General)</w:t>
      </w:r>
      <w:r>
        <w:rPr>
          <w:rStyle w:val="SCCRespondentForIndexChar"/>
          <w:rFonts w:eastAsiaTheme="minorHAnsi"/>
          <w:sz w:val="20"/>
        </w:rPr>
        <w:t xml:space="preserve"> /</w:t>
      </w:r>
    </w:p>
    <w:p w:rsidR="00EC49A7" w:rsidRPr="00F8789C" w:rsidRDefault="00EC49A7" w:rsidP="00EC49A7">
      <w:pPr>
        <w:jc w:val="both"/>
        <w:outlineLvl w:val="0"/>
        <w:rPr>
          <w:b/>
          <w:sz w:val="20"/>
          <w:szCs w:val="20"/>
          <w:lang w:val="fr-CA"/>
        </w:rPr>
      </w:pPr>
      <w:r w:rsidRPr="00F8789C">
        <w:rPr>
          <w:b/>
          <w:sz w:val="20"/>
          <w:szCs w:val="20"/>
          <w:lang w:val="fr-CA"/>
        </w:rPr>
        <w:t xml:space="preserve">Répertorié : Québec (Procureur général) </w:t>
      </w:r>
      <w:r w:rsidRPr="00F8789C">
        <w:rPr>
          <w:b/>
          <w:i/>
          <w:sz w:val="20"/>
          <w:szCs w:val="20"/>
          <w:lang w:val="fr-CA"/>
        </w:rPr>
        <w:t>c.</w:t>
      </w:r>
      <w:r w:rsidRPr="00F8789C">
        <w:rPr>
          <w:b/>
          <w:sz w:val="20"/>
          <w:szCs w:val="20"/>
          <w:lang w:val="fr-CA"/>
        </w:rPr>
        <w:t xml:space="preserve"> Canada (Procureur général)</w:t>
      </w:r>
    </w:p>
    <w:p w:rsidR="0052229C" w:rsidRPr="00193E04" w:rsidRDefault="0052229C" w:rsidP="0052229C">
      <w:pPr>
        <w:pStyle w:val="SCCSystemYear"/>
        <w:jc w:val="both"/>
        <w:rPr>
          <w:sz w:val="20"/>
        </w:rPr>
      </w:pPr>
      <w:r w:rsidRPr="00193E04">
        <w:rPr>
          <w:sz w:val="20"/>
        </w:rPr>
        <w:t>Neutral citation:  201</w:t>
      </w:r>
      <w:r w:rsidR="00020DC3" w:rsidRPr="00193E04">
        <w:rPr>
          <w:sz w:val="20"/>
        </w:rPr>
        <w:t>5</w:t>
      </w:r>
      <w:r w:rsidRPr="00193E04">
        <w:rPr>
          <w:sz w:val="20"/>
        </w:rPr>
        <w:t xml:space="preserve"> SCC 1</w:t>
      </w:r>
      <w:r w:rsidR="00193E04">
        <w:rPr>
          <w:sz w:val="20"/>
        </w:rPr>
        <w:t>4</w:t>
      </w:r>
      <w:r w:rsidRPr="00193E04">
        <w:rPr>
          <w:sz w:val="20"/>
        </w:rPr>
        <w:t xml:space="preserve"> / Référence neutre : 201</w:t>
      </w:r>
      <w:r w:rsidR="00020DC3" w:rsidRPr="00193E04">
        <w:rPr>
          <w:sz w:val="20"/>
        </w:rPr>
        <w:t>5</w:t>
      </w:r>
      <w:r w:rsidRPr="00193E04">
        <w:rPr>
          <w:sz w:val="20"/>
        </w:rPr>
        <w:t xml:space="preserve"> CSC 1</w:t>
      </w:r>
      <w:r w:rsidR="00193E04">
        <w:rPr>
          <w:sz w:val="20"/>
        </w:rPr>
        <w:t>4</w:t>
      </w:r>
    </w:p>
    <w:p w:rsidR="0052229C" w:rsidRPr="00193E04" w:rsidRDefault="0052229C" w:rsidP="0052229C">
      <w:pPr>
        <w:rPr>
          <w:rFonts w:cs="Times New Roman"/>
          <w:sz w:val="20"/>
          <w:szCs w:val="20"/>
          <w:lang w:val="fr-CA"/>
        </w:rPr>
      </w:pPr>
      <w:r w:rsidRPr="00193E04">
        <w:rPr>
          <w:rFonts w:cs="Times New Roman"/>
          <w:sz w:val="20"/>
          <w:szCs w:val="20"/>
          <w:lang w:val="fr-CA"/>
        </w:rPr>
        <w:t xml:space="preserve">Hearing:  </w:t>
      </w:r>
      <w:r w:rsidR="00EC49A7">
        <w:rPr>
          <w:rFonts w:cs="Times New Roman"/>
          <w:sz w:val="20"/>
          <w:szCs w:val="20"/>
          <w:lang w:val="fr-CA"/>
        </w:rPr>
        <w:t>October</w:t>
      </w:r>
      <w:r w:rsidRPr="00193E04">
        <w:rPr>
          <w:rFonts w:cs="Times New Roman"/>
          <w:sz w:val="20"/>
          <w:szCs w:val="20"/>
          <w:lang w:val="fr-CA"/>
        </w:rPr>
        <w:t xml:space="preserve"> </w:t>
      </w:r>
      <w:r w:rsidR="00EC49A7">
        <w:rPr>
          <w:rFonts w:cs="Times New Roman"/>
          <w:sz w:val="20"/>
          <w:szCs w:val="20"/>
          <w:lang w:val="fr-CA"/>
        </w:rPr>
        <w:t>8</w:t>
      </w:r>
      <w:r w:rsidRPr="00193E04">
        <w:rPr>
          <w:rFonts w:cs="Times New Roman"/>
          <w:sz w:val="20"/>
          <w:szCs w:val="20"/>
          <w:lang w:val="fr-CA"/>
        </w:rPr>
        <w:t>, 201</w:t>
      </w:r>
      <w:r w:rsidR="00020DC3" w:rsidRPr="00193E04">
        <w:rPr>
          <w:rFonts w:cs="Times New Roman"/>
          <w:sz w:val="20"/>
          <w:szCs w:val="20"/>
          <w:lang w:val="fr-CA"/>
        </w:rPr>
        <w:t>4</w:t>
      </w:r>
      <w:r w:rsidRPr="00193E04">
        <w:rPr>
          <w:rFonts w:cs="Times New Roman"/>
          <w:sz w:val="20"/>
          <w:szCs w:val="20"/>
          <w:lang w:val="fr-CA"/>
        </w:rPr>
        <w:t xml:space="preserve"> / Judgment:  </w:t>
      </w:r>
      <w:r w:rsidR="00193E04">
        <w:rPr>
          <w:rFonts w:cs="Times New Roman"/>
          <w:sz w:val="20"/>
          <w:szCs w:val="20"/>
          <w:lang w:val="fr-CA"/>
        </w:rPr>
        <w:t>M</w:t>
      </w:r>
      <w:r w:rsidRPr="00193E04">
        <w:rPr>
          <w:rFonts w:cs="Times New Roman"/>
          <w:sz w:val="20"/>
          <w:szCs w:val="20"/>
          <w:lang w:val="fr-CA"/>
        </w:rPr>
        <w:t>ar</w:t>
      </w:r>
      <w:r w:rsidR="00193E04">
        <w:rPr>
          <w:rFonts w:cs="Times New Roman"/>
          <w:sz w:val="20"/>
          <w:szCs w:val="20"/>
          <w:lang w:val="fr-CA"/>
        </w:rPr>
        <w:t>ch</w:t>
      </w:r>
      <w:r w:rsidRPr="00193E04">
        <w:rPr>
          <w:rFonts w:cs="Times New Roman"/>
          <w:sz w:val="20"/>
          <w:szCs w:val="20"/>
          <w:lang w:val="fr-CA"/>
        </w:rPr>
        <w:t xml:space="preserve"> </w:t>
      </w:r>
      <w:r w:rsidR="00193E04">
        <w:rPr>
          <w:rFonts w:cs="Times New Roman"/>
          <w:sz w:val="20"/>
          <w:szCs w:val="20"/>
          <w:lang w:val="fr-CA"/>
        </w:rPr>
        <w:t>27</w:t>
      </w:r>
      <w:r w:rsidRPr="00193E04">
        <w:rPr>
          <w:rFonts w:cs="Times New Roman"/>
          <w:sz w:val="20"/>
          <w:szCs w:val="20"/>
          <w:lang w:val="fr-CA"/>
        </w:rPr>
        <w:t>, 201</w:t>
      </w:r>
      <w:r w:rsidR="00020DC3" w:rsidRPr="00193E04">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EC49A7">
        <w:rPr>
          <w:rFonts w:cs="Times New Roman"/>
          <w:sz w:val="20"/>
          <w:szCs w:val="20"/>
          <w:lang w:val="fr-CA"/>
        </w:rPr>
        <w:t>8</w:t>
      </w:r>
      <w:r w:rsidRPr="003B3977">
        <w:rPr>
          <w:rFonts w:cs="Times New Roman"/>
          <w:sz w:val="20"/>
          <w:szCs w:val="20"/>
          <w:lang w:val="fr-CA"/>
        </w:rPr>
        <w:t xml:space="preserve"> </w:t>
      </w:r>
      <w:r w:rsidR="00EC49A7">
        <w:rPr>
          <w:rFonts w:cs="Times New Roman"/>
          <w:sz w:val="20"/>
          <w:szCs w:val="20"/>
          <w:lang w:val="fr-CA"/>
        </w:rPr>
        <w:t>octob</w:t>
      </w:r>
      <w:r w:rsidRPr="003B3977">
        <w:rPr>
          <w:rFonts w:cs="Times New Roman"/>
          <w:sz w:val="20"/>
          <w:szCs w:val="20"/>
          <w:lang w:val="fr-CA"/>
        </w:rPr>
        <w:t>r</w:t>
      </w:r>
      <w:r w:rsidR="00EC49A7">
        <w:rPr>
          <w:rFonts w:cs="Times New Roman"/>
          <w:sz w:val="20"/>
          <w:szCs w:val="20"/>
          <w:lang w:val="fr-CA"/>
        </w:rPr>
        <w:t>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193E04">
        <w:rPr>
          <w:rFonts w:cs="Times New Roman"/>
          <w:sz w:val="20"/>
          <w:szCs w:val="20"/>
          <w:lang w:val="fr-CA"/>
        </w:rPr>
        <w:t>27</w:t>
      </w:r>
      <w:r>
        <w:rPr>
          <w:rFonts w:cs="Times New Roman"/>
          <w:sz w:val="20"/>
          <w:szCs w:val="20"/>
          <w:lang w:val="fr-CA"/>
        </w:rPr>
        <w:t xml:space="preserve"> </w:t>
      </w:r>
      <w:r w:rsidR="00193E04">
        <w:rPr>
          <w:rFonts w:cs="Times New Roman"/>
          <w:sz w:val="20"/>
          <w:szCs w:val="20"/>
          <w:lang w:val="fr-CA"/>
        </w:rPr>
        <w:t>m</w:t>
      </w:r>
      <w:r>
        <w:rPr>
          <w:rFonts w:cs="Times New Roman"/>
          <w:sz w:val="20"/>
          <w:szCs w:val="20"/>
          <w:lang w:val="fr-CA"/>
        </w:rPr>
        <w:t>ar</w:t>
      </w:r>
      <w:r w:rsidR="00193E04">
        <w:rPr>
          <w:rFonts w:cs="Times New Roman"/>
          <w:sz w:val="20"/>
          <w:szCs w:val="20"/>
          <w:lang w:val="fr-CA"/>
        </w:rPr>
        <w:t>s</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173D9D" w:rsidP="005C6840">
      <w:pPr>
        <w:rPr>
          <w:rFonts w:cs="Times New Roman"/>
          <w:sz w:val="20"/>
          <w:szCs w:val="20"/>
          <w:lang w:val="fr-CA"/>
        </w:rPr>
      </w:pPr>
      <w:r>
        <w:rPr>
          <w:rFonts w:cs="Times New Roman"/>
          <w:i/>
          <w:sz w:val="20"/>
          <w:szCs w:val="20"/>
        </w:rPr>
        <w:pict>
          <v:rect id="_x0000_i108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EC49A7" w:rsidRPr="00F8789C" w:rsidRDefault="00EC49A7" w:rsidP="00EC49A7">
      <w:pPr>
        <w:jc w:val="both"/>
        <w:rPr>
          <w:sz w:val="20"/>
          <w:szCs w:val="20"/>
          <w:lang w:val="fr-CA"/>
        </w:rPr>
      </w:pPr>
      <w:r w:rsidRPr="00F8789C">
        <w:rPr>
          <w:sz w:val="20"/>
          <w:szCs w:val="20"/>
          <w:lang w:val="fr-CA"/>
        </w:rPr>
        <w:t>Présents : La juge en chef McLachlin et les juges LeBel, Abella, Rothstein, Cromwell, Moldaver, Karakatsanis, Wagner et Gascon.</w:t>
      </w:r>
    </w:p>
    <w:p w:rsidR="00EC49A7" w:rsidRDefault="00EC49A7" w:rsidP="00EC49A7">
      <w:pPr>
        <w:jc w:val="both"/>
        <w:outlineLvl w:val="0"/>
        <w:rPr>
          <w:smallCaps/>
          <w:sz w:val="20"/>
          <w:lang w:val="fr-CA"/>
        </w:rPr>
      </w:pPr>
    </w:p>
    <w:p w:rsidR="00EC49A7" w:rsidRPr="00F8789C" w:rsidRDefault="00EC49A7" w:rsidP="00EC49A7">
      <w:pPr>
        <w:pStyle w:val="SCCNormalDoubleSpacing"/>
        <w:spacing w:line="240" w:lineRule="auto"/>
        <w:rPr>
          <w:i/>
          <w:sz w:val="20"/>
          <w:lang w:val="fr-CA"/>
        </w:rPr>
      </w:pPr>
      <w:r w:rsidRPr="00F8789C">
        <w:rPr>
          <w:sz w:val="20"/>
          <w:lang w:val="fr-CA"/>
        </w:rPr>
        <w:tab/>
      </w:r>
      <w:r w:rsidRPr="00F8789C">
        <w:rPr>
          <w:i/>
          <w:sz w:val="20"/>
          <w:lang w:val="fr-CA"/>
        </w:rPr>
        <w:t>Droit constitutionnel — Partage des compétences — Droit criminel — Classification sur le plan constitutionnel d’une loi d’abrogation — Armes à feu — Loi fédérale qui abolit le registre des armes d’épaule contient également une disposition prévoyant la destruction des données sur l’enregistrement de ces armes — Contestation par le Québec de la constitutionnalité de la disposition relative à la destruction et demande du Québec que le gouvernement fédéral lui transmette les données relatives à la province — Le principe du fédéralisme coopératif empêche</w:t>
      </w:r>
      <w:r w:rsidRPr="00F8789C">
        <w:rPr>
          <w:i/>
          <w:sz w:val="20"/>
          <w:lang w:val="fr-CA"/>
        </w:rPr>
        <w:noBreakHyphen/>
        <w:t>t</w:t>
      </w:r>
      <w:r w:rsidRPr="00F8789C">
        <w:rPr>
          <w:i/>
          <w:sz w:val="20"/>
          <w:lang w:val="fr-CA"/>
        </w:rPr>
        <w:noBreakHyphen/>
        <w:t>il le Parlement de légiférer pour détruire les données? — La disposition relative à la destruction outrepasse</w:t>
      </w:r>
      <w:r w:rsidRPr="00F8789C">
        <w:rPr>
          <w:i/>
          <w:sz w:val="20"/>
          <w:lang w:val="fr-CA"/>
        </w:rPr>
        <w:noBreakHyphen/>
        <w:t>t</w:t>
      </w:r>
      <w:r w:rsidRPr="00F8789C">
        <w:rPr>
          <w:i/>
          <w:sz w:val="20"/>
          <w:lang w:val="fr-CA"/>
        </w:rPr>
        <w:noBreakHyphen/>
        <w:t>elle la compétence du Parlement en matière de droit criminel? — Le Québec a</w:t>
      </w:r>
      <w:r w:rsidRPr="00F8789C">
        <w:rPr>
          <w:i/>
          <w:sz w:val="20"/>
          <w:lang w:val="fr-CA"/>
        </w:rPr>
        <w:noBreakHyphen/>
        <w:t>t</w:t>
      </w:r>
      <w:r w:rsidRPr="00F8789C">
        <w:rPr>
          <w:i/>
          <w:sz w:val="20"/>
          <w:lang w:val="fr-CA"/>
        </w:rPr>
        <w:noBreakHyphen/>
        <w:t>il le droit de recevoir du gouvernement fédéral les données sur l’enregistrement des armes d’épaule? — Loi constitutionnelle de 1867, art. 91(27) — Loi sur l’abolition du registre des armes d’épaule, L.C. 2012, c. 6, art. 29.</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Adoptée en 1995, la </w:t>
      </w:r>
      <w:r w:rsidRPr="00F8789C">
        <w:rPr>
          <w:i/>
          <w:sz w:val="20"/>
          <w:lang w:val="fr-CA"/>
        </w:rPr>
        <w:t xml:space="preserve">Loi sur les armes à feu </w:t>
      </w:r>
      <w:r w:rsidRPr="00F8789C">
        <w:rPr>
          <w:sz w:val="20"/>
          <w:lang w:val="fr-CA"/>
        </w:rPr>
        <w:t xml:space="preserve">a créé un régime complet obligeant tous les détenteurs d’armes à feu, dont ceux qui possèdent une arme d’épaule, à obtenir un permis et à enregistrer leurs armes. Elle a aussi érigé en infraction criminelle la possession d’une arme à feu non enregistrée. La </w:t>
      </w:r>
      <w:r w:rsidRPr="00F8789C">
        <w:rPr>
          <w:i/>
          <w:sz w:val="20"/>
          <w:lang w:val="fr-CA"/>
        </w:rPr>
        <w:t xml:space="preserve">Loi sur les armes à feu </w:t>
      </w:r>
      <w:r w:rsidRPr="00F8789C">
        <w:rPr>
          <w:sz w:val="20"/>
          <w:lang w:val="fr-CA"/>
        </w:rPr>
        <w:t xml:space="preserve">prévoyait la création de deux types de registre : le Registre canadien des armes à feu (« RCAF »), qui est tenu par le directeur de l’enregistrement des armes à feu et contient des fichiers relatifs aux certificats d’enregistrement des armes prohibées, armes à autorisation restreinte et armes d’épaule acquises, transférées ou détenues au Canada, ainsi qu’un registre tenu par le contrôleur des armes à feu (« Contrôleur ») nommé pour chaque province et territoire. Ce registre contient des fichiers sur les permis et autorisations d’arme à feu délivrés ou révoqués. Le directeur de l’enregistrement et les contrôleurs pouvaient accéder à tous les fichiers grâce à une seule base de données électronique, mais le pouvoir légal des contrôleurs ne leur permettait que d’ajouter et de modifier les données dans leur registre de permis respectif. </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En 2012, le Parlement a adopté la </w:t>
      </w:r>
      <w:r w:rsidRPr="00F8789C">
        <w:rPr>
          <w:i/>
          <w:sz w:val="20"/>
          <w:lang w:val="fr-CA"/>
        </w:rPr>
        <w:t xml:space="preserve">Loi sur l’abolition du registre des armes d’épaule </w:t>
      </w:r>
      <w:r w:rsidRPr="00F8789C">
        <w:rPr>
          <w:sz w:val="20"/>
          <w:lang w:val="fr-CA"/>
        </w:rPr>
        <w:t>(« </w:t>
      </w:r>
      <w:r w:rsidRPr="00F8789C">
        <w:rPr>
          <w:i/>
          <w:sz w:val="20"/>
          <w:lang w:val="fr-CA"/>
        </w:rPr>
        <w:t>LARA </w:t>
      </w:r>
      <w:r w:rsidRPr="00F8789C">
        <w:rPr>
          <w:sz w:val="20"/>
          <w:lang w:val="fr-CA"/>
        </w:rPr>
        <w:t xml:space="preserve">»), qui supprimait l’obligation d’enregistrer les armes d’épaule et décriminalisait la possession d’une arme d’épaule non enregistrée. L’article 29 de la </w:t>
      </w:r>
      <w:r w:rsidRPr="00F8789C">
        <w:rPr>
          <w:i/>
          <w:sz w:val="20"/>
          <w:lang w:val="fr-CA"/>
        </w:rPr>
        <w:t>LARA</w:t>
      </w:r>
      <w:r w:rsidRPr="00F8789C">
        <w:rPr>
          <w:sz w:val="20"/>
          <w:lang w:val="fr-CA"/>
        </w:rPr>
        <w:t xml:space="preserve"> exige la destruction de tous les fichiers relatifs à l’enregistrement des armes d’épaule qui se trouvent dans les registres. Le Québec a réagi en faisant part de son intention de créer son propre registre des armes d’épaule et en demandant aux autorités fédérales les données du RCAF qui ont un lien avec le Québec. Le Canada a refusé et affirmé clairement qu’il entendait détruire de façon permanente toutes les données relatives à l’enregistrement des armes d’épaule. Face à ce refus, le Québec a demandé un jugement déclaratoire portant que l’art. 29 de la </w:t>
      </w:r>
      <w:r w:rsidRPr="00F8789C">
        <w:rPr>
          <w:i/>
          <w:sz w:val="20"/>
          <w:lang w:val="fr-CA"/>
        </w:rPr>
        <w:t>LARA</w:t>
      </w:r>
      <w:r w:rsidRPr="00F8789C">
        <w:rPr>
          <w:sz w:val="20"/>
          <w:lang w:val="fr-CA"/>
        </w:rPr>
        <w:t xml:space="preserve"> est </w:t>
      </w:r>
      <w:r w:rsidRPr="00F8789C">
        <w:rPr>
          <w:i/>
          <w:sz w:val="20"/>
          <w:lang w:val="fr-CA"/>
        </w:rPr>
        <w:t>ultra vires</w:t>
      </w:r>
      <w:r w:rsidRPr="00F8789C">
        <w:rPr>
          <w:sz w:val="20"/>
          <w:lang w:val="fr-CA"/>
        </w:rPr>
        <w:t xml:space="preserve"> et que le Québec a le droit d’obtenir les données.  </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La Cour supérieure du Québec a déclaré l’art. 29 de la </w:t>
      </w:r>
      <w:r w:rsidRPr="00F8789C">
        <w:rPr>
          <w:i/>
          <w:sz w:val="20"/>
          <w:lang w:val="fr-CA"/>
        </w:rPr>
        <w:t xml:space="preserve">LARA </w:t>
      </w:r>
      <w:r w:rsidRPr="00F8789C">
        <w:rPr>
          <w:sz w:val="20"/>
          <w:lang w:val="fr-CA"/>
        </w:rPr>
        <w:t>inconstitutionnel dans le cas des données liées au Québec et a ordonné au Canada de transférer ces données à la province. La Cour d’appel du Québec a infirmé cette décision.</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r>
      <w:r w:rsidRPr="00F8789C">
        <w:rPr>
          <w:i/>
          <w:sz w:val="20"/>
          <w:lang w:val="fr-CA"/>
        </w:rPr>
        <w:t xml:space="preserve">Arrêt </w:t>
      </w:r>
      <w:r w:rsidRPr="00F8789C">
        <w:rPr>
          <w:sz w:val="20"/>
          <w:lang w:val="fr-CA"/>
        </w:rPr>
        <w:t xml:space="preserve">(les juges LeBel, Abella, Wagner et Gascon sont dissidents) : Le pourvoi est rejeté. L’article 29 de la </w:t>
      </w:r>
      <w:r w:rsidRPr="00F8789C">
        <w:rPr>
          <w:i/>
          <w:sz w:val="20"/>
          <w:lang w:val="fr-CA"/>
        </w:rPr>
        <w:t>LARA</w:t>
      </w:r>
      <w:r w:rsidRPr="00F8789C">
        <w:rPr>
          <w:sz w:val="20"/>
          <w:lang w:val="fr-CA"/>
        </w:rPr>
        <w:t xml:space="preserve"> est constitutionnel et le Québec n’a pas droit aux données.</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r>
      <w:r w:rsidRPr="00F8789C">
        <w:rPr>
          <w:i/>
          <w:sz w:val="20"/>
          <w:lang w:val="fr-CA"/>
        </w:rPr>
        <w:t>La</w:t>
      </w:r>
      <w:r w:rsidRPr="00F8789C">
        <w:rPr>
          <w:sz w:val="20"/>
          <w:lang w:val="fr-CA"/>
        </w:rPr>
        <w:t xml:space="preserve"> juge en chef McLachlin et les juges Rothstein, </w:t>
      </w:r>
      <w:r w:rsidRPr="00F8789C">
        <w:rPr>
          <w:b/>
          <w:sz w:val="20"/>
          <w:lang w:val="fr-CA"/>
        </w:rPr>
        <w:t>Cromwell</w:t>
      </w:r>
      <w:r w:rsidRPr="00F8789C">
        <w:rPr>
          <w:sz w:val="20"/>
          <w:lang w:val="fr-CA"/>
        </w:rPr>
        <w:t xml:space="preserve">, Moldaver et </w:t>
      </w:r>
      <w:r w:rsidRPr="00F8789C">
        <w:rPr>
          <w:b/>
          <w:sz w:val="20"/>
          <w:lang w:val="fr-CA"/>
        </w:rPr>
        <w:t>Karakatsanis</w:t>
      </w:r>
      <w:r w:rsidRPr="00F8789C">
        <w:rPr>
          <w:sz w:val="20"/>
          <w:lang w:val="fr-CA"/>
        </w:rPr>
        <w:t xml:space="preserve"> : La décision de démanteler le registre des armes d’épaule et de détruire les données qu’il contient est un choix de politique générale que le Parlement avait le droit de faire en vertu de la Constitution. Le principe du fédéralisme coopératif ne restreint pas la compétence législative fédérale en l’espèce, le Québec n’a pas droit aux données et l’art. 29 de la </w:t>
      </w:r>
      <w:r w:rsidRPr="00F8789C">
        <w:rPr>
          <w:i/>
          <w:sz w:val="20"/>
          <w:lang w:val="fr-CA"/>
        </w:rPr>
        <w:t>LARA</w:t>
      </w:r>
      <w:r w:rsidRPr="00F8789C">
        <w:rPr>
          <w:sz w:val="20"/>
          <w:lang w:val="fr-CA"/>
        </w:rPr>
        <w:t xml:space="preserve"> est un exercice licite de la compétence législative en matière de droit criminel conférée au Parlement par la Constitution.  </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La thèse du Québec selon laquelle le fédéralisme coopératif empêche le Canada et les provinces d’agir ou de légiférer de manière à nuire à la collaboration entre les deux ordres de gouvernement est dépourvue de fondement en droit constitutionnel canadien et contraire à la jurisprudence applicable de notre Cour. Le principe du fédéralisme coopératif n’empêche pas le Parlement d’exercer une compétence législative qu’il possède par ailleurs. La primauté de notre Constitution écrite demeure l’un des préceptes fondamentaux de notre régime constitutionnel, et cela est tout particulièrement vrai dans le cas du partage des compétences. Ni la jurisprudence de notre Cour ni le texte de la </w:t>
      </w:r>
      <w:r w:rsidRPr="00F8789C">
        <w:rPr>
          <w:i/>
          <w:sz w:val="20"/>
          <w:lang w:val="fr-CA"/>
        </w:rPr>
        <w:t>Loi constitutionnelle de 1867</w:t>
      </w:r>
      <w:r w:rsidRPr="00F8789C">
        <w:rPr>
          <w:sz w:val="20"/>
          <w:lang w:val="fr-CA"/>
        </w:rPr>
        <w:t xml:space="preserve"> ne fondent l’emploi du principe du fédéralisme coopératif pour restreindre la portée de la compétence législative ou imposer l’obligation positive de faciliter la coopération lorsque le partage constitutionnel des pouvoirs autorise une intervention unilatérale.  En décider autrement minerait la souveraineté parlementaire et créerait un flou juridique chaque fois qu’un ordre de gouvernement adopte une loi qui a une certaine incidence sur les objectifs de politique générale de l’autre.</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Bien que le Québec prétende avoir le droit de recevoir les données sur l’enregistrement des armes d’épaule, que le Parlement soit ou non habilité à légiférer relativement au sort des données, il n’a pas établi de fondement juridique à ce droit. Rappelons que le principe du fédéralisme coopératif ne limite pas la portée des pouvoirs législatifs dévolus par la Constitution. De plus, si l’on retenait la thèse du Québec, laquelle prend sa source dans le fait qu’il s’attend à bénéficier d’un accès continu aux données, cela aurait pour effet de contourner ou d’infirmer concrètement le rejet, par notre Cour, de la théorie de l’« expectative légitime ». Le fait que les provinces comptent sur l’existence des données ne saurait limiter la capacité du Parlement de détruire un registre qui découle exclusivement de son chef de compétence concernant le droit criminel. Enfin, même si les données accessibles par l’entremise du RCAF étaient le fruit d’un effort de coopération, tout effort de la part du Québec était limité de par la loi aux données sur les permis conservées dans le registre des permis de la Contrôleure.  </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Notre Cour a déjà été appelée, dans le </w:t>
      </w:r>
      <w:r w:rsidRPr="00F8789C">
        <w:rPr>
          <w:i/>
          <w:sz w:val="20"/>
          <w:lang w:val="fr-CA"/>
        </w:rPr>
        <w:t>Renvoi relatif à la Loi sur les armes à feu (Can.)</w:t>
      </w:r>
      <w:r w:rsidRPr="00F8789C">
        <w:rPr>
          <w:sz w:val="20"/>
          <w:lang w:val="fr-CA"/>
        </w:rPr>
        <w:t xml:space="preserve">, 2000 CSC 31, [2000] 1 R.C.S. 783, à déterminer le caractère véritable du régime mis en place par cette loi. Dans cet arrêt, la Cour a conclu que la « matière » des dispositions relatives à l’enregistrement et à la conservation des données était la sécurité publique et que ces dispositions devraient être considérées comme ayant trait au droit criminel. Une loi abrogeant ce régime, ainsi qu’une disposition indiquant ce qu’il adviendra des données recueillies en application du régime maintenant abrogé, doivent être qualifiées de la même façon. L’article 29 concerne essentiellement la sécurité publique, tout comme le régime d’enregistrement des armes d’épaule abrogé par les autres dispositions de la </w:t>
      </w:r>
      <w:r w:rsidRPr="00F8789C">
        <w:rPr>
          <w:i/>
          <w:sz w:val="20"/>
          <w:lang w:val="fr-CA"/>
        </w:rPr>
        <w:t>LARA</w:t>
      </w:r>
      <w:r w:rsidRPr="00F8789C">
        <w:rPr>
          <w:sz w:val="20"/>
          <w:lang w:val="fr-CA"/>
        </w:rPr>
        <w:t xml:space="preserve">. Cette disposition ne limite pas le pouvoir législatif du Québec de créer un registre provincial des armes d’épaule; elle ne fait qu’empêcher le Québec d’utiliser les données obtenues par le biais du registre fédéral des armes d’épaule pour constituer un registre provincial. Le fait que l’art. 29 a pour effet concret qu’il est plus difficile sur le plan financier pour le Québec de créer son propre régime de contrôle des armes à feu ne dénote pas un objet « déguisé » du point de vue du partage des compétences et n’a pas d’incidence sur le caractère véritable de l’art. 29. </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Il n’y a pas de distinction importante en droit entre l’abrogation d’une disposition pénale et le fait d’indiquer ce qu’il adviendra des données recueillies en application de cette disposition si les données ont été recueillies exclusivement par l’exercice de la compétence en droit criminel. Le pouvoir d’abroger une disposition de droit criminel doit logiquement être assez large pour habiliter le Parlement à détruire les données recueillies pour l’application de cette disposition. Par conséquent, l’art. 29 de la </w:t>
      </w:r>
      <w:r w:rsidRPr="00F8789C">
        <w:rPr>
          <w:i/>
          <w:sz w:val="20"/>
          <w:lang w:val="fr-CA"/>
        </w:rPr>
        <w:t>LARA</w:t>
      </w:r>
      <w:r w:rsidRPr="00F8789C">
        <w:rPr>
          <w:sz w:val="20"/>
          <w:lang w:val="fr-CA"/>
        </w:rPr>
        <w:t xml:space="preserve"> devrait être considéré comme ayant trait au droit criminel. Il ressortit donc à la compétence législative du Parlement.</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r>
      <w:r w:rsidRPr="00F8789C">
        <w:rPr>
          <w:i/>
          <w:sz w:val="20"/>
          <w:lang w:val="fr-CA"/>
        </w:rPr>
        <w:t xml:space="preserve">Les </w:t>
      </w:r>
      <w:r w:rsidRPr="00F8789C">
        <w:rPr>
          <w:sz w:val="20"/>
          <w:lang w:val="fr-CA"/>
        </w:rPr>
        <w:t xml:space="preserve">juges </w:t>
      </w:r>
      <w:r w:rsidRPr="00F8789C">
        <w:rPr>
          <w:b/>
          <w:sz w:val="20"/>
          <w:lang w:val="fr-CA"/>
        </w:rPr>
        <w:t>LeBel</w:t>
      </w:r>
      <w:r w:rsidRPr="00F8789C">
        <w:rPr>
          <w:sz w:val="20"/>
          <w:lang w:val="fr-CA"/>
        </w:rPr>
        <w:t xml:space="preserve">, Abella, </w:t>
      </w:r>
      <w:r w:rsidRPr="00F8789C">
        <w:rPr>
          <w:b/>
          <w:sz w:val="20"/>
          <w:lang w:val="fr-CA"/>
        </w:rPr>
        <w:t>Wagner</w:t>
      </w:r>
      <w:r w:rsidRPr="00F8789C">
        <w:rPr>
          <w:sz w:val="20"/>
          <w:lang w:val="fr-CA"/>
        </w:rPr>
        <w:t xml:space="preserve"> et </w:t>
      </w:r>
      <w:r w:rsidRPr="00F8789C">
        <w:rPr>
          <w:b/>
          <w:sz w:val="20"/>
          <w:lang w:val="fr-CA"/>
        </w:rPr>
        <w:t>Gascon</w:t>
      </w:r>
      <w:r w:rsidRPr="00F8789C">
        <w:rPr>
          <w:sz w:val="20"/>
          <w:lang w:val="fr-CA"/>
        </w:rPr>
        <w:t xml:space="preserve"> (dissidents): L’article 29 de la </w:t>
      </w:r>
      <w:r w:rsidRPr="00F8789C">
        <w:rPr>
          <w:i/>
          <w:sz w:val="20"/>
          <w:lang w:val="fr-CA"/>
        </w:rPr>
        <w:t>LARA</w:t>
      </w:r>
      <w:r w:rsidRPr="00F8789C">
        <w:rPr>
          <w:sz w:val="20"/>
          <w:lang w:val="fr-CA"/>
        </w:rPr>
        <w:t xml:space="preserve"> est inconstitutionnel et doit être déclaré invalide. La </w:t>
      </w:r>
      <w:r w:rsidRPr="00F8789C">
        <w:rPr>
          <w:i/>
          <w:sz w:val="20"/>
          <w:lang w:val="fr-CA"/>
        </w:rPr>
        <w:t>LARA</w:t>
      </w:r>
      <w:r w:rsidRPr="00F8789C">
        <w:rPr>
          <w:sz w:val="20"/>
          <w:lang w:val="fr-CA"/>
        </w:rPr>
        <w:t xml:space="preserve"> est le moyen législatif qu’a choisi le Parlement pour mettre fin à son rôle dans le contrôle des armes d’épaule, mais l’art. 29 a une portée plus large que cet objectif, puisqu’il ordonne la destruction des données en cause sans possibilité de transfert préalable aux partenaires provinciaux, ce qui les empêche de s’en servir dans l’exercice de leurs compétences. Par contre, il n’y pas de fondement juridique à la demande du Québec de transfert forcé des données. La détermination des modalités d’un tel transfert relève des gouvernements concernés, non des tribunaux.</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Lorsque la constitutionnalité d’une disposition législative est contestée sur la base du partage des compétences, les tribunaux ont recours à la doctrine dite du caractère véritable. Cette démarche implique nécessairement l’examen de la portée de l’empiètement de la disposition contestée sur les pouvoirs de l’autre ordre de gouvernement. Lorsque, en </w:t>
      </w:r>
      <w:r w:rsidRPr="00F8789C">
        <w:rPr>
          <w:sz w:val="20"/>
          <w:lang w:val="fr-CA"/>
        </w:rPr>
        <w:lastRenderedPageBreak/>
        <w:t>raison de son caractère véritable, une disposition insérée dans une loi par ailleurs valide déborde sur un champ de compétence d’un autre ordre de gouvernement, l’analyse porte alors sur le caractère accessoire de ce débordement. Le degré d’intégration d’une disposition requis pour qu’un débordement conserve un caractère accessoire varie en fonction de la gravité du débordement ou de son étendue. Si la disposition contestée ne déborde que de façon négligeable ou restreinte sur les compétences de l’autre ordre de gouvernement, un rapport fonctionnel entre cette disposition et le régime législatif peut suffire. Si, au contraire, la disposition déborde de façon considérable sur les compétences de l’autre ordre de gouvernement, un critère de nécessité plus strict s’applique.</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Les principes non écrits qui sous</w:t>
      </w:r>
      <w:r w:rsidRPr="00F8789C">
        <w:rPr>
          <w:sz w:val="20"/>
          <w:lang w:val="fr-CA"/>
        </w:rPr>
        <w:noBreakHyphen/>
        <w:t>tendent notre Constitution écrite, tel le principe du fédéralisme, imprègnent l’analyse et l’interprétation du partage des compétences. La vision moderne du fédéralisme favorise une conception souple du partage des compétences, et admet un important chevauchement des compétences fédérales et provinciales, permettant aux deux ordres de gouvernement de légiférer relativement à des objectifs légitimes dans les matières où il y a chevauchement. Cette conception facilite la coopération intergouvernementale. Le concept du fédéralisme coopératif se veut l’adaptation du principe du fédéralisme à cette réalité moderne, et ce, tant par le droit que les acteurs politiques, et reflète les réalités d’une société de plus en plus complexe, qui fait appel à des régimes fédéraux et provinciaux coordonnés. D’un point de vue juridique, c’est par les chevauchements de compétences qu’il accepte en vertu de l’application de la doctrine du caractère véritable et de celle des pouvoirs accessoires que le fédéralisme coopératif sait répondre à ces besoins.</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En l’espèce, le juge de première instance a conclu avec raison à l’existence d’un partenariat fédéral</w:t>
      </w:r>
      <w:r w:rsidRPr="00F8789C">
        <w:rPr>
          <w:sz w:val="20"/>
          <w:lang w:val="fr-CA"/>
        </w:rPr>
        <w:noBreakHyphen/>
        <w:t xml:space="preserve">provincial en matière de contrôle des armes à feu. Ce partenariat s’inscrit dans cet esprit de fédéralisme coopératif. Il a permis au gouvernement fédéral et aux provinces de mieux accomplir ensemble, plutôt qu’individuellement, tant des objectifs fédéraux (en droit criminel) que des objectifs provinciaux (en sécurité publique et administration de la justice). Face au contexte inusité qu’est le démantèlement de ce partenariat, il faut faire appel aux principes non écrits de la Constitution pour guider l’analyse, afin de s’assurer que le principe du fédéralisme — et son expression moderne le fédéralisme coopératif — ne soit pas mis en péril. Le Parlement ou une législature provinciale ne peut légiférer pour mettre fin à un tel partenariat sans tenir compte des conséquences raisonnablement prévisibles d’une telle décision sur les compétences de son partenaire. En examinant la constitutionnalité d’une loi ou d’une disposition législative qui vise à démanteler ce partenariat, les tribunaux doivent être sensibles à ses répercussions sur l’exercice par le partenaire de ses compétences, et ce, encore plus quand le partenaire mettant fin au partenariat agit dans le but de provoquer ces répercussions. </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La méthode d’analyse adoptée par la Cour d’appel en l’espèce s’écarte de celle que doivent suivre les tribunaux. Certes, le Parlement peut abroger ou modifier une loi qu’il a validement édictée en vertu d’un chef de compétence relevant de lui. Les tribunaux doivent toutefois examiner la disposition ou la loi contestée afin de déterminer si, eu égard à son caractère véritable, celle</w:t>
      </w:r>
      <w:r w:rsidRPr="00F8789C">
        <w:rPr>
          <w:sz w:val="20"/>
          <w:lang w:val="fr-CA"/>
        </w:rPr>
        <w:noBreakHyphen/>
        <w:t>ci ne fait effectivement qu’abroger ou modifier une loi validement édictée au préalable. Il n’est pas suffisant de dire que la mesure législative est une simple loi abrogative.</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Le texte de l’art. 29 de la </w:t>
      </w:r>
      <w:r w:rsidRPr="00F8789C">
        <w:rPr>
          <w:i/>
          <w:sz w:val="20"/>
          <w:lang w:val="fr-CA"/>
        </w:rPr>
        <w:t>LARA</w:t>
      </w:r>
      <w:r w:rsidRPr="00F8789C">
        <w:rPr>
          <w:sz w:val="20"/>
          <w:lang w:val="fr-CA"/>
        </w:rPr>
        <w:t xml:space="preserve"> ne présente pas de difficulté d’interprétation particulière. D’un point de vue structurel, l’art. 29 est une composante distincte des autres articles de la </w:t>
      </w:r>
      <w:r w:rsidRPr="00F8789C">
        <w:rPr>
          <w:i/>
          <w:sz w:val="20"/>
          <w:lang w:val="fr-CA"/>
        </w:rPr>
        <w:t>LARA</w:t>
      </w:r>
      <w:r w:rsidRPr="00F8789C">
        <w:rPr>
          <w:sz w:val="20"/>
          <w:lang w:val="fr-CA"/>
        </w:rPr>
        <w:t xml:space="preserve">, car il s’agit d’une disposition transitoire. D’un point de vue pratique et juridique, l’effet premier de l’art. 29 est d’effacer à jamais les données contenues dans le RCAF. La destruction des données par le gouvernement fédéral sans qu’elles aient d’abord été transmises à ses partenaires, dont le Québec, entraîne d’importantes conséquences qui sont pertinentes pour l’analyse de la constitutionnalité de l’art. 29. La preuve extrinsèque révèle que l’art. 29 a été adopté précisément dans le but d’empêcher l’utilisation des données par les provinces. C’est donc avec raison que le juge de première instance a conclu que l’intention du Parlement était de nuire aux provinces en détruisant les données. Vu son objet et ses effets, l’art. 29 a donc une portée plus large que la simple destruction des données : il entraîne des conséquences néfastes pour les partenaires du gouvernement fédéral. L’article 29 ne tend pas à l’abrogation d’une partie de la </w:t>
      </w:r>
      <w:r w:rsidRPr="00F8789C">
        <w:rPr>
          <w:i/>
          <w:sz w:val="20"/>
          <w:lang w:val="fr-CA"/>
        </w:rPr>
        <w:t>LAF</w:t>
      </w:r>
      <w:r w:rsidRPr="00F8789C">
        <w:rPr>
          <w:sz w:val="20"/>
          <w:lang w:val="fr-CA"/>
        </w:rPr>
        <w:t>; l’abolition par le gouvernement fédéral de l’obligation d’enregistrer les armes d’épaule et la destruction des données sont deux objectifs distincts.</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Comme la destruction des données s’effectue sans possibilité de transfert préalable de données aux partenaires, et donc sans tenir compte des conséquences de cette mesure sur l’exercice par ceux</w:t>
      </w:r>
      <w:r w:rsidRPr="00F8789C">
        <w:rPr>
          <w:sz w:val="20"/>
          <w:lang w:val="fr-CA"/>
        </w:rPr>
        <w:noBreakHyphen/>
        <w:t>ci de leurs compétences, son objet véritable consiste à mettre fin à toute utilisation des renseignements concernant les armes d’épaule pour toutes fins provinciales. En conséquence, le caractère véritable de l’art. 29 se rattache à la compétence provinciale sur la propriété et les droits civils.</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Pour décider si l’art. 29 de la </w:t>
      </w:r>
      <w:r w:rsidRPr="00F8789C">
        <w:rPr>
          <w:i/>
          <w:sz w:val="20"/>
          <w:lang w:val="fr-CA"/>
        </w:rPr>
        <w:t>LARA</w:t>
      </w:r>
      <w:r w:rsidRPr="00F8789C">
        <w:rPr>
          <w:sz w:val="20"/>
          <w:lang w:val="fr-CA"/>
        </w:rPr>
        <w:t xml:space="preserve"> est constitutionnel en vertu de la doctrine des pouvoirs accessoires, il faut évaluer la gravité, ou l’étendue, de son débordement sur les compétences provinciales, en gardant à l’esprit que le pouvoir des provinces de légiférer en matière de propriété et de droits civils constitue un chef de compétence sur lequel on ne peut déborder à la légère. La gravité du débordement de l’art. 29 doit être analysée en fonction du contexte factuel et juridique particulier de l’affaire, ce qui inclut le partenariat existant entre le gouvernement fédéral et le Québec. En l’espèce, de par sa nature et ses effets, l’art. 29 engendre un débordement substantiel sur les compétences provinciales. Pour que son débordement soit jugé accessoire à la </w:t>
      </w:r>
      <w:r w:rsidRPr="00F8789C">
        <w:rPr>
          <w:i/>
          <w:sz w:val="20"/>
          <w:lang w:val="fr-CA"/>
        </w:rPr>
        <w:t>LARA</w:t>
      </w:r>
      <w:r w:rsidRPr="00F8789C">
        <w:rPr>
          <w:sz w:val="20"/>
          <w:lang w:val="fr-CA"/>
        </w:rPr>
        <w:t>,</w:t>
      </w:r>
      <w:r w:rsidRPr="00F8789C">
        <w:rPr>
          <w:i/>
          <w:sz w:val="20"/>
          <w:lang w:val="fr-CA"/>
        </w:rPr>
        <w:t xml:space="preserve"> </w:t>
      </w:r>
      <w:r w:rsidRPr="00F8789C">
        <w:rPr>
          <w:sz w:val="20"/>
          <w:lang w:val="fr-CA"/>
        </w:rPr>
        <w:t>l’art. 29 doit donc entretenir un degré élevé d’intégration à celle</w:t>
      </w:r>
      <w:r w:rsidRPr="00F8789C">
        <w:rPr>
          <w:sz w:val="20"/>
          <w:lang w:val="fr-CA"/>
        </w:rPr>
        <w:noBreakHyphen/>
        <w:t xml:space="preserve">ci, soit respecter le critère de la nécessité ou « partie intégrante ». La destruction des données visées par l’art. 29 ne peut être considérée comme nécessaire à l’abolition de l’obligation d’enregistrer les armes d’épaule, car ces deux objectifs sont distincts. L’article 29 ne peut non plus être rattaché à la </w:t>
      </w:r>
      <w:r w:rsidRPr="00F8789C">
        <w:rPr>
          <w:i/>
          <w:sz w:val="20"/>
          <w:lang w:val="fr-CA"/>
        </w:rPr>
        <w:t>LARA</w:t>
      </w:r>
      <w:r w:rsidRPr="00F8789C">
        <w:rPr>
          <w:sz w:val="20"/>
          <w:lang w:val="fr-CA"/>
        </w:rPr>
        <w:t xml:space="preserve"> selon un critère de rationalité; il est difficile de concilier la manière dont la destruction des données est prévue avec le souhait que pourraient manifester des provinces de maintenir un registre dans le cadre de leurs compétences. De plus, le législateur fédéral a déclaré son intention de nuire à l’autre ordre de gouvernement.</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 xml:space="preserve">Comme, en raison de son caractère véritable, l’art. 29 de la </w:t>
      </w:r>
      <w:r w:rsidRPr="00F8789C">
        <w:rPr>
          <w:i/>
          <w:sz w:val="20"/>
          <w:lang w:val="fr-CA"/>
        </w:rPr>
        <w:t>LARA</w:t>
      </w:r>
      <w:r w:rsidRPr="00F8789C">
        <w:rPr>
          <w:sz w:val="20"/>
          <w:lang w:val="fr-CA"/>
        </w:rPr>
        <w:t xml:space="preserve"> ne relève pas de la compétence fédérale en matière de droit criminel et il n’est pas accessoire à la </w:t>
      </w:r>
      <w:r w:rsidRPr="00F8789C">
        <w:rPr>
          <w:i/>
          <w:sz w:val="20"/>
          <w:lang w:val="fr-CA"/>
        </w:rPr>
        <w:t>LARA</w:t>
      </w:r>
      <w:r w:rsidRPr="00F8789C">
        <w:rPr>
          <w:sz w:val="20"/>
          <w:lang w:val="fr-CA"/>
        </w:rPr>
        <w:t xml:space="preserve">, sa validité constitutionnelle n’a pas été établie. On ne saurait valider une mesure législative 1) qui ne relève pas de la compétence fédérale en matière de droit criminel et 2) qui contrecarre, par le débordement substantiel qu’elle cause, l’exercice corollaire des compétences provinciales auquel le partenariat a donné lieu. La destruction des données sans offre de transfert préalable est inconstitutionnelle. L’article 29 de la </w:t>
      </w:r>
      <w:r w:rsidRPr="00F8789C">
        <w:rPr>
          <w:i/>
          <w:sz w:val="20"/>
          <w:lang w:val="fr-CA"/>
        </w:rPr>
        <w:t>LARA</w:t>
      </w:r>
      <w:r w:rsidRPr="00F8789C">
        <w:rPr>
          <w:sz w:val="20"/>
          <w:lang w:val="fr-CA"/>
        </w:rPr>
        <w:t xml:space="preserve"> doit donc être déclaré invalide, en vertu de l’art. 52 de la </w:t>
      </w:r>
      <w:r w:rsidRPr="00F8789C">
        <w:rPr>
          <w:i/>
          <w:sz w:val="20"/>
          <w:lang w:val="fr-CA"/>
        </w:rPr>
        <w:t>Loi constitutionnelle de 1982</w:t>
      </w:r>
      <w:r w:rsidRPr="00F8789C">
        <w:rPr>
          <w:sz w:val="20"/>
          <w:lang w:val="fr-CA"/>
        </w:rPr>
        <w:t>.</w:t>
      </w:r>
    </w:p>
    <w:p w:rsidR="00EC49A7" w:rsidRDefault="00EC49A7" w:rsidP="00EC49A7">
      <w:pPr>
        <w:pStyle w:val="SCCNormalDoubleSpacing"/>
        <w:spacing w:line="240" w:lineRule="auto"/>
        <w:rPr>
          <w:sz w:val="20"/>
          <w:lang w:val="fr-CA"/>
        </w:rPr>
      </w:pPr>
    </w:p>
    <w:p w:rsidR="00EC49A7" w:rsidRDefault="00EC49A7" w:rsidP="00EC49A7">
      <w:pPr>
        <w:pStyle w:val="SCCNormalDoubleSpacing"/>
        <w:spacing w:line="240" w:lineRule="auto"/>
        <w:rPr>
          <w:sz w:val="20"/>
          <w:lang w:val="fr-CA"/>
        </w:rPr>
      </w:pPr>
      <w:r w:rsidRPr="00F8789C">
        <w:rPr>
          <w:sz w:val="20"/>
          <w:lang w:val="fr-CA"/>
        </w:rPr>
        <w:tab/>
        <w:t>Le Québec n’a toutefois pas établi de fondement juridique à sa revendication des données. L’absence d’obstacle légal au transfert de celles</w:t>
      </w:r>
      <w:r w:rsidRPr="00F8789C">
        <w:rPr>
          <w:sz w:val="20"/>
          <w:lang w:val="fr-CA"/>
        </w:rPr>
        <w:noBreakHyphen/>
        <w:t xml:space="preserve">ci ne signifie pas nécessairement que le Québec a fait la preuve d’un droit de les obtenir par voie judiciaire. Il appartient aux législateurs de combler les lacunes des règles de droit incompatibles avec la Constitution et non aux tribunaux de décrire précisément le genre de lois que les premiers doivent adopter pour satisfaire à leurs obligations constitutionnelles. Dans certains cas, la réparation convenable doit émaner du processus politique plutôt que des tribunaux. En l’espèce, c’est aux membres du partenariat qu’il appartenait de prévoir les modalités de cessation de leur aventure commune dans leurs ententes.  </w:t>
      </w:r>
    </w:p>
    <w:p w:rsidR="00EC49A7" w:rsidRDefault="00EC49A7" w:rsidP="00EC49A7">
      <w:pPr>
        <w:pStyle w:val="SCCNormalDoubleSpacing"/>
        <w:spacing w:line="240" w:lineRule="auto"/>
        <w:rPr>
          <w:sz w:val="20"/>
          <w:lang w:val="fr-CA"/>
        </w:rPr>
      </w:pPr>
    </w:p>
    <w:p w:rsidR="00EC49A7" w:rsidRPr="00F8789C" w:rsidRDefault="00EC49A7" w:rsidP="00EC49A7">
      <w:pPr>
        <w:pStyle w:val="SCCNormalDoubleSpacing"/>
        <w:spacing w:line="240" w:lineRule="auto"/>
        <w:rPr>
          <w:sz w:val="20"/>
          <w:lang w:val="fr-CA"/>
        </w:rPr>
      </w:pPr>
      <w:r w:rsidRPr="00F8789C">
        <w:rPr>
          <w:sz w:val="20"/>
          <w:lang w:val="fr-CA"/>
        </w:rPr>
        <w:tab/>
        <w:t>POURVOI contre un arrêt de la Cour d’appel du Québec (la juge en chef Duval Hesler et les juges Chamberland, Kasirer, St</w:t>
      </w:r>
      <w:r w:rsidRPr="00F8789C">
        <w:rPr>
          <w:sz w:val="20"/>
          <w:lang w:val="fr-CA"/>
        </w:rPr>
        <w:noBreakHyphen/>
        <w:t>Pierre et Lévesque), 2013 QCCA 1138, [2013] R.J.Q. 1023, [2013] AZ</w:t>
      </w:r>
      <w:r w:rsidRPr="00F8789C">
        <w:rPr>
          <w:sz w:val="20"/>
          <w:lang w:val="fr-CA"/>
        </w:rPr>
        <w:noBreakHyphen/>
        <w:t>50965380, [2013] J.Q. n</w:t>
      </w:r>
      <w:r w:rsidRPr="00F8789C">
        <w:rPr>
          <w:sz w:val="20"/>
          <w:vertAlign w:val="superscript"/>
          <w:lang w:val="fr-CA"/>
        </w:rPr>
        <w:t>o</w:t>
      </w:r>
      <w:r w:rsidRPr="00F8789C">
        <w:rPr>
          <w:sz w:val="20"/>
          <w:lang w:val="fr-CA"/>
        </w:rPr>
        <w:t> 6676 (QL), 2013 CarswellQue 6107 (WL Can.), qui a infirmé une décision du juge Blanchard, 2012 QCCS 4202, [2012] R.J.Q. 1895, [2012] AZ</w:t>
      </w:r>
      <w:r w:rsidRPr="00F8789C">
        <w:rPr>
          <w:sz w:val="20"/>
          <w:lang w:val="fr-CA"/>
        </w:rPr>
        <w:noBreakHyphen/>
        <w:t>50892414, [2012] J.Q. n</w:t>
      </w:r>
      <w:r w:rsidRPr="00F8789C">
        <w:rPr>
          <w:sz w:val="20"/>
          <w:vertAlign w:val="superscript"/>
          <w:lang w:val="fr-CA"/>
        </w:rPr>
        <w:t>o</w:t>
      </w:r>
      <w:r w:rsidRPr="00F8789C">
        <w:rPr>
          <w:sz w:val="20"/>
          <w:lang w:val="fr-CA"/>
        </w:rPr>
        <w:t> 8319 (QL), 2012 CarswellQue 9059 (WL Can.). Pourvoi rejeté, les juges LeBel, Abella, Wagner et Gascon sont dissidents.</w:t>
      </w:r>
    </w:p>
    <w:p w:rsidR="00EC49A7" w:rsidRDefault="00EC49A7" w:rsidP="00EC49A7">
      <w:pPr>
        <w:pStyle w:val="SCCNormalDoubleSpacing"/>
        <w:spacing w:line="240" w:lineRule="auto"/>
        <w:outlineLvl w:val="0"/>
        <w:rPr>
          <w:i/>
          <w:sz w:val="20"/>
          <w:lang w:val="fr-CA"/>
        </w:rPr>
      </w:pPr>
    </w:p>
    <w:p w:rsidR="00EC49A7" w:rsidRPr="00F8789C" w:rsidRDefault="00EC49A7" w:rsidP="00EC49A7">
      <w:pPr>
        <w:pStyle w:val="SCCNormalDoubleSpacing"/>
        <w:spacing w:line="240" w:lineRule="auto"/>
        <w:outlineLvl w:val="0"/>
        <w:rPr>
          <w:sz w:val="20"/>
          <w:lang w:val="fr-CA"/>
        </w:rPr>
      </w:pPr>
      <w:r w:rsidRPr="00F8789C">
        <w:rPr>
          <w:i/>
          <w:sz w:val="20"/>
          <w:lang w:val="fr-CA"/>
        </w:rPr>
        <w:tab/>
        <w:t>Éric Dufour</w:t>
      </w:r>
      <w:r w:rsidRPr="00F8789C">
        <w:rPr>
          <w:sz w:val="20"/>
          <w:lang w:val="fr-CA"/>
        </w:rPr>
        <w:t xml:space="preserve">, </w:t>
      </w:r>
      <w:r w:rsidRPr="00F8789C">
        <w:rPr>
          <w:i/>
          <w:sz w:val="20"/>
          <w:lang w:val="fr-CA"/>
        </w:rPr>
        <w:t>Hugo Jean et Suzanne</w:t>
      </w:r>
      <w:r w:rsidRPr="00F8789C">
        <w:rPr>
          <w:i/>
          <w:sz w:val="20"/>
          <w:lang w:val="fr-CA"/>
        </w:rPr>
        <w:noBreakHyphen/>
        <w:t>L. Gauthier</w:t>
      </w:r>
      <w:r w:rsidRPr="00F8789C">
        <w:rPr>
          <w:sz w:val="20"/>
          <w:lang w:val="fr-CA"/>
        </w:rPr>
        <w:t>, pour l’appelant.</w:t>
      </w:r>
    </w:p>
    <w:p w:rsidR="00EC49A7" w:rsidRDefault="00EC49A7" w:rsidP="00EC49A7">
      <w:pPr>
        <w:pStyle w:val="SCCNormalDoubleSpacing"/>
        <w:spacing w:line="240" w:lineRule="auto"/>
        <w:outlineLvl w:val="0"/>
        <w:rPr>
          <w:i/>
          <w:sz w:val="20"/>
          <w:lang w:val="fr-CA"/>
        </w:rPr>
      </w:pPr>
    </w:p>
    <w:p w:rsidR="00EC49A7" w:rsidRPr="00F8789C" w:rsidRDefault="00EC49A7" w:rsidP="00EC49A7">
      <w:pPr>
        <w:pStyle w:val="SCCNormalDoubleSpacing"/>
        <w:spacing w:line="240" w:lineRule="auto"/>
        <w:outlineLvl w:val="0"/>
        <w:rPr>
          <w:sz w:val="20"/>
          <w:lang w:val="fr-CA"/>
        </w:rPr>
      </w:pPr>
      <w:r w:rsidRPr="00F8789C">
        <w:rPr>
          <w:i/>
          <w:sz w:val="20"/>
          <w:lang w:val="fr-CA"/>
        </w:rPr>
        <w:tab/>
        <w:t>Claude Joyal, c.r.</w:t>
      </w:r>
      <w:r w:rsidRPr="00F8789C">
        <w:rPr>
          <w:sz w:val="20"/>
          <w:lang w:val="fr-CA"/>
        </w:rPr>
        <w:t xml:space="preserve">, et </w:t>
      </w:r>
      <w:r w:rsidRPr="00F8789C">
        <w:rPr>
          <w:i/>
          <w:sz w:val="20"/>
          <w:lang w:val="fr-CA"/>
        </w:rPr>
        <w:t>Ian Demers</w:t>
      </w:r>
      <w:r w:rsidRPr="00F8789C">
        <w:rPr>
          <w:sz w:val="20"/>
          <w:lang w:val="fr-CA"/>
        </w:rPr>
        <w:t>, pour les intimés.</w:t>
      </w:r>
    </w:p>
    <w:p w:rsidR="00EC49A7" w:rsidRDefault="00EC49A7" w:rsidP="00EC49A7">
      <w:pPr>
        <w:pStyle w:val="SCCNormalDoubleSpacing"/>
        <w:spacing w:line="240" w:lineRule="auto"/>
        <w:rPr>
          <w:i/>
          <w:sz w:val="20"/>
          <w:lang w:val="fr-CA"/>
        </w:rPr>
      </w:pPr>
    </w:p>
    <w:p w:rsidR="00EC49A7" w:rsidRPr="00F8789C" w:rsidRDefault="00EC49A7" w:rsidP="00EC49A7">
      <w:pPr>
        <w:pStyle w:val="SCCNormalDoubleSpacing"/>
        <w:spacing w:line="240" w:lineRule="auto"/>
        <w:rPr>
          <w:sz w:val="20"/>
          <w:lang w:val="fr-CA"/>
        </w:rPr>
      </w:pPr>
      <w:r w:rsidRPr="00F8789C">
        <w:rPr>
          <w:i/>
          <w:sz w:val="20"/>
          <w:lang w:val="fr-CA"/>
        </w:rPr>
        <w:tab/>
        <w:t>Frédérick Langlois et Alain M. Gaulin</w:t>
      </w:r>
      <w:r w:rsidRPr="00F8789C">
        <w:rPr>
          <w:sz w:val="20"/>
          <w:lang w:val="fr-CA"/>
        </w:rPr>
        <w:t>, pour l’intervenante la Coalition pour le contrôle des armes.</w:t>
      </w:r>
    </w:p>
    <w:p w:rsidR="00EC49A7" w:rsidRDefault="00EC49A7" w:rsidP="00EC49A7">
      <w:pPr>
        <w:pStyle w:val="SCCNormalDoubleSpacing"/>
        <w:spacing w:line="240" w:lineRule="auto"/>
        <w:rPr>
          <w:i/>
          <w:sz w:val="20"/>
          <w:lang w:val="fr-CA"/>
        </w:rPr>
      </w:pPr>
    </w:p>
    <w:p w:rsidR="00EC49A7" w:rsidRPr="00F8789C" w:rsidRDefault="00EC49A7" w:rsidP="00EC49A7">
      <w:pPr>
        <w:pStyle w:val="SCCNormalDoubleSpacing"/>
        <w:spacing w:line="240" w:lineRule="auto"/>
        <w:rPr>
          <w:sz w:val="20"/>
          <w:lang w:val="fr-CA"/>
        </w:rPr>
      </w:pPr>
      <w:r w:rsidRPr="00F8789C">
        <w:rPr>
          <w:i/>
          <w:sz w:val="20"/>
          <w:lang w:val="fr-CA"/>
        </w:rPr>
        <w:tab/>
        <w:t>Guy Lavergne</w:t>
      </w:r>
      <w:r w:rsidRPr="00F8789C">
        <w:rPr>
          <w:sz w:val="20"/>
          <w:lang w:val="fr-CA"/>
        </w:rPr>
        <w:t>, pour l’intervenante l’Association canadienne pour les armes à feu.</w:t>
      </w:r>
    </w:p>
    <w:p w:rsidR="00EC49A7" w:rsidRDefault="00EC49A7" w:rsidP="00EC49A7">
      <w:pPr>
        <w:pStyle w:val="SCCNormalDoubleSpacing"/>
        <w:spacing w:line="240" w:lineRule="auto"/>
        <w:outlineLvl w:val="0"/>
        <w:rPr>
          <w:sz w:val="20"/>
          <w:lang w:val="fr-CA"/>
        </w:rPr>
      </w:pPr>
    </w:p>
    <w:p w:rsidR="00EC49A7" w:rsidRPr="00F8789C" w:rsidRDefault="00EC49A7" w:rsidP="00EC49A7">
      <w:pPr>
        <w:pStyle w:val="SCCNormalDoubleSpacing"/>
        <w:spacing w:line="240" w:lineRule="auto"/>
        <w:outlineLvl w:val="0"/>
        <w:rPr>
          <w:sz w:val="20"/>
          <w:lang w:val="fr-CA"/>
        </w:rPr>
      </w:pPr>
      <w:r w:rsidRPr="00F8789C">
        <w:rPr>
          <w:sz w:val="20"/>
          <w:lang w:val="fr-CA"/>
        </w:rPr>
        <w:tab/>
        <w:t>Personne n’a comparu pour</w:t>
      </w:r>
      <w:r w:rsidRPr="00F8789C">
        <w:rPr>
          <w:i/>
          <w:sz w:val="20"/>
          <w:lang w:val="fr-CA"/>
        </w:rPr>
        <w:t xml:space="preserve"> </w:t>
      </w:r>
      <w:r w:rsidRPr="00F8789C">
        <w:rPr>
          <w:sz w:val="20"/>
          <w:lang w:val="fr-CA"/>
        </w:rPr>
        <w:t>l’intervenant le Contrôleur des armes à feu.</w:t>
      </w:r>
    </w:p>
    <w:p w:rsidR="00EC49A7" w:rsidRDefault="00EC49A7" w:rsidP="00EC49A7">
      <w:pPr>
        <w:pStyle w:val="SCCLawFirm"/>
        <w:spacing w:line="240" w:lineRule="auto"/>
        <w:outlineLvl w:val="0"/>
        <w:rPr>
          <w:sz w:val="20"/>
          <w:lang w:val="fr-CA"/>
        </w:rPr>
      </w:pPr>
    </w:p>
    <w:p w:rsidR="00EC49A7" w:rsidRPr="00F8789C" w:rsidRDefault="00EC49A7" w:rsidP="00EC49A7">
      <w:pPr>
        <w:pStyle w:val="SCCLawFirm"/>
        <w:spacing w:line="240" w:lineRule="auto"/>
        <w:outlineLvl w:val="0"/>
        <w:rPr>
          <w:sz w:val="20"/>
          <w:lang w:val="fr-CA"/>
        </w:rPr>
      </w:pPr>
      <w:r w:rsidRPr="00F8789C">
        <w:rPr>
          <w:sz w:val="20"/>
          <w:lang w:val="fr-CA"/>
        </w:rPr>
        <w:tab/>
        <w:t>Procureurs de l’appelant : Bernard, Roy &amp; Associés, Montréal.</w:t>
      </w:r>
    </w:p>
    <w:p w:rsidR="00EC49A7" w:rsidRDefault="00EC49A7" w:rsidP="00EC49A7">
      <w:pPr>
        <w:pStyle w:val="SCCLawFirm"/>
        <w:spacing w:line="240" w:lineRule="auto"/>
        <w:outlineLvl w:val="0"/>
        <w:rPr>
          <w:sz w:val="20"/>
          <w:lang w:val="fr-CA"/>
        </w:rPr>
      </w:pPr>
    </w:p>
    <w:p w:rsidR="00EC49A7" w:rsidRPr="00F8789C" w:rsidRDefault="00EC49A7" w:rsidP="00EC49A7">
      <w:pPr>
        <w:pStyle w:val="SCCLawFirm"/>
        <w:spacing w:line="240" w:lineRule="auto"/>
        <w:outlineLvl w:val="0"/>
        <w:rPr>
          <w:sz w:val="20"/>
          <w:lang w:val="fr-CA"/>
        </w:rPr>
      </w:pPr>
      <w:r w:rsidRPr="00F8789C">
        <w:rPr>
          <w:sz w:val="20"/>
          <w:lang w:val="fr-CA"/>
        </w:rPr>
        <w:tab/>
        <w:t>Procureur des intimés : Procureur général du Canada, Montréal.</w:t>
      </w:r>
    </w:p>
    <w:p w:rsidR="00EC49A7" w:rsidRDefault="00EC49A7" w:rsidP="00EC49A7">
      <w:pPr>
        <w:pStyle w:val="SCCLawFirm"/>
        <w:spacing w:line="240" w:lineRule="auto"/>
        <w:rPr>
          <w:sz w:val="20"/>
          <w:lang w:val="fr-CA"/>
        </w:rPr>
      </w:pPr>
    </w:p>
    <w:p w:rsidR="00EC49A7" w:rsidRPr="00F8789C" w:rsidRDefault="00EC49A7" w:rsidP="00EC49A7">
      <w:pPr>
        <w:pStyle w:val="SCCLawFirm"/>
        <w:spacing w:line="240" w:lineRule="auto"/>
        <w:rPr>
          <w:sz w:val="20"/>
          <w:lang w:val="fr-CA"/>
        </w:rPr>
      </w:pPr>
      <w:r w:rsidRPr="00F8789C">
        <w:rPr>
          <w:sz w:val="20"/>
          <w:lang w:val="fr-CA"/>
        </w:rPr>
        <w:tab/>
        <w:t>Procureurs de l’intervenante la Coalition pour le contrôle des armes : Juripop, Saint</w:t>
      </w:r>
      <w:r w:rsidRPr="00F8789C">
        <w:rPr>
          <w:sz w:val="20"/>
          <w:lang w:val="fr-CA"/>
        </w:rPr>
        <w:noBreakHyphen/>
        <w:t>Constant, Québec; Deveau, Bourgeois, Gagné, Hébert &amp; associés, Gatineau.</w:t>
      </w:r>
    </w:p>
    <w:p w:rsidR="00EC49A7" w:rsidRDefault="00EC49A7">
      <w:pPr>
        <w:rPr>
          <w:sz w:val="20"/>
          <w:lang w:val="fr-CA"/>
        </w:rPr>
      </w:pPr>
    </w:p>
    <w:p w:rsidR="00EC49A7" w:rsidRDefault="00EC49A7">
      <w:pPr>
        <w:rPr>
          <w:rFonts w:eastAsia="Times New Roman" w:cs="Times New Roman"/>
          <w:i/>
          <w:sz w:val="20"/>
          <w:szCs w:val="20"/>
          <w:lang w:val="fr-CA" w:eastAsia="en-CA"/>
        </w:rPr>
      </w:pPr>
      <w:r>
        <w:rPr>
          <w:sz w:val="20"/>
          <w:lang w:val="fr-CA"/>
        </w:rPr>
        <w:br w:type="page"/>
      </w:r>
    </w:p>
    <w:p w:rsidR="00EC49A7" w:rsidRDefault="00EC49A7" w:rsidP="00EC49A7">
      <w:pPr>
        <w:pStyle w:val="SCCLawFirm"/>
        <w:spacing w:line="240" w:lineRule="auto"/>
        <w:rPr>
          <w:sz w:val="20"/>
          <w:lang w:val="fr-CA"/>
        </w:rPr>
      </w:pPr>
      <w:r w:rsidRPr="00F8789C">
        <w:rPr>
          <w:sz w:val="20"/>
          <w:lang w:val="fr-CA"/>
        </w:rPr>
        <w:tab/>
        <w:t>Procureur de l’intervenante l’Association canadienne pour les armes à feu : Guy Lavergne, Saint</w:t>
      </w:r>
      <w:r w:rsidRPr="00F8789C">
        <w:rPr>
          <w:sz w:val="20"/>
          <w:lang w:val="fr-CA"/>
        </w:rPr>
        <w:noBreakHyphen/>
        <w:t>Lazare, Québec.</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EC49A7" w:rsidRPr="007415CF" w:rsidRDefault="00EC49A7" w:rsidP="00EC49A7">
      <w:pPr>
        <w:jc w:val="both"/>
        <w:rPr>
          <w:sz w:val="20"/>
          <w:szCs w:val="20"/>
        </w:rPr>
      </w:pPr>
      <w:r w:rsidRPr="007415CF">
        <w:rPr>
          <w:sz w:val="20"/>
          <w:szCs w:val="20"/>
        </w:rPr>
        <w:t>Present: McLachlin C.J. and LeBel, Abella, Rothstein, Cromwell, Moldaver, Karakatsanis, Wagner and Gascon JJ.</w:t>
      </w:r>
    </w:p>
    <w:p w:rsidR="00EC49A7" w:rsidRDefault="00EC49A7" w:rsidP="00EC49A7">
      <w:pPr>
        <w:pStyle w:val="SCCLowerCourtNameLowercase"/>
        <w:spacing w:line="240" w:lineRule="auto"/>
        <w:outlineLvl w:val="0"/>
        <w:rPr>
          <w:sz w:val="20"/>
        </w:rPr>
      </w:pPr>
    </w:p>
    <w:p w:rsidR="00EC49A7" w:rsidRPr="007415CF" w:rsidRDefault="00EC49A7" w:rsidP="00EC49A7">
      <w:pPr>
        <w:pStyle w:val="SCCNormalDoubleSpacing"/>
        <w:spacing w:line="240" w:lineRule="auto"/>
        <w:rPr>
          <w:i/>
          <w:sz w:val="20"/>
        </w:rPr>
      </w:pPr>
      <w:r w:rsidRPr="007415CF">
        <w:rPr>
          <w:sz w:val="20"/>
        </w:rPr>
        <w:tab/>
      </w:r>
      <w:r w:rsidRPr="007415CF">
        <w:rPr>
          <w:i/>
          <w:sz w:val="20"/>
        </w:rPr>
        <w:t>Constitutional law — Division of powers — Criminal law — Constitutional classification of repealing enactment — Firearms — Federal legislation abolishing long-gun registry also containing provision requiring destruction of long-gun registration data — Quebec challenging constitutionality of destruction provision and seeking transfer of data connected with province from federal government — Whether principle of cooperative federalism prevents Parliament from legislating to destroy data — Whether destruction provision ultra vires criminal law power of Parliament — Whether Quebec has right to receive long-gun registration data from federal government — Constitution Act, 1867, s. 91(27) — Ending the Long-gun Registry Act, S.C. 2012, c. 6, s. 29.</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r>
      <w:r w:rsidRPr="007415CF">
        <w:rPr>
          <w:sz w:val="20"/>
          <w:lang w:val="en-US"/>
        </w:rPr>
        <w:t xml:space="preserve">Adopted in 1995, the </w:t>
      </w:r>
      <w:r w:rsidRPr="007415CF">
        <w:rPr>
          <w:i/>
          <w:sz w:val="20"/>
        </w:rPr>
        <w:t>Firearms</w:t>
      </w:r>
      <w:r w:rsidRPr="007415CF">
        <w:rPr>
          <w:i/>
          <w:sz w:val="20"/>
          <w:lang w:val="en-US"/>
        </w:rPr>
        <w:t xml:space="preserve"> Act</w:t>
      </w:r>
      <w:r w:rsidRPr="007415CF">
        <w:rPr>
          <w:sz w:val="20"/>
          <w:lang w:val="en-US"/>
        </w:rPr>
        <w:t xml:space="preserve"> created a comprehensive scheme requiring the holders of all firearms — including long guns — to obtain licences and register their guns. It also made it a criminal offence to possess an unregistered firearm. T</w:t>
      </w:r>
      <w:r w:rsidRPr="007415CF">
        <w:rPr>
          <w:sz w:val="20"/>
        </w:rPr>
        <w:t xml:space="preserve">he </w:t>
      </w:r>
      <w:r w:rsidRPr="007415CF">
        <w:rPr>
          <w:i/>
          <w:sz w:val="20"/>
        </w:rPr>
        <w:t>Firearms Act</w:t>
      </w:r>
      <w:r w:rsidRPr="007415CF">
        <w:rPr>
          <w:sz w:val="20"/>
        </w:rPr>
        <w:t xml:space="preserve"> provided for the creation of two types of registries: the Canadian Firearms Registry (“CFR”), maintained by the Registrar of Firearms and containing records of the registration certificates for all prohibited firearms, restricted firearms, and long guns acquired, transferred, or possessed in Canada, and a registry kept by the Chief Firearms Officer (“CFO”) designated for each province and territory, containing records of every firearm’s licence and authorization issued or revoked. The Registrar and the CFOs could access all records through a single electronic database but the statutory authority of CFOs only permitted them to contribute and modify data in their specific licensing registry.</w:t>
      </w:r>
    </w:p>
    <w:p w:rsidR="00EC49A7" w:rsidRDefault="00EC49A7" w:rsidP="00EC49A7">
      <w:pPr>
        <w:pStyle w:val="SCCNormalDoubleSpacing"/>
        <w:spacing w:line="240" w:lineRule="auto"/>
        <w:rPr>
          <w:sz w:val="20"/>
          <w:lang w:val="en-US"/>
        </w:rPr>
      </w:pPr>
    </w:p>
    <w:p w:rsidR="00EC49A7" w:rsidRPr="007415CF" w:rsidRDefault="00EC49A7" w:rsidP="00EC49A7">
      <w:pPr>
        <w:pStyle w:val="SCCNormalDoubleSpacing"/>
        <w:spacing w:line="240" w:lineRule="auto"/>
        <w:rPr>
          <w:sz w:val="20"/>
          <w:lang w:val="en-US"/>
        </w:rPr>
      </w:pPr>
      <w:r w:rsidRPr="007415CF">
        <w:rPr>
          <w:sz w:val="20"/>
          <w:lang w:val="en-US"/>
        </w:rPr>
        <w:tab/>
      </w:r>
      <w:r w:rsidRPr="007415CF">
        <w:rPr>
          <w:sz w:val="20"/>
        </w:rPr>
        <w:t xml:space="preserve">In 2012, Parliament enacted the </w:t>
      </w:r>
      <w:r w:rsidRPr="007415CF">
        <w:rPr>
          <w:i/>
          <w:sz w:val="20"/>
        </w:rPr>
        <w:t>Ending the Long-gun Registry Act</w:t>
      </w:r>
      <w:r w:rsidRPr="007415CF">
        <w:rPr>
          <w:sz w:val="20"/>
        </w:rPr>
        <w:t xml:space="preserve"> (“</w:t>
      </w:r>
      <w:r w:rsidRPr="007415CF">
        <w:rPr>
          <w:i/>
          <w:sz w:val="20"/>
        </w:rPr>
        <w:t>ELRA</w:t>
      </w:r>
      <w:r w:rsidRPr="007415CF">
        <w:rPr>
          <w:sz w:val="20"/>
        </w:rPr>
        <w:t xml:space="preserve">”), which repealed the registration requirement for long guns and decriminalized the possession of an unregistered long gun. Section 29 of the </w:t>
      </w:r>
      <w:r w:rsidRPr="007415CF">
        <w:rPr>
          <w:i/>
          <w:sz w:val="20"/>
        </w:rPr>
        <w:t>ELRA</w:t>
      </w:r>
      <w:r w:rsidRPr="007415CF">
        <w:rPr>
          <w:sz w:val="20"/>
        </w:rPr>
        <w:t xml:space="preserve"> requires the destruction of all records contained in the registries related to the registration of long guns. </w:t>
      </w:r>
      <w:r w:rsidRPr="007415CF">
        <w:rPr>
          <w:sz w:val="20"/>
          <w:lang w:val="en-US"/>
        </w:rPr>
        <w:t xml:space="preserve">In reaction, Quebec expressed its intention to create its own long-gun registry and asked the federal authorities for the data connected to Quebec contained in the CFR. Canada refused and made clear that it intended to permanently destroy all long-gun registration data. In light of this refusal, Quebec sought a declaration that s. 29 of the </w:t>
      </w:r>
      <w:r w:rsidRPr="007415CF">
        <w:rPr>
          <w:i/>
          <w:sz w:val="20"/>
          <w:lang w:val="en-US"/>
        </w:rPr>
        <w:t>ELRA</w:t>
      </w:r>
      <w:r w:rsidRPr="007415CF">
        <w:rPr>
          <w:sz w:val="20"/>
          <w:lang w:val="en-US"/>
        </w:rPr>
        <w:t xml:space="preserve"> is </w:t>
      </w:r>
      <w:r w:rsidRPr="007415CF">
        <w:rPr>
          <w:i/>
          <w:sz w:val="20"/>
          <w:lang w:val="en-US"/>
        </w:rPr>
        <w:t>ultra vires</w:t>
      </w:r>
      <w:r w:rsidRPr="007415CF">
        <w:rPr>
          <w:sz w:val="20"/>
          <w:lang w:val="en-US"/>
        </w:rPr>
        <w:t xml:space="preserve"> and that Quebec has a right to obtain the data. </w:t>
      </w:r>
    </w:p>
    <w:p w:rsidR="00EC49A7" w:rsidRDefault="00EC49A7" w:rsidP="00EC49A7">
      <w:pPr>
        <w:pStyle w:val="SCCNormalDoubleSpacing"/>
        <w:spacing w:line="240" w:lineRule="auto"/>
        <w:rPr>
          <w:sz w:val="20"/>
          <w:lang w:val="en-US"/>
        </w:rPr>
      </w:pPr>
    </w:p>
    <w:p w:rsidR="00EC49A7" w:rsidRPr="007415CF" w:rsidRDefault="00EC49A7" w:rsidP="00EC49A7">
      <w:pPr>
        <w:pStyle w:val="SCCNormalDoubleSpacing"/>
        <w:spacing w:line="240" w:lineRule="auto"/>
        <w:rPr>
          <w:sz w:val="20"/>
          <w:lang w:val="en-US"/>
        </w:rPr>
      </w:pPr>
      <w:r w:rsidRPr="007415CF">
        <w:rPr>
          <w:sz w:val="20"/>
          <w:lang w:val="en-US"/>
        </w:rPr>
        <w:tab/>
        <w:t xml:space="preserve">The </w:t>
      </w:r>
      <w:r w:rsidRPr="007415CF">
        <w:rPr>
          <w:sz w:val="20"/>
        </w:rPr>
        <w:t>Superior</w:t>
      </w:r>
      <w:r w:rsidRPr="007415CF">
        <w:rPr>
          <w:sz w:val="20"/>
          <w:lang w:val="en-US"/>
        </w:rPr>
        <w:t xml:space="preserve"> Court of Quebec declared s. 29 of the </w:t>
      </w:r>
      <w:r w:rsidRPr="007415CF">
        <w:rPr>
          <w:i/>
          <w:sz w:val="20"/>
          <w:lang w:val="en-US"/>
        </w:rPr>
        <w:t>ELRA</w:t>
      </w:r>
      <w:r w:rsidRPr="007415CF">
        <w:rPr>
          <w:sz w:val="20"/>
          <w:lang w:val="en-US"/>
        </w:rPr>
        <w:t xml:space="preserve"> unconstitutional as it applies to data connected with Quebec and ordered Canada to transfer that data to the province. The Quebec Court of Appeal reversed that decision. </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r>
      <w:r w:rsidRPr="007415CF">
        <w:rPr>
          <w:rStyle w:val="QuoteChar"/>
          <w:sz w:val="20"/>
        </w:rPr>
        <w:t>Held (LeBel, Abella, Wagner and Gascon JJ. dissenting):</w:t>
      </w:r>
      <w:r w:rsidRPr="007415CF">
        <w:rPr>
          <w:sz w:val="20"/>
        </w:rPr>
        <w:t xml:space="preserve"> The appeal should be dismissed. Section 29 of the </w:t>
      </w:r>
      <w:r w:rsidRPr="007415CF">
        <w:rPr>
          <w:i/>
          <w:sz w:val="20"/>
        </w:rPr>
        <w:t>ELRA</w:t>
      </w:r>
      <w:r w:rsidRPr="007415CF">
        <w:rPr>
          <w:sz w:val="20"/>
        </w:rPr>
        <w:t xml:space="preserve"> is constitutional, and Quebec has no legal right to the data.</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r>
      <w:r w:rsidRPr="007415CF">
        <w:rPr>
          <w:i/>
          <w:sz w:val="20"/>
        </w:rPr>
        <w:t>Per</w:t>
      </w:r>
      <w:r w:rsidRPr="007415CF">
        <w:rPr>
          <w:sz w:val="20"/>
        </w:rPr>
        <w:t xml:space="preserve"> McLachlin C.J. and Rothstein, </w:t>
      </w:r>
      <w:r w:rsidRPr="007415CF">
        <w:rPr>
          <w:b/>
          <w:sz w:val="20"/>
        </w:rPr>
        <w:t>Cromwell</w:t>
      </w:r>
      <w:r w:rsidRPr="007415CF">
        <w:rPr>
          <w:sz w:val="20"/>
        </w:rPr>
        <w:t xml:space="preserve">, Moldaver and </w:t>
      </w:r>
      <w:r w:rsidRPr="007415CF">
        <w:rPr>
          <w:b/>
          <w:sz w:val="20"/>
        </w:rPr>
        <w:t xml:space="preserve">Karakatsanis </w:t>
      </w:r>
      <w:r w:rsidRPr="007415CF">
        <w:rPr>
          <w:sz w:val="20"/>
        </w:rPr>
        <w:t xml:space="preserve">JJ.: The decision to dismantle the long-gun registry and destroy the data that it contains is a policy choice that Parliament was constitutionally entitled to make. The principle of cooperative federalism does not constrain federal legislative competence in this case, Quebec has no legal right to the data, and s. 29 of the </w:t>
      </w:r>
      <w:r w:rsidRPr="007415CF">
        <w:rPr>
          <w:i/>
          <w:sz w:val="20"/>
        </w:rPr>
        <w:t>ELRA</w:t>
      </w:r>
      <w:r w:rsidRPr="007415CF">
        <w:rPr>
          <w:sz w:val="20"/>
        </w:rPr>
        <w:t xml:space="preserve"> is a lawful exercise of Parliament’s criminal law legislative power under the Constitution. </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t xml:space="preserve">Quebec’s position that cooperative federalism prevents Canada and the provinces from acting or legislating in a way that would hinder cooperation between both orders of government has no foundation in our constitutional law and is contrary to the governing authorities from this Court. The principle of cooperative federalism does not prevent Parliament from exercising legislative authority that it otherwise possesses. The primacy of our written Constitution remains one of the fundamental tenets of our constitutional framework, and this is especially the case with regard to the division of powers. Neither this Court’s jurisprudence nor the text of the </w:t>
      </w:r>
      <w:r w:rsidRPr="007415CF">
        <w:rPr>
          <w:i/>
          <w:sz w:val="20"/>
        </w:rPr>
        <w:t>Constitution Act, 1867</w:t>
      </w:r>
      <w:r w:rsidRPr="007415CF">
        <w:rPr>
          <w:sz w:val="20"/>
        </w:rPr>
        <w:t>, support using the principle of cooperative federalism to limit the scope of legislative authority or to impose a positive obligation to facilitate cooperation where the constitutional division of powers authorizes unilateral action. To hold otherwise would undermine parliamentary sovereignty and create legal uncertainty whenever one order of government adopted legislation having some impact on the policy objectives of another.</w:t>
      </w:r>
    </w:p>
    <w:p w:rsidR="00EC49A7" w:rsidRDefault="00EC49A7" w:rsidP="00EC49A7">
      <w:pPr>
        <w:pStyle w:val="SCCNormalDoubleSpacing"/>
        <w:spacing w:line="240" w:lineRule="auto"/>
        <w:rPr>
          <w:sz w:val="20"/>
          <w:lang w:val="en-US"/>
        </w:rPr>
      </w:pPr>
    </w:p>
    <w:p w:rsidR="00EC49A7" w:rsidRPr="007415CF" w:rsidRDefault="00EC49A7" w:rsidP="00EC49A7">
      <w:pPr>
        <w:pStyle w:val="SCCNormalDoubleSpacing"/>
        <w:spacing w:line="240" w:lineRule="auto"/>
        <w:rPr>
          <w:sz w:val="20"/>
        </w:rPr>
      </w:pPr>
      <w:r w:rsidRPr="007415CF">
        <w:rPr>
          <w:sz w:val="20"/>
          <w:lang w:val="en-US"/>
        </w:rPr>
        <w:tab/>
        <w:t xml:space="preserve">Although </w:t>
      </w:r>
      <w:r w:rsidRPr="007415CF">
        <w:rPr>
          <w:sz w:val="20"/>
        </w:rPr>
        <w:t>Quebec</w:t>
      </w:r>
      <w:r w:rsidRPr="007415CF">
        <w:rPr>
          <w:sz w:val="20"/>
          <w:lang w:val="en-US"/>
        </w:rPr>
        <w:t xml:space="preserve"> submits that it has a right to receive the long-gun registration data whether or not Parliament is constitutionally entitled to legislate with respect to the fate of that data, it has not established a legal basis for that right. As mentioned,</w:t>
      </w:r>
      <w:r w:rsidRPr="007415CF">
        <w:rPr>
          <w:sz w:val="20"/>
        </w:rPr>
        <w:t xml:space="preserve"> the principle of cooperative federalism does not limit the scope of the legislative powers assigned by the Constitution. Furthermore, accepting Quebec’s position, which arises from its expectation of having continuing access to the data, would circumvent or effectively overturn this Court’s rejection of the “legitimate expectation” doctrine. The provinces’ reliance on the existence of the data cannot limit Parliament’s capacity to destroy a registry, which flows exclusively from its criminal law head of power. Lastly, even if the data accessible through the CFR was the result of a cooperative effort, any effort on Quebec’s part was statutorily limited to the licensing data held in the CFO’s licensing registry. </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t xml:space="preserve">This Court has already been called upon, in the </w:t>
      </w:r>
      <w:r w:rsidRPr="007415CF">
        <w:rPr>
          <w:i/>
          <w:sz w:val="20"/>
        </w:rPr>
        <w:t>Reference re Firearms Act (Can.)</w:t>
      </w:r>
      <w:r w:rsidRPr="007415CF">
        <w:rPr>
          <w:sz w:val="20"/>
        </w:rPr>
        <w:t xml:space="preserve">, 2000 SCC 31, [2000] 1 S.C.R. 783, to determine the pith and substance of the scheme enacted by the </w:t>
      </w:r>
      <w:r w:rsidRPr="007415CF">
        <w:rPr>
          <w:i/>
          <w:sz w:val="20"/>
        </w:rPr>
        <w:t>Firearms Act</w:t>
      </w:r>
      <w:r w:rsidRPr="007415CF">
        <w:rPr>
          <w:sz w:val="20"/>
        </w:rPr>
        <w:t xml:space="preserve">. In that case, the Court concluded that the “matter” of the registration and data retention provisions was public safety and should be classified as being in relation to the subject of criminal law. Legislation repealing that scheme, including a provision addressing what will happen to the data collected under the now repealed scheme, must be characterized in the same way. Section 29, in essence, relates to public safety </w:t>
      </w:r>
      <w:r w:rsidRPr="007415CF">
        <w:rPr>
          <w:sz w:val="20"/>
          <w:lang w:val="en-US"/>
        </w:rPr>
        <w:t xml:space="preserve">— </w:t>
      </w:r>
      <w:r w:rsidRPr="007415CF">
        <w:rPr>
          <w:sz w:val="20"/>
        </w:rPr>
        <w:t xml:space="preserve">as did the long-gun registration scheme being repealed by the balance of the </w:t>
      </w:r>
      <w:r w:rsidRPr="007415CF">
        <w:rPr>
          <w:i/>
          <w:sz w:val="20"/>
        </w:rPr>
        <w:t>ELRA</w:t>
      </w:r>
      <w:r w:rsidRPr="007415CF">
        <w:rPr>
          <w:sz w:val="20"/>
        </w:rPr>
        <w:t xml:space="preserve">. That provision does not limit Quebec’s legislative authority to create a provincial long-gun registry, it merely prevents Quebec from using the data obtained through the federal long-gun registry in establishing a provincial registry. The fact that it has the practical effect of making it more difficult financially for Quebec to create its own gun control regime is not indicative of a “colourable” purpose from a division of powers’ perspective and does not affect the pith and substance of s. 29. </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t xml:space="preserve">There is no significant legal distinction between repealing a criminal provision and providing for what will happen to the data collected under that provision where the data was collected exclusively through the exercise of the criminal law power. The power to repeal a criminal law provision must logically be wide enough to give Parliament jurisdiction to destroy the data collected for the purpose of that provision. Accordingly, s. 29 of the </w:t>
      </w:r>
      <w:r w:rsidRPr="007415CF">
        <w:rPr>
          <w:i/>
          <w:sz w:val="20"/>
        </w:rPr>
        <w:t>ELRA</w:t>
      </w:r>
      <w:r w:rsidRPr="007415CF">
        <w:rPr>
          <w:sz w:val="20"/>
        </w:rPr>
        <w:t xml:space="preserve"> should be characterized as being in relation to criminal law. It therefore falls within the legislative competence of Parliament.</w:t>
      </w:r>
    </w:p>
    <w:p w:rsidR="00EC49A7" w:rsidRPr="00EC49A7" w:rsidRDefault="00EC49A7" w:rsidP="00EC49A7">
      <w:pPr>
        <w:pStyle w:val="ParaNoNdepar-AltN"/>
        <w:numPr>
          <w:ilvl w:val="0"/>
          <w:numId w:val="0"/>
        </w:numPr>
        <w:spacing w:before="0" w:after="0" w:line="240" w:lineRule="auto"/>
        <w:rPr>
          <w:rFonts w:cs="Times New Roman"/>
          <w:i/>
          <w:sz w:val="20"/>
          <w:szCs w:val="20"/>
          <w:lang w:val="en-CA"/>
        </w:rPr>
      </w:pPr>
    </w:p>
    <w:p w:rsidR="00EC49A7" w:rsidRPr="00EC49A7" w:rsidRDefault="00EC49A7" w:rsidP="00EC49A7">
      <w:pPr>
        <w:pStyle w:val="ParaNoNdepar-AltN"/>
        <w:numPr>
          <w:ilvl w:val="0"/>
          <w:numId w:val="0"/>
        </w:numPr>
        <w:spacing w:before="0" w:after="0" w:line="240" w:lineRule="auto"/>
        <w:rPr>
          <w:rFonts w:cs="Times New Roman"/>
          <w:sz w:val="20"/>
          <w:szCs w:val="20"/>
          <w:lang w:val="en-CA"/>
        </w:rPr>
      </w:pPr>
      <w:r w:rsidRPr="00EC49A7">
        <w:rPr>
          <w:rFonts w:cs="Times New Roman"/>
          <w:i/>
          <w:sz w:val="20"/>
          <w:szCs w:val="20"/>
          <w:lang w:val="en-CA"/>
        </w:rPr>
        <w:tab/>
        <w:t>Per</w:t>
      </w:r>
      <w:r w:rsidRPr="00EC49A7">
        <w:rPr>
          <w:rFonts w:cs="Times New Roman"/>
          <w:sz w:val="20"/>
          <w:szCs w:val="20"/>
          <w:lang w:val="en-CA"/>
        </w:rPr>
        <w:t xml:space="preserve"> </w:t>
      </w:r>
      <w:r w:rsidRPr="00EC49A7">
        <w:rPr>
          <w:rFonts w:cs="Times New Roman"/>
          <w:b/>
          <w:sz w:val="20"/>
          <w:szCs w:val="20"/>
          <w:lang w:val="en-CA"/>
        </w:rPr>
        <w:t>LeBel</w:t>
      </w:r>
      <w:r w:rsidRPr="00EC49A7">
        <w:rPr>
          <w:rFonts w:cs="Times New Roman"/>
          <w:sz w:val="20"/>
          <w:szCs w:val="20"/>
          <w:lang w:val="en-CA"/>
        </w:rPr>
        <w:t xml:space="preserve">, Abella, </w:t>
      </w:r>
      <w:r w:rsidRPr="00EC49A7">
        <w:rPr>
          <w:rFonts w:cs="Times New Roman"/>
          <w:b/>
          <w:sz w:val="20"/>
          <w:szCs w:val="20"/>
          <w:lang w:val="en-CA"/>
        </w:rPr>
        <w:t>Wagner</w:t>
      </w:r>
      <w:r w:rsidRPr="00EC49A7">
        <w:rPr>
          <w:rFonts w:cs="Times New Roman"/>
          <w:sz w:val="20"/>
          <w:szCs w:val="20"/>
          <w:lang w:val="en-CA"/>
        </w:rPr>
        <w:t xml:space="preserve"> and </w:t>
      </w:r>
      <w:r w:rsidRPr="00EC49A7">
        <w:rPr>
          <w:rFonts w:cs="Times New Roman"/>
          <w:b/>
          <w:sz w:val="20"/>
          <w:szCs w:val="20"/>
          <w:lang w:val="en-CA"/>
        </w:rPr>
        <w:t xml:space="preserve">Gascon </w:t>
      </w:r>
      <w:r w:rsidRPr="00EC49A7">
        <w:rPr>
          <w:rFonts w:cs="Times New Roman"/>
          <w:sz w:val="20"/>
          <w:szCs w:val="20"/>
          <w:lang w:val="en-CA"/>
        </w:rPr>
        <w:t xml:space="preserve">JJ. (dissenting): Section 29 of the </w:t>
      </w:r>
      <w:r w:rsidRPr="00EC49A7">
        <w:rPr>
          <w:rFonts w:cs="Times New Roman"/>
          <w:i/>
          <w:sz w:val="20"/>
          <w:szCs w:val="20"/>
          <w:lang w:val="en-CA"/>
        </w:rPr>
        <w:t>ELRA</w:t>
      </w:r>
      <w:r w:rsidRPr="00EC49A7">
        <w:rPr>
          <w:rFonts w:cs="Times New Roman"/>
          <w:sz w:val="20"/>
          <w:szCs w:val="20"/>
          <w:lang w:val="en-CA"/>
        </w:rPr>
        <w:t xml:space="preserve"> is unconstitutional and should be declared to be invalid. The </w:t>
      </w:r>
      <w:r w:rsidRPr="00EC49A7">
        <w:rPr>
          <w:rFonts w:cs="Times New Roman"/>
          <w:i/>
          <w:sz w:val="20"/>
          <w:szCs w:val="20"/>
          <w:lang w:val="en-CA"/>
        </w:rPr>
        <w:t>ELRA</w:t>
      </w:r>
      <w:r w:rsidRPr="00EC49A7">
        <w:rPr>
          <w:rFonts w:cs="Times New Roman"/>
          <w:sz w:val="20"/>
          <w:szCs w:val="20"/>
          <w:lang w:val="en-CA"/>
        </w:rPr>
        <w:t xml:space="preserve"> is the legislative measure chosen by Parliament to end its participation in long-gun regulation, but s. 29 goes beyond the scope of that purpose, as it requires that the data in question be destroyed without providing for a possibility of their first being transferred to the provincial partners, which prevents the latter from using them in the exercise of their powers. However, there is no legal basis for Quebec’s request for a compulsory transfer of the data. The conditions applicable to such a transfer are a matter for the governments concerned, not the courts.</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lang w:val="en-US"/>
        </w:rPr>
      </w:pPr>
      <w:r w:rsidRPr="007415CF">
        <w:rPr>
          <w:sz w:val="20"/>
        </w:rPr>
        <w:tab/>
        <w:t xml:space="preserve">When the constitutionality of a statutory provision is challenged on the basis of the division of powers, courts turn to the pith and substance doctrine. To apply this doctrine, they must review the extent to which the impugned provision intrudes on the powers of the other level of government. Where, because of its pith and substance, a provision found in an otherwise valid statute encroaches on the jurisdiction of the other level of government, it must be determined whether the encroachment is ancillary. The degree of integration of a provision that is needed for an encroachment to be considered ancillary varies with the seriousness, or extent, of the encroachment. If the encroachment of the impugned provision on the jurisdiction of the other level of government is merely marginal or limited, a functional relationship between the provision and the statutory scheme may suffice. If, on the other hand, the provision is highly intrusive vis-à-vis the powers of the other level of government, a stricter test of necessity will apply. </w:t>
      </w:r>
    </w:p>
    <w:p w:rsidR="00EC49A7" w:rsidRDefault="00EC49A7" w:rsidP="00EC49A7">
      <w:pPr>
        <w:pStyle w:val="SCCNormalDoubleSpacing"/>
        <w:spacing w:line="240" w:lineRule="auto"/>
        <w:rPr>
          <w:sz w:val="20"/>
          <w:lang w:val="en-US"/>
        </w:rPr>
      </w:pPr>
    </w:p>
    <w:p w:rsidR="00EC49A7" w:rsidRPr="007415CF" w:rsidRDefault="00EC49A7" w:rsidP="00EC49A7">
      <w:pPr>
        <w:pStyle w:val="SCCNormalDoubleSpacing"/>
        <w:spacing w:line="240" w:lineRule="auto"/>
        <w:rPr>
          <w:sz w:val="20"/>
          <w:lang w:val="en-US"/>
        </w:rPr>
      </w:pPr>
      <w:r w:rsidRPr="007415CF">
        <w:rPr>
          <w:sz w:val="20"/>
          <w:lang w:val="en-US"/>
        </w:rPr>
        <w:tab/>
      </w:r>
      <w:r w:rsidRPr="007415CF">
        <w:rPr>
          <w:sz w:val="20"/>
        </w:rPr>
        <w:t xml:space="preserve">The unwritten principles that underlie our written Constitution, such as federalism, </w:t>
      </w:r>
      <w:r w:rsidRPr="007415CF">
        <w:rPr>
          <w:rFonts w:eastAsiaTheme="minorHAnsi"/>
          <w:sz w:val="20"/>
        </w:rPr>
        <w:t xml:space="preserve">infuse the analysis and interpretation of the division of powers. The modern view of federalism favours a flexible conception of the division of powers and recognizes a significant overlap between the federal and provincial areas of jurisdiction, allowing governments at both levels to legislate for valid purposes in the areas of overlap. </w:t>
      </w:r>
      <w:r w:rsidRPr="007415CF">
        <w:rPr>
          <w:sz w:val="20"/>
          <w:lang w:val="en-US"/>
        </w:rPr>
        <w:t xml:space="preserve">Such a conception facilitates intergovernmental co-operation. </w:t>
      </w:r>
      <w:r w:rsidRPr="007415CF">
        <w:rPr>
          <w:sz w:val="20"/>
        </w:rPr>
        <w:t>Both in law and in the political arena, the concept of co-operative federalism has been developed to adapt the principle of federalism to this modern reality; it reflects the realities of an increasingly complex society that requires the enactment of co-ordinated federal and provincial legislative schemes. From a legal perspective, it is by allowing for overlapping powers through the application of the pith and substance and ancillary powers doctrines</w:t>
      </w:r>
      <w:r w:rsidRPr="007415CF">
        <w:rPr>
          <w:rFonts w:eastAsiaTheme="minorHAnsi"/>
          <w:sz w:val="20"/>
        </w:rPr>
        <w:t xml:space="preserve"> that co-operative federalism is able to meet those needs. </w:t>
      </w:r>
    </w:p>
    <w:p w:rsidR="00EC49A7" w:rsidRDefault="00EC49A7" w:rsidP="00EC49A7">
      <w:pPr>
        <w:pStyle w:val="SCCNormalDoubleSpacing"/>
        <w:spacing w:line="240" w:lineRule="auto"/>
        <w:rPr>
          <w:sz w:val="20"/>
          <w:lang w:val="en-US"/>
        </w:rPr>
      </w:pPr>
    </w:p>
    <w:p w:rsidR="00EC49A7" w:rsidRPr="007415CF" w:rsidRDefault="00EC49A7" w:rsidP="00EC49A7">
      <w:pPr>
        <w:pStyle w:val="SCCNormalDoubleSpacing"/>
        <w:spacing w:line="240" w:lineRule="auto"/>
        <w:rPr>
          <w:sz w:val="20"/>
        </w:rPr>
      </w:pPr>
      <w:r w:rsidRPr="007415CF">
        <w:rPr>
          <w:sz w:val="20"/>
          <w:lang w:val="en-US"/>
        </w:rPr>
        <w:tab/>
      </w:r>
      <w:r w:rsidRPr="007415CF">
        <w:rPr>
          <w:sz w:val="20"/>
        </w:rPr>
        <w:t xml:space="preserve">The trial judge was right to find that there was a federal-provincial partnership with respect to firearms control. This partnership is consistent with the spirit of co-operative federalism. It enabled the federal and provincial governments to work together, rather than in isolation, to achieve both federal (criminal law) and provincial (public safety and administration of justice) purposes. </w:t>
      </w:r>
      <w:r w:rsidRPr="007415CF">
        <w:rPr>
          <w:rFonts w:eastAsiaTheme="minorHAnsi"/>
          <w:sz w:val="20"/>
        </w:rPr>
        <w:t xml:space="preserve">In the novel circumstances of the dismantling of this partnership, the analysis must be guided by the Constitution’s unwritten principles so as to ensure that the principle of federalism and its modern form — co-operative federalism — are not placed in jeopardy. </w:t>
      </w:r>
      <w:r w:rsidRPr="007415CF">
        <w:rPr>
          <w:sz w:val="20"/>
        </w:rPr>
        <w:t xml:space="preserve">Parliament or a provincial legislature cannot pass legislation to terminate such a partnership without taking into account the reasonably foreseeable consequences of the decision to do so on its partner’s heads of power. The courts must, in considering whether legislation or a statutory provision having as its purpose to dismantle the partnership is constitutional, be aware of the impact of that legislation or provision on the other partner’s exercise of its powers, especially when the partner that terminates the relationship is intentionally bringing about that impact. </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t xml:space="preserve">In this case, the Court of Appeal strayed from the analytical approach the courts must take. It is true that Parliament can repeal or amend legislation it has validly enacted under one of its heads of power. </w:t>
      </w:r>
      <w:r w:rsidRPr="007415CF">
        <w:rPr>
          <w:kern w:val="36"/>
          <w:sz w:val="20"/>
        </w:rPr>
        <w:t>Nevertheless, the courts must consider the impugned provision or legislation to determine whether, in pith and substance, all that it does is in fact to repeal or amend legislation that was validly enacted. I</w:t>
      </w:r>
      <w:r w:rsidRPr="007415CF">
        <w:rPr>
          <w:sz w:val="20"/>
        </w:rPr>
        <w:t>t is not enough to say that the legislative measure is merely repealing legislation.</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t xml:space="preserve">The words of s. 29 of the </w:t>
      </w:r>
      <w:r w:rsidRPr="007415CF">
        <w:rPr>
          <w:i/>
          <w:sz w:val="20"/>
        </w:rPr>
        <w:t>ELRA</w:t>
      </w:r>
      <w:r w:rsidRPr="007415CF">
        <w:rPr>
          <w:sz w:val="20"/>
        </w:rPr>
        <w:t xml:space="preserve"> pose no particular problems of interpretation. From a structural standpoint, s. 29 is distinct from other sections of the </w:t>
      </w:r>
      <w:r w:rsidRPr="007415CF">
        <w:rPr>
          <w:i/>
          <w:sz w:val="20"/>
        </w:rPr>
        <w:t xml:space="preserve">ELRA </w:t>
      </w:r>
      <w:r w:rsidRPr="007415CF">
        <w:rPr>
          <w:sz w:val="20"/>
        </w:rPr>
        <w:t xml:space="preserve">because it is a transitional provision. From a practical and legal standpoint, the principal effect of s. 29 is to delete the data in the CFR forever. The federal government’s decision to destroy the data without first transferring them to its partners, such as Quebec, have serious consequences that are relevant to the question whether s. 29 is constitutional. The extrinsic evidence shows that the purpose being pursued in enacting s. 29 was indeed to prevent the provinces from using the data. The trial judge </w:t>
      </w:r>
      <w:r w:rsidRPr="007415CF">
        <w:rPr>
          <w:iCs/>
          <w:kern w:val="36"/>
          <w:sz w:val="20"/>
        </w:rPr>
        <w:t xml:space="preserve">was therefore right to find that Parliament’s intention in destroying the data was to hinder the provinces. In light of the purpose and the effect of s. 29, therefore, the scope of the section is broader than the mere destruction of the data; it </w:t>
      </w:r>
      <w:r w:rsidRPr="007415CF">
        <w:rPr>
          <w:iCs/>
          <w:kern w:val="36"/>
          <w:sz w:val="20"/>
          <w:lang w:val="en-US"/>
        </w:rPr>
        <w:t xml:space="preserve">has harmful consequences for the federal government’s partners. </w:t>
      </w:r>
      <w:r w:rsidRPr="007415CF">
        <w:rPr>
          <w:sz w:val="20"/>
        </w:rPr>
        <w:t xml:space="preserve">The purpose of s. 29 does not relate to the repeal of part of the </w:t>
      </w:r>
      <w:r w:rsidRPr="007415CF">
        <w:rPr>
          <w:i/>
          <w:sz w:val="20"/>
        </w:rPr>
        <w:t>FA</w:t>
      </w:r>
      <w:r w:rsidRPr="007415CF">
        <w:rPr>
          <w:sz w:val="20"/>
        </w:rPr>
        <w:t>; the abolition by the federal government of the requirement to register long guns and the destruction of the data are two distinct objectives.</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lang w:val="en-US"/>
        </w:rPr>
      </w:pPr>
      <w:r w:rsidRPr="007415CF">
        <w:rPr>
          <w:sz w:val="20"/>
        </w:rPr>
        <w:tab/>
        <w:t xml:space="preserve">Given that the data are to be destroyed with no possibility of their first being transferred to the partners, and therefore without the impact of this measure on the partners’ exercise of their powers being taken into account, the section’s true purpose is to ensure that the information on long guns can no longer be used for any provincial purposes. As a result, the pith and substance of s. 29 relates to the provinces’ power over property and civil rights. </w:t>
      </w:r>
    </w:p>
    <w:p w:rsidR="00EC49A7" w:rsidRDefault="00EC49A7" w:rsidP="00EC49A7">
      <w:pPr>
        <w:pStyle w:val="SCCNormalDoubleSpacing"/>
        <w:spacing w:line="240" w:lineRule="auto"/>
        <w:rPr>
          <w:sz w:val="20"/>
          <w:lang w:val="en-US"/>
        </w:rPr>
      </w:pPr>
    </w:p>
    <w:p w:rsidR="00EC49A7" w:rsidRPr="007415CF" w:rsidRDefault="00EC49A7" w:rsidP="00EC49A7">
      <w:pPr>
        <w:pStyle w:val="SCCNormalDoubleSpacing"/>
        <w:spacing w:line="240" w:lineRule="auto"/>
        <w:rPr>
          <w:sz w:val="20"/>
        </w:rPr>
      </w:pPr>
      <w:r w:rsidRPr="007415CF">
        <w:rPr>
          <w:sz w:val="20"/>
          <w:lang w:val="en-US"/>
        </w:rPr>
        <w:tab/>
      </w:r>
      <w:r w:rsidRPr="007415CF">
        <w:rPr>
          <w:sz w:val="20"/>
        </w:rPr>
        <w:t xml:space="preserve">To determine whether s. 29 of the </w:t>
      </w:r>
      <w:r w:rsidRPr="007415CF">
        <w:rPr>
          <w:i/>
          <w:sz w:val="20"/>
        </w:rPr>
        <w:t xml:space="preserve">ELRA </w:t>
      </w:r>
      <w:r w:rsidRPr="007415CF">
        <w:rPr>
          <w:sz w:val="20"/>
        </w:rPr>
        <w:t>is constitutional on the basis of the ancillary powers doctrine, the seriousness, or extent, of its encroachment on provincial powers must be considered, bearing in mind that the provincial power to make laws in relation to property and civil rights is a head that should not be intruded upon lightly. The seriousness of the encroachment of s. 29 must be analyzed on the basis of the specific factual and legal context of the case, which includes the existence of the partnership between the federal government and Quebec. In this case, in terms of both its nature and its effect</w:t>
      </w:r>
      <w:r w:rsidRPr="007415CF">
        <w:rPr>
          <w:iCs/>
          <w:sz w:val="20"/>
        </w:rPr>
        <w:t>, s</w:t>
      </w:r>
      <w:r w:rsidRPr="007415CF">
        <w:rPr>
          <w:sz w:val="20"/>
        </w:rPr>
        <w:t xml:space="preserve">. 29 causes a substantial encroachment on provincial jurisdiction. For its encroachment to be found to be ancillary to the </w:t>
      </w:r>
      <w:r w:rsidRPr="007415CF">
        <w:rPr>
          <w:i/>
          <w:sz w:val="20"/>
        </w:rPr>
        <w:t>ELRA</w:t>
      </w:r>
      <w:r w:rsidRPr="007415CF">
        <w:rPr>
          <w:sz w:val="20"/>
        </w:rPr>
        <w:t>, the degree to which s. 29 is integrated into the Act must therefore be high, that is, it must satisfy the necessity or “integral part” criterion. T</w:t>
      </w:r>
      <w:r w:rsidRPr="007415CF">
        <w:rPr>
          <w:spacing w:val="-3"/>
          <w:sz w:val="20"/>
        </w:rPr>
        <w:t xml:space="preserve">he destruction of the data in question in s. 29 cannot be considered necessary to the </w:t>
      </w:r>
      <w:r w:rsidRPr="007415CF">
        <w:rPr>
          <w:sz w:val="20"/>
        </w:rPr>
        <w:t xml:space="preserve">abolition of the requirement to register long guns, as these two purposes are distinct. Nor can s. 29 be linked to the </w:t>
      </w:r>
      <w:r w:rsidRPr="007415CF">
        <w:rPr>
          <w:i/>
          <w:spacing w:val="-3"/>
          <w:sz w:val="20"/>
        </w:rPr>
        <w:t>ELRA</w:t>
      </w:r>
      <w:r w:rsidRPr="007415CF">
        <w:rPr>
          <w:spacing w:val="-3"/>
          <w:sz w:val="20"/>
        </w:rPr>
        <w:t xml:space="preserve"> </w:t>
      </w:r>
      <w:r w:rsidRPr="007415CF">
        <w:rPr>
          <w:sz w:val="20"/>
        </w:rPr>
        <w:t>on the basis of a test of rationality; it is hard to reconcile the manner in which the destruction of the data was provided for with the desire certain provinces might show to maintain a registry within the limits of their powers. Furthermore, Parliament declared that its intention was to cause harm to the other level of government.</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t xml:space="preserve">Since, because of its pith and substance, s. 29 of the </w:t>
      </w:r>
      <w:r w:rsidRPr="007415CF">
        <w:rPr>
          <w:i/>
          <w:iCs/>
          <w:sz w:val="20"/>
        </w:rPr>
        <w:t>ELRA</w:t>
      </w:r>
      <w:r w:rsidRPr="007415CF">
        <w:rPr>
          <w:sz w:val="20"/>
        </w:rPr>
        <w:t xml:space="preserve"> does not fall within the federal criminal law power and is not ancillary to the </w:t>
      </w:r>
      <w:r w:rsidRPr="007415CF">
        <w:rPr>
          <w:i/>
          <w:iCs/>
          <w:sz w:val="20"/>
        </w:rPr>
        <w:t>ELRA</w:t>
      </w:r>
      <w:r w:rsidRPr="007415CF">
        <w:rPr>
          <w:sz w:val="20"/>
        </w:rPr>
        <w:t xml:space="preserve">, it has not been shown to be constitutionally valid. A legislative measure cannot be found to be valid that (1) does not fall within the federal criminal law power and that (2) thwarts, by the substantial encroachment it causes, the corollary exercise of provincial powers that flowed from the partnership. To destroy the data without first offering to transfer them is unconstitutional. Section 29 of the </w:t>
      </w:r>
      <w:r w:rsidRPr="007415CF">
        <w:rPr>
          <w:i/>
          <w:iCs/>
          <w:sz w:val="20"/>
        </w:rPr>
        <w:t>ELRA</w:t>
      </w:r>
      <w:r w:rsidRPr="007415CF">
        <w:rPr>
          <w:sz w:val="20"/>
        </w:rPr>
        <w:t xml:space="preserve"> must therefore be declared to be invalid under s. 52 of the </w:t>
      </w:r>
      <w:r w:rsidRPr="007415CF">
        <w:rPr>
          <w:i/>
          <w:iCs/>
          <w:sz w:val="20"/>
        </w:rPr>
        <w:t>Constitution Act, 1982</w:t>
      </w:r>
      <w:r w:rsidRPr="007415CF">
        <w:rPr>
          <w:sz w:val="20"/>
        </w:rPr>
        <w:t>.</w:t>
      </w:r>
    </w:p>
    <w:p w:rsidR="00EC49A7" w:rsidRDefault="00EC49A7" w:rsidP="00EC49A7">
      <w:pPr>
        <w:pStyle w:val="SCCNormalDoubleSpacing"/>
        <w:spacing w:line="240" w:lineRule="auto"/>
        <w:rPr>
          <w:sz w:val="20"/>
        </w:rPr>
      </w:pPr>
    </w:p>
    <w:p w:rsidR="00EC49A7" w:rsidRDefault="00EC49A7" w:rsidP="00EC49A7">
      <w:pPr>
        <w:pStyle w:val="SCCNormalDoubleSpacing"/>
        <w:spacing w:line="240" w:lineRule="auto"/>
        <w:rPr>
          <w:sz w:val="20"/>
        </w:rPr>
      </w:pPr>
      <w:r w:rsidRPr="007415CF">
        <w:rPr>
          <w:sz w:val="20"/>
        </w:rPr>
        <w:tab/>
        <w:t xml:space="preserve">Nevertheless, Quebec has not established a legal basis for its claim to the data. The absence of a legal barrier to the transfer of the data does not necessarily mean that Quebec has proven that it is entitled to obtain them through the courts. It is up to the legislatures to fill legislative gaps that are incompatible with the Constitution, and not up to the courts to supply an exact description of the laws the legislatures must adopt to fulfill their constitutional obligations. </w:t>
      </w:r>
      <w:r w:rsidRPr="007415CF">
        <w:rPr>
          <w:iCs/>
          <w:sz w:val="20"/>
        </w:rPr>
        <w:t>In some cases, the source of the appropriate remedy must lie in the political process rather than in the courts</w:t>
      </w:r>
      <w:r w:rsidRPr="007415CF">
        <w:rPr>
          <w:sz w:val="20"/>
        </w:rPr>
        <w:t>. In this case, it was up to the members of the partnership to set out the conditions that were to apply upon termination of their joint venture in their agreements.</w:t>
      </w:r>
    </w:p>
    <w:p w:rsidR="00EC49A7" w:rsidRDefault="00EC49A7" w:rsidP="00EC49A7">
      <w:pPr>
        <w:pStyle w:val="SCCNormalDoubleSpacing"/>
        <w:spacing w:line="240" w:lineRule="auto"/>
        <w:rPr>
          <w:sz w:val="20"/>
        </w:rPr>
      </w:pPr>
    </w:p>
    <w:p w:rsidR="00EC49A7" w:rsidRPr="007415CF" w:rsidRDefault="00EC49A7" w:rsidP="00EC49A7">
      <w:pPr>
        <w:pStyle w:val="SCCNormalDoubleSpacing"/>
        <w:spacing w:line="240" w:lineRule="auto"/>
        <w:rPr>
          <w:sz w:val="20"/>
        </w:rPr>
      </w:pPr>
      <w:r w:rsidRPr="007415CF">
        <w:rPr>
          <w:sz w:val="20"/>
        </w:rPr>
        <w:tab/>
        <w:t>APPEAL from a judgment of the Quebec Court of Appeal (Duval Hesler C.J. and Chamberland, Kasirer, St-Pierre and Lévesque JJ.A.), 2013 QCCA 1138, [2013] R.J.Q. 1023, [2013] AZ-</w:t>
      </w:r>
      <w:r w:rsidRPr="007415CF">
        <w:rPr>
          <w:sz w:val="20"/>
          <w:lang w:val="en-US"/>
        </w:rPr>
        <w:t>50965380</w:t>
      </w:r>
      <w:r w:rsidRPr="007415CF">
        <w:rPr>
          <w:sz w:val="20"/>
        </w:rPr>
        <w:t xml:space="preserve">, [2013] Q.J. No. 6676 (QL), 2013 CarswellQue 7597 (WL Can.), setting aside a decision of Blanchard J., </w:t>
      </w:r>
      <w:r w:rsidRPr="007415CF">
        <w:rPr>
          <w:sz w:val="20"/>
          <w:lang w:val="en-US"/>
        </w:rPr>
        <w:t xml:space="preserve">2012 QCCS 4202, </w:t>
      </w:r>
      <w:r w:rsidRPr="007415CF">
        <w:rPr>
          <w:sz w:val="20"/>
        </w:rPr>
        <w:t>[2012] R.J.Q. 1895, [2012] AZ-</w:t>
      </w:r>
      <w:r w:rsidRPr="007415CF">
        <w:rPr>
          <w:sz w:val="20"/>
          <w:lang w:val="en-US"/>
        </w:rPr>
        <w:t>50892414</w:t>
      </w:r>
      <w:r w:rsidRPr="007415CF">
        <w:rPr>
          <w:sz w:val="20"/>
        </w:rPr>
        <w:t xml:space="preserve">, </w:t>
      </w:r>
      <w:r w:rsidRPr="007415CF">
        <w:rPr>
          <w:sz w:val="20"/>
          <w:lang w:val="en-US"/>
        </w:rPr>
        <w:t>[2012] Q.J. No. 8319 (</w:t>
      </w:r>
      <w:r w:rsidRPr="007415CF">
        <w:rPr>
          <w:sz w:val="20"/>
        </w:rPr>
        <w:t>QL), 2012 CarswellQue 10074 (WL Can.). Appeal dismissed, LeBel, Abella, Wagner and Gascon JJ. dissenting.</w:t>
      </w:r>
    </w:p>
    <w:p w:rsidR="00EC49A7" w:rsidRDefault="00EC49A7" w:rsidP="00EC49A7">
      <w:pPr>
        <w:pStyle w:val="SCCNormalDoubleSpacing"/>
        <w:spacing w:line="240" w:lineRule="auto"/>
        <w:outlineLvl w:val="0"/>
        <w:rPr>
          <w:rStyle w:val="SCCCounselNameChar"/>
          <w:i w:val="0"/>
          <w:sz w:val="20"/>
        </w:rPr>
      </w:pPr>
    </w:p>
    <w:p w:rsidR="00EC49A7" w:rsidRPr="007415CF" w:rsidRDefault="00EC49A7" w:rsidP="00EC49A7">
      <w:pPr>
        <w:pStyle w:val="SCCNormalDoubleSpacing"/>
        <w:spacing w:line="240" w:lineRule="auto"/>
        <w:outlineLvl w:val="0"/>
        <w:rPr>
          <w:sz w:val="20"/>
        </w:rPr>
      </w:pPr>
      <w:r w:rsidRPr="007415CF">
        <w:rPr>
          <w:rStyle w:val="SCCCounselNameChar"/>
          <w:sz w:val="20"/>
        </w:rPr>
        <w:tab/>
      </w:r>
      <w:r w:rsidRPr="007415CF">
        <w:rPr>
          <w:rStyle w:val="SCCCounselNameChar"/>
          <w:sz w:val="20"/>
          <w:lang w:val="en-US"/>
        </w:rPr>
        <w:t>Éric Dufour</w:t>
      </w:r>
      <w:r w:rsidRPr="007415CF">
        <w:rPr>
          <w:rStyle w:val="SCCCounselSeparatorChar"/>
          <w:sz w:val="20"/>
          <w:lang w:val="en-US"/>
        </w:rPr>
        <w:t xml:space="preserve">, </w:t>
      </w:r>
      <w:r w:rsidRPr="007415CF">
        <w:rPr>
          <w:rStyle w:val="SCCCounselNameChar"/>
          <w:sz w:val="20"/>
          <w:lang w:val="en-US"/>
        </w:rPr>
        <w:t xml:space="preserve">Hugo Jean and Suzanne-L. </w:t>
      </w:r>
      <w:r w:rsidRPr="007415CF">
        <w:rPr>
          <w:rStyle w:val="SCCCounselNameChar"/>
          <w:sz w:val="20"/>
        </w:rPr>
        <w:t>Gauthier</w:t>
      </w:r>
      <w:r w:rsidRPr="007415CF">
        <w:rPr>
          <w:rStyle w:val="SCCCounselPartyRoleChar"/>
          <w:sz w:val="20"/>
        </w:rPr>
        <w:t>, for the appellant.</w:t>
      </w:r>
    </w:p>
    <w:p w:rsidR="00EC49A7" w:rsidRDefault="00EC49A7" w:rsidP="00EC49A7">
      <w:pPr>
        <w:pStyle w:val="SCCNormalDoubleSpacing"/>
        <w:spacing w:line="240" w:lineRule="auto"/>
        <w:outlineLvl w:val="0"/>
        <w:rPr>
          <w:rStyle w:val="SCCCounselNameChar"/>
          <w:i w:val="0"/>
          <w:sz w:val="20"/>
        </w:rPr>
      </w:pPr>
    </w:p>
    <w:p w:rsidR="00EC49A7" w:rsidRPr="007415CF" w:rsidRDefault="00EC49A7" w:rsidP="00EC49A7">
      <w:pPr>
        <w:pStyle w:val="SCCNormalDoubleSpacing"/>
        <w:spacing w:line="240" w:lineRule="auto"/>
        <w:outlineLvl w:val="0"/>
        <w:rPr>
          <w:sz w:val="20"/>
        </w:rPr>
      </w:pPr>
      <w:r w:rsidRPr="007415CF">
        <w:rPr>
          <w:rStyle w:val="SCCCounselNameChar"/>
          <w:sz w:val="20"/>
        </w:rPr>
        <w:tab/>
        <w:t>Claude Joyal, Q.C.</w:t>
      </w:r>
      <w:r w:rsidRPr="00EC49A7">
        <w:rPr>
          <w:rStyle w:val="SCCCounselSeparatorChar"/>
          <w:sz w:val="20"/>
          <w:lang w:val="en-CA"/>
        </w:rPr>
        <w:t xml:space="preserve">, and </w:t>
      </w:r>
      <w:r w:rsidRPr="007415CF">
        <w:rPr>
          <w:rStyle w:val="SCCCounselNameChar"/>
          <w:sz w:val="20"/>
        </w:rPr>
        <w:t>Ian Demers</w:t>
      </w:r>
      <w:r w:rsidRPr="007415CF">
        <w:rPr>
          <w:rStyle w:val="SCCCounselPartyRoleChar"/>
          <w:sz w:val="20"/>
        </w:rPr>
        <w:t>, for the respondents.</w:t>
      </w:r>
    </w:p>
    <w:p w:rsidR="00EC49A7" w:rsidRDefault="00EC49A7" w:rsidP="00EC49A7">
      <w:pPr>
        <w:pStyle w:val="SCCNormalDoubleSpacing"/>
        <w:spacing w:line="240" w:lineRule="auto"/>
        <w:rPr>
          <w:rStyle w:val="SCCCounselNameChar"/>
          <w:i w:val="0"/>
          <w:sz w:val="20"/>
          <w:lang w:val="en-US"/>
        </w:rPr>
      </w:pPr>
    </w:p>
    <w:p w:rsidR="00EC49A7" w:rsidRPr="007415CF" w:rsidRDefault="00EC49A7" w:rsidP="00EC49A7">
      <w:pPr>
        <w:pStyle w:val="SCCNormalDoubleSpacing"/>
        <w:spacing w:line="240" w:lineRule="auto"/>
        <w:rPr>
          <w:sz w:val="20"/>
          <w:lang w:val="en-US"/>
        </w:rPr>
      </w:pPr>
      <w:r w:rsidRPr="007415CF">
        <w:rPr>
          <w:rStyle w:val="SCCCounselNameChar"/>
          <w:sz w:val="20"/>
          <w:lang w:val="en-US"/>
        </w:rPr>
        <w:tab/>
        <w:t>Frédérick Langlois and Alain M. Gaulin</w:t>
      </w:r>
      <w:r w:rsidRPr="007415CF">
        <w:rPr>
          <w:rStyle w:val="SCCCounselPartyRoleChar"/>
          <w:sz w:val="20"/>
          <w:lang w:val="en-US"/>
        </w:rPr>
        <w:t>, for the intervener the Coalition for Gun Control.</w:t>
      </w:r>
    </w:p>
    <w:p w:rsidR="00EC49A7" w:rsidRDefault="00EC49A7" w:rsidP="00EC49A7">
      <w:pPr>
        <w:pStyle w:val="SCCNormalDoubleSpacing"/>
        <w:spacing w:line="240" w:lineRule="auto"/>
        <w:rPr>
          <w:rStyle w:val="SCCCounselNameChar"/>
          <w:i w:val="0"/>
          <w:sz w:val="20"/>
          <w:lang w:val="en-US"/>
        </w:rPr>
      </w:pPr>
    </w:p>
    <w:p w:rsidR="00EC49A7" w:rsidRPr="007415CF" w:rsidRDefault="00EC49A7" w:rsidP="00EC49A7">
      <w:pPr>
        <w:pStyle w:val="SCCNormalDoubleSpacing"/>
        <w:spacing w:line="240" w:lineRule="auto"/>
        <w:rPr>
          <w:sz w:val="20"/>
        </w:rPr>
      </w:pPr>
      <w:r w:rsidRPr="007415CF">
        <w:rPr>
          <w:rStyle w:val="SCCCounselNameChar"/>
          <w:sz w:val="20"/>
          <w:lang w:val="en-US"/>
        </w:rPr>
        <w:tab/>
      </w:r>
      <w:r w:rsidRPr="007415CF">
        <w:rPr>
          <w:rStyle w:val="SCCCounselNameChar"/>
          <w:sz w:val="20"/>
        </w:rPr>
        <w:t>Guy Lavergne</w:t>
      </w:r>
      <w:r w:rsidRPr="007415CF">
        <w:rPr>
          <w:rStyle w:val="SCCCounselPartyRoleChar"/>
          <w:sz w:val="20"/>
        </w:rPr>
        <w:t>, for the intervener Canada’s National Firearms Association.</w:t>
      </w:r>
    </w:p>
    <w:p w:rsidR="00EC49A7" w:rsidRDefault="00EC49A7" w:rsidP="00EC49A7">
      <w:pPr>
        <w:pStyle w:val="SCCNormalDoubleSpacing"/>
        <w:spacing w:line="240" w:lineRule="auto"/>
        <w:outlineLvl w:val="0"/>
        <w:rPr>
          <w:rStyle w:val="SCCCounselNameChar"/>
          <w:i w:val="0"/>
          <w:sz w:val="20"/>
        </w:rPr>
      </w:pPr>
    </w:p>
    <w:p w:rsidR="00EC49A7" w:rsidRPr="007415CF" w:rsidRDefault="00EC49A7" w:rsidP="00EC49A7">
      <w:pPr>
        <w:pStyle w:val="SCCNormalDoubleSpacing"/>
        <w:spacing w:line="240" w:lineRule="auto"/>
        <w:outlineLvl w:val="0"/>
        <w:rPr>
          <w:sz w:val="20"/>
          <w:lang w:val="en-US"/>
        </w:rPr>
      </w:pPr>
      <w:r w:rsidRPr="007415CF">
        <w:rPr>
          <w:rStyle w:val="SCCCounselNameChar"/>
          <w:sz w:val="20"/>
        </w:rPr>
        <w:tab/>
      </w:r>
      <w:r w:rsidRPr="00FF1CDE">
        <w:rPr>
          <w:rStyle w:val="SCCCounselNameChar"/>
          <w:i w:val="0"/>
          <w:sz w:val="20"/>
        </w:rPr>
        <w:t>No one appearing for</w:t>
      </w:r>
      <w:r w:rsidRPr="007415CF">
        <w:rPr>
          <w:rStyle w:val="SCCCounselNameChar"/>
          <w:sz w:val="20"/>
        </w:rPr>
        <w:t xml:space="preserve"> </w:t>
      </w:r>
      <w:r w:rsidRPr="007415CF">
        <w:rPr>
          <w:rStyle w:val="SCCCounselPartyRoleChar"/>
          <w:sz w:val="20"/>
          <w:lang w:val="en-US"/>
        </w:rPr>
        <w:t>the intervener the Chief Firearms Officer.</w:t>
      </w:r>
    </w:p>
    <w:p w:rsidR="00EC49A7" w:rsidRDefault="00EC49A7" w:rsidP="00EC49A7">
      <w:pPr>
        <w:pStyle w:val="SCCNormalDoubleSpacing"/>
        <w:spacing w:line="240" w:lineRule="auto"/>
        <w:rPr>
          <w:sz w:val="20"/>
          <w:lang w:val="en-US"/>
        </w:rPr>
      </w:pPr>
    </w:p>
    <w:p w:rsidR="00EC49A7" w:rsidRPr="007415CF" w:rsidRDefault="00EC49A7" w:rsidP="00EC49A7">
      <w:pPr>
        <w:pStyle w:val="SCCLawFirm"/>
        <w:spacing w:line="240" w:lineRule="auto"/>
        <w:outlineLvl w:val="0"/>
        <w:rPr>
          <w:sz w:val="20"/>
        </w:rPr>
      </w:pPr>
      <w:r w:rsidRPr="007415CF">
        <w:rPr>
          <w:sz w:val="20"/>
        </w:rPr>
        <w:tab/>
        <w:t>Solicitors for the appellant: Bernard, Roy &amp; Associés, Montréal.</w:t>
      </w:r>
    </w:p>
    <w:p w:rsidR="00EC49A7" w:rsidRDefault="00EC49A7" w:rsidP="00EC49A7">
      <w:pPr>
        <w:pStyle w:val="SCCLawFirm"/>
        <w:spacing w:line="240" w:lineRule="auto"/>
        <w:outlineLvl w:val="0"/>
        <w:rPr>
          <w:sz w:val="20"/>
        </w:rPr>
      </w:pPr>
    </w:p>
    <w:p w:rsidR="00EC49A7" w:rsidRPr="007415CF" w:rsidRDefault="00EC49A7" w:rsidP="00EC49A7">
      <w:pPr>
        <w:pStyle w:val="SCCLawFirm"/>
        <w:spacing w:line="240" w:lineRule="auto"/>
        <w:outlineLvl w:val="0"/>
        <w:rPr>
          <w:sz w:val="20"/>
          <w:lang w:val="en-US"/>
        </w:rPr>
      </w:pPr>
      <w:r w:rsidRPr="007415CF">
        <w:rPr>
          <w:sz w:val="20"/>
        </w:rPr>
        <w:tab/>
      </w:r>
      <w:r w:rsidRPr="007415CF">
        <w:rPr>
          <w:sz w:val="20"/>
          <w:lang w:val="en-US"/>
        </w:rPr>
        <w:t>Solicitor for the respondents: Attorney General of Canada, Montréal.</w:t>
      </w:r>
    </w:p>
    <w:p w:rsidR="00EC49A7" w:rsidRDefault="00EC49A7" w:rsidP="00EC49A7">
      <w:pPr>
        <w:pStyle w:val="SCCLawFirm"/>
        <w:spacing w:line="240" w:lineRule="auto"/>
        <w:rPr>
          <w:sz w:val="20"/>
          <w:lang w:val="en-US"/>
        </w:rPr>
      </w:pPr>
    </w:p>
    <w:p w:rsidR="00EC49A7" w:rsidRPr="007415CF" w:rsidRDefault="00EC49A7" w:rsidP="00EC49A7">
      <w:pPr>
        <w:pStyle w:val="SCCLawFirm"/>
        <w:spacing w:line="240" w:lineRule="auto"/>
        <w:rPr>
          <w:sz w:val="20"/>
          <w:lang w:val="en-US"/>
        </w:rPr>
      </w:pPr>
      <w:r w:rsidRPr="007415CF">
        <w:rPr>
          <w:sz w:val="20"/>
          <w:lang w:val="en-US"/>
        </w:rPr>
        <w:tab/>
        <w:t>Solicitors for the intervener the Coalition for Gun Control: Juripop, Saint-Constant, Quebec; Deveau, Bourgeois, Gagné, Hébert &amp; associés, Gatineau.</w:t>
      </w:r>
    </w:p>
    <w:p w:rsidR="00EC49A7" w:rsidRDefault="00EC49A7" w:rsidP="00EC49A7">
      <w:pPr>
        <w:pStyle w:val="SCCLawFirm"/>
        <w:spacing w:line="240" w:lineRule="auto"/>
        <w:rPr>
          <w:sz w:val="20"/>
          <w:lang w:val="en-US"/>
        </w:rPr>
      </w:pPr>
    </w:p>
    <w:p w:rsidR="00EC49A7" w:rsidRDefault="00EC49A7" w:rsidP="00EC49A7">
      <w:pPr>
        <w:pStyle w:val="SCCLawFirm"/>
        <w:spacing w:line="240" w:lineRule="auto"/>
        <w:rPr>
          <w:sz w:val="20"/>
          <w:lang w:val="en-US"/>
        </w:rPr>
      </w:pPr>
      <w:r w:rsidRPr="007415CF">
        <w:rPr>
          <w:sz w:val="20"/>
          <w:lang w:val="en-US"/>
        </w:rPr>
        <w:tab/>
        <w:t>Solicitor for the intervener Canada’s National Firearms Association: Guy Lavergne, Saint-Lazare, Quebec.</w:t>
      </w:r>
    </w:p>
    <w:p w:rsidR="003B3977" w:rsidRPr="00EC49A7" w:rsidRDefault="003B3977" w:rsidP="005C6840">
      <w:pPr>
        <w:rPr>
          <w:rFonts w:cs="Times New Roman"/>
          <w:sz w:val="20"/>
          <w:szCs w:val="20"/>
          <w:lang w:val="en-US"/>
        </w:rPr>
      </w:pPr>
    </w:p>
    <w:p w:rsidR="00902E51" w:rsidRDefault="00173D9D" w:rsidP="00902E51">
      <w:pPr>
        <w:rPr>
          <w:rFonts w:cs="Times New Roman"/>
          <w:sz w:val="20"/>
          <w:szCs w:val="20"/>
          <w:lang w:val="fr-CA"/>
        </w:rPr>
      </w:pPr>
      <w:r>
        <w:rPr>
          <w:rFonts w:cs="Times New Roman"/>
          <w:sz w:val="20"/>
          <w:szCs w:val="20"/>
          <w:lang w:val="fr-CA"/>
        </w:rPr>
        <w:pict>
          <v:rect id="_x0000_i1087"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EC49A7"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7340FC" w:rsidRPr="00EC49A7" w:rsidTr="00206566">
        <w:trPr>
          <w:cantSplit/>
          <w:trHeight w:val="1152"/>
        </w:trPr>
        <w:tc>
          <w:tcPr>
            <w:tcW w:w="4320" w:type="dxa"/>
            <w:tcBorders>
              <w:top w:val="nil"/>
              <w:left w:val="nil"/>
              <w:bottom w:val="nil"/>
              <w:right w:val="nil"/>
            </w:tcBorders>
          </w:tcPr>
          <w:p w:rsidR="007340FC" w:rsidRPr="00DD0B49" w:rsidRDefault="007340FC" w:rsidP="00206566">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7340FC" w:rsidRPr="00DD0B49" w:rsidRDefault="007340FC" w:rsidP="00206566">
            <w:pPr>
              <w:rPr>
                <w:rFonts w:cs="Times New Roman"/>
                <w:b/>
                <w:bCs/>
                <w:sz w:val="20"/>
                <w:szCs w:val="20"/>
                <w:lang w:val="en-GB"/>
              </w:rPr>
            </w:pPr>
          </w:p>
        </w:tc>
        <w:tc>
          <w:tcPr>
            <w:tcW w:w="4320" w:type="dxa"/>
            <w:tcBorders>
              <w:top w:val="nil"/>
              <w:left w:val="nil"/>
              <w:bottom w:val="nil"/>
              <w:right w:val="nil"/>
            </w:tcBorders>
          </w:tcPr>
          <w:p w:rsidR="007340FC" w:rsidRPr="00DD0B49" w:rsidRDefault="007340FC" w:rsidP="00206566">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7340FC" w:rsidRPr="00DD0B49" w:rsidTr="00206566">
        <w:tc>
          <w:tcPr>
            <w:tcW w:w="4320" w:type="dxa"/>
            <w:tcBorders>
              <w:top w:val="nil"/>
              <w:left w:val="nil"/>
              <w:bottom w:val="nil"/>
              <w:right w:val="nil"/>
            </w:tcBorders>
          </w:tcPr>
          <w:p w:rsidR="007340FC" w:rsidRPr="00DD0B49" w:rsidRDefault="007340FC" w:rsidP="00206566">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4</w:t>
            </w:r>
            <w:r w:rsidRPr="00DD0B49">
              <w:rPr>
                <w:rFonts w:cs="Times New Roman"/>
                <w:b/>
                <w:bCs/>
                <w:sz w:val="20"/>
                <w:szCs w:val="20"/>
                <w:lang w:val="en-GB"/>
              </w:rPr>
              <w:t xml:space="preserve">] </w:t>
            </w:r>
            <w:r>
              <w:rPr>
                <w:rFonts w:cs="Times New Roman"/>
                <w:b/>
                <w:bCs/>
                <w:sz w:val="20"/>
                <w:szCs w:val="20"/>
                <w:lang w:val="en-GB"/>
              </w:rPr>
              <w:t>3</w:t>
            </w:r>
            <w:r w:rsidRPr="00DD0B49">
              <w:rPr>
                <w:rFonts w:cs="Times New Roman"/>
                <w:b/>
                <w:bCs/>
                <w:sz w:val="20"/>
                <w:szCs w:val="20"/>
                <w:lang w:val="en-GB"/>
              </w:rPr>
              <w:t xml:space="preserve"> S.C.R. Part </w:t>
            </w:r>
            <w:r>
              <w:rPr>
                <w:rFonts w:cs="Times New Roman"/>
                <w:b/>
                <w:bCs/>
                <w:sz w:val="20"/>
                <w:szCs w:val="20"/>
                <w:lang w:val="en-GB"/>
              </w:rPr>
              <w:t>2</w:t>
            </w:r>
          </w:p>
          <w:p w:rsidR="007340FC" w:rsidRPr="00DD0B49" w:rsidRDefault="007340FC" w:rsidP="00206566">
            <w:pPr>
              <w:rPr>
                <w:rFonts w:cs="Times New Roman"/>
                <w:sz w:val="20"/>
                <w:szCs w:val="20"/>
                <w:lang w:val="en-GB"/>
              </w:rPr>
            </w:pPr>
          </w:p>
          <w:p w:rsidR="007340FC" w:rsidRPr="00DD0B49" w:rsidRDefault="007340FC" w:rsidP="00206566">
            <w:pPr>
              <w:rPr>
                <w:rFonts w:cs="Times New Roman"/>
                <w:sz w:val="20"/>
                <w:szCs w:val="20"/>
                <w:lang w:val="en-GB"/>
              </w:rPr>
            </w:pPr>
            <w:r>
              <w:rPr>
                <w:rFonts w:cs="Times New Roman"/>
                <w:sz w:val="20"/>
                <w:szCs w:val="20"/>
                <w:lang w:val="en-GB"/>
              </w:rPr>
              <w:t xml:space="preserve">Bhasin </w:t>
            </w:r>
            <w:r w:rsidRPr="00DD0B49">
              <w:rPr>
                <w:rFonts w:cs="Times New Roman"/>
                <w:i/>
                <w:sz w:val="20"/>
                <w:szCs w:val="20"/>
                <w:lang w:val="en-GB"/>
              </w:rPr>
              <w:t>v.</w:t>
            </w:r>
            <w:r w:rsidRPr="00DD0B49">
              <w:rPr>
                <w:rFonts w:cs="Times New Roman"/>
                <w:sz w:val="20"/>
                <w:szCs w:val="20"/>
                <w:lang w:val="en-GB"/>
              </w:rPr>
              <w:t xml:space="preserve"> </w:t>
            </w:r>
            <w:r>
              <w:rPr>
                <w:rFonts w:cs="Times New Roman"/>
                <w:sz w:val="20"/>
                <w:szCs w:val="20"/>
                <w:lang w:val="en-GB"/>
              </w:rPr>
              <w:t>Hrynew</w:t>
            </w:r>
            <w:r w:rsidRPr="00DD0B49">
              <w:rPr>
                <w:rFonts w:cs="Times New Roman"/>
                <w:sz w:val="20"/>
                <w:szCs w:val="20"/>
                <w:lang w:val="en-GB"/>
              </w:rPr>
              <w:t>,</w:t>
            </w:r>
          </w:p>
          <w:p w:rsidR="007340FC" w:rsidRPr="00DD0B49" w:rsidRDefault="007340FC" w:rsidP="00206566">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71</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494</w:t>
            </w:r>
          </w:p>
          <w:p w:rsidR="007340FC" w:rsidRPr="00DD0B49" w:rsidRDefault="007340FC" w:rsidP="00206566">
            <w:pPr>
              <w:rPr>
                <w:rFonts w:cs="Times New Roman"/>
                <w:sz w:val="20"/>
                <w:szCs w:val="20"/>
                <w:lang w:val="en-GB"/>
              </w:rPr>
            </w:pPr>
          </w:p>
          <w:p w:rsidR="007340FC" w:rsidRPr="00DD0B49" w:rsidRDefault="007340FC" w:rsidP="00206566">
            <w:pPr>
              <w:rPr>
                <w:rFonts w:cs="Times New Roman"/>
                <w:sz w:val="20"/>
                <w:szCs w:val="20"/>
                <w:lang w:val="en-GB"/>
              </w:rPr>
            </w:pPr>
            <w:r>
              <w:rPr>
                <w:rFonts w:cs="Times New Roman"/>
                <w:sz w:val="20"/>
                <w:szCs w:val="20"/>
                <w:lang w:val="en-GB"/>
              </w:rPr>
              <w:t xml:space="preserve">British Columbia Teachers’ Federationl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British Columbia Public School Employers’ Association</w:t>
            </w:r>
            <w:r w:rsidRPr="00DD0B49">
              <w:rPr>
                <w:rFonts w:cs="Times New Roman"/>
                <w:sz w:val="20"/>
                <w:szCs w:val="20"/>
                <w:lang w:val="en-GB"/>
              </w:rPr>
              <w:t>,</w:t>
            </w:r>
          </w:p>
          <w:p w:rsidR="007340FC" w:rsidRPr="00D21A33" w:rsidRDefault="007340FC" w:rsidP="00206566">
            <w:pPr>
              <w:rPr>
                <w:rFonts w:cs="Times New Roman"/>
                <w:sz w:val="20"/>
                <w:szCs w:val="20"/>
              </w:rPr>
            </w:pPr>
            <w:r w:rsidRPr="00D21A33">
              <w:rPr>
                <w:rFonts w:cs="Times New Roman"/>
                <w:sz w:val="20"/>
                <w:szCs w:val="20"/>
              </w:rPr>
              <w:t>2014 SCC 70, [2014] 3 S.C.R. 492</w:t>
            </w:r>
          </w:p>
          <w:p w:rsidR="007340FC" w:rsidRPr="00D21A33" w:rsidRDefault="007340FC" w:rsidP="00206566">
            <w:pPr>
              <w:rPr>
                <w:rFonts w:cs="Times New Roman"/>
                <w:iCs/>
                <w:sz w:val="20"/>
                <w:szCs w:val="20"/>
              </w:rPr>
            </w:pPr>
          </w:p>
          <w:p w:rsidR="007340FC" w:rsidRPr="007340FC" w:rsidRDefault="007340FC" w:rsidP="00206566">
            <w:pPr>
              <w:rPr>
                <w:rFonts w:cs="Times New Roman"/>
                <w:iCs/>
                <w:sz w:val="20"/>
                <w:szCs w:val="20"/>
              </w:rPr>
            </w:pPr>
            <w:r w:rsidRPr="007340FC">
              <w:rPr>
                <w:rFonts w:cs="Times New Roman"/>
                <w:sz w:val="20"/>
                <w:szCs w:val="20"/>
              </w:rPr>
              <w:t>Febles</w:t>
            </w:r>
            <w:r w:rsidRPr="007340FC">
              <w:rPr>
                <w:rFonts w:cs="Times New Roman"/>
                <w:iCs/>
                <w:sz w:val="20"/>
                <w:szCs w:val="20"/>
              </w:rPr>
              <w:t xml:space="preserve"> </w:t>
            </w:r>
            <w:r w:rsidRPr="007340FC">
              <w:rPr>
                <w:rFonts w:cs="Times New Roman"/>
                <w:i/>
                <w:iCs/>
                <w:sz w:val="20"/>
                <w:szCs w:val="20"/>
              </w:rPr>
              <w:t>v.</w:t>
            </w:r>
            <w:r w:rsidRPr="007340FC">
              <w:rPr>
                <w:rFonts w:cs="Times New Roman"/>
                <w:iCs/>
                <w:sz w:val="20"/>
                <w:szCs w:val="20"/>
              </w:rPr>
              <w:t xml:space="preserve"> Canada (Citizenship and Immigration),</w:t>
            </w:r>
          </w:p>
          <w:p w:rsidR="007340FC" w:rsidRPr="00DD0B49" w:rsidRDefault="007340FC" w:rsidP="00206566">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68</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431</w:t>
            </w:r>
          </w:p>
          <w:p w:rsidR="007340FC" w:rsidRPr="00DD0B49" w:rsidRDefault="007340FC" w:rsidP="00206566">
            <w:pPr>
              <w:rPr>
                <w:rFonts w:cs="Times New Roman"/>
                <w:sz w:val="20"/>
                <w:szCs w:val="20"/>
                <w:lang w:val="en-GB"/>
              </w:rPr>
            </w:pPr>
          </w:p>
          <w:p w:rsidR="007340FC" w:rsidRPr="00DD0B49" w:rsidRDefault="007340FC" w:rsidP="00206566">
            <w:pPr>
              <w:rPr>
                <w:rFonts w:cs="Times New Roman"/>
                <w:sz w:val="20"/>
                <w:szCs w:val="20"/>
                <w:lang w:val="en-GB"/>
              </w:rPr>
            </w:pPr>
            <w:r>
              <w:rPr>
                <w:rFonts w:cs="Times New Roman"/>
                <w:sz w:val="20"/>
                <w:szCs w:val="20"/>
                <w:lang w:val="en-GB"/>
              </w:rPr>
              <w:t xml:space="preserve">Imperial Oil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Jacques</w:t>
            </w:r>
            <w:r w:rsidRPr="00DD0B49">
              <w:rPr>
                <w:rFonts w:cs="Times New Roman"/>
                <w:sz w:val="20"/>
                <w:szCs w:val="20"/>
                <w:lang w:val="en-GB"/>
              </w:rPr>
              <w:t>,</w:t>
            </w:r>
          </w:p>
          <w:p w:rsidR="007340FC" w:rsidRPr="00DD0B49" w:rsidRDefault="007340FC" w:rsidP="00206566">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66</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287</w:t>
            </w:r>
          </w:p>
          <w:p w:rsidR="007340FC" w:rsidRDefault="007340FC" w:rsidP="00206566">
            <w:pPr>
              <w:rPr>
                <w:rFonts w:cs="Times New Roman"/>
                <w:sz w:val="20"/>
                <w:szCs w:val="20"/>
                <w:lang w:val="en-GB"/>
              </w:rPr>
            </w:pPr>
          </w:p>
          <w:p w:rsidR="007340FC" w:rsidRPr="00DD0B49" w:rsidRDefault="007340FC" w:rsidP="007340FC">
            <w:pPr>
              <w:rPr>
                <w:rFonts w:cs="Times New Roman"/>
                <w:sz w:val="20"/>
                <w:szCs w:val="20"/>
                <w:lang w:val="en-GB"/>
              </w:rPr>
            </w:pPr>
            <w:r>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Bouchard</w:t>
            </w:r>
            <w:r w:rsidRPr="00DD0B49">
              <w:rPr>
                <w:rFonts w:cs="Times New Roman"/>
                <w:sz w:val="20"/>
                <w:szCs w:val="20"/>
                <w:lang w:val="en-GB"/>
              </w:rPr>
              <w:t>,</w:t>
            </w:r>
          </w:p>
          <w:p w:rsidR="007340FC" w:rsidRPr="00DD0B49" w:rsidRDefault="007340FC" w:rsidP="007340FC">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64</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283</w:t>
            </w:r>
          </w:p>
          <w:p w:rsidR="007340FC" w:rsidRDefault="007340FC" w:rsidP="007340FC">
            <w:pPr>
              <w:rPr>
                <w:rFonts w:cs="Times New Roman"/>
                <w:sz w:val="20"/>
                <w:szCs w:val="20"/>
                <w:lang w:val="en-GB"/>
              </w:rPr>
            </w:pPr>
          </w:p>
          <w:p w:rsidR="007340FC" w:rsidRPr="00DD0B49" w:rsidRDefault="007340FC" w:rsidP="007340FC">
            <w:pPr>
              <w:rPr>
                <w:rFonts w:cs="Times New Roman"/>
                <w:sz w:val="20"/>
                <w:szCs w:val="20"/>
                <w:lang w:val="en-GB"/>
              </w:rPr>
            </w:pPr>
            <w:r>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Dunn</w:t>
            </w:r>
            <w:r w:rsidRPr="00DD0B49">
              <w:rPr>
                <w:rFonts w:cs="Times New Roman"/>
                <w:sz w:val="20"/>
                <w:szCs w:val="20"/>
                <w:lang w:val="en-GB"/>
              </w:rPr>
              <w:t>,</w:t>
            </w:r>
          </w:p>
          <w:p w:rsidR="007340FC" w:rsidRPr="00DD0B49" w:rsidRDefault="007340FC" w:rsidP="007340FC">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69</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490</w:t>
            </w:r>
          </w:p>
          <w:p w:rsidR="007340FC" w:rsidRDefault="007340FC" w:rsidP="007340FC">
            <w:pPr>
              <w:rPr>
                <w:rFonts w:cs="Times New Roman"/>
                <w:sz w:val="20"/>
                <w:szCs w:val="20"/>
                <w:lang w:val="en-GB"/>
              </w:rPr>
            </w:pPr>
          </w:p>
          <w:p w:rsidR="007340FC" w:rsidRPr="00DD0B49" w:rsidRDefault="007340FC" w:rsidP="007340FC">
            <w:pPr>
              <w:rPr>
                <w:rFonts w:cs="Times New Roman"/>
                <w:sz w:val="20"/>
                <w:szCs w:val="20"/>
                <w:lang w:val="en-GB"/>
              </w:rPr>
            </w:pPr>
            <w:r>
              <w:rPr>
                <w:rFonts w:cs="Times New Roman"/>
                <w:sz w:val="20"/>
                <w:szCs w:val="20"/>
                <w:lang w:val="en-GB"/>
              </w:rPr>
              <w:t xml:space="preserve">R.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Lepine</w:t>
            </w:r>
            <w:r w:rsidRPr="00DD0B49">
              <w:rPr>
                <w:rFonts w:cs="Times New Roman"/>
                <w:sz w:val="20"/>
                <w:szCs w:val="20"/>
                <w:lang w:val="en-GB"/>
              </w:rPr>
              <w:t>,</w:t>
            </w:r>
          </w:p>
          <w:p w:rsidR="007340FC" w:rsidRPr="00DD0B49" w:rsidRDefault="007340FC" w:rsidP="007340FC">
            <w:pPr>
              <w:rPr>
                <w:rFonts w:cs="Times New Roman"/>
                <w:sz w:val="20"/>
                <w:szCs w:val="20"/>
                <w:lang w:val="en-GB"/>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Pr>
                <w:rFonts w:cs="Times New Roman"/>
                <w:sz w:val="20"/>
                <w:szCs w:val="20"/>
                <w:lang w:val="en-GB"/>
              </w:rPr>
              <w:t>65</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Pr>
                <w:rFonts w:cs="Times New Roman"/>
                <w:sz w:val="20"/>
                <w:szCs w:val="20"/>
                <w:lang w:val="en-GB"/>
              </w:rPr>
              <w:t>285</w:t>
            </w:r>
          </w:p>
          <w:p w:rsidR="007340FC" w:rsidRDefault="007340FC" w:rsidP="007340FC">
            <w:pPr>
              <w:rPr>
                <w:rFonts w:cs="Times New Roman"/>
                <w:sz w:val="20"/>
                <w:szCs w:val="20"/>
                <w:lang w:val="en-GB"/>
              </w:rPr>
            </w:pPr>
          </w:p>
          <w:p w:rsidR="007340FC" w:rsidRPr="00DD0B49" w:rsidRDefault="007340FC" w:rsidP="00206566">
            <w:pPr>
              <w:rPr>
                <w:rFonts w:cs="Times New Roman"/>
                <w:sz w:val="20"/>
                <w:szCs w:val="20"/>
                <w:lang w:val="en-GB"/>
              </w:rPr>
            </w:pPr>
            <w:r>
              <w:rPr>
                <w:rFonts w:cs="Times New Roman"/>
                <w:sz w:val="20"/>
                <w:szCs w:val="20"/>
                <w:lang w:val="en-GB"/>
              </w:rPr>
              <w:t xml:space="preserve">Thibodeau </w:t>
            </w:r>
            <w:r w:rsidRPr="00DD0B49">
              <w:rPr>
                <w:rFonts w:cs="Times New Roman"/>
                <w:i/>
                <w:iCs/>
                <w:sz w:val="20"/>
                <w:szCs w:val="20"/>
                <w:lang w:val="en-GB"/>
              </w:rPr>
              <w:t>v</w:t>
            </w:r>
            <w:r w:rsidRPr="00DD0B49">
              <w:rPr>
                <w:rFonts w:cs="Times New Roman"/>
                <w:sz w:val="20"/>
                <w:szCs w:val="20"/>
                <w:lang w:val="en-GB"/>
              </w:rPr>
              <w:t xml:space="preserve">. </w:t>
            </w:r>
            <w:r>
              <w:rPr>
                <w:rFonts w:cs="Times New Roman"/>
                <w:sz w:val="20"/>
                <w:szCs w:val="20"/>
                <w:lang w:val="en-GB"/>
              </w:rPr>
              <w:t>Air Canada</w:t>
            </w:r>
            <w:r w:rsidRPr="00DD0B49">
              <w:rPr>
                <w:rFonts w:cs="Times New Roman"/>
                <w:sz w:val="20"/>
                <w:szCs w:val="20"/>
                <w:lang w:val="en-GB"/>
              </w:rPr>
              <w:t>,</w:t>
            </w:r>
          </w:p>
          <w:p w:rsidR="007340FC" w:rsidRPr="00DD0B49" w:rsidRDefault="007340FC" w:rsidP="00206566">
            <w:pPr>
              <w:rPr>
                <w:rFonts w:cs="Times New Roman"/>
                <w:sz w:val="20"/>
                <w:szCs w:val="20"/>
              </w:rPr>
            </w:pPr>
            <w:r w:rsidRPr="00DD0B49">
              <w:rPr>
                <w:rFonts w:cs="Times New Roman"/>
                <w:sz w:val="20"/>
                <w:szCs w:val="20"/>
              </w:rPr>
              <w:t>201</w:t>
            </w:r>
            <w:r>
              <w:rPr>
                <w:rFonts w:cs="Times New Roman"/>
                <w:sz w:val="20"/>
                <w:szCs w:val="20"/>
              </w:rPr>
              <w:t>4</w:t>
            </w:r>
            <w:r w:rsidRPr="00DD0B49">
              <w:rPr>
                <w:rFonts w:cs="Times New Roman"/>
                <w:sz w:val="20"/>
                <w:szCs w:val="20"/>
              </w:rPr>
              <w:t xml:space="preserve"> SCC </w:t>
            </w:r>
            <w:r>
              <w:rPr>
                <w:rFonts w:cs="Times New Roman"/>
                <w:sz w:val="20"/>
                <w:szCs w:val="20"/>
              </w:rPr>
              <w:t>67</w:t>
            </w:r>
            <w:r w:rsidRPr="00DD0B49">
              <w:rPr>
                <w:rFonts w:cs="Times New Roman"/>
                <w:sz w:val="20"/>
                <w:szCs w:val="20"/>
              </w:rPr>
              <w:t>, [201</w:t>
            </w:r>
            <w:r>
              <w:rPr>
                <w:rFonts w:cs="Times New Roman"/>
                <w:sz w:val="20"/>
                <w:szCs w:val="20"/>
              </w:rPr>
              <w:t>4</w:t>
            </w:r>
            <w:r w:rsidRPr="00DD0B49">
              <w:rPr>
                <w:rFonts w:cs="Times New Roman"/>
                <w:sz w:val="20"/>
                <w:szCs w:val="20"/>
              </w:rPr>
              <w:t xml:space="preserve">] </w:t>
            </w:r>
            <w:r>
              <w:rPr>
                <w:rFonts w:cs="Times New Roman"/>
                <w:sz w:val="20"/>
                <w:szCs w:val="20"/>
              </w:rPr>
              <w:t>3</w:t>
            </w:r>
            <w:r w:rsidRPr="00DD0B49">
              <w:rPr>
                <w:rFonts w:cs="Times New Roman"/>
                <w:sz w:val="20"/>
                <w:szCs w:val="20"/>
              </w:rPr>
              <w:t xml:space="preserve"> S.C.R. </w:t>
            </w:r>
            <w:r>
              <w:rPr>
                <w:rFonts w:cs="Times New Roman"/>
                <w:sz w:val="20"/>
                <w:szCs w:val="20"/>
              </w:rPr>
              <w:t>340</w:t>
            </w:r>
          </w:p>
          <w:p w:rsidR="007340FC" w:rsidRDefault="007340FC" w:rsidP="00206566">
            <w:pPr>
              <w:rPr>
                <w:rFonts w:cs="Times New Roman"/>
                <w:sz w:val="20"/>
                <w:szCs w:val="20"/>
              </w:rPr>
            </w:pPr>
          </w:p>
          <w:p w:rsidR="007340FC" w:rsidRPr="00DD0B49" w:rsidRDefault="00173D9D" w:rsidP="00206566">
            <w:pPr>
              <w:keepNext/>
              <w:keepLines/>
              <w:rPr>
                <w:rFonts w:cs="Times New Roman"/>
                <w:bCs/>
                <w:sz w:val="20"/>
                <w:szCs w:val="20"/>
                <w:lang w:val="fr-CA"/>
              </w:rPr>
            </w:pPr>
            <w:r>
              <w:rPr>
                <w:rFonts w:cs="Times New Roman"/>
                <w:sz w:val="20"/>
                <w:szCs w:val="20"/>
              </w:rPr>
              <w:pict>
                <v:rect id="_x0000_i1090" style="width:129.6pt;height:1pt" o:hrpct="600" o:hralign="center" o:hrstd="t" o:hrnoshade="t" o:hr="t" fillcolor="black [3213]" stroked="f"/>
              </w:pict>
            </w:r>
          </w:p>
        </w:tc>
        <w:tc>
          <w:tcPr>
            <w:tcW w:w="840" w:type="dxa"/>
            <w:tcBorders>
              <w:top w:val="nil"/>
              <w:left w:val="nil"/>
              <w:bottom w:val="nil"/>
              <w:right w:val="nil"/>
            </w:tcBorders>
          </w:tcPr>
          <w:p w:rsidR="007340FC" w:rsidRPr="00DD0B49" w:rsidRDefault="007340FC" w:rsidP="00206566">
            <w:pPr>
              <w:rPr>
                <w:rFonts w:cs="Times New Roman"/>
                <w:b/>
                <w:bCs/>
                <w:sz w:val="20"/>
                <w:szCs w:val="20"/>
                <w:lang w:val="fr-CA"/>
              </w:rPr>
            </w:pPr>
          </w:p>
        </w:tc>
        <w:tc>
          <w:tcPr>
            <w:tcW w:w="4320" w:type="dxa"/>
            <w:tcBorders>
              <w:top w:val="nil"/>
              <w:left w:val="nil"/>
              <w:bottom w:val="nil"/>
              <w:right w:val="nil"/>
            </w:tcBorders>
          </w:tcPr>
          <w:p w:rsidR="007340FC" w:rsidRPr="00DD0B49" w:rsidRDefault="007340FC" w:rsidP="00206566">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4</w:t>
            </w:r>
            <w:r w:rsidRPr="00DD0B49">
              <w:rPr>
                <w:rFonts w:cs="Times New Roman"/>
                <w:b/>
                <w:bCs/>
                <w:sz w:val="20"/>
                <w:szCs w:val="20"/>
                <w:lang w:val="fr-CA"/>
              </w:rPr>
              <w:t xml:space="preserve">] </w:t>
            </w:r>
            <w:r>
              <w:rPr>
                <w:rFonts w:cs="Times New Roman"/>
                <w:b/>
                <w:bCs/>
                <w:sz w:val="20"/>
                <w:szCs w:val="20"/>
                <w:lang w:val="fr-CA"/>
              </w:rPr>
              <w:t>3</w:t>
            </w:r>
            <w:r w:rsidRPr="00DD0B49">
              <w:rPr>
                <w:rFonts w:cs="Times New Roman"/>
                <w:b/>
                <w:bCs/>
                <w:sz w:val="20"/>
                <w:szCs w:val="20"/>
                <w:lang w:val="fr-CA"/>
              </w:rPr>
              <w:t xml:space="preserve"> R.C.S. Partie </w:t>
            </w:r>
            <w:r>
              <w:rPr>
                <w:rFonts w:cs="Times New Roman"/>
                <w:b/>
                <w:bCs/>
                <w:sz w:val="20"/>
                <w:szCs w:val="20"/>
                <w:lang w:val="fr-CA"/>
              </w:rPr>
              <w:t>2</w:t>
            </w:r>
          </w:p>
          <w:p w:rsidR="007340FC" w:rsidRPr="00DD0B49" w:rsidRDefault="007340FC" w:rsidP="00206566">
            <w:pPr>
              <w:rPr>
                <w:rFonts w:cs="Times New Roman"/>
                <w:b/>
                <w:bCs/>
                <w:sz w:val="20"/>
                <w:szCs w:val="20"/>
                <w:lang w:val="fr-CA"/>
              </w:rPr>
            </w:pPr>
          </w:p>
          <w:p w:rsidR="007340FC" w:rsidRPr="00B10658" w:rsidRDefault="007340FC" w:rsidP="00206566">
            <w:pPr>
              <w:rPr>
                <w:rFonts w:cs="Times New Roman"/>
                <w:sz w:val="20"/>
                <w:szCs w:val="20"/>
              </w:rPr>
            </w:pPr>
            <w:r w:rsidRPr="00B10658">
              <w:rPr>
                <w:rFonts w:cs="Times New Roman"/>
                <w:sz w:val="20"/>
                <w:szCs w:val="20"/>
              </w:rPr>
              <w:t>B</w:t>
            </w:r>
            <w:r w:rsidR="00B10658" w:rsidRPr="00B10658">
              <w:rPr>
                <w:rFonts w:cs="Times New Roman"/>
                <w:sz w:val="20"/>
                <w:szCs w:val="20"/>
              </w:rPr>
              <w:t>h</w:t>
            </w:r>
            <w:r w:rsidRPr="00B10658">
              <w:rPr>
                <w:rFonts w:cs="Times New Roman"/>
                <w:sz w:val="20"/>
                <w:szCs w:val="20"/>
              </w:rPr>
              <w:t>a</w:t>
            </w:r>
            <w:r w:rsidR="00B10658" w:rsidRPr="00B10658">
              <w:rPr>
                <w:rFonts w:cs="Times New Roman"/>
                <w:sz w:val="20"/>
                <w:szCs w:val="20"/>
              </w:rPr>
              <w:t>si</w:t>
            </w:r>
            <w:r w:rsidRPr="00B10658">
              <w:rPr>
                <w:rFonts w:cs="Times New Roman"/>
                <w:sz w:val="20"/>
                <w:szCs w:val="20"/>
              </w:rPr>
              <w:t>n</w:t>
            </w:r>
            <w:r w:rsidR="00B10658" w:rsidRPr="00B10658">
              <w:rPr>
                <w:rFonts w:cs="Times New Roman"/>
                <w:sz w:val="20"/>
                <w:szCs w:val="20"/>
              </w:rPr>
              <w:t xml:space="preserve"> </w:t>
            </w:r>
            <w:r w:rsidRPr="00B10658">
              <w:rPr>
                <w:rFonts w:cs="Times New Roman"/>
                <w:i/>
                <w:sz w:val="20"/>
                <w:szCs w:val="20"/>
              </w:rPr>
              <w:t>c.</w:t>
            </w:r>
            <w:r w:rsidRPr="00B10658">
              <w:rPr>
                <w:rFonts w:cs="Times New Roman"/>
                <w:sz w:val="20"/>
                <w:szCs w:val="20"/>
              </w:rPr>
              <w:t xml:space="preserve"> </w:t>
            </w:r>
            <w:r w:rsidR="00B10658" w:rsidRPr="00B10658">
              <w:rPr>
                <w:rFonts w:cs="Times New Roman"/>
                <w:sz w:val="20"/>
                <w:szCs w:val="20"/>
              </w:rPr>
              <w:t>Hrynew</w:t>
            </w:r>
            <w:r w:rsidRPr="00B10658">
              <w:rPr>
                <w:rFonts w:cs="Times New Roman"/>
                <w:sz w:val="20"/>
                <w:szCs w:val="20"/>
              </w:rPr>
              <w:t>,</w:t>
            </w:r>
          </w:p>
          <w:p w:rsidR="007340FC" w:rsidRPr="00B10658" w:rsidRDefault="007340FC" w:rsidP="00206566">
            <w:pPr>
              <w:rPr>
                <w:rFonts w:cs="Times New Roman"/>
                <w:sz w:val="20"/>
                <w:szCs w:val="20"/>
              </w:rPr>
            </w:pPr>
            <w:r w:rsidRPr="00B10658">
              <w:rPr>
                <w:rFonts w:cs="Times New Roman"/>
                <w:sz w:val="20"/>
                <w:szCs w:val="20"/>
              </w:rPr>
              <w:t xml:space="preserve">2014 CSC </w:t>
            </w:r>
            <w:r w:rsidR="00B10658">
              <w:rPr>
                <w:rFonts w:cs="Times New Roman"/>
                <w:sz w:val="20"/>
                <w:szCs w:val="20"/>
              </w:rPr>
              <w:t>71</w:t>
            </w:r>
            <w:r w:rsidRPr="00B10658">
              <w:rPr>
                <w:rFonts w:cs="Times New Roman"/>
                <w:sz w:val="20"/>
                <w:szCs w:val="20"/>
              </w:rPr>
              <w:t xml:space="preserve">, [2014] 3 R.C.S. </w:t>
            </w:r>
            <w:r w:rsidR="00B10658">
              <w:rPr>
                <w:rFonts w:cs="Times New Roman"/>
                <w:sz w:val="20"/>
                <w:szCs w:val="20"/>
              </w:rPr>
              <w:t>494</w:t>
            </w:r>
          </w:p>
          <w:p w:rsidR="007340FC" w:rsidRPr="00B10658" w:rsidRDefault="007340FC" w:rsidP="00206566">
            <w:pPr>
              <w:rPr>
                <w:rFonts w:cs="Times New Roman"/>
                <w:sz w:val="20"/>
                <w:szCs w:val="20"/>
              </w:rPr>
            </w:pPr>
          </w:p>
          <w:p w:rsidR="007340FC" w:rsidRPr="00B10658" w:rsidRDefault="007340FC" w:rsidP="00206566">
            <w:pPr>
              <w:rPr>
                <w:rFonts w:cs="Times New Roman"/>
                <w:sz w:val="20"/>
                <w:szCs w:val="20"/>
              </w:rPr>
            </w:pPr>
            <w:r w:rsidRPr="00B10658">
              <w:rPr>
                <w:rFonts w:cs="Times New Roman"/>
                <w:sz w:val="20"/>
                <w:szCs w:val="20"/>
              </w:rPr>
              <w:t>B</w:t>
            </w:r>
            <w:r w:rsidR="00B10658" w:rsidRPr="00B10658">
              <w:rPr>
                <w:rFonts w:cs="Times New Roman"/>
                <w:sz w:val="20"/>
                <w:szCs w:val="20"/>
              </w:rPr>
              <w:t>ritish Columbi</w:t>
            </w:r>
            <w:r w:rsidRPr="00B10658">
              <w:rPr>
                <w:rFonts w:cs="Times New Roman"/>
                <w:sz w:val="20"/>
                <w:szCs w:val="20"/>
              </w:rPr>
              <w:t>a</w:t>
            </w:r>
            <w:r w:rsidR="00B10658" w:rsidRPr="00B10658">
              <w:rPr>
                <w:rFonts w:cs="Times New Roman"/>
                <w:sz w:val="20"/>
                <w:szCs w:val="20"/>
              </w:rPr>
              <w:t xml:space="preserve"> T</w:t>
            </w:r>
            <w:r w:rsidRPr="00B10658">
              <w:rPr>
                <w:rFonts w:cs="Times New Roman"/>
                <w:sz w:val="20"/>
                <w:szCs w:val="20"/>
              </w:rPr>
              <w:t>e</w:t>
            </w:r>
            <w:r w:rsidR="00B10658" w:rsidRPr="00B10658">
              <w:rPr>
                <w:rFonts w:cs="Times New Roman"/>
                <w:sz w:val="20"/>
                <w:szCs w:val="20"/>
              </w:rPr>
              <w:t>achers’ Fe</w:t>
            </w:r>
            <w:r w:rsidRPr="00B10658">
              <w:rPr>
                <w:rFonts w:cs="Times New Roman"/>
                <w:sz w:val="20"/>
                <w:szCs w:val="20"/>
              </w:rPr>
              <w:t>dera</w:t>
            </w:r>
            <w:r w:rsidR="00B10658" w:rsidRPr="00B10658">
              <w:rPr>
                <w:rFonts w:cs="Times New Roman"/>
                <w:sz w:val="20"/>
                <w:szCs w:val="20"/>
              </w:rPr>
              <w:t>tion</w:t>
            </w:r>
            <w:r w:rsidRPr="00B10658">
              <w:rPr>
                <w:rFonts w:cs="Times New Roman"/>
                <w:sz w:val="20"/>
                <w:szCs w:val="20"/>
              </w:rPr>
              <w:t xml:space="preserve"> </w:t>
            </w:r>
            <w:r w:rsidRPr="00B10658">
              <w:rPr>
                <w:rFonts w:cs="Times New Roman"/>
                <w:i/>
                <w:iCs/>
                <w:sz w:val="20"/>
                <w:szCs w:val="20"/>
              </w:rPr>
              <w:t>c.</w:t>
            </w:r>
            <w:r w:rsidRPr="00B10658">
              <w:rPr>
                <w:rFonts w:cs="Times New Roman"/>
                <w:iCs/>
                <w:sz w:val="20"/>
                <w:szCs w:val="20"/>
              </w:rPr>
              <w:t xml:space="preserve"> </w:t>
            </w:r>
            <w:r w:rsidR="00B10658">
              <w:rPr>
                <w:rFonts w:cs="Times New Roman"/>
                <w:iCs/>
                <w:sz w:val="20"/>
                <w:szCs w:val="20"/>
              </w:rPr>
              <w:t>B</w:t>
            </w:r>
            <w:r w:rsidRPr="00B10658">
              <w:rPr>
                <w:rFonts w:cs="Times New Roman"/>
                <w:iCs/>
                <w:sz w:val="20"/>
                <w:szCs w:val="20"/>
              </w:rPr>
              <w:t>r</w:t>
            </w:r>
            <w:r w:rsidR="00B10658">
              <w:rPr>
                <w:rFonts w:cs="Times New Roman"/>
                <w:iCs/>
                <w:sz w:val="20"/>
                <w:szCs w:val="20"/>
              </w:rPr>
              <w:t>i</w:t>
            </w:r>
            <w:r w:rsidRPr="00B10658">
              <w:rPr>
                <w:rFonts w:cs="Times New Roman"/>
                <w:iCs/>
                <w:sz w:val="20"/>
                <w:szCs w:val="20"/>
              </w:rPr>
              <w:t>t</w:t>
            </w:r>
            <w:r w:rsidR="00B10658">
              <w:rPr>
                <w:rFonts w:cs="Times New Roman"/>
                <w:iCs/>
                <w:sz w:val="20"/>
                <w:szCs w:val="20"/>
              </w:rPr>
              <w:t>ish Columbia Public School</w:t>
            </w:r>
            <w:r w:rsidRPr="00B10658">
              <w:rPr>
                <w:rFonts w:cs="Times New Roman"/>
                <w:sz w:val="20"/>
                <w:szCs w:val="20"/>
              </w:rPr>
              <w:t>,</w:t>
            </w:r>
          </w:p>
          <w:p w:rsidR="007340FC" w:rsidRPr="00C34FEA" w:rsidRDefault="007340FC" w:rsidP="00206566">
            <w:pPr>
              <w:rPr>
                <w:rFonts w:cs="Times New Roman"/>
                <w:sz w:val="20"/>
                <w:szCs w:val="20"/>
                <w:lang w:val="fr-CA"/>
              </w:rPr>
            </w:pPr>
            <w:r w:rsidRPr="00C34FEA">
              <w:rPr>
                <w:rFonts w:cs="Times New Roman"/>
                <w:sz w:val="20"/>
                <w:szCs w:val="20"/>
                <w:lang w:val="fr-CA"/>
              </w:rPr>
              <w:t xml:space="preserve">2014 CSC </w:t>
            </w:r>
            <w:r w:rsidR="00B10658">
              <w:rPr>
                <w:rFonts w:cs="Times New Roman"/>
                <w:sz w:val="20"/>
                <w:szCs w:val="20"/>
                <w:lang w:val="fr-CA"/>
              </w:rPr>
              <w:t>70</w:t>
            </w:r>
            <w:r w:rsidRPr="00C34FEA">
              <w:rPr>
                <w:rFonts w:cs="Times New Roman"/>
                <w:sz w:val="20"/>
                <w:szCs w:val="20"/>
                <w:lang w:val="fr-CA"/>
              </w:rPr>
              <w:t xml:space="preserve">, [2014] </w:t>
            </w:r>
            <w:r>
              <w:rPr>
                <w:rFonts w:cs="Times New Roman"/>
                <w:sz w:val="20"/>
                <w:szCs w:val="20"/>
                <w:lang w:val="fr-CA"/>
              </w:rPr>
              <w:t>3</w:t>
            </w:r>
            <w:r w:rsidRPr="00C34FEA">
              <w:rPr>
                <w:rFonts w:cs="Times New Roman"/>
                <w:sz w:val="20"/>
                <w:szCs w:val="20"/>
                <w:lang w:val="fr-CA"/>
              </w:rPr>
              <w:t xml:space="preserve"> R.C.S. </w:t>
            </w:r>
            <w:r w:rsidR="00B10658">
              <w:rPr>
                <w:rFonts w:cs="Times New Roman"/>
                <w:sz w:val="20"/>
                <w:szCs w:val="20"/>
                <w:lang w:val="fr-CA"/>
              </w:rPr>
              <w:t>49</w:t>
            </w:r>
            <w:r>
              <w:rPr>
                <w:rFonts w:cs="Times New Roman"/>
                <w:sz w:val="20"/>
                <w:szCs w:val="20"/>
                <w:lang w:val="fr-CA"/>
              </w:rPr>
              <w:t>2</w:t>
            </w:r>
          </w:p>
          <w:p w:rsidR="007340FC" w:rsidRPr="00C34FEA" w:rsidRDefault="007340FC" w:rsidP="00206566">
            <w:pPr>
              <w:rPr>
                <w:rFonts w:cs="Times New Roman"/>
                <w:iCs/>
                <w:sz w:val="20"/>
                <w:szCs w:val="20"/>
                <w:lang w:val="fr-CA"/>
              </w:rPr>
            </w:pPr>
          </w:p>
          <w:p w:rsidR="007340FC" w:rsidRPr="00C34FEA" w:rsidRDefault="00B10658" w:rsidP="00206566">
            <w:pPr>
              <w:rPr>
                <w:rFonts w:cs="Times New Roman"/>
                <w:sz w:val="20"/>
                <w:szCs w:val="20"/>
                <w:lang w:val="fr-CA"/>
              </w:rPr>
            </w:pPr>
            <w:r>
              <w:rPr>
                <w:rFonts w:cs="Times New Roman"/>
                <w:iCs/>
                <w:sz w:val="20"/>
                <w:szCs w:val="20"/>
                <w:lang w:val="fr-CA"/>
              </w:rPr>
              <w:t>Febles</w:t>
            </w:r>
            <w:r w:rsidR="007340FC" w:rsidRPr="00C34FEA">
              <w:rPr>
                <w:rFonts w:cs="Times New Roman"/>
                <w:iCs/>
                <w:sz w:val="20"/>
                <w:szCs w:val="20"/>
                <w:lang w:val="fr-CA"/>
              </w:rPr>
              <w:t xml:space="preserve"> </w:t>
            </w:r>
            <w:r w:rsidR="007340FC" w:rsidRPr="00C34FEA">
              <w:rPr>
                <w:rFonts w:cs="Times New Roman"/>
                <w:i/>
                <w:iCs/>
                <w:sz w:val="20"/>
                <w:szCs w:val="20"/>
                <w:lang w:val="fr-CA"/>
              </w:rPr>
              <w:t>c.</w:t>
            </w:r>
            <w:r w:rsidR="007340FC" w:rsidRPr="00C34FEA">
              <w:rPr>
                <w:rFonts w:cs="Times New Roman"/>
                <w:iCs/>
                <w:sz w:val="20"/>
                <w:szCs w:val="20"/>
                <w:lang w:val="fr-CA"/>
              </w:rPr>
              <w:t xml:space="preserve"> </w:t>
            </w:r>
            <w:r>
              <w:rPr>
                <w:rFonts w:cs="Times New Roman"/>
                <w:iCs/>
                <w:sz w:val="20"/>
                <w:szCs w:val="20"/>
                <w:lang w:val="fr-CA"/>
              </w:rPr>
              <w:t>C</w:t>
            </w:r>
            <w:r w:rsidR="007340FC">
              <w:rPr>
                <w:rFonts w:cs="Times New Roman"/>
                <w:iCs/>
                <w:sz w:val="20"/>
                <w:szCs w:val="20"/>
                <w:lang w:val="fr-CA"/>
              </w:rPr>
              <w:t>an</w:t>
            </w:r>
            <w:r>
              <w:rPr>
                <w:rFonts w:cs="Times New Roman"/>
                <w:iCs/>
                <w:sz w:val="20"/>
                <w:szCs w:val="20"/>
                <w:lang w:val="fr-CA"/>
              </w:rPr>
              <w:t>a</w:t>
            </w:r>
            <w:r w:rsidR="007340FC">
              <w:rPr>
                <w:rFonts w:cs="Times New Roman"/>
                <w:iCs/>
                <w:sz w:val="20"/>
                <w:szCs w:val="20"/>
                <w:lang w:val="fr-CA"/>
              </w:rPr>
              <w:t>da</w:t>
            </w:r>
            <w:r>
              <w:rPr>
                <w:rFonts w:cs="Times New Roman"/>
                <w:iCs/>
                <w:sz w:val="20"/>
                <w:szCs w:val="20"/>
                <w:lang w:val="fr-CA"/>
              </w:rPr>
              <w:t xml:space="preserve"> (C</w:t>
            </w:r>
            <w:r w:rsidR="007340FC">
              <w:rPr>
                <w:rFonts w:cs="Times New Roman"/>
                <w:iCs/>
                <w:sz w:val="20"/>
                <w:szCs w:val="20"/>
                <w:lang w:val="fr-CA"/>
              </w:rPr>
              <w:t>i</w:t>
            </w:r>
            <w:r>
              <w:rPr>
                <w:rFonts w:cs="Times New Roman"/>
                <w:iCs/>
                <w:sz w:val="20"/>
                <w:szCs w:val="20"/>
                <w:lang w:val="fr-CA"/>
              </w:rPr>
              <w:t>toy</w:t>
            </w:r>
            <w:r w:rsidR="007340FC">
              <w:rPr>
                <w:rFonts w:cs="Times New Roman"/>
                <w:iCs/>
                <w:sz w:val="20"/>
                <w:szCs w:val="20"/>
                <w:lang w:val="fr-CA"/>
              </w:rPr>
              <w:t>en</w:t>
            </w:r>
            <w:r>
              <w:rPr>
                <w:rFonts w:cs="Times New Roman"/>
                <w:iCs/>
                <w:sz w:val="20"/>
                <w:szCs w:val="20"/>
                <w:lang w:val="fr-CA"/>
              </w:rPr>
              <w:t>neté et Immigration)</w:t>
            </w:r>
            <w:r w:rsidR="007340FC" w:rsidRPr="00C34FEA">
              <w:rPr>
                <w:rFonts w:cs="Times New Roman"/>
                <w:iCs/>
                <w:sz w:val="20"/>
                <w:szCs w:val="20"/>
                <w:lang w:val="fr-CA"/>
              </w:rPr>
              <w:t>,</w:t>
            </w:r>
          </w:p>
          <w:p w:rsidR="007340FC" w:rsidRPr="00B10658" w:rsidRDefault="007340FC" w:rsidP="00206566">
            <w:pPr>
              <w:rPr>
                <w:rFonts w:cs="Times New Roman"/>
                <w:sz w:val="20"/>
                <w:szCs w:val="20"/>
                <w:lang w:val="fr-CA"/>
              </w:rPr>
            </w:pPr>
            <w:r w:rsidRPr="00B10658">
              <w:rPr>
                <w:rFonts w:cs="Times New Roman"/>
                <w:sz w:val="20"/>
                <w:szCs w:val="20"/>
                <w:lang w:val="fr-CA"/>
              </w:rPr>
              <w:t xml:space="preserve">2014 CSC </w:t>
            </w:r>
            <w:r w:rsidR="00B10658">
              <w:rPr>
                <w:rFonts w:cs="Times New Roman"/>
                <w:sz w:val="20"/>
                <w:szCs w:val="20"/>
                <w:lang w:val="fr-CA"/>
              </w:rPr>
              <w:t>68</w:t>
            </w:r>
            <w:r w:rsidRPr="00B10658">
              <w:rPr>
                <w:rFonts w:cs="Times New Roman"/>
                <w:sz w:val="20"/>
                <w:szCs w:val="20"/>
                <w:lang w:val="fr-CA"/>
              </w:rPr>
              <w:t xml:space="preserve">, [2014] 3 R.C.S. </w:t>
            </w:r>
            <w:r w:rsidR="00B10658">
              <w:rPr>
                <w:rFonts w:cs="Times New Roman"/>
                <w:sz w:val="20"/>
                <w:szCs w:val="20"/>
                <w:lang w:val="fr-CA"/>
              </w:rPr>
              <w:t>431</w:t>
            </w:r>
          </w:p>
          <w:p w:rsidR="007340FC" w:rsidRPr="00B10658" w:rsidRDefault="007340FC" w:rsidP="00206566">
            <w:pPr>
              <w:rPr>
                <w:rFonts w:cs="Times New Roman"/>
                <w:iCs/>
                <w:sz w:val="20"/>
                <w:szCs w:val="20"/>
                <w:lang w:val="fr-CA"/>
              </w:rPr>
            </w:pPr>
          </w:p>
          <w:p w:rsidR="007340FC" w:rsidRPr="00B10658" w:rsidRDefault="00B10658" w:rsidP="00206566">
            <w:pPr>
              <w:rPr>
                <w:rFonts w:cs="Times New Roman"/>
                <w:iCs/>
                <w:sz w:val="20"/>
                <w:szCs w:val="20"/>
                <w:lang w:val="fr-CA"/>
              </w:rPr>
            </w:pPr>
            <w:r w:rsidRPr="00B10658">
              <w:rPr>
                <w:rFonts w:cs="Times New Roman"/>
                <w:sz w:val="20"/>
                <w:szCs w:val="20"/>
                <w:lang w:val="fr-CA"/>
              </w:rPr>
              <w:t>Pétrolière Impériale</w:t>
            </w:r>
            <w:r w:rsidR="007340FC" w:rsidRPr="00B10658">
              <w:rPr>
                <w:rFonts w:cs="Times New Roman"/>
                <w:sz w:val="20"/>
                <w:szCs w:val="20"/>
                <w:lang w:val="fr-CA"/>
              </w:rPr>
              <w:t xml:space="preserve"> </w:t>
            </w:r>
            <w:r w:rsidR="007340FC" w:rsidRPr="00B10658">
              <w:rPr>
                <w:rFonts w:cs="Times New Roman"/>
                <w:i/>
                <w:iCs/>
                <w:sz w:val="20"/>
                <w:szCs w:val="20"/>
                <w:lang w:val="fr-CA"/>
              </w:rPr>
              <w:t>c.</w:t>
            </w:r>
            <w:r w:rsidR="007340FC" w:rsidRPr="00B10658">
              <w:rPr>
                <w:rFonts w:cs="Times New Roman"/>
                <w:sz w:val="20"/>
                <w:szCs w:val="20"/>
                <w:lang w:val="fr-CA"/>
              </w:rPr>
              <w:t xml:space="preserve"> </w:t>
            </w:r>
            <w:r>
              <w:rPr>
                <w:rFonts w:cs="Times New Roman"/>
                <w:sz w:val="20"/>
                <w:szCs w:val="20"/>
                <w:lang w:val="fr-CA"/>
              </w:rPr>
              <w:t>J</w:t>
            </w:r>
            <w:r w:rsidR="007340FC" w:rsidRPr="00B10658">
              <w:rPr>
                <w:rFonts w:cs="Times New Roman"/>
                <w:sz w:val="20"/>
                <w:szCs w:val="20"/>
                <w:lang w:val="fr-CA"/>
              </w:rPr>
              <w:t>a</w:t>
            </w:r>
            <w:r>
              <w:rPr>
                <w:rFonts w:cs="Times New Roman"/>
                <w:sz w:val="20"/>
                <w:szCs w:val="20"/>
                <w:lang w:val="fr-CA"/>
              </w:rPr>
              <w:t>cques</w:t>
            </w:r>
            <w:r w:rsidR="007340FC" w:rsidRPr="00B10658">
              <w:rPr>
                <w:rFonts w:cs="Times New Roman"/>
                <w:sz w:val="20"/>
                <w:szCs w:val="20"/>
                <w:lang w:val="fr-CA"/>
              </w:rPr>
              <w:t xml:space="preserve">, </w:t>
            </w:r>
          </w:p>
          <w:p w:rsidR="007340FC" w:rsidRPr="00D21A33" w:rsidRDefault="007340FC" w:rsidP="00206566">
            <w:pPr>
              <w:rPr>
                <w:rFonts w:cs="Times New Roman"/>
                <w:sz w:val="20"/>
                <w:szCs w:val="20"/>
                <w:lang w:val="fr-CA"/>
              </w:rPr>
            </w:pPr>
            <w:r w:rsidRPr="00D21A33">
              <w:rPr>
                <w:rFonts w:cs="Times New Roman"/>
                <w:sz w:val="20"/>
                <w:szCs w:val="20"/>
                <w:lang w:val="fr-CA"/>
              </w:rPr>
              <w:t xml:space="preserve">2014 CSC </w:t>
            </w:r>
            <w:r w:rsidR="00B10658" w:rsidRPr="00D21A33">
              <w:rPr>
                <w:rFonts w:cs="Times New Roman"/>
                <w:sz w:val="20"/>
                <w:szCs w:val="20"/>
                <w:lang w:val="fr-CA"/>
              </w:rPr>
              <w:t>66</w:t>
            </w:r>
            <w:r w:rsidRPr="00D21A33">
              <w:rPr>
                <w:rFonts w:cs="Times New Roman"/>
                <w:sz w:val="20"/>
                <w:szCs w:val="20"/>
                <w:lang w:val="fr-CA"/>
              </w:rPr>
              <w:t xml:space="preserve">, [2014] 3 R.C.S. </w:t>
            </w:r>
            <w:r w:rsidR="00B10658" w:rsidRPr="00D21A33">
              <w:rPr>
                <w:rFonts w:cs="Times New Roman"/>
                <w:sz w:val="20"/>
                <w:szCs w:val="20"/>
                <w:lang w:val="fr-CA"/>
              </w:rPr>
              <w:t>2</w:t>
            </w:r>
            <w:r w:rsidRPr="00D21A33">
              <w:rPr>
                <w:rFonts w:cs="Times New Roman"/>
                <w:sz w:val="20"/>
                <w:szCs w:val="20"/>
                <w:lang w:val="fr-CA"/>
              </w:rPr>
              <w:t>8</w:t>
            </w:r>
            <w:r w:rsidR="00B10658" w:rsidRPr="00D21A33">
              <w:rPr>
                <w:rFonts w:cs="Times New Roman"/>
                <w:sz w:val="20"/>
                <w:szCs w:val="20"/>
                <w:lang w:val="fr-CA"/>
              </w:rPr>
              <w:t>7</w:t>
            </w:r>
          </w:p>
          <w:p w:rsidR="007340FC" w:rsidRPr="00D21A33" w:rsidRDefault="007340FC" w:rsidP="00206566">
            <w:pPr>
              <w:rPr>
                <w:rFonts w:cs="Times New Roman"/>
                <w:sz w:val="20"/>
                <w:szCs w:val="20"/>
                <w:lang w:val="fr-CA"/>
              </w:rPr>
            </w:pPr>
          </w:p>
          <w:p w:rsidR="007340FC" w:rsidRPr="00B10658" w:rsidRDefault="007340FC" w:rsidP="007340FC">
            <w:pPr>
              <w:rPr>
                <w:rFonts w:cs="Times New Roman"/>
                <w:iCs/>
                <w:sz w:val="20"/>
                <w:szCs w:val="20"/>
                <w:lang w:val="fr-CA"/>
              </w:rPr>
            </w:pPr>
            <w:r w:rsidRPr="00B10658">
              <w:rPr>
                <w:rFonts w:cs="Times New Roman"/>
                <w:sz w:val="20"/>
                <w:szCs w:val="20"/>
                <w:lang w:val="fr-CA"/>
              </w:rPr>
              <w:t xml:space="preserve">R. </w:t>
            </w:r>
            <w:r w:rsidRPr="00B10658">
              <w:rPr>
                <w:rFonts w:cs="Times New Roman"/>
                <w:i/>
                <w:iCs/>
                <w:sz w:val="20"/>
                <w:szCs w:val="20"/>
                <w:lang w:val="fr-CA"/>
              </w:rPr>
              <w:t>c.</w:t>
            </w:r>
            <w:r w:rsidRPr="00B10658">
              <w:rPr>
                <w:rFonts w:cs="Times New Roman"/>
                <w:sz w:val="20"/>
                <w:szCs w:val="20"/>
                <w:lang w:val="fr-CA"/>
              </w:rPr>
              <w:t xml:space="preserve"> </w:t>
            </w:r>
            <w:r w:rsidR="00B10658" w:rsidRPr="00B10658">
              <w:rPr>
                <w:rFonts w:cs="Times New Roman"/>
                <w:sz w:val="20"/>
                <w:szCs w:val="20"/>
                <w:lang w:val="fr-CA"/>
              </w:rPr>
              <w:t>Bouch</w:t>
            </w:r>
            <w:r w:rsidRPr="00B10658">
              <w:rPr>
                <w:rFonts w:cs="Times New Roman"/>
                <w:sz w:val="20"/>
                <w:szCs w:val="20"/>
                <w:lang w:val="fr-CA"/>
              </w:rPr>
              <w:t>a</w:t>
            </w:r>
            <w:r w:rsidR="00B10658" w:rsidRPr="00B10658">
              <w:rPr>
                <w:rFonts w:cs="Times New Roman"/>
                <w:sz w:val="20"/>
                <w:szCs w:val="20"/>
                <w:lang w:val="fr-CA"/>
              </w:rPr>
              <w:t>rd</w:t>
            </w:r>
            <w:r w:rsidRPr="00B10658">
              <w:rPr>
                <w:rFonts w:cs="Times New Roman"/>
                <w:sz w:val="20"/>
                <w:szCs w:val="20"/>
                <w:lang w:val="fr-CA"/>
              </w:rPr>
              <w:t xml:space="preserve">, </w:t>
            </w:r>
          </w:p>
          <w:p w:rsidR="007340FC" w:rsidRPr="00B10658" w:rsidRDefault="007340FC" w:rsidP="007340FC">
            <w:pPr>
              <w:rPr>
                <w:rFonts w:cs="Times New Roman"/>
                <w:sz w:val="20"/>
                <w:szCs w:val="20"/>
                <w:lang w:val="fr-CA"/>
              </w:rPr>
            </w:pPr>
            <w:r w:rsidRPr="00B10658">
              <w:rPr>
                <w:rFonts w:cs="Times New Roman"/>
                <w:sz w:val="20"/>
                <w:szCs w:val="20"/>
                <w:lang w:val="fr-CA"/>
              </w:rPr>
              <w:t xml:space="preserve">2014 CSC </w:t>
            </w:r>
            <w:r w:rsidR="00B10658" w:rsidRPr="00B10658">
              <w:rPr>
                <w:rFonts w:cs="Times New Roman"/>
                <w:sz w:val="20"/>
                <w:szCs w:val="20"/>
                <w:lang w:val="fr-CA"/>
              </w:rPr>
              <w:t>6</w:t>
            </w:r>
            <w:r w:rsidRPr="00B10658">
              <w:rPr>
                <w:rFonts w:cs="Times New Roman"/>
                <w:sz w:val="20"/>
                <w:szCs w:val="20"/>
                <w:lang w:val="fr-CA"/>
              </w:rPr>
              <w:t xml:space="preserve">4, [2014] 3 R.C.S. </w:t>
            </w:r>
            <w:r w:rsidR="00B10658" w:rsidRPr="00B10658">
              <w:rPr>
                <w:rFonts w:cs="Times New Roman"/>
                <w:sz w:val="20"/>
                <w:szCs w:val="20"/>
                <w:lang w:val="fr-CA"/>
              </w:rPr>
              <w:t>2</w:t>
            </w:r>
            <w:r w:rsidRPr="00B10658">
              <w:rPr>
                <w:rFonts w:cs="Times New Roman"/>
                <w:sz w:val="20"/>
                <w:szCs w:val="20"/>
                <w:lang w:val="fr-CA"/>
              </w:rPr>
              <w:t>8</w:t>
            </w:r>
            <w:r w:rsidR="00B10658">
              <w:rPr>
                <w:rFonts w:cs="Times New Roman"/>
                <w:sz w:val="20"/>
                <w:szCs w:val="20"/>
                <w:lang w:val="fr-CA"/>
              </w:rPr>
              <w:t>3</w:t>
            </w:r>
          </w:p>
          <w:p w:rsidR="007340FC" w:rsidRPr="00B10658" w:rsidRDefault="007340FC" w:rsidP="007340FC">
            <w:pPr>
              <w:rPr>
                <w:rFonts w:cs="Times New Roman"/>
                <w:sz w:val="20"/>
                <w:szCs w:val="20"/>
                <w:lang w:val="fr-CA"/>
              </w:rPr>
            </w:pPr>
          </w:p>
          <w:p w:rsidR="007340FC" w:rsidRPr="00D21A33" w:rsidRDefault="007340FC" w:rsidP="007340FC">
            <w:pPr>
              <w:rPr>
                <w:rFonts w:cs="Times New Roman"/>
                <w:iCs/>
                <w:sz w:val="20"/>
                <w:szCs w:val="20"/>
                <w:lang w:val="fr-CA"/>
              </w:rPr>
            </w:pPr>
            <w:r w:rsidRPr="00D21A33">
              <w:rPr>
                <w:rFonts w:cs="Times New Roman"/>
                <w:sz w:val="20"/>
                <w:szCs w:val="20"/>
                <w:lang w:val="fr-CA"/>
              </w:rPr>
              <w:t xml:space="preserve">R. </w:t>
            </w:r>
            <w:r w:rsidRPr="00D21A33">
              <w:rPr>
                <w:rFonts w:cs="Times New Roman"/>
                <w:i/>
                <w:iCs/>
                <w:sz w:val="20"/>
                <w:szCs w:val="20"/>
                <w:lang w:val="fr-CA"/>
              </w:rPr>
              <w:t>c.</w:t>
            </w:r>
            <w:r w:rsidRPr="00D21A33">
              <w:rPr>
                <w:rFonts w:cs="Times New Roman"/>
                <w:sz w:val="20"/>
                <w:szCs w:val="20"/>
                <w:lang w:val="fr-CA"/>
              </w:rPr>
              <w:t xml:space="preserve"> </w:t>
            </w:r>
            <w:r w:rsidR="00B10658" w:rsidRPr="00D21A33">
              <w:rPr>
                <w:rFonts w:cs="Times New Roman"/>
                <w:sz w:val="20"/>
                <w:szCs w:val="20"/>
                <w:lang w:val="fr-CA"/>
              </w:rPr>
              <w:t>Dun</w:t>
            </w:r>
            <w:r w:rsidRPr="00D21A33">
              <w:rPr>
                <w:rFonts w:cs="Times New Roman"/>
                <w:sz w:val="20"/>
                <w:szCs w:val="20"/>
                <w:lang w:val="fr-CA"/>
              </w:rPr>
              <w:t xml:space="preserve">n, </w:t>
            </w:r>
          </w:p>
          <w:p w:rsidR="007340FC" w:rsidRPr="00BE42DA" w:rsidRDefault="007340FC" w:rsidP="007340FC">
            <w:pPr>
              <w:rPr>
                <w:rFonts w:cs="Times New Roman"/>
                <w:sz w:val="20"/>
                <w:szCs w:val="20"/>
              </w:rPr>
            </w:pPr>
            <w:r w:rsidRPr="00BE42DA">
              <w:rPr>
                <w:rFonts w:cs="Times New Roman"/>
                <w:sz w:val="20"/>
                <w:szCs w:val="20"/>
              </w:rPr>
              <w:t xml:space="preserve">2014 CSC </w:t>
            </w:r>
            <w:r w:rsidR="00B10658">
              <w:rPr>
                <w:rFonts w:cs="Times New Roman"/>
                <w:sz w:val="20"/>
                <w:szCs w:val="20"/>
              </w:rPr>
              <w:t>69</w:t>
            </w:r>
            <w:r w:rsidRPr="00BE42DA">
              <w:rPr>
                <w:rFonts w:cs="Times New Roman"/>
                <w:sz w:val="20"/>
                <w:szCs w:val="20"/>
              </w:rPr>
              <w:t xml:space="preserve">, [2014] </w:t>
            </w:r>
            <w:r>
              <w:rPr>
                <w:rFonts w:cs="Times New Roman"/>
                <w:sz w:val="20"/>
                <w:szCs w:val="20"/>
              </w:rPr>
              <w:t>3</w:t>
            </w:r>
            <w:r w:rsidRPr="00BE42DA">
              <w:rPr>
                <w:rFonts w:cs="Times New Roman"/>
                <w:sz w:val="20"/>
                <w:szCs w:val="20"/>
              </w:rPr>
              <w:t xml:space="preserve"> R.C.S. </w:t>
            </w:r>
            <w:r w:rsidR="00B10658">
              <w:rPr>
                <w:rFonts w:cs="Times New Roman"/>
                <w:sz w:val="20"/>
                <w:szCs w:val="20"/>
              </w:rPr>
              <w:t>4</w:t>
            </w:r>
            <w:r w:rsidRPr="00BE42DA">
              <w:rPr>
                <w:rFonts w:cs="Times New Roman"/>
                <w:sz w:val="20"/>
                <w:szCs w:val="20"/>
              </w:rPr>
              <w:t>9</w:t>
            </w:r>
            <w:r w:rsidR="00B10658">
              <w:rPr>
                <w:rFonts w:cs="Times New Roman"/>
                <w:sz w:val="20"/>
                <w:szCs w:val="20"/>
              </w:rPr>
              <w:t>0</w:t>
            </w:r>
          </w:p>
          <w:p w:rsidR="007340FC" w:rsidRDefault="007340FC" w:rsidP="007340FC">
            <w:pPr>
              <w:rPr>
                <w:rFonts w:cs="Times New Roman"/>
                <w:sz w:val="20"/>
                <w:szCs w:val="20"/>
              </w:rPr>
            </w:pPr>
          </w:p>
          <w:p w:rsidR="007340FC" w:rsidRPr="005A79A3" w:rsidRDefault="007340FC" w:rsidP="007340FC">
            <w:pPr>
              <w:rPr>
                <w:rFonts w:cs="Times New Roman"/>
                <w:iCs/>
                <w:sz w:val="20"/>
                <w:szCs w:val="20"/>
              </w:rPr>
            </w:pPr>
            <w:r w:rsidRPr="005A79A3">
              <w:rPr>
                <w:rFonts w:cs="Times New Roman"/>
                <w:sz w:val="20"/>
                <w:szCs w:val="20"/>
              </w:rPr>
              <w:t xml:space="preserve">R. </w:t>
            </w:r>
            <w:r w:rsidRPr="005A79A3">
              <w:rPr>
                <w:rFonts w:cs="Times New Roman"/>
                <w:i/>
                <w:iCs/>
                <w:sz w:val="20"/>
                <w:szCs w:val="20"/>
              </w:rPr>
              <w:t>c.</w:t>
            </w:r>
            <w:r w:rsidRPr="005A79A3">
              <w:rPr>
                <w:rFonts w:cs="Times New Roman"/>
                <w:sz w:val="20"/>
                <w:szCs w:val="20"/>
              </w:rPr>
              <w:t xml:space="preserve"> </w:t>
            </w:r>
            <w:r w:rsidR="00B10658">
              <w:rPr>
                <w:rFonts w:cs="Times New Roman"/>
                <w:sz w:val="20"/>
                <w:szCs w:val="20"/>
              </w:rPr>
              <w:t>Lep</w:t>
            </w:r>
            <w:r w:rsidRPr="005A79A3">
              <w:rPr>
                <w:rFonts w:cs="Times New Roman"/>
                <w:sz w:val="20"/>
                <w:szCs w:val="20"/>
              </w:rPr>
              <w:t>in</w:t>
            </w:r>
            <w:r w:rsidR="00B10658">
              <w:rPr>
                <w:rFonts w:cs="Times New Roman"/>
                <w:sz w:val="20"/>
                <w:szCs w:val="20"/>
              </w:rPr>
              <w:t>e</w:t>
            </w:r>
            <w:r w:rsidRPr="005A79A3">
              <w:rPr>
                <w:rFonts w:cs="Times New Roman"/>
                <w:sz w:val="20"/>
                <w:szCs w:val="20"/>
              </w:rPr>
              <w:t xml:space="preserve">, </w:t>
            </w:r>
          </w:p>
          <w:p w:rsidR="007340FC" w:rsidRPr="00BE42DA" w:rsidRDefault="007340FC" w:rsidP="007340FC">
            <w:pPr>
              <w:rPr>
                <w:rFonts w:cs="Times New Roman"/>
                <w:sz w:val="20"/>
                <w:szCs w:val="20"/>
              </w:rPr>
            </w:pPr>
            <w:r w:rsidRPr="00BE42DA">
              <w:rPr>
                <w:rFonts w:cs="Times New Roman"/>
                <w:sz w:val="20"/>
                <w:szCs w:val="20"/>
              </w:rPr>
              <w:t xml:space="preserve">2014 CSC </w:t>
            </w:r>
            <w:r w:rsidR="00B10658">
              <w:rPr>
                <w:rFonts w:cs="Times New Roman"/>
                <w:sz w:val="20"/>
                <w:szCs w:val="20"/>
              </w:rPr>
              <w:t>6</w:t>
            </w:r>
            <w:r w:rsidRPr="00BE42DA">
              <w:rPr>
                <w:rFonts w:cs="Times New Roman"/>
                <w:sz w:val="20"/>
                <w:szCs w:val="20"/>
              </w:rPr>
              <w:t xml:space="preserve">5, [2014] </w:t>
            </w:r>
            <w:r>
              <w:rPr>
                <w:rFonts w:cs="Times New Roman"/>
                <w:sz w:val="20"/>
                <w:szCs w:val="20"/>
              </w:rPr>
              <w:t>3</w:t>
            </w:r>
            <w:r w:rsidRPr="00BE42DA">
              <w:rPr>
                <w:rFonts w:cs="Times New Roman"/>
                <w:sz w:val="20"/>
                <w:szCs w:val="20"/>
              </w:rPr>
              <w:t xml:space="preserve"> R.C.S. </w:t>
            </w:r>
            <w:r w:rsidR="00B10658">
              <w:rPr>
                <w:rFonts w:cs="Times New Roman"/>
                <w:sz w:val="20"/>
                <w:szCs w:val="20"/>
              </w:rPr>
              <w:t>2</w:t>
            </w:r>
            <w:r w:rsidRPr="00BE42DA">
              <w:rPr>
                <w:rFonts w:cs="Times New Roman"/>
                <w:sz w:val="20"/>
                <w:szCs w:val="20"/>
              </w:rPr>
              <w:t>8</w:t>
            </w:r>
            <w:r w:rsidR="00B10658">
              <w:rPr>
                <w:rFonts w:cs="Times New Roman"/>
                <w:sz w:val="20"/>
                <w:szCs w:val="20"/>
              </w:rPr>
              <w:t>5</w:t>
            </w:r>
          </w:p>
          <w:p w:rsidR="007340FC" w:rsidRPr="00BE42DA" w:rsidRDefault="007340FC" w:rsidP="007340FC">
            <w:pPr>
              <w:rPr>
                <w:rFonts w:cs="Times New Roman"/>
                <w:sz w:val="20"/>
                <w:szCs w:val="20"/>
              </w:rPr>
            </w:pPr>
          </w:p>
          <w:p w:rsidR="007340FC" w:rsidRPr="005A79A3" w:rsidRDefault="007340FC" w:rsidP="00206566">
            <w:pPr>
              <w:rPr>
                <w:rFonts w:cs="Times New Roman"/>
                <w:sz w:val="20"/>
                <w:szCs w:val="20"/>
              </w:rPr>
            </w:pPr>
            <w:r>
              <w:rPr>
                <w:rFonts w:cs="Times New Roman"/>
                <w:sz w:val="20"/>
                <w:szCs w:val="20"/>
                <w:lang w:val="en-GB"/>
              </w:rPr>
              <w:t>Thibodeau</w:t>
            </w:r>
            <w:r w:rsidRPr="005A79A3">
              <w:rPr>
                <w:rFonts w:cs="Times New Roman"/>
                <w:sz w:val="20"/>
                <w:szCs w:val="20"/>
              </w:rPr>
              <w:t xml:space="preserve"> </w:t>
            </w:r>
            <w:r w:rsidRPr="005A79A3">
              <w:rPr>
                <w:rFonts w:cs="Times New Roman"/>
                <w:i/>
                <w:iCs/>
                <w:sz w:val="20"/>
                <w:szCs w:val="20"/>
              </w:rPr>
              <w:t>c</w:t>
            </w:r>
            <w:r w:rsidRPr="005A79A3">
              <w:rPr>
                <w:rFonts w:cs="Times New Roman"/>
                <w:sz w:val="20"/>
                <w:szCs w:val="20"/>
              </w:rPr>
              <w:t xml:space="preserve">. </w:t>
            </w:r>
            <w:r>
              <w:rPr>
                <w:rFonts w:cs="Times New Roman"/>
                <w:sz w:val="20"/>
                <w:szCs w:val="20"/>
              </w:rPr>
              <w:t>Ai</w:t>
            </w:r>
            <w:r w:rsidRPr="005A79A3">
              <w:rPr>
                <w:rFonts w:cs="Times New Roman"/>
                <w:sz w:val="20"/>
                <w:szCs w:val="20"/>
              </w:rPr>
              <w:t>r</w:t>
            </w:r>
            <w:r>
              <w:rPr>
                <w:rFonts w:cs="Times New Roman"/>
                <w:sz w:val="20"/>
                <w:szCs w:val="20"/>
              </w:rPr>
              <w:t xml:space="preserve"> Ca</w:t>
            </w:r>
            <w:r w:rsidRPr="005A79A3">
              <w:rPr>
                <w:rFonts w:cs="Times New Roman"/>
                <w:sz w:val="20"/>
                <w:szCs w:val="20"/>
              </w:rPr>
              <w:t>n</w:t>
            </w:r>
            <w:r>
              <w:rPr>
                <w:rFonts w:cs="Times New Roman"/>
                <w:sz w:val="20"/>
                <w:szCs w:val="20"/>
              </w:rPr>
              <w:t>ada</w:t>
            </w:r>
            <w:r w:rsidRPr="005A79A3">
              <w:rPr>
                <w:rFonts w:cs="Times New Roman"/>
                <w:sz w:val="20"/>
                <w:szCs w:val="20"/>
              </w:rPr>
              <w:t>,</w:t>
            </w:r>
          </w:p>
          <w:p w:rsidR="007340FC" w:rsidRPr="007340FC" w:rsidRDefault="007340FC" w:rsidP="00206566">
            <w:pPr>
              <w:rPr>
                <w:rFonts w:cs="Times New Roman"/>
                <w:sz w:val="20"/>
                <w:szCs w:val="20"/>
              </w:rPr>
            </w:pPr>
            <w:r w:rsidRPr="007340FC">
              <w:rPr>
                <w:rFonts w:cs="Times New Roman"/>
                <w:sz w:val="20"/>
                <w:szCs w:val="20"/>
              </w:rPr>
              <w:t>2014 CSC 67, [2014] 3 R.C.S. 340</w:t>
            </w:r>
          </w:p>
          <w:p w:rsidR="007340FC" w:rsidRPr="007340FC" w:rsidRDefault="007340FC" w:rsidP="00206566">
            <w:pPr>
              <w:rPr>
                <w:rFonts w:cs="Times New Roman"/>
                <w:sz w:val="20"/>
                <w:szCs w:val="20"/>
              </w:rPr>
            </w:pPr>
          </w:p>
          <w:p w:rsidR="007340FC" w:rsidRPr="00DD0B49" w:rsidRDefault="00173D9D" w:rsidP="00206566">
            <w:pPr>
              <w:rPr>
                <w:rFonts w:cs="Times New Roman"/>
                <w:bCs/>
                <w:sz w:val="20"/>
                <w:szCs w:val="20"/>
                <w:lang w:val="fr-CA"/>
              </w:rPr>
            </w:pPr>
            <w:r>
              <w:rPr>
                <w:rFonts w:cs="Times New Roman"/>
                <w:sz w:val="20"/>
                <w:szCs w:val="20"/>
              </w:rPr>
              <w:pict>
                <v:rect id="_x0000_i1091" style="width:129.6pt;height:1pt" o:hrpct="600" o:hralign="center" o:hrstd="t" o:hrnoshade="t" o:hr="t" fillcolor="black [3213]" stroked="f"/>
              </w:pict>
            </w:r>
          </w:p>
        </w:tc>
      </w:tr>
    </w:tbl>
    <w:p w:rsidR="007340FC" w:rsidRDefault="007340FC" w:rsidP="007340FC">
      <w:pPr>
        <w:rPr>
          <w:sz w:val="20"/>
          <w:szCs w:val="20"/>
          <w:lang w:val="fr-CA"/>
        </w:rPr>
      </w:pPr>
    </w:p>
    <w:p w:rsidR="007340FC" w:rsidRDefault="007340FC" w:rsidP="007340FC">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7340FC" w:rsidRPr="00EC49A7" w:rsidTr="00206566">
        <w:trPr>
          <w:cantSplit/>
          <w:trHeight w:val="1152"/>
        </w:trPr>
        <w:tc>
          <w:tcPr>
            <w:tcW w:w="4320" w:type="dxa"/>
            <w:tcBorders>
              <w:top w:val="nil"/>
              <w:left w:val="nil"/>
              <w:bottom w:val="nil"/>
              <w:right w:val="nil"/>
            </w:tcBorders>
          </w:tcPr>
          <w:p w:rsidR="007340FC" w:rsidRPr="00DD0B49" w:rsidRDefault="007340FC" w:rsidP="00206566">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7340FC" w:rsidRPr="00DD0B49" w:rsidRDefault="007340FC" w:rsidP="00206566">
            <w:pPr>
              <w:rPr>
                <w:rFonts w:cs="Times New Roman"/>
                <w:b/>
                <w:bCs/>
                <w:sz w:val="20"/>
                <w:szCs w:val="20"/>
                <w:lang w:val="en-GB"/>
              </w:rPr>
            </w:pPr>
          </w:p>
        </w:tc>
        <w:tc>
          <w:tcPr>
            <w:tcW w:w="4320" w:type="dxa"/>
            <w:tcBorders>
              <w:top w:val="nil"/>
              <w:left w:val="nil"/>
              <w:bottom w:val="nil"/>
              <w:right w:val="nil"/>
            </w:tcBorders>
          </w:tcPr>
          <w:p w:rsidR="007340FC" w:rsidRPr="00DD0B49" w:rsidRDefault="007340FC" w:rsidP="00206566">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7340FC" w:rsidRPr="00DD0B49" w:rsidTr="00206566">
        <w:tc>
          <w:tcPr>
            <w:tcW w:w="4320" w:type="dxa"/>
            <w:tcBorders>
              <w:top w:val="nil"/>
              <w:left w:val="nil"/>
              <w:bottom w:val="nil"/>
              <w:right w:val="nil"/>
            </w:tcBorders>
          </w:tcPr>
          <w:p w:rsidR="007340FC" w:rsidRPr="00DD0B49" w:rsidRDefault="007340FC" w:rsidP="00206566">
            <w:pPr>
              <w:rPr>
                <w:rFonts w:cs="Times New Roman"/>
                <w:sz w:val="20"/>
                <w:szCs w:val="20"/>
                <w:lang w:val="en-GB"/>
              </w:rPr>
            </w:pPr>
            <w:r w:rsidRPr="00DD0B49">
              <w:rPr>
                <w:rFonts w:cs="Times New Roman"/>
                <w:b/>
                <w:bCs/>
                <w:sz w:val="20"/>
                <w:szCs w:val="20"/>
                <w:lang w:val="en-GB"/>
              </w:rPr>
              <w:t>Judgments reported in [201</w:t>
            </w:r>
            <w:r>
              <w:rPr>
                <w:rFonts w:cs="Times New Roman"/>
                <w:b/>
                <w:bCs/>
                <w:sz w:val="20"/>
                <w:szCs w:val="20"/>
                <w:lang w:val="en-GB"/>
              </w:rPr>
              <w:t>4</w:t>
            </w:r>
            <w:r w:rsidRPr="00DD0B49">
              <w:rPr>
                <w:rFonts w:cs="Times New Roman"/>
                <w:b/>
                <w:bCs/>
                <w:sz w:val="20"/>
                <w:szCs w:val="20"/>
                <w:lang w:val="en-GB"/>
              </w:rPr>
              <w:t xml:space="preserve">] </w:t>
            </w:r>
            <w:r>
              <w:rPr>
                <w:rFonts w:cs="Times New Roman"/>
                <w:b/>
                <w:bCs/>
                <w:sz w:val="20"/>
                <w:szCs w:val="20"/>
                <w:lang w:val="en-GB"/>
              </w:rPr>
              <w:t>3</w:t>
            </w:r>
            <w:r w:rsidRPr="00DD0B49">
              <w:rPr>
                <w:rFonts w:cs="Times New Roman"/>
                <w:b/>
                <w:bCs/>
                <w:sz w:val="20"/>
                <w:szCs w:val="20"/>
                <w:lang w:val="en-GB"/>
              </w:rPr>
              <w:t xml:space="preserve"> S.C.R. Part </w:t>
            </w:r>
            <w:r w:rsidR="00206566">
              <w:rPr>
                <w:rFonts w:cs="Times New Roman"/>
                <w:b/>
                <w:bCs/>
                <w:sz w:val="20"/>
                <w:szCs w:val="20"/>
                <w:lang w:val="en-GB"/>
              </w:rPr>
              <w:t>3</w:t>
            </w:r>
          </w:p>
          <w:p w:rsidR="007340FC" w:rsidRPr="00DD0B49" w:rsidRDefault="007340FC" w:rsidP="00206566">
            <w:pPr>
              <w:rPr>
                <w:rFonts w:cs="Times New Roman"/>
                <w:sz w:val="20"/>
                <w:szCs w:val="20"/>
                <w:lang w:val="en-GB"/>
              </w:rPr>
            </w:pPr>
          </w:p>
          <w:p w:rsidR="00206566" w:rsidRPr="00641D35" w:rsidRDefault="00206566" w:rsidP="00206566">
            <w:pPr>
              <w:rPr>
                <w:rFonts w:cs="Times New Roman"/>
                <w:sz w:val="20"/>
                <w:szCs w:val="20"/>
              </w:rPr>
            </w:pPr>
            <w:r w:rsidRPr="00641D35">
              <w:rPr>
                <w:rFonts w:cs="Times New Roman"/>
                <w:sz w:val="20"/>
                <w:szCs w:val="20"/>
              </w:rPr>
              <w:t xml:space="preserve">R. </w:t>
            </w:r>
            <w:r w:rsidRPr="00641D35">
              <w:rPr>
                <w:rFonts w:cs="Times New Roman"/>
                <w:i/>
                <w:iCs/>
                <w:sz w:val="20"/>
                <w:szCs w:val="20"/>
              </w:rPr>
              <w:t>v.</w:t>
            </w:r>
            <w:r w:rsidRPr="00641D35">
              <w:rPr>
                <w:rFonts w:cs="Times New Roman"/>
                <w:iCs/>
                <w:sz w:val="20"/>
                <w:szCs w:val="20"/>
              </w:rPr>
              <w:t xml:space="preserve"> Day</w:t>
            </w:r>
            <w:r w:rsidRPr="00641D35">
              <w:rPr>
                <w:rFonts w:cs="Times New Roman"/>
                <w:sz w:val="20"/>
                <w:szCs w:val="20"/>
              </w:rPr>
              <w:t>,</w:t>
            </w:r>
          </w:p>
          <w:p w:rsidR="00206566" w:rsidRPr="00641D35" w:rsidRDefault="00206566" w:rsidP="00206566">
            <w:pPr>
              <w:rPr>
                <w:rFonts w:cs="Times New Roman"/>
                <w:sz w:val="20"/>
                <w:szCs w:val="20"/>
              </w:rPr>
            </w:pPr>
            <w:r w:rsidRPr="00641D35">
              <w:rPr>
                <w:rFonts w:cs="Times New Roman"/>
                <w:sz w:val="20"/>
                <w:szCs w:val="20"/>
              </w:rPr>
              <w:t xml:space="preserve">2014 SCC </w:t>
            </w:r>
            <w:r w:rsidR="00641D35" w:rsidRPr="00641D35">
              <w:rPr>
                <w:rFonts w:cs="Times New Roman"/>
                <w:sz w:val="20"/>
                <w:szCs w:val="20"/>
              </w:rPr>
              <w:t>74</w:t>
            </w:r>
            <w:r w:rsidRPr="00641D35">
              <w:rPr>
                <w:rFonts w:cs="Times New Roman"/>
                <w:sz w:val="20"/>
                <w:szCs w:val="20"/>
              </w:rPr>
              <w:t xml:space="preserve">, [2014] 3 S.C.R. </w:t>
            </w:r>
            <w:r w:rsidR="00641D35">
              <w:rPr>
                <w:rFonts w:cs="Times New Roman"/>
                <w:sz w:val="20"/>
                <w:szCs w:val="20"/>
              </w:rPr>
              <w:t>614</w:t>
            </w:r>
          </w:p>
          <w:p w:rsidR="007340FC" w:rsidRPr="00641D35" w:rsidRDefault="007340FC" w:rsidP="00206566">
            <w:pPr>
              <w:rPr>
                <w:rFonts w:cs="Times New Roman"/>
                <w:sz w:val="20"/>
                <w:szCs w:val="20"/>
              </w:rPr>
            </w:pPr>
          </w:p>
          <w:p w:rsidR="007340FC" w:rsidRPr="00641D35" w:rsidRDefault="007340FC" w:rsidP="00206566">
            <w:pPr>
              <w:rPr>
                <w:rFonts w:cs="Times New Roman"/>
                <w:sz w:val="20"/>
                <w:szCs w:val="20"/>
              </w:rPr>
            </w:pPr>
            <w:r w:rsidRPr="00641D35">
              <w:rPr>
                <w:rFonts w:cs="Times New Roman"/>
                <w:sz w:val="20"/>
                <w:szCs w:val="20"/>
              </w:rPr>
              <w:t xml:space="preserve">R. </w:t>
            </w:r>
            <w:r w:rsidRPr="00641D35">
              <w:rPr>
                <w:rFonts w:cs="Times New Roman"/>
                <w:i/>
                <w:iCs/>
                <w:sz w:val="20"/>
                <w:szCs w:val="20"/>
              </w:rPr>
              <w:t>v.</w:t>
            </w:r>
            <w:r w:rsidRPr="00641D35">
              <w:rPr>
                <w:rFonts w:cs="Times New Roman"/>
                <w:iCs/>
                <w:sz w:val="20"/>
                <w:szCs w:val="20"/>
              </w:rPr>
              <w:t xml:space="preserve"> </w:t>
            </w:r>
            <w:r w:rsidR="00206566" w:rsidRPr="00641D35">
              <w:rPr>
                <w:rFonts w:cs="Times New Roman"/>
                <w:iCs/>
                <w:sz w:val="20"/>
                <w:szCs w:val="20"/>
              </w:rPr>
              <w:t>Fear</w:t>
            </w:r>
            <w:r w:rsidRPr="00641D35">
              <w:rPr>
                <w:rFonts w:cs="Times New Roman"/>
                <w:iCs/>
                <w:sz w:val="20"/>
                <w:szCs w:val="20"/>
              </w:rPr>
              <w:t>on</w:t>
            </w:r>
            <w:r w:rsidRPr="00641D35">
              <w:rPr>
                <w:rFonts w:cs="Times New Roman"/>
                <w:sz w:val="20"/>
                <w:szCs w:val="20"/>
              </w:rPr>
              <w:t>,</w:t>
            </w:r>
          </w:p>
          <w:p w:rsidR="007340FC" w:rsidRPr="005A79A3" w:rsidRDefault="007340FC" w:rsidP="00206566">
            <w:pPr>
              <w:rPr>
                <w:rFonts w:cs="Times New Roman"/>
                <w:sz w:val="20"/>
                <w:szCs w:val="20"/>
              </w:rPr>
            </w:pPr>
            <w:r w:rsidRPr="005A79A3">
              <w:rPr>
                <w:rFonts w:cs="Times New Roman"/>
                <w:sz w:val="20"/>
                <w:szCs w:val="20"/>
              </w:rPr>
              <w:t xml:space="preserve">2014 SCC </w:t>
            </w:r>
            <w:r w:rsidR="00641D35">
              <w:rPr>
                <w:rFonts w:cs="Times New Roman"/>
                <w:sz w:val="20"/>
                <w:szCs w:val="20"/>
              </w:rPr>
              <w:t>77</w:t>
            </w:r>
            <w:r w:rsidRPr="005A79A3">
              <w:rPr>
                <w:rFonts w:cs="Times New Roman"/>
                <w:sz w:val="20"/>
                <w:szCs w:val="20"/>
              </w:rPr>
              <w:t xml:space="preserve">, [2014] 3 S.C.R. </w:t>
            </w:r>
            <w:r w:rsidR="00641D35">
              <w:rPr>
                <w:rFonts w:cs="Times New Roman"/>
                <w:sz w:val="20"/>
                <w:szCs w:val="20"/>
              </w:rPr>
              <w:t>6</w:t>
            </w:r>
            <w:r w:rsidRPr="005A79A3">
              <w:rPr>
                <w:rFonts w:cs="Times New Roman"/>
                <w:sz w:val="20"/>
                <w:szCs w:val="20"/>
              </w:rPr>
              <w:t>2</w:t>
            </w:r>
            <w:r w:rsidR="00641D35">
              <w:rPr>
                <w:rFonts w:cs="Times New Roman"/>
                <w:sz w:val="20"/>
                <w:szCs w:val="20"/>
              </w:rPr>
              <w:t>1</w:t>
            </w:r>
          </w:p>
          <w:p w:rsidR="007340FC" w:rsidRPr="005A79A3" w:rsidRDefault="007340FC" w:rsidP="00206566">
            <w:pPr>
              <w:rPr>
                <w:rFonts w:cs="Times New Roman"/>
                <w:sz w:val="20"/>
                <w:szCs w:val="20"/>
              </w:rPr>
            </w:pPr>
          </w:p>
          <w:p w:rsidR="007340FC" w:rsidRPr="005A79A3" w:rsidRDefault="007340FC" w:rsidP="00206566">
            <w:pPr>
              <w:rPr>
                <w:rFonts w:cs="Times New Roman"/>
                <w:sz w:val="20"/>
                <w:szCs w:val="20"/>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Pr>
                <w:rFonts w:cs="Times New Roman"/>
                <w:iCs/>
                <w:sz w:val="20"/>
                <w:szCs w:val="20"/>
                <w:lang w:val="en-GB"/>
              </w:rPr>
              <w:t>Mac</w:t>
            </w:r>
            <w:r w:rsidR="00206566">
              <w:rPr>
                <w:rFonts w:cs="Times New Roman"/>
                <w:iCs/>
                <w:sz w:val="20"/>
                <w:szCs w:val="20"/>
                <w:lang w:val="en-GB"/>
              </w:rPr>
              <w:t>Leod</w:t>
            </w:r>
            <w:r w:rsidRPr="005A79A3">
              <w:rPr>
                <w:rFonts w:cs="Times New Roman"/>
                <w:iCs/>
                <w:sz w:val="20"/>
                <w:szCs w:val="20"/>
              </w:rPr>
              <w:t>,</w:t>
            </w:r>
          </w:p>
          <w:p w:rsidR="007340FC" w:rsidRPr="00E0705E" w:rsidRDefault="007340FC" w:rsidP="00206566">
            <w:pPr>
              <w:rPr>
                <w:rFonts w:cs="Times New Roman"/>
                <w:sz w:val="20"/>
                <w:szCs w:val="20"/>
              </w:rPr>
            </w:pPr>
            <w:r w:rsidRPr="00DD0B49">
              <w:rPr>
                <w:rFonts w:cs="Times New Roman"/>
                <w:sz w:val="20"/>
                <w:szCs w:val="20"/>
                <w:lang w:val="en-GB"/>
              </w:rPr>
              <w:t>201</w:t>
            </w:r>
            <w:r>
              <w:rPr>
                <w:rFonts w:cs="Times New Roman"/>
                <w:sz w:val="20"/>
                <w:szCs w:val="20"/>
                <w:lang w:val="en-GB"/>
              </w:rPr>
              <w:t>4</w:t>
            </w:r>
            <w:r w:rsidRPr="00DD0B49">
              <w:rPr>
                <w:rFonts w:cs="Times New Roman"/>
                <w:sz w:val="20"/>
                <w:szCs w:val="20"/>
                <w:lang w:val="en-GB"/>
              </w:rPr>
              <w:t xml:space="preserve"> SCC </w:t>
            </w:r>
            <w:r w:rsidR="00641D35">
              <w:rPr>
                <w:rFonts w:cs="Times New Roman"/>
                <w:sz w:val="20"/>
                <w:szCs w:val="20"/>
                <w:lang w:val="en-GB"/>
              </w:rPr>
              <w:t>76</w:t>
            </w:r>
            <w:r w:rsidRPr="00DD0B49">
              <w:rPr>
                <w:rFonts w:cs="Times New Roman"/>
                <w:sz w:val="20"/>
                <w:szCs w:val="20"/>
                <w:lang w:val="en-GB"/>
              </w:rPr>
              <w:t>, [201</w:t>
            </w:r>
            <w:r>
              <w:rPr>
                <w:rFonts w:cs="Times New Roman"/>
                <w:sz w:val="20"/>
                <w:szCs w:val="20"/>
                <w:lang w:val="en-GB"/>
              </w:rPr>
              <w:t>4</w:t>
            </w:r>
            <w:r w:rsidRPr="00DD0B49">
              <w:rPr>
                <w:rFonts w:cs="Times New Roman"/>
                <w:sz w:val="20"/>
                <w:szCs w:val="20"/>
                <w:lang w:val="en-GB"/>
              </w:rPr>
              <w:t xml:space="preserve">] </w:t>
            </w:r>
            <w:r>
              <w:rPr>
                <w:rFonts w:cs="Times New Roman"/>
                <w:sz w:val="20"/>
                <w:szCs w:val="20"/>
                <w:lang w:val="en-GB"/>
              </w:rPr>
              <w:t>3</w:t>
            </w:r>
            <w:r w:rsidRPr="00DD0B49">
              <w:rPr>
                <w:rFonts w:cs="Times New Roman"/>
                <w:sz w:val="20"/>
                <w:szCs w:val="20"/>
                <w:lang w:val="en-GB"/>
              </w:rPr>
              <w:t xml:space="preserve"> S.C.R. </w:t>
            </w:r>
            <w:r w:rsidR="00641D35">
              <w:rPr>
                <w:rFonts w:cs="Times New Roman"/>
                <w:sz w:val="20"/>
                <w:szCs w:val="20"/>
                <w:lang w:val="en-GB"/>
              </w:rPr>
              <w:t>619</w:t>
            </w:r>
          </w:p>
          <w:p w:rsidR="007340FC" w:rsidRPr="00E0705E" w:rsidRDefault="007340FC" w:rsidP="00206566">
            <w:pPr>
              <w:rPr>
                <w:rFonts w:cs="Times New Roman"/>
                <w:sz w:val="20"/>
                <w:szCs w:val="20"/>
              </w:rPr>
            </w:pPr>
          </w:p>
          <w:p w:rsidR="007340FC" w:rsidRPr="00DD0B49" w:rsidRDefault="007340FC" w:rsidP="00206566">
            <w:pPr>
              <w:rPr>
                <w:rFonts w:cs="Times New Roman"/>
                <w:sz w:val="20"/>
                <w:szCs w:val="20"/>
              </w:rPr>
            </w:pPr>
            <w:r w:rsidRPr="00DD0B49">
              <w:rPr>
                <w:rFonts w:cs="Times New Roman"/>
                <w:sz w:val="20"/>
                <w:szCs w:val="20"/>
                <w:lang w:val="en-GB"/>
              </w:rPr>
              <w:t xml:space="preserve">R. </w:t>
            </w:r>
            <w:r w:rsidRPr="00DD0B49">
              <w:rPr>
                <w:rFonts w:cs="Times New Roman"/>
                <w:i/>
                <w:iCs/>
                <w:sz w:val="20"/>
                <w:szCs w:val="20"/>
                <w:lang w:val="en-GB"/>
              </w:rPr>
              <w:t>v.</w:t>
            </w:r>
            <w:r w:rsidRPr="00DD0B49">
              <w:rPr>
                <w:rFonts w:cs="Times New Roman"/>
                <w:iCs/>
                <w:sz w:val="20"/>
                <w:szCs w:val="20"/>
                <w:lang w:val="en-GB"/>
              </w:rPr>
              <w:t xml:space="preserve"> </w:t>
            </w:r>
            <w:r w:rsidR="00641D35">
              <w:rPr>
                <w:rFonts w:cs="Times New Roman"/>
                <w:iCs/>
                <w:sz w:val="20"/>
                <w:szCs w:val="20"/>
                <w:lang w:val="en-GB"/>
              </w:rPr>
              <w:t>Wilc</w:t>
            </w:r>
            <w:r>
              <w:rPr>
                <w:rFonts w:cs="Times New Roman"/>
                <w:iCs/>
                <w:sz w:val="20"/>
                <w:szCs w:val="20"/>
                <w:lang w:val="en-GB"/>
              </w:rPr>
              <w:t>o</w:t>
            </w:r>
            <w:r w:rsidR="00641D35">
              <w:rPr>
                <w:rFonts w:cs="Times New Roman"/>
                <w:iCs/>
                <w:sz w:val="20"/>
                <w:szCs w:val="20"/>
                <w:lang w:val="en-GB"/>
              </w:rPr>
              <w:t>x</w:t>
            </w:r>
            <w:r w:rsidRPr="00DD0B49">
              <w:rPr>
                <w:rFonts w:cs="Times New Roman"/>
                <w:sz w:val="20"/>
                <w:szCs w:val="20"/>
              </w:rPr>
              <w:t>,</w:t>
            </w:r>
          </w:p>
          <w:p w:rsidR="007340FC" w:rsidRPr="005A79A3" w:rsidRDefault="007340FC" w:rsidP="00206566">
            <w:pPr>
              <w:rPr>
                <w:rFonts w:cs="Times New Roman"/>
                <w:sz w:val="20"/>
                <w:szCs w:val="20"/>
              </w:rPr>
            </w:pPr>
            <w:r w:rsidRPr="005A79A3">
              <w:rPr>
                <w:rFonts w:cs="Times New Roman"/>
                <w:sz w:val="20"/>
                <w:szCs w:val="20"/>
              </w:rPr>
              <w:t xml:space="preserve">2014 SCC </w:t>
            </w:r>
            <w:r w:rsidR="00641D35">
              <w:rPr>
                <w:rFonts w:cs="Times New Roman"/>
                <w:sz w:val="20"/>
                <w:szCs w:val="20"/>
              </w:rPr>
              <w:t>75</w:t>
            </w:r>
            <w:r w:rsidRPr="005A79A3">
              <w:rPr>
                <w:rFonts w:cs="Times New Roman"/>
                <w:sz w:val="20"/>
                <w:szCs w:val="20"/>
              </w:rPr>
              <w:t xml:space="preserve">, [2014] 3 S.C.R. </w:t>
            </w:r>
            <w:r w:rsidR="00641D35">
              <w:rPr>
                <w:rFonts w:cs="Times New Roman"/>
                <w:sz w:val="20"/>
                <w:szCs w:val="20"/>
              </w:rPr>
              <w:t>616</w:t>
            </w:r>
          </w:p>
          <w:p w:rsidR="007340FC" w:rsidRPr="005A79A3" w:rsidRDefault="007340FC" w:rsidP="00206566">
            <w:pPr>
              <w:rPr>
                <w:rFonts w:cs="Times New Roman"/>
                <w:sz w:val="20"/>
                <w:szCs w:val="20"/>
              </w:rPr>
            </w:pPr>
          </w:p>
          <w:p w:rsidR="007340FC" w:rsidRPr="005A79A3" w:rsidRDefault="007340FC" w:rsidP="00206566">
            <w:pPr>
              <w:rPr>
                <w:rFonts w:cs="Times New Roman"/>
                <w:sz w:val="20"/>
                <w:szCs w:val="20"/>
              </w:rPr>
            </w:pPr>
            <w:r w:rsidRPr="005A79A3">
              <w:rPr>
                <w:rFonts w:cs="Times New Roman"/>
                <w:sz w:val="20"/>
                <w:szCs w:val="20"/>
              </w:rPr>
              <w:t xml:space="preserve">R. </w:t>
            </w:r>
            <w:r w:rsidRPr="005A79A3">
              <w:rPr>
                <w:rFonts w:cs="Times New Roman"/>
                <w:i/>
                <w:iCs/>
                <w:sz w:val="20"/>
                <w:szCs w:val="20"/>
              </w:rPr>
              <w:t>v.</w:t>
            </w:r>
            <w:r w:rsidRPr="005A79A3">
              <w:rPr>
                <w:rFonts w:cs="Times New Roman"/>
                <w:iCs/>
                <w:sz w:val="20"/>
                <w:szCs w:val="20"/>
              </w:rPr>
              <w:t xml:space="preserve"> </w:t>
            </w:r>
            <w:r w:rsidR="00641D35">
              <w:rPr>
                <w:rFonts w:cs="Times New Roman"/>
                <w:iCs/>
                <w:sz w:val="20"/>
                <w:szCs w:val="20"/>
              </w:rPr>
              <w:t>Wills</w:t>
            </w:r>
            <w:r w:rsidRPr="005A79A3">
              <w:rPr>
                <w:rFonts w:cs="Times New Roman"/>
                <w:sz w:val="20"/>
                <w:szCs w:val="20"/>
              </w:rPr>
              <w:t>,</w:t>
            </w:r>
          </w:p>
          <w:p w:rsidR="007340FC" w:rsidRPr="005A79A3" w:rsidRDefault="007340FC" w:rsidP="00206566">
            <w:pPr>
              <w:rPr>
                <w:rFonts w:cs="Times New Roman"/>
                <w:sz w:val="20"/>
                <w:szCs w:val="20"/>
              </w:rPr>
            </w:pPr>
            <w:r w:rsidRPr="005A79A3">
              <w:rPr>
                <w:rFonts w:cs="Times New Roman"/>
                <w:sz w:val="20"/>
                <w:szCs w:val="20"/>
              </w:rPr>
              <w:t xml:space="preserve">2014 SCC </w:t>
            </w:r>
            <w:r w:rsidR="00641D35">
              <w:rPr>
                <w:rFonts w:cs="Times New Roman"/>
                <w:sz w:val="20"/>
                <w:szCs w:val="20"/>
              </w:rPr>
              <w:t>73</w:t>
            </w:r>
            <w:r w:rsidRPr="005A79A3">
              <w:rPr>
                <w:rFonts w:cs="Times New Roman"/>
                <w:sz w:val="20"/>
                <w:szCs w:val="20"/>
              </w:rPr>
              <w:t xml:space="preserve">, [2014] 3 S.C.R. </w:t>
            </w:r>
            <w:r w:rsidR="00641D35">
              <w:rPr>
                <w:rFonts w:cs="Times New Roman"/>
                <w:sz w:val="20"/>
                <w:szCs w:val="20"/>
              </w:rPr>
              <w:t>6</w:t>
            </w:r>
            <w:r w:rsidRPr="005A79A3">
              <w:rPr>
                <w:rFonts w:cs="Times New Roman"/>
                <w:sz w:val="20"/>
                <w:szCs w:val="20"/>
              </w:rPr>
              <w:t>1</w:t>
            </w:r>
            <w:r w:rsidR="00641D35">
              <w:rPr>
                <w:rFonts w:cs="Times New Roman"/>
                <w:sz w:val="20"/>
                <w:szCs w:val="20"/>
              </w:rPr>
              <w:t>2</w:t>
            </w:r>
          </w:p>
          <w:p w:rsidR="007340FC" w:rsidRPr="005A79A3" w:rsidRDefault="007340FC" w:rsidP="00206566">
            <w:pPr>
              <w:rPr>
                <w:rFonts w:cs="Times New Roman"/>
                <w:iCs/>
                <w:sz w:val="20"/>
                <w:szCs w:val="20"/>
              </w:rPr>
            </w:pPr>
          </w:p>
          <w:p w:rsidR="007340FC" w:rsidRPr="005A79A3" w:rsidRDefault="00641D35" w:rsidP="00206566">
            <w:pPr>
              <w:rPr>
                <w:rFonts w:cs="Times New Roman"/>
                <w:iCs/>
                <w:sz w:val="20"/>
                <w:szCs w:val="20"/>
              </w:rPr>
            </w:pPr>
            <w:r>
              <w:rPr>
                <w:rFonts w:cs="Times New Roman"/>
                <w:iCs/>
                <w:sz w:val="20"/>
                <w:szCs w:val="20"/>
              </w:rPr>
              <w:t>W</w:t>
            </w:r>
            <w:r w:rsidR="007340FC" w:rsidRPr="005A79A3">
              <w:rPr>
                <w:rFonts w:cs="Times New Roman"/>
                <w:iCs/>
                <w:sz w:val="20"/>
                <w:szCs w:val="20"/>
              </w:rPr>
              <w:t>a</w:t>
            </w:r>
            <w:r>
              <w:rPr>
                <w:rFonts w:cs="Times New Roman"/>
                <w:iCs/>
                <w:sz w:val="20"/>
                <w:szCs w:val="20"/>
              </w:rPr>
              <w:t>k</w:t>
            </w:r>
            <w:r w:rsidR="007340FC" w:rsidRPr="005A79A3">
              <w:rPr>
                <w:rFonts w:cs="Times New Roman"/>
                <w:iCs/>
                <w:sz w:val="20"/>
                <w:szCs w:val="20"/>
              </w:rPr>
              <w:t>eli</w:t>
            </w:r>
            <w:r>
              <w:rPr>
                <w:rFonts w:cs="Times New Roman"/>
                <w:iCs/>
                <w:sz w:val="20"/>
                <w:szCs w:val="20"/>
              </w:rPr>
              <w:t>ng</w:t>
            </w:r>
            <w:r w:rsidR="007340FC" w:rsidRPr="005A79A3">
              <w:rPr>
                <w:rFonts w:cs="Times New Roman"/>
                <w:iCs/>
                <w:sz w:val="20"/>
                <w:szCs w:val="20"/>
              </w:rPr>
              <w:t xml:space="preserve"> </w:t>
            </w:r>
            <w:r w:rsidR="007340FC" w:rsidRPr="005A79A3">
              <w:rPr>
                <w:rFonts w:cs="Times New Roman"/>
                <w:i/>
                <w:iCs/>
                <w:sz w:val="20"/>
                <w:szCs w:val="20"/>
              </w:rPr>
              <w:t>v.</w:t>
            </w:r>
            <w:r w:rsidR="007340FC" w:rsidRPr="005A79A3">
              <w:rPr>
                <w:rFonts w:cs="Times New Roman"/>
                <w:iCs/>
                <w:sz w:val="20"/>
                <w:szCs w:val="20"/>
              </w:rPr>
              <w:t xml:space="preserve"> </w:t>
            </w:r>
            <w:r>
              <w:rPr>
                <w:rFonts w:cs="Times New Roman"/>
                <w:iCs/>
                <w:sz w:val="20"/>
                <w:szCs w:val="20"/>
              </w:rPr>
              <w:t>Un</w:t>
            </w:r>
            <w:r w:rsidR="007340FC" w:rsidRPr="005A79A3">
              <w:rPr>
                <w:rFonts w:cs="Times New Roman"/>
                <w:iCs/>
                <w:sz w:val="20"/>
                <w:szCs w:val="20"/>
              </w:rPr>
              <w:t>i</w:t>
            </w:r>
            <w:r w:rsidR="007340FC">
              <w:rPr>
                <w:rFonts w:cs="Times New Roman"/>
                <w:iCs/>
                <w:sz w:val="20"/>
                <w:szCs w:val="20"/>
              </w:rPr>
              <w:t>t</w:t>
            </w:r>
            <w:r>
              <w:rPr>
                <w:rFonts w:cs="Times New Roman"/>
                <w:iCs/>
                <w:sz w:val="20"/>
                <w:szCs w:val="20"/>
              </w:rPr>
              <w:t>ed St</w:t>
            </w:r>
            <w:r w:rsidR="007340FC">
              <w:rPr>
                <w:rFonts w:cs="Times New Roman"/>
                <w:iCs/>
                <w:sz w:val="20"/>
                <w:szCs w:val="20"/>
              </w:rPr>
              <w:t>ate</w:t>
            </w:r>
            <w:r>
              <w:rPr>
                <w:rFonts w:cs="Times New Roman"/>
                <w:iCs/>
                <w:sz w:val="20"/>
                <w:szCs w:val="20"/>
              </w:rPr>
              <w:t>s of Am</w:t>
            </w:r>
            <w:r w:rsidR="007340FC">
              <w:rPr>
                <w:rFonts w:cs="Times New Roman"/>
                <w:iCs/>
                <w:sz w:val="20"/>
                <w:szCs w:val="20"/>
              </w:rPr>
              <w:t>er</w:t>
            </w:r>
            <w:r>
              <w:rPr>
                <w:rFonts w:cs="Times New Roman"/>
                <w:iCs/>
                <w:sz w:val="20"/>
                <w:szCs w:val="20"/>
              </w:rPr>
              <w:t>ica</w:t>
            </w:r>
            <w:r w:rsidR="007340FC" w:rsidRPr="005A79A3">
              <w:rPr>
                <w:rFonts w:cs="Times New Roman"/>
                <w:iCs/>
                <w:sz w:val="20"/>
                <w:szCs w:val="20"/>
              </w:rPr>
              <w:t>,</w:t>
            </w:r>
          </w:p>
          <w:p w:rsidR="007340FC" w:rsidRDefault="007340FC" w:rsidP="00206566">
            <w:pPr>
              <w:rPr>
                <w:rFonts w:cs="Times New Roman"/>
                <w:sz w:val="20"/>
                <w:szCs w:val="20"/>
              </w:rPr>
            </w:pPr>
            <w:r w:rsidRPr="003332E2">
              <w:rPr>
                <w:rFonts w:cs="Times New Roman"/>
                <w:sz w:val="20"/>
                <w:szCs w:val="20"/>
              </w:rPr>
              <w:t xml:space="preserve">2014 SCC </w:t>
            </w:r>
            <w:r w:rsidR="00641D35">
              <w:rPr>
                <w:rFonts w:cs="Times New Roman"/>
                <w:sz w:val="20"/>
                <w:szCs w:val="20"/>
              </w:rPr>
              <w:t>72</w:t>
            </w:r>
            <w:r w:rsidRPr="003332E2">
              <w:rPr>
                <w:rFonts w:cs="Times New Roman"/>
                <w:sz w:val="20"/>
                <w:szCs w:val="20"/>
              </w:rPr>
              <w:t xml:space="preserve">, [2014] </w:t>
            </w:r>
            <w:r>
              <w:rPr>
                <w:rFonts w:cs="Times New Roman"/>
                <w:sz w:val="20"/>
                <w:szCs w:val="20"/>
              </w:rPr>
              <w:t>3</w:t>
            </w:r>
            <w:r w:rsidRPr="003332E2">
              <w:rPr>
                <w:rFonts w:cs="Times New Roman"/>
                <w:sz w:val="20"/>
                <w:szCs w:val="20"/>
              </w:rPr>
              <w:t xml:space="preserve"> S.C.R. </w:t>
            </w:r>
            <w:r w:rsidR="00641D35">
              <w:rPr>
                <w:rFonts w:cs="Times New Roman"/>
                <w:sz w:val="20"/>
                <w:szCs w:val="20"/>
              </w:rPr>
              <w:t>549</w:t>
            </w:r>
          </w:p>
          <w:p w:rsidR="007340FC" w:rsidRPr="003332E2" w:rsidRDefault="007340FC" w:rsidP="00206566">
            <w:pPr>
              <w:rPr>
                <w:rFonts w:cs="Times New Roman"/>
                <w:sz w:val="20"/>
                <w:szCs w:val="20"/>
              </w:rPr>
            </w:pPr>
          </w:p>
          <w:p w:rsidR="007340FC" w:rsidRPr="00DD0B49" w:rsidRDefault="00173D9D" w:rsidP="00206566">
            <w:pPr>
              <w:keepNext/>
              <w:keepLines/>
              <w:rPr>
                <w:rFonts w:cs="Times New Roman"/>
                <w:bCs/>
                <w:sz w:val="20"/>
                <w:szCs w:val="20"/>
                <w:lang w:val="fr-CA"/>
              </w:rPr>
            </w:pPr>
            <w:r>
              <w:rPr>
                <w:rFonts w:cs="Times New Roman"/>
                <w:sz w:val="20"/>
                <w:szCs w:val="20"/>
              </w:rPr>
              <w:pict>
                <v:rect id="_x0000_i1092" style="width:129.6pt;height:1pt" o:hrpct="600" o:hralign="center" o:hrstd="t" o:hrnoshade="t" o:hr="t" fillcolor="black [3213]" stroked="f"/>
              </w:pict>
            </w:r>
          </w:p>
          <w:p w:rsidR="007340FC" w:rsidRPr="00DD0B49" w:rsidRDefault="007340FC" w:rsidP="00206566">
            <w:pPr>
              <w:keepNext/>
              <w:keepLines/>
              <w:rPr>
                <w:rFonts w:cs="Times New Roman"/>
                <w:bCs/>
                <w:sz w:val="20"/>
                <w:szCs w:val="20"/>
                <w:lang w:val="fr-CA"/>
              </w:rPr>
            </w:pPr>
          </w:p>
        </w:tc>
        <w:tc>
          <w:tcPr>
            <w:tcW w:w="840" w:type="dxa"/>
            <w:tcBorders>
              <w:top w:val="nil"/>
              <w:left w:val="nil"/>
              <w:bottom w:val="nil"/>
              <w:right w:val="nil"/>
            </w:tcBorders>
          </w:tcPr>
          <w:p w:rsidR="007340FC" w:rsidRPr="00DD0B49" w:rsidRDefault="007340FC" w:rsidP="00206566">
            <w:pPr>
              <w:rPr>
                <w:rFonts w:cs="Times New Roman"/>
                <w:b/>
                <w:bCs/>
                <w:sz w:val="20"/>
                <w:szCs w:val="20"/>
                <w:lang w:val="fr-CA"/>
              </w:rPr>
            </w:pPr>
          </w:p>
        </w:tc>
        <w:tc>
          <w:tcPr>
            <w:tcW w:w="4320" w:type="dxa"/>
            <w:tcBorders>
              <w:top w:val="nil"/>
              <w:left w:val="nil"/>
              <w:bottom w:val="nil"/>
              <w:right w:val="nil"/>
            </w:tcBorders>
          </w:tcPr>
          <w:p w:rsidR="007340FC" w:rsidRPr="00DD0B49" w:rsidRDefault="007340FC" w:rsidP="00206566">
            <w:pPr>
              <w:rPr>
                <w:rFonts w:cs="Times New Roman"/>
                <w:b/>
                <w:bCs/>
                <w:sz w:val="20"/>
                <w:szCs w:val="20"/>
                <w:lang w:val="fr-CA"/>
              </w:rPr>
            </w:pPr>
            <w:r w:rsidRPr="00DD0B49">
              <w:rPr>
                <w:rFonts w:cs="Times New Roman"/>
                <w:b/>
                <w:bCs/>
                <w:sz w:val="20"/>
                <w:szCs w:val="20"/>
                <w:lang w:val="fr-CA"/>
              </w:rPr>
              <w:t>Jugements publiés dans [201</w:t>
            </w:r>
            <w:r>
              <w:rPr>
                <w:rFonts w:cs="Times New Roman"/>
                <w:b/>
                <w:bCs/>
                <w:sz w:val="20"/>
                <w:szCs w:val="20"/>
                <w:lang w:val="fr-CA"/>
              </w:rPr>
              <w:t>4</w:t>
            </w:r>
            <w:r w:rsidRPr="00DD0B49">
              <w:rPr>
                <w:rFonts w:cs="Times New Roman"/>
                <w:b/>
                <w:bCs/>
                <w:sz w:val="20"/>
                <w:szCs w:val="20"/>
                <w:lang w:val="fr-CA"/>
              </w:rPr>
              <w:t xml:space="preserve">] </w:t>
            </w:r>
            <w:r>
              <w:rPr>
                <w:rFonts w:cs="Times New Roman"/>
                <w:b/>
                <w:bCs/>
                <w:sz w:val="20"/>
                <w:szCs w:val="20"/>
                <w:lang w:val="fr-CA"/>
              </w:rPr>
              <w:t>3</w:t>
            </w:r>
            <w:r w:rsidRPr="00DD0B49">
              <w:rPr>
                <w:rFonts w:cs="Times New Roman"/>
                <w:b/>
                <w:bCs/>
                <w:sz w:val="20"/>
                <w:szCs w:val="20"/>
                <w:lang w:val="fr-CA"/>
              </w:rPr>
              <w:t xml:space="preserve"> R.C.S. Partie </w:t>
            </w:r>
            <w:r w:rsidR="00206566">
              <w:rPr>
                <w:rFonts w:cs="Times New Roman"/>
                <w:b/>
                <w:bCs/>
                <w:sz w:val="20"/>
                <w:szCs w:val="20"/>
                <w:lang w:val="fr-CA"/>
              </w:rPr>
              <w:t>3</w:t>
            </w:r>
          </w:p>
          <w:p w:rsidR="007340FC" w:rsidRPr="00DD0B49" w:rsidRDefault="007340FC" w:rsidP="00206566">
            <w:pPr>
              <w:rPr>
                <w:rFonts w:cs="Times New Roman"/>
                <w:b/>
                <w:bCs/>
                <w:sz w:val="20"/>
                <w:szCs w:val="20"/>
                <w:lang w:val="fr-CA"/>
              </w:rPr>
            </w:pPr>
          </w:p>
          <w:p w:rsidR="00206566" w:rsidRPr="00641D35" w:rsidRDefault="00206566" w:rsidP="00206566">
            <w:pPr>
              <w:rPr>
                <w:rFonts w:cs="Times New Roman"/>
                <w:sz w:val="20"/>
                <w:szCs w:val="20"/>
              </w:rPr>
            </w:pPr>
            <w:r w:rsidRPr="00641D35">
              <w:rPr>
                <w:rFonts w:cs="Times New Roman"/>
                <w:sz w:val="20"/>
                <w:szCs w:val="20"/>
              </w:rPr>
              <w:t xml:space="preserve">R. </w:t>
            </w:r>
            <w:r w:rsidRPr="00641D35">
              <w:rPr>
                <w:rFonts w:cs="Times New Roman"/>
                <w:i/>
                <w:iCs/>
                <w:sz w:val="20"/>
                <w:szCs w:val="20"/>
              </w:rPr>
              <w:t>c.</w:t>
            </w:r>
            <w:r w:rsidRPr="00641D35">
              <w:rPr>
                <w:rFonts w:cs="Times New Roman"/>
                <w:sz w:val="20"/>
                <w:szCs w:val="20"/>
              </w:rPr>
              <w:t xml:space="preserve"> Day,</w:t>
            </w:r>
          </w:p>
          <w:p w:rsidR="00206566" w:rsidRPr="00641D35" w:rsidRDefault="00206566" w:rsidP="00206566">
            <w:pPr>
              <w:rPr>
                <w:rFonts w:cs="Times New Roman"/>
                <w:sz w:val="20"/>
                <w:szCs w:val="20"/>
              </w:rPr>
            </w:pPr>
            <w:r w:rsidRPr="00641D35">
              <w:rPr>
                <w:rFonts w:cs="Times New Roman"/>
                <w:sz w:val="20"/>
                <w:szCs w:val="20"/>
              </w:rPr>
              <w:t xml:space="preserve">2014 CSC </w:t>
            </w:r>
            <w:r w:rsidR="00641D35" w:rsidRPr="00641D35">
              <w:rPr>
                <w:rFonts w:cs="Times New Roman"/>
                <w:sz w:val="20"/>
                <w:szCs w:val="20"/>
              </w:rPr>
              <w:t>74</w:t>
            </w:r>
            <w:r w:rsidRPr="00641D35">
              <w:rPr>
                <w:rFonts w:cs="Times New Roman"/>
                <w:sz w:val="20"/>
                <w:szCs w:val="20"/>
              </w:rPr>
              <w:t xml:space="preserve">, [2014] 3 R.C.S. </w:t>
            </w:r>
            <w:r w:rsidR="00641D35">
              <w:rPr>
                <w:rFonts w:cs="Times New Roman"/>
                <w:sz w:val="20"/>
                <w:szCs w:val="20"/>
              </w:rPr>
              <w:t>614</w:t>
            </w:r>
          </w:p>
          <w:p w:rsidR="007340FC" w:rsidRPr="00641D35" w:rsidRDefault="007340FC" w:rsidP="00206566">
            <w:pPr>
              <w:rPr>
                <w:rFonts w:cs="Times New Roman"/>
                <w:sz w:val="20"/>
                <w:szCs w:val="20"/>
              </w:rPr>
            </w:pPr>
          </w:p>
          <w:p w:rsidR="007340FC" w:rsidRPr="00641D35" w:rsidRDefault="007340FC" w:rsidP="00206566">
            <w:pPr>
              <w:rPr>
                <w:rFonts w:cs="Times New Roman"/>
                <w:sz w:val="20"/>
                <w:szCs w:val="20"/>
              </w:rPr>
            </w:pPr>
            <w:r w:rsidRPr="00641D35">
              <w:rPr>
                <w:rFonts w:cs="Times New Roman"/>
                <w:sz w:val="20"/>
                <w:szCs w:val="20"/>
              </w:rPr>
              <w:t xml:space="preserve">R. </w:t>
            </w:r>
            <w:r w:rsidRPr="00641D35">
              <w:rPr>
                <w:rFonts w:cs="Times New Roman"/>
                <w:i/>
                <w:iCs/>
                <w:sz w:val="20"/>
                <w:szCs w:val="20"/>
              </w:rPr>
              <w:t>c.</w:t>
            </w:r>
            <w:r w:rsidRPr="00641D35">
              <w:rPr>
                <w:rFonts w:cs="Times New Roman"/>
                <w:sz w:val="20"/>
                <w:szCs w:val="20"/>
              </w:rPr>
              <w:t xml:space="preserve"> </w:t>
            </w:r>
            <w:r w:rsidR="00206566" w:rsidRPr="00641D35">
              <w:rPr>
                <w:rFonts w:cs="Times New Roman"/>
                <w:sz w:val="20"/>
                <w:szCs w:val="20"/>
              </w:rPr>
              <w:t>Fear</w:t>
            </w:r>
            <w:r w:rsidRPr="00641D35">
              <w:rPr>
                <w:rFonts w:cs="Times New Roman"/>
                <w:sz w:val="20"/>
                <w:szCs w:val="20"/>
              </w:rPr>
              <w:t>on,</w:t>
            </w:r>
          </w:p>
          <w:p w:rsidR="007340FC" w:rsidRPr="00BE42DA" w:rsidRDefault="007340FC" w:rsidP="00206566">
            <w:pPr>
              <w:rPr>
                <w:rFonts w:cs="Times New Roman"/>
                <w:sz w:val="20"/>
                <w:szCs w:val="20"/>
              </w:rPr>
            </w:pPr>
            <w:r w:rsidRPr="00BE42DA">
              <w:rPr>
                <w:rFonts w:cs="Times New Roman"/>
                <w:sz w:val="20"/>
                <w:szCs w:val="20"/>
              </w:rPr>
              <w:t xml:space="preserve">2014 CSC </w:t>
            </w:r>
            <w:r w:rsidR="00641D35">
              <w:rPr>
                <w:rFonts w:cs="Times New Roman"/>
                <w:sz w:val="20"/>
                <w:szCs w:val="20"/>
              </w:rPr>
              <w:t>77</w:t>
            </w:r>
            <w:r w:rsidRPr="00BE42DA">
              <w:rPr>
                <w:rFonts w:cs="Times New Roman"/>
                <w:sz w:val="20"/>
                <w:szCs w:val="20"/>
              </w:rPr>
              <w:t xml:space="preserve">, [2014] 3 R.C.S. </w:t>
            </w:r>
            <w:r w:rsidR="00641D35">
              <w:rPr>
                <w:rFonts w:cs="Times New Roman"/>
                <w:sz w:val="20"/>
                <w:szCs w:val="20"/>
              </w:rPr>
              <w:t>6</w:t>
            </w:r>
            <w:r w:rsidRPr="00BE42DA">
              <w:rPr>
                <w:rFonts w:cs="Times New Roman"/>
                <w:sz w:val="20"/>
                <w:szCs w:val="20"/>
              </w:rPr>
              <w:t>2</w:t>
            </w:r>
            <w:r w:rsidR="00641D35">
              <w:rPr>
                <w:rFonts w:cs="Times New Roman"/>
                <w:sz w:val="20"/>
                <w:szCs w:val="20"/>
              </w:rPr>
              <w:t>1</w:t>
            </w:r>
          </w:p>
          <w:p w:rsidR="007340FC" w:rsidRPr="00BE42DA" w:rsidRDefault="007340FC" w:rsidP="00206566">
            <w:pPr>
              <w:rPr>
                <w:rFonts w:cs="Times New Roman"/>
                <w:sz w:val="20"/>
                <w:szCs w:val="20"/>
              </w:rPr>
            </w:pPr>
          </w:p>
          <w:p w:rsidR="007340FC" w:rsidRPr="005A79A3" w:rsidRDefault="007340FC" w:rsidP="00206566">
            <w:pPr>
              <w:rPr>
                <w:rFonts w:cs="Times New Roman"/>
                <w:sz w:val="20"/>
                <w:szCs w:val="20"/>
              </w:rPr>
            </w:pPr>
            <w:r w:rsidRPr="005A79A3">
              <w:rPr>
                <w:rFonts w:cs="Times New Roman"/>
                <w:sz w:val="20"/>
                <w:szCs w:val="20"/>
              </w:rPr>
              <w:t xml:space="preserve">R. </w:t>
            </w:r>
            <w:r w:rsidRPr="005A79A3">
              <w:rPr>
                <w:rFonts w:cs="Times New Roman"/>
                <w:i/>
                <w:iCs/>
                <w:sz w:val="20"/>
                <w:szCs w:val="20"/>
              </w:rPr>
              <w:t xml:space="preserve">c. </w:t>
            </w:r>
            <w:r w:rsidRPr="005A79A3">
              <w:rPr>
                <w:rFonts w:cs="Times New Roman"/>
                <w:iCs/>
                <w:sz w:val="20"/>
                <w:szCs w:val="20"/>
              </w:rPr>
              <w:t>Mac</w:t>
            </w:r>
            <w:r w:rsidR="00206566">
              <w:rPr>
                <w:rFonts w:cs="Times New Roman"/>
                <w:iCs/>
                <w:sz w:val="20"/>
                <w:szCs w:val="20"/>
              </w:rPr>
              <w:t>Leod</w:t>
            </w:r>
            <w:r w:rsidRPr="005A79A3">
              <w:rPr>
                <w:rFonts w:cs="Times New Roman"/>
                <w:sz w:val="20"/>
                <w:szCs w:val="20"/>
              </w:rPr>
              <w:t>,</w:t>
            </w:r>
          </w:p>
          <w:p w:rsidR="007340FC" w:rsidRPr="005A79A3" w:rsidRDefault="007340FC" w:rsidP="00206566">
            <w:pPr>
              <w:rPr>
                <w:rFonts w:cs="Times New Roman"/>
                <w:sz w:val="20"/>
                <w:szCs w:val="20"/>
              </w:rPr>
            </w:pPr>
            <w:r w:rsidRPr="005A79A3">
              <w:rPr>
                <w:rFonts w:cs="Times New Roman"/>
                <w:sz w:val="20"/>
                <w:szCs w:val="20"/>
              </w:rPr>
              <w:t xml:space="preserve">2014 CSC </w:t>
            </w:r>
            <w:r w:rsidR="00641D35">
              <w:rPr>
                <w:rFonts w:cs="Times New Roman"/>
                <w:sz w:val="20"/>
                <w:szCs w:val="20"/>
              </w:rPr>
              <w:t>76</w:t>
            </w:r>
            <w:r w:rsidRPr="005A79A3">
              <w:rPr>
                <w:rFonts w:cs="Times New Roman"/>
                <w:sz w:val="20"/>
                <w:szCs w:val="20"/>
              </w:rPr>
              <w:t xml:space="preserve">, [2014] 3 R.C.S. </w:t>
            </w:r>
            <w:r w:rsidR="00641D35">
              <w:rPr>
                <w:rFonts w:cs="Times New Roman"/>
                <w:sz w:val="20"/>
                <w:szCs w:val="20"/>
              </w:rPr>
              <w:t>619</w:t>
            </w:r>
          </w:p>
          <w:p w:rsidR="007340FC" w:rsidRPr="005A79A3" w:rsidRDefault="007340FC" w:rsidP="00206566">
            <w:pPr>
              <w:rPr>
                <w:rFonts w:cs="Times New Roman"/>
                <w:sz w:val="20"/>
                <w:szCs w:val="20"/>
              </w:rPr>
            </w:pPr>
          </w:p>
          <w:p w:rsidR="007340FC" w:rsidRPr="005A79A3" w:rsidRDefault="007340FC" w:rsidP="00206566">
            <w:pPr>
              <w:rPr>
                <w:rFonts w:cs="Times New Roman"/>
                <w:sz w:val="20"/>
                <w:szCs w:val="20"/>
              </w:rPr>
            </w:pPr>
            <w:r w:rsidRPr="005A79A3">
              <w:rPr>
                <w:rFonts w:cs="Times New Roman"/>
                <w:sz w:val="20"/>
                <w:szCs w:val="20"/>
              </w:rPr>
              <w:t xml:space="preserve">R. </w:t>
            </w:r>
            <w:r w:rsidRPr="005A79A3">
              <w:rPr>
                <w:rFonts w:cs="Times New Roman"/>
                <w:i/>
                <w:iCs/>
                <w:sz w:val="20"/>
                <w:szCs w:val="20"/>
              </w:rPr>
              <w:t>c.</w:t>
            </w:r>
            <w:r w:rsidRPr="005A79A3">
              <w:rPr>
                <w:rFonts w:cs="Times New Roman"/>
                <w:iCs/>
                <w:sz w:val="20"/>
                <w:szCs w:val="20"/>
              </w:rPr>
              <w:t xml:space="preserve"> </w:t>
            </w:r>
            <w:r w:rsidR="00641D35">
              <w:rPr>
                <w:rFonts w:cs="Times New Roman"/>
                <w:iCs/>
                <w:sz w:val="20"/>
                <w:szCs w:val="20"/>
              </w:rPr>
              <w:t>Wilc</w:t>
            </w:r>
            <w:r w:rsidRPr="005A79A3">
              <w:rPr>
                <w:rFonts w:cs="Times New Roman"/>
                <w:iCs/>
                <w:sz w:val="20"/>
                <w:szCs w:val="20"/>
              </w:rPr>
              <w:t>o</w:t>
            </w:r>
            <w:r w:rsidR="00641D35">
              <w:rPr>
                <w:rFonts w:cs="Times New Roman"/>
                <w:iCs/>
                <w:sz w:val="20"/>
                <w:szCs w:val="20"/>
              </w:rPr>
              <w:t>x</w:t>
            </w:r>
            <w:r w:rsidRPr="005A79A3">
              <w:rPr>
                <w:rFonts w:cs="Times New Roman"/>
                <w:sz w:val="20"/>
                <w:szCs w:val="20"/>
              </w:rPr>
              <w:t>,</w:t>
            </w:r>
          </w:p>
          <w:p w:rsidR="007340FC" w:rsidRPr="005A79A3" w:rsidRDefault="007340FC" w:rsidP="00206566">
            <w:pPr>
              <w:rPr>
                <w:rFonts w:cs="Times New Roman"/>
                <w:sz w:val="20"/>
                <w:szCs w:val="20"/>
              </w:rPr>
            </w:pPr>
            <w:r w:rsidRPr="005A79A3">
              <w:rPr>
                <w:rFonts w:cs="Times New Roman"/>
                <w:sz w:val="20"/>
                <w:szCs w:val="20"/>
              </w:rPr>
              <w:t xml:space="preserve">2014 CSC </w:t>
            </w:r>
            <w:r w:rsidR="00641D35">
              <w:rPr>
                <w:rFonts w:cs="Times New Roman"/>
                <w:sz w:val="20"/>
                <w:szCs w:val="20"/>
              </w:rPr>
              <w:t>75</w:t>
            </w:r>
            <w:r w:rsidRPr="005A79A3">
              <w:rPr>
                <w:rFonts w:cs="Times New Roman"/>
                <w:sz w:val="20"/>
                <w:szCs w:val="20"/>
              </w:rPr>
              <w:t xml:space="preserve">, [2014] 3 R.C.S. </w:t>
            </w:r>
            <w:r w:rsidR="00641D35">
              <w:rPr>
                <w:rFonts w:cs="Times New Roman"/>
                <w:sz w:val="20"/>
                <w:szCs w:val="20"/>
              </w:rPr>
              <w:t>616</w:t>
            </w:r>
          </w:p>
          <w:p w:rsidR="007340FC" w:rsidRPr="005A79A3" w:rsidRDefault="007340FC" w:rsidP="00206566">
            <w:pPr>
              <w:rPr>
                <w:rFonts w:cs="Times New Roman"/>
                <w:sz w:val="20"/>
                <w:szCs w:val="20"/>
              </w:rPr>
            </w:pPr>
          </w:p>
          <w:p w:rsidR="007340FC" w:rsidRPr="00D21A33" w:rsidRDefault="007340FC" w:rsidP="00206566">
            <w:pPr>
              <w:rPr>
                <w:rFonts w:cs="Times New Roman"/>
                <w:sz w:val="20"/>
                <w:szCs w:val="20"/>
              </w:rPr>
            </w:pPr>
            <w:r w:rsidRPr="00D21A33">
              <w:rPr>
                <w:rFonts w:cs="Times New Roman"/>
                <w:sz w:val="20"/>
                <w:szCs w:val="20"/>
              </w:rPr>
              <w:t xml:space="preserve">R. </w:t>
            </w:r>
            <w:r w:rsidRPr="00D21A33">
              <w:rPr>
                <w:rFonts w:cs="Times New Roman"/>
                <w:i/>
                <w:iCs/>
                <w:sz w:val="20"/>
                <w:szCs w:val="20"/>
              </w:rPr>
              <w:t>c.</w:t>
            </w:r>
            <w:r w:rsidRPr="00D21A33">
              <w:rPr>
                <w:rFonts w:cs="Times New Roman"/>
                <w:iCs/>
                <w:sz w:val="20"/>
                <w:szCs w:val="20"/>
              </w:rPr>
              <w:t xml:space="preserve"> </w:t>
            </w:r>
            <w:r w:rsidR="00641D35" w:rsidRPr="00D21A33">
              <w:rPr>
                <w:rFonts w:cs="Times New Roman"/>
                <w:iCs/>
                <w:sz w:val="20"/>
                <w:szCs w:val="20"/>
              </w:rPr>
              <w:t>Wills</w:t>
            </w:r>
            <w:r w:rsidRPr="00D21A33">
              <w:rPr>
                <w:rFonts w:cs="Times New Roman"/>
                <w:sz w:val="20"/>
                <w:szCs w:val="20"/>
              </w:rPr>
              <w:t>,</w:t>
            </w:r>
          </w:p>
          <w:p w:rsidR="007340FC" w:rsidRPr="00D21A33" w:rsidRDefault="007340FC" w:rsidP="00206566">
            <w:pPr>
              <w:rPr>
                <w:rFonts w:cs="Times New Roman"/>
                <w:sz w:val="20"/>
                <w:szCs w:val="20"/>
              </w:rPr>
            </w:pPr>
            <w:r w:rsidRPr="00D21A33">
              <w:rPr>
                <w:rFonts w:cs="Times New Roman"/>
                <w:sz w:val="20"/>
                <w:szCs w:val="20"/>
              </w:rPr>
              <w:t xml:space="preserve">2014 CSC </w:t>
            </w:r>
            <w:r w:rsidR="00641D35" w:rsidRPr="00D21A33">
              <w:rPr>
                <w:rFonts w:cs="Times New Roman"/>
                <w:sz w:val="20"/>
                <w:szCs w:val="20"/>
              </w:rPr>
              <w:t>73</w:t>
            </w:r>
            <w:r w:rsidRPr="00D21A33">
              <w:rPr>
                <w:rFonts w:cs="Times New Roman"/>
                <w:sz w:val="20"/>
                <w:szCs w:val="20"/>
              </w:rPr>
              <w:t xml:space="preserve">, [2014] 3 R.C.S. </w:t>
            </w:r>
            <w:r w:rsidR="00641D35" w:rsidRPr="00D21A33">
              <w:rPr>
                <w:rFonts w:cs="Times New Roman"/>
                <w:sz w:val="20"/>
                <w:szCs w:val="20"/>
              </w:rPr>
              <w:t>6</w:t>
            </w:r>
            <w:r w:rsidRPr="00D21A33">
              <w:rPr>
                <w:rFonts w:cs="Times New Roman"/>
                <w:sz w:val="20"/>
                <w:szCs w:val="20"/>
              </w:rPr>
              <w:t>1</w:t>
            </w:r>
            <w:r w:rsidR="00641D35" w:rsidRPr="00D21A33">
              <w:rPr>
                <w:rFonts w:cs="Times New Roman"/>
                <w:sz w:val="20"/>
                <w:szCs w:val="20"/>
              </w:rPr>
              <w:t>2</w:t>
            </w:r>
          </w:p>
          <w:p w:rsidR="007340FC" w:rsidRPr="00D21A33" w:rsidRDefault="007340FC" w:rsidP="00206566">
            <w:pPr>
              <w:rPr>
                <w:rFonts w:cs="Times New Roman"/>
                <w:iCs/>
                <w:sz w:val="20"/>
                <w:szCs w:val="20"/>
              </w:rPr>
            </w:pPr>
          </w:p>
          <w:p w:rsidR="007340FC" w:rsidRPr="00641D35" w:rsidRDefault="00641D35" w:rsidP="00206566">
            <w:pPr>
              <w:rPr>
                <w:rFonts w:cs="Times New Roman"/>
                <w:sz w:val="20"/>
                <w:szCs w:val="20"/>
                <w:lang w:val="fr-CA"/>
              </w:rPr>
            </w:pPr>
            <w:r w:rsidRPr="00641D35">
              <w:rPr>
                <w:rFonts w:cs="Times New Roman"/>
                <w:iCs/>
                <w:sz w:val="20"/>
                <w:szCs w:val="20"/>
                <w:lang w:val="fr-CA"/>
              </w:rPr>
              <w:t>Wakeling</w:t>
            </w:r>
            <w:r w:rsidR="007340FC" w:rsidRPr="00641D35">
              <w:rPr>
                <w:rFonts w:cs="Times New Roman"/>
                <w:sz w:val="20"/>
                <w:szCs w:val="20"/>
                <w:lang w:val="fr-CA"/>
              </w:rPr>
              <w:t xml:space="preserve"> </w:t>
            </w:r>
            <w:r w:rsidR="007340FC" w:rsidRPr="00641D35">
              <w:rPr>
                <w:rFonts w:cs="Times New Roman"/>
                <w:i/>
                <w:iCs/>
                <w:sz w:val="20"/>
                <w:szCs w:val="20"/>
                <w:lang w:val="fr-CA"/>
              </w:rPr>
              <w:t xml:space="preserve">c. </w:t>
            </w:r>
            <w:r>
              <w:rPr>
                <w:rFonts w:cs="Times New Roman"/>
                <w:iCs/>
                <w:sz w:val="20"/>
                <w:szCs w:val="20"/>
                <w:lang w:val="fr-CA"/>
              </w:rPr>
              <w:t>États</w:t>
            </w:r>
            <w:r w:rsidR="007340FC" w:rsidRPr="00641D35">
              <w:rPr>
                <w:rFonts w:cs="Times New Roman"/>
                <w:iCs/>
                <w:sz w:val="20"/>
                <w:szCs w:val="20"/>
                <w:lang w:val="fr-CA"/>
              </w:rPr>
              <w:t>-</w:t>
            </w:r>
            <w:r>
              <w:rPr>
                <w:rFonts w:cs="Times New Roman"/>
                <w:iCs/>
                <w:sz w:val="20"/>
                <w:szCs w:val="20"/>
                <w:lang w:val="fr-CA"/>
              </w:rPr>
              <w:t>Un</w:t>
            </w:r>
            <w:r w:rsidR="007340FC" w:rsidRPr="00641D35">
              <w:rPr>
                <w:rFonts w:cs="Times New Roman"/>
                <w:iCs/>
                <w:sz w:val="20"/>
                <w:szCs w:val="20"/>
                <w:lang w:val="fr-CA"/>
              </w:rPr>
              <w:t>i</w:t>
            </w:r>
            <w:r>
              <w:rPr>
                <w:rFonts w:cs="Times New Roman"/>
                <w:iCs/>
                <w:sz w:val="20"/>
                <w:szCs w:val="20"/>
                <w:lang w:val="fr-CA"/>
              </w:rPr>
              <w:t>s d’Amér</w:t>
            </w:r>
            <w:r w:rsidR="007340FC" w:rsidRPr="00641D35">
              <w:rPr>
                <w:rFonts w:cs="Times New Roman"/>
                <w:iCs/>
                <w:sz w:val="20"/>
                <w:szCs w:val="20"/>
                <w:lang w:val="fr-CA"/>
              </w:rPr>
              <w:t>ique,</w:t>
            </w:r>
          </w:p>
          <w:p w:rsidR="007340FC" w:rsidRPr="00641D35" w:rsidRDefault="007340FC" w:rsidP="00206566">
            <w:pPr>
              <w:rPr>
                <w:rFonts w:cs="Times New Roman"/>
                <w:sz w:val="20"/>
                <w:szCs w:val="20"/>
                <w:lang w:val="fr-CA"/>
              </w:rPr>
            </w:pPr>
            <w:r w:rsidRPr="00641D35">
              <w:rPr>
                <w:rFonts w:cs="Times New Roman"/>
                <w:sz w:val="20"/>
                <w:szCs w:val="20"/>
                <w:lang w:val="fr-CA"/>
              </w:rPr>
              <w:t xml:space="preserve">2014 CSC </w:t>
            </w:r>
            <w:r w:rsidR="00641D35">
              <w:rPr>
                <w:rFonts w:cs="Times New Roman"/>
                <w:sz w:val="20"/>
                <w:szCs w:val="20"/>
                <w:lang w:val="fr-CA"/>
              </w:rPr>
              <w:t>72</w:t>
            </w:r>
            <w:r w:rsidRPr="00641D35">
              <w:rPr>
                <w:rFonts w:cs="Times New Roman"/>
                <w:sz w:val="20"/>
                <w:szCs w:val="20"/>
                <w:lang w:val="fr-CA"/>
              </w:rPr>
              <w:t xml:space="preserve">, [2014] 3 R.C.S. </w:t>
            </w:r>
            <w:r w:rsidR="00641D35">
              <w:rPr>
                <w:rFonts w:cs="Times New Roman"/>
                <w:sz w:val="20"/>
                <w:szCs w:val="20"/>
                <w:lang w:val="fr-CA"/>
              </w:rPr>
              <w:t>549</w:t>
            </w:r>
          </w:p>
          <w:p w:rsidR="007340FC" w:rsidRPr="00641D35" w:rsidRDefault="007340FC" w:rsidP="00206566">
            <w:pPr>
              <w:keepNext/>
              <w:keepLines/>
              <w:rPr>
                <w:rFonts w:cs="Times New Roman"/>
                <w:bCs/>
                <w:sz w:val="20"/>
                <w:szCs w:val="20"/>
                <w:lang w:val="fr-CA"/>
              </w:rPr>
            </w:pPr>
          </w:p>
          <w:p w:rsidR="007340FC" w:rsidRPr="00DD0B49" w:rsidRDefault="00173D9D" w:rsidP="00206566">
            <w:pPr>
              <w:rPr>
                <w:rFonts w:cs="Times New Roman"/>
                <w:sz w:val="20"/>
                <w:szCs w:val="20"/>
              </w:rPr>
            </w:pPr>
            <w:r>
              <w:rPr>
                <w:rFonts w:cs="Times New Roman"/>
                <w:sz w:val="20"/>
                <w:szCs w:val="20"/>
              </w:rPr>
              <w:pict>
                <v:rect id="_x0000_i1093" style="width:129.6pt;height:1pt" o:hrpct="600" o:hralign="center" o:hrstd="t" o:hrnoshade="t" o:hr="t" fillcolor="black [3213]" stroked="f"/>
              </w:pict>
            </w:r>
          </w:p>
          <w:p w:rsidR="007340FC" w:rsidRPr="00DD0B49" w:rsidRDefault="007340FC" w:rsidP="00206566">
            <w:pPr>
              <w:keepNext/>
              <w:keepLines/>
              <w:rPr>
                <w:rFonts w:cs="Times New Roman"/>
                <w:bCs/>
                <w:sz w:val="20"/>
                <w:szCs w:val="20"/>
                <w:lang w:val="fr-CA"/>
              </w:rPr>
            </w:pPr>
          </w:p>
        </w:tc>
      </w:tr>
    </w:tbl>
    <w:p w:rsidR="007340FC" w:rsidRDefault="007340FC" w:rsidP="006B6926">
      <w:pPr>
        <w:rPr>
          <w:sz w:val="20"/>
          <w:szCs w:val="20"/>
          <w:lang w:val="fr-CA"/>
        </w:rPr>
      </w:pPr>
    </w:p>
    <w:p w:rsidR="00E37AB6" w:rsidRDefault="00E37AB6" w:rsidP="006B6926">
      <w:pPr>
        <w:rPr>
          <w:sz w:val="20"/>
          <w:szCs w:val="20"/>
          <w:lang w:val="fr-CA"/>
        </w:rPr>
      </w:pPr>
    </w:p>
    <w:p w:rsidR="00E37AB6" w:rsidRDefault="00E37AB6" w:rsidP="006B6926">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114"/>
          <w:footerReference w:type="default" r:id="rId115"/>
          <w:headerReference w:type="first" r:id="rId116"/>
          <w:footerReference w:type="first" r:id="rId117"/>
          <w:pgSz w:w="12240" w:h="15840"/>
          <w:pgMar w:top="720" w:right="965" w:bottom="1080" w:left="1656" w:header="720" w:footer="965" w:gutter="0"/>
          <w:cols w:space="720"/>
          <w:titlePg/>
          <w:docGrid w:linePitch="326"/>
        </w:sectPr>
      </w:pPr>
    </w:p>
    <w:p w:rsidR="008112A9" w:rsidRPr="002E0C7E" w:rsidRDefault="00D31263"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206566">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06566">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06566">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DECEMBER - DÉCEMBRE</w:t>
            </w:r>
          </w:p>
        </w:tc>
      </w:tr>
      <w:tr w:rsidR="008112A9" w:rsidRPr="002E0C7E" w:rsidTr="0020656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r>
      <w:tr w:rsidR="008112A9" w:rsidRPr="002E0C7E" w:rsidTr="0020656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206566">
            <w:pPr>
              <w:widowControl w:val="0"/>
              <w:jc w:val="center"/>
              <w:rPr>
                <w:rFonts w:ascii="Arial" w:hAnsi="Arial"/>
                <w:b/>
                <w:sz w:val="14"/>
              </w:rPr>
            </w:pPr>
            <w:r>
              <w:rPr>
                <w:rFonts w:ascii="Arial" w:hAnsi="Arial"/>
                <w:b/>
                <w:sz w:val="14"/>
              </w:rPr>
              <w:t>M</w:t>
            </w:r>
          </w:p>
          <w:p w:rsidR="008112A9" w:rsidRPr="002E0C7E" w:rsidRDefault="008112A9" w:rsidP="00206566">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6</w:t>
            </w:r>
          </w:p>
        </w:tc>
      </w:tr>
      <w:tr w:rsidR="008112A9" w:rsidRPr="002E0C7E" w:rsidTr="0020656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206566">
            <w:pPr>
              <w:widowControl w:val="0"/>
              <w:jc w:val="center"/>
              <w:rPr>
                <w:rFonts w:ascii="Arial" w:hAnsi="Arial"/>
                <w:b/>
                <w:sz w:val="14"/>
              </w:rPr>
            </w:pPr>
            <w:r>
              <w:rPr>
                <w:rFonts w:ascii="Arial" w:hAnsi="Arial"/>
                <w:b/>
                <w:sz w:val="14"/>
              </w:rPr>
              <w:t>M</w:t>
            </w:r>
          </w:p>
          <w:p w:rsidR="008112A9" w:rsidRPr="002E0C7E" w:rsidRDefault="008112A9" w:rsidP="00206566">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M</w:t>
            </w:r>
          </w:p>
          <w:p w:rsidR="008112A9" w:rsidRPr="002E0C7E" w:rsidRDefault="008112A9" w:rsidP="00206566">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13</w:t>
            </w:r>
          </w:p>
        </w:tc>
      </w:tr>
      <w:tr w:rsidR="008112A9" w:rsidRPr="002E0C7E" w:rsidTr="00206566">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206566">
            <w:pPr>
              <w:widowControl w:val="0"/>
              <w:jc w:val="center"/>
              <w:rPr>
                <w:rFonts w:ascii="Arial" w:hAnsi="Arial"/>
                <w:b/>
                <w:sz w:val="14"/>
              </w:rPr>
            </w:pPr>
            <w:r>
              <w:rPr>
                <w:rFonts w:ascii="Arial" w:hAnsi="Arial"/>
                <w:b/>
                <w:sz w:val="14"/>
              </w:rPr>
              <w:t>H</w:t>
            </w: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206566">
            <w:pPr>
              <w:widowControl w:val="0"/>
              <w:jc w:val="center"/>
              <w:rPr>
                <w:rFonts w:ascii="Arial" w:hAnsi="Arial"/>
                <w:b/>
                <w:sz w:val="14"/>
              </w:rPr>
            </w:pPr>
            <w:r w:rsidRPr="004F066E">
              <w:rPr>
                <w:rFonts w:ascii="Arial" w:hAnsi="Arial"/>
                <w:b/>
                <w:sz w:val="14"/>
              </w:rPr>
              <w:t>H</w:t>
            </w:r>
          </w:p>
          <w:p w:rsidR="008112A9" w:rsidRPr="002E0C7E" w:rsidRDefault="008112A9" w:rsidP="00206566">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20</w:t>
            </w:r>
          </w:p>
        </w:tc>
      </w:tr>
      <w:tr w:rsidR="008112A9" w:rsidRPr="002E0C7E" w:rsidTr="0020656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206566">
            <w:pPr>
              <w:widowControl w:val="0"/>
              <w:jc w:val="center"/>
              <w:rPr>
                <w:rFonts w:ascii="Arial" w:hAnsi="Arial"/>
                <w:b/>
                <w:sz w:val="14"/>
              </w:rPr>
            </w:pPr>
            <w:r>
              <w:rPr>
                <w:rFonts w:ascii="Arial" w:hAnsi="Arial"/>
                <w:b/>
                <w:sz w:val="14"/>
              </w:rPr>
              <w:t>H</w:t>
            </w:r>
          </w:p>
          <w:p w:rsidR="008112A9" w:rsidRPr="002E0C7E" w:rsidRDefault="008112A9" w:rsidP="00206566">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206566">
            <w:pPr>
              <w:widowControl w:val="0"/>
              <w:jc w:val="center"/>
              <w:rPr>
                <w:rFonts w:ascii="Arial" w:hAnsi="Arial"/>
                <w:b/>
                <w:sz w:val="14"/>
              </w:rPr>
            </w:pPr>
            <w:r>
              <w:rPr>
                <w:rFonts w:ascii="Arial" w:hAnsi="Arial"/>
                <w:b/>
                <w:sz w:val="14"/>
              </w:rPr>
              <w:t>H</w:t>
            </w:r>
          </w:p>
          <w:p w:rsidR="008112A9" w:rsidRPr="002E0C7E" w:rsidRDefault="008112A9" w:rsidP="00206566">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206566">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206566">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206566">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0656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06566">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MARCH - MARS</w:t>
            </w:r>
          </w:p>
        </w:tc>
      </w:tr>
      <w:tr w:rsidR="008112A9" w:rsidRPr="002E0C7E" w:rsidTr="0020656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r>
      <w:tr w:rsidR="008112A9" w:rsidRPr="002E0C7E" w:rsidTr="0020656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206566">
            <w:pPr>
              <w:widowControl w:val="0"/>
              <w:jc w:val="center"/>
              <w:rPr>
                <w:rFonts w:ascii="Arial" w:hAnsi="Arial"/>
                <w:b/>
                <w:sz w:val="14"/>
              </w:rPr>
            </w:pPr>
            <w:r w:rsidRPr="004F066E">
              <w:rPr>
                <w:rFonts w:ascii="Arial" w:hAnsi="Arial"/>
                <w:b/>
                <w:sz w:val="14"/>
              </w:rPr>
              <w:t>H</w:t>
            </w:r>
          </w:p>
          <w:p w:rsidR="008112A9" w:rsidRPr="002E0C7E" w:rsidRDefault="008112A9" w:rsidP="0020656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r>
      <w:tr w:rsidR="008112A9" w:rsidRPr="002E0C7E" w:rsidTr="0020656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206566">
            <w:pPr>
              <w:widowControl w:val="0"/>
              <w:jc w:val="center"/>
              <w:rPr>
                <w:rFonts w:ascii="Arial" w:hAnsi="Arial"/>
                <w:b/>
                <w:sz w:val="14"/>
              </w:rPr>
            </w:pPr>
            <w:r>
              <w:rPr>
                <w:rFonts w:ascii="Arial" w:hAnsi="Arial"/>
                <w:b/>
                <w:sz w:val="14"/>
              </w:rPr>
              <w:t>M</w:t>
            </w:r>
          </w:p>
          <w:p w:rsidR="008112A9" w:rsidRPr="002E0C7E" w:rsidRDefault="008112A9" w:rsidP="0020656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14</w:t>
            </w:r>
          </w:p>
        </w:tc>
      </w:tr>
      <w:tr w:rsidR="008112A9" w:rsidRPr="002E0C7E" w:rsidTr="0020656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206566">
            <w:pPr>
              <w:widowControl w:val="0"/>
              <w:jc w:val="center"/>
              <w:rPr>
                <w:rFonts w:ascii="Arial" w:hAnsi="Arial"/>
                <w:b/>
                <w:sz w:val="14"/>
              </w:rPr>
            </w:pPr>
            <w:r>
              <w:rPr>
                <w:rFonts w:ascii="Arial" w:hAnsi="Arial"/>
                <w:b/>
                <w:sz w:val="14"/>
              </w:rPr>
              <w:t>M</w:t>
            </w: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206566">
            <w:pPr>
              <w:widowControl w:val="0"/>
              <w:jc w:val="center"/>
              <w:rPr>
                <w:rFonts w:ascii="Arial" w:hAnsi="Arial"/>
                <w:b/>
                <w:sz w:val="14"/>
              </w:rPr>
            </w:pPr>
            <w:r w:rsidRPr="009900C5">
              <w:rPr>
                <w:rFonts w:ascii="Arial" w:hAnsi="Arial"/>
                <w:b/>
                <w:sz w:val="14"/>
              </w:rPr>
              <w:t>M</w:t>
            </w: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20656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20656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206566">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06566">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06566">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06566">
            <w:pPr>
              <w:widowControl w:val="0"/>
              <w:jc w:val="center"/>
              <w:rPr>
                <w:rFonts w:ascii="Arial" w:hAnsi="Arial"/>
                <w:sz w:val="14"/>
              </w:rPr>
            </w:pPr>
            <w:r w:rsidRPr="002E0C7E">
              <w:rPr>
                <w:rFonts w:ascii="Arial" w:hAnsi="Arial"/>
                <w:b/>
                <w:sz w:val="14"/>
              </w:rPr>
              <w:t>JUNE - JUIN</w:t>
            </w:r>
          </w:p>
        </w:tc>
      </w:tr>
      <w:tr w:rsidR="008112A9" w:rsidRPr="002E0C7E" w:rsidTr="00206566">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S</w:t>
            </w:r>
          </w:p>
          <w:p w:rsidR="008112A9" w:rsidRPr="002E0C7E" w:rsidRDefault="008112A9" w:rsidP="00206566">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M</w:t>
            </w:r>
          </w:p>
          <w:p w:rsidR="008112A9" w:rsidRPr="002E0C7E" w:rsidRDefault="008112A9" w:rsidP="00206566">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W</w:t>
            </w:r>
          </w:p>
          <w:p w:rsidR="008112A9" w:rsidRPr="002E0C7E" w:rsidRDefault="008112A9" w:rsidP="00206566">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T</w:t>
            </w:r>
          </w:p>
          <w:p w:rsidR="008112A9" w:rsidRPr="002E0C7E" w:rsidRDefault="008112A9" w:rsidP="00206566">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sidRPr="002E0C7E">
              <w:rPr>
                <w:rFonts w:ascii="Arial" w:hAnsi="Arial"/>
                <w:sz w:val="14"/>
              </w:rPr>
              <w:t>F</w:t>
            </w:r>
          </w:p>
          <w:p w:rsidR="008112A9" w:rsidRPr="002E0C7E" w:rsidRDefault="008112A9" w:rsidP="00206566">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r>
              <w:rPr>
                <w:rFonts w:ascii="Arial" w:hAnsi="Arial"/>
                <w:sz w:val="14"/>
              </w:rPr>
              <w:t>S</w:t>
            </w:r>
          </w:p>
          <w:p w:rsidR="008112A9" w:rsidRPr="002E0C7E" w:rsidRDefault="008112A9" w:rsidP="00206566">
            <w:pPr>
              <w:widowControl w:val="0"/>
              <w:jc w:val="center"/>
              <w:rPr>
                <w:rFonts w:ascii="Arial" w:hAnsi="Arial"/>
                <w:sz w:val="14"/>
              </w:rPr>
            </w:pPr>
            <w:r>
              <w:rPr>
                <w:rFonts w:ascii="Arial" w:hAnsi="Arial"/>
                <w:sz w:val="14"/>
              </w:rPr>
              <w:t>S</w:t>
            </w:r>
          </w:p>
        </w:tc>
      </w:tr>
      <w:tr w:rsidR="008112A9" w:rsidRPr="002E0C7E" w:rsidTr="00206566">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206566">
            <w:pPr>
              <w:widowControl w:val="0"/>
              <w:jc w:val="center"/>
              <w:rPr>
                <w:rFonts w:ascii="Arial" w:hAnsi="Arial"/>
                <w:b/>
                <w:sz w:val="14"/>
              </w:rPr>
            </w:pPr>
            <w:r>
              <w:rPr>
                <w:rFonts w:ascii="Arial" w:hAnsi="Arial"/>
                <w:b/>
                <w:sz w:val="14"/>
              </w:rPr>
              <w:t>H</w:t>
            </w:r>
          </w:p>
          <w:p w:rsidR="008112A9" w:rsidRPr="002E0C7E" w:rsidRDefault="008112A9" w:rsidP="00206566">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6</w:t>
            </w:r>
          </w:p>
        </w:tc>
      </w:tr>
      <w:tr w:rsidR="008112A9" w:rsidRPr="002E0C7E" w:rsidTr="0020656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206566">
            <w:pPr>
              <w:widowControl w:val="0"/>
              <w:jc w:val="center"/>
              <w:rPr>
                <w:rFonts w:ascii="Arial" w:hAnsi="Arial"/>
                <w:b/>
                <w:sz w:val="14"/>
              </w:rPr>
            </w:pPr>
            <w:r>
              <w:rPr>
                <w:rFonts w:ascii="Arial" w:hAnsi="Arial"/>
                <w:b/>
                <w:sz w:val="14"/>
              </w:rPr>
              <w:t>H</w:t>
            </w:r>
          </w:p>
          <w:p w:rsidR="008112A9" w:rsidRPr="002E0C7E" w:rsidRDefault="008112A9" w:rsidP="00206566">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206566">
            <w:pPr>
              <w:widowControl w:val="0"/>
              <w:jc w:val="center"/>
              <w:rPr>
                <w:rFonts w:ascii="Arial" w:hAnsi="Arial"/>
                <w:b/>
                <w:sz w:val="14"/>
              </w:rPr>
            </w:pPr>
            <w:r>
              <w:rPr>
                <w:rFonts w:ascii="Arial" w:hAnsi="Arial"/>
                <w:b/>
                <w:sz w:val="14"/>
              </w:rPr>
              <w:t>M</w:t>
            </w:r>
          </w:p>
          <w:p w:rsidR="008112A9" w:rsidRPr="002E0C7E" w:rsidRDefault="008112A9" w:rsidP="00206566">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13</w:t>
            </w:r>
          </w:p>
        </w:tc>
      </w:tr>
      <w:tr w:rsidR="008112A9" w:rsidRPr="002E0C7E" w:rsidTr="00206566">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206566">
            <w:pPr>
              <w:widowControl w:val="0"/>
              <w:jc w:val="center"/>
              <w:rPr>
                <w:rFonts w:ascii="Arial" w:hAnsi="Arial"/>
                <w:b/>
                <w:sz w:val="14"/>
              </w:rPr>
            </w:pPr>
            <w:r>
              <w:rPr>
                <w:rFonts w:ascii="Arial" w:hAnsi="Arial"/>
                <w:b/>
                <w:sz w:val="14"/>
              </w:rPr>
              <w:t>M</w:t>
            </w: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206566">
            <w:pPr>
              <w:widowControl w:val="0"/>
              <w:jc w:val="center"/>
              <w:rPr>
                <w:rFonts w:ascii="Arial" w:hAnsi="Arial"/>
                <w:b/>
                <w:sz w:val="14"/>
              </w:rPr>
            </w:pPr>
            <w:r w:rsidRPr="002453E3">
              <w:rPr>
                <w:rFonts w:ascii="Arial" w:hAnsi="Arial"/>
                <w:b/>
                <w:sz w:val="14"/>
              </w:rPr>
              <w:t>M</w:t>
            </w: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20</w:t>
            </w:r>
          </w:p>
        </w:tc>
      </w:tr>
      <w:tr w:rsidR="008112A9" w:rsidRPr="002E0C7E" w:rsidTr="00206566">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206566">
            <w:pPr>
              <w:widowControl w:val="0"/>
              <w:jc w:val="center"/>
              <w:rPr>
                <w:rFonts w:ascii="Arial" w:hAnsi="Arial"/>
                <w:b/>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206566">
            <w:pPr>
              <w:widowControl w:val="0"/>
              <w:jc w:val="center"/>
              <w:rPr>
                <w:rFonts w:ascii="Arial" w:hAnsi="Arial"/>
                <w:b/>
                <w:sz w:val="14"/>
              </w:rPr>
            </w:pPr>
            <w:r>
              <w:rPr>
                <w:rFonts w:ascii="Arial" w:hAnsi="Arial"/>
                <w:b/>
                <w:sz w:val="14"/>
              </w:rPr>
              <w:t>H</w:t>
            </w:r>
          </w:p>
          <w:p w:rsidR="008112A9" w:rsidRPr="002E0C7E" w:rsidRDefault="008112A9" w:rsidP="00206566">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206566">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206566">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206566">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06566">
            <w:pPr>
              <w:widowControl w:val="0"/>
              <w:jc w:val="center"/>
              <w:rPr>
                <w:rFonts w:ascii="Arial" w:hAnsi="Arial"/>
                <w:sz w:val="14"/>
              </w:rPr>
            </w:pPr>
          </w:p>
          <w:p w:rsidR="008112A9" w:rsidRPr="002E0C7E" w:rsidRDefault="008112A9" w:rsidP="00206566">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206566">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206566">
            <w:pPr>
              <w:widowControl w:val="0"/>
              <w:rPr>
                <w:rFonts w:ascii="Arial" w:hAnsi="Arial"/>
                <w:sz w:val="16"/>
              </w:rPr>
            </w:pPr>
            <w:r w:rsidRPr="002E0C7E">
              <w:rPr>
                <w:rFonts w:ascii="Arial" w:hAnsi="Arial"/>
                <w:sz w:val="16"/>
              </w:rPr>
              <w:t>Sittings of the court:</w:t>
            </w:r>
          </w:p>
          <w:p w:rsidR="008112A9" w:rsidRPr="002E0C7E" w:rsidRDefault="008112A9" w:rsidP="0020656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206566">
            <w:pPr>
              <w:widowControl w:val="0"/>
              <w:rPr>
                <w:rFonts w:ascii="Arial" w:hAnsi="Arial"/>
                <w:sz w:val="16"/>
              </w:rPr>
            </w:pPr>
          </w:p>
          <w:p w:rsidR="008112A9" w:rsidRPr="002E0C7E" w:rsidRDefault="008112A9" w:rsidP="0020656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20656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20656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206566">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2065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18"/>
      <w:footerReference w:type="default" r:id="rId11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A7" w:rsidRDefault="00EC49A7" w:rsidP="00A87207">
      <w:r>
        <w:separator/>
      </w:r>
    </w:p>
  </w:endnote>
  <w:endnote w:type="continuationSeparator" w:id="0">
    <w:p w:rsidR="00EC49A7" w:rsidRDefault="00EC49A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pPr>
      <w:pStyle w:val="Footer"/>
      <w:rPr>
        <w:lang w:val="fr-CA"/>
      </w:rPr>
    </w:pPr>
    <w:r>
      <w:rPr>
        <w:lang w:val="fr-CA"/>
      </w:rPr>
      <w:pict>
        <v:rect id="_x0000_i1067" style="width:480.95pt;height:1pt" o:hralign="center" o:hrstd="t" o:hrnoshade="t" o:hr="t" fillcolor="black [3213]" stroked="f"/>
      </w:pict>
    </w:r>
  </w:p>
  <w:p w:rsidR="00EC49A7" w:rsidRDefault="00EC49A7" w:rsidP="00245129">
    <w:pPr>
      <w:tabs>
        <w:tab w:val="center" w:pos="4680"/>
      </w:tabs>
    </w:pPr>
    <w:r>
      <w:tab/>
    </w:r>
    <w:r w:rsidRPr="0009648D">
      <w:t xml:space="preserve">- </w:t>
    </w:r>
    <w:r w:rsidR="0075009A">
      <w:fldChar w:fldCharType="begin"/>
    </w:r>
    <w:r w:rsidR="0075009A">
      <w:instrText xml:space="preserve"> PAGE   \* MERGEFORMAT </w:instrText>
    </w:r>
    <w:r w:rsidR="0075009A">
      <w:fldChar w:fldCharType="separate"/>
    </w:r>
    <w:r w:rsidR="00173D9D">
      <w:rPr>
        <w:noProof/>
      </w:rPr>
      <w:t>523</w:t>
    </w:r>
    <w:r w:rsidR="0075009A">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49A7" w:rsidRDefault="00EC49A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755F22">
    <w:pPr>
      <w:tabs>
        <w:tab w:val="left" w:pos="-1440"/>
        <w:tab w:val="left" w:pos="-720"/>
      </w:tabs>
    </w:pPr>
    <w:r>
      <w:pict>
        <v:rect id="_x0000_i1071" style="width:480.95pt;height:1pt" o:hralign="center" o:hrstd="t" o:hrnoshade="t" o:hr="t" fillcolor="black [3213]" stroked="f"/>
      </w:pict>
    </w:r>
  </w:p>
  <w:p w:rsidR="00EC49A7" w:rsidRDefault="00EC49A7" w:rsidP="00EB2B90">
    <w:pPr>
      <w:tabs>
        <w:tab w:val="center" w:pos="4680"/>
      </w:tabs>
    </w:pPr>
    <w:r>
      <w:tab/>
      <w:t xml:space="preserve">- </w:t>
    </w:r>
    <w:r w:rsidR="0075009A">
      <w:fldChar w:fldCharType="begin"/>
    </w:r>
    <w:r w:rsidR="0075009A">
      <w:instrText xml:space="preserve"> PAGE   \* MERGEFORMAT </w:instrText>
    </w:r>
    <w:r w:rsidR="0075009A">
      <w:fldChar w:fldCharType="separate"/>
    </w:r>
    <w:r w:rsidR="00173D9D">
      <w:rPr>
        <w:noProof/>
      </w:rPr>
      <w:t>555</w:t>
    </w:r>
    <w:r w:rsidR="0075009A">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EB2B90">
    <w:pPr>
      <w:tabs>
        <w:tab w:val="center" w:pos="4680"/>
      </w:tabs>
    </w:pPr>
    <w:r>
      <w:pict>
        <v:rect id="_x0000_i1072" style="width:480.95pt;height:1pt" o:hralign="center" o:hrstd="t" o:hrnoshade="t" o:hr="t" fillcolor="black [3213]" stroked="f"/>
      </w:pict>
    </w:r>
  </w:p>
  <w:p w:rsidR="00EC49A7" w:rsidRPr="0031432F" w:rsidRDefault="00EC49A7" w:rsidP="00EB2B90">
    <w:pPr>
      <w:tabs>
        <w:tab w:val="center" w:pos="4680"/>
      </w:tabs>
    </w:pPr>
    <w:r>
      <w:tab/>
      <w:t xml:space="preserve">- </w:t>
    </w:r>
    <w:r w:rsidR="0075009A">
      <w:fldChar w:fldCharType="begin"/>
    </w:r>
    <w:r w:rsidR="0075009A">
      <w:instrText xml:space="preserve"> PAGE   \* MERGEFORMAT </w:instrText>
    </w:r>
    <w:r w:rsidR="0075009A">
      <w:fldChar w:fldCharType="separate"/>
    </w:r>
    <w:r w:rsidR="00173D9D">
      <w:rPr>
        <w:noProof/>
      </w:rPr>
      <w:t>550</w:t>
    </w:r>
    <w:r w:rsidR="0075009A">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49A7" w:rsidRDefault="00EC49A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EC49A7" w:rsidRDefault="00EC49A7" w:rsidP="00EB2B90">
    <w:pPr>
      <w:tabs>
        <w:tab w:val="center" w:pos="4680"/>
      </w:tabs>
    </w:pPr>
    <w:r>
      <w:tab/>
      <w:t xml:space="preserve">- </w:t>
    </w:r>
    <w:r w:rsidR="0075009A">
      <w:fldChar w:fldCharType="begin"/>
    </w:r>
    <w:r w:rsidR="0075009A">
      <w:instrText xml:space="preserve"> PAGE   \* MERGEFORMAT </w:instrText>
    </w:r>
    <w:r w:rsidR="0075009A">
      <w:fldChar w:fldCharType="separate"/>
    </w:r>
    <w:r>
      <w:rPr>
        <w:noProof/>
      </w:rPr>
      <w:t>524</w:t>
    </w:r>
    <w:r w:rsidR="0075009A">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pPr>
      <w:pStyle w:val="Footer"/>
      <w:rPr>
        <w:lang w:val="fr-CA"/>
      </w:rPr>
    </w:pPr>
    <w:r>
      <w:rPr>
        <w:lang w:val="fr-CA"/>
      </w:rPr>
      <w:pict>
        <v:rect id="_x0000_i1078" style="width:480.95pt;height:1pt" o:hralign="center" o:hrstd="t" o:hrnoshade="t" o:hr="t" fillcolor="black [3213]" stroked="f"/>
      </w:pict>
    </w:r>
  </w:p>
  <w:p w:rsidR="00EC49A7" w:rsidRDefault="00EC49A7" w:rsidP="00EB2B90">
    <w:pPr>
      <w:tabs>
        <w:tab w:val="center" w:pos="4680"/>
      </w:tabs>
    </w:pPr>
    <w:r>
      <w:tab/>
      <w:t xml:space="preserve">- </w:t>
    </w:r>
    <w:r w:rsidR="0075009A">
      <w:fldChar w:fldCharType="begin"/>
    </w:r>
    <w:r w:rsidR="0075009A">
      <w:instrText xml:space="preserve"> PAGE   \* MERGEFORMAT </w:instrText>
    </w:r>
    <w:r w:rsidR="0075009A">
      <w:fldChar w:fldCharType="separate"/>
    </w:r>
    <w:r w:rsidR="00173D9D">
      <w:rPr>
        <w:noProof/>
      </w:rPr>
      <w:t>556</w:t>
    </w:r>
    <w:r w:rsidR="0075009A">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49A7" w:rsidRDefault="00EC49A7">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732DB7">
    <w:r>
      <w:pict>
        <v:rect id="_x0000_i1081" style="width:480.95pt;height:1pt" o:hralign="center" o:hrstd="t" o:hrnoshade="t" o:hr="t" fillcolor="black" stroked="f"/>
      </w:pict>
    </w:r>
  </w:p>
  <w:p w:rsidR="00EC49A7" w:rsidRDefault="00EC49A7">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pPr>
      <w:pStyle w:val="Footer"/>
    </w:pPr>
    <w:r>
      <w:pict>
        <v:rect id="_x0000_i1082" style="width:480.95pt;height:1pt" o:hralign="center" o:hrstd="t" o:hrnoshade="t" o:hr="t" fillcolor="black" stroked="f"/>
      </w:pict>
    </w:r>
  </w:p>
  <w:p w:rsidR="00EC49A7" w:rsidRPr="00283C52" w:rsidRDefault="00EC49A7">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49A7" w:rsidRDefault="00EC49A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732DB7">
    <w:r>
      <w:pict>
        <v:rect id="_x0000_i1084" style="width:480.95pt;height:1pt" o:hralign="center" o:hrstd="t" o:hrnoshade="t" o:hr="t" fillcolor="black" stroked="f"/>
      </w:pict>
    </w:r>
  </w:p>
  <w:p w:rsidR="00EC49A7" w:rsidRDefault="00EC49A7">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pPr>
      <w:pStyle w:val="Footer"/>
    </w:pPr>
    <w:r>
      <w:pict>
        <v:rect id="_x0000_i1085" style="width:480.95pt;height:1pt" o:hralign="center" o:hrstd="t" o:hrnoshade="t" o:hr="t" fillcolor="black [3213]" stroked="f"/>
      </w:pict>
    </w:r>
  </w:p>
  <w:p w:rsidR="00EC49A7" w:rsidRPr="003C2C0F" w:rsidRDefault="00EC49A7" w:rsidP="00697C62">
    <w:pPr>
      <w:tabs>
        <w:tab w:val="center" w:pos="4680"/>
      </w:tabs>
    </w:pPr>
    <w:r>
      <w:tab/>
      <w:t xml:space="preserve">- </w:t>
    </w:r>
    <w:r w:rsidR="0075009A">
      <w:fldChar w:fldCharType="begin"/>
    </w:r>
    <w:r w:rsidR="0075009A">
      <w:instrText xml:space="preserve"> PAGE   \* MERGEFORMAT </w:instrText>
    </w:r>
    <w:r w:rsidR="0075009A">
      <w:fldChar w:fldCharType="separate"/>
    </w:r>
    <w:r w:rsidR="00173D9D">
      <w:rPr>
        <w:noProof/>
      </w:rPr>
      <w:t>560</w:t>
    </w:r>
    <w:r w:rsidR="0075009A">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49A7" w:rsidRDefault="00EC49A7">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C49A7" w:rsidRDefault="00173D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8" style="width:480.95pt;height:1pt" o:hralign="center" o:hrstd="t" o:hrnoshade="t" o:hr="t" fillcolor="black [3213]" stroked="f"/>
      </w:pict>
    </w:r>
  </w:p>
  <w:p w:rsidR="00EC49A7" w:rsidRDefault="00EC49A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73D9D">
      <w:rPr>
        <w:noProof/>
        <w:szCs w:val="24"/>
      </w:rPr>
      <w:t>562</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782AE4">
    <w:pPr>
      <w:tabs>
        <w:tab w:val="center" w:pos="4680"/>
      </w:tabs>
    </w:pPr>
    <w:r>
      <w:pict>
        <v:rect id="_x0000_i1089" style="width:480.95pt;height:1pt" o:hralign="center" o:hrstd="t" o:hrnoshade="t" o:hr="t" fillcolor="black [3213]" stroked="f"/>
      </w:pict>
    </w:r>
  </w:p>
  <w:p w:rsidR="00EC49A7" w:rsidRDefault="00EC49A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73D9D">
      <w:rPr>
        <w:noProof/>
        <w:szCs w:val="24"/>
      </w:rPr>
      <w:t>561</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
      <w:rPr>
        <w:lang w:val="fr-CA"/>
      </w:rPr>
      <w:pict>
        <v:rect id="_x0000_i1094" style="width:480.95pt;height:1pt" o:hralign="center" o:hrstd="t" o:hrnoshade="t" o:hr="t" fillcolor="black [3213]" stroked="f"/>
      </w:pict>
    </w:r>
  </w:p>
  <w:p w:rsidR="00EC49A7" w:rsidRDefault="00EC49A7" w:rsidP="006B6926">
    <w:pPr>
      <w:tabs>
        <w:tab w:val="center" w:pos="4680"/>
      </w:tabs>
    </w:pPr>
    <w:r>
      <w:tab/>
      <w:t xml:space="preserve">- </w:t>
    </w:r>
    <w:r w:rsidR="0075009A">
      <w:fldChar w:fldCharType="begin"/>
    </w:r>
    <w:r w:rsidR="0075009A">
      <w:instrText xml:space="preserve">PAGE </w:instrText>
    </w:r>
    <w:r w:rsidR="0075009A">
      <w:fldChar w:fldCharType="separate"/>
    </w:r>
    <w:r w:rsidR="0075009A">
      <w:rPr>
        <w:noProof/>
      </w:rPr>
      <w:t>575</w:t>
    </w:r>
    <w:r w:rsidR="0075009A">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6B6926">
    <w:pPr>
      <w:tabs>
        <w:tab w:val="center" w:pos="4680"/>
      </w:tabs>
      <w:rPr>
        <w:lang w:val="fr-CA"/>
      </w:rPr>
    </w:pPr>
    <w:r>
      <w:rPr>
        <w:lang w:val="fr-CA"/>
      </w:rPr>
      <w:pict>
        <v:rect id="_x0000_i1095" style="width:480.95pt;height:1pt" o:hralign="center" o:hrstd="t" o:hrnoshade="t" o:hr="t" fillcolor="black [3213]" stroked="f"/>
      </w:pict>
    </w:r>
  </w:p>
  <w:p w:rsidR="00EC49A7" w:rsidRDefault="00EC49A7" w:rsidP="006B6926">
    <w:pPr>
      <w:tabs>
        <w:tab w:val="center" w:pos="4680"/>
      </w:tabs>
    </w:pPr>
    <w:r>
      <w:tab/>
      <w:t xml:space="preserve">- </w:t>
    </w:r>
    <w:r w:rsidR="0075009A">
      <w:fldChar w:fldCharType="begin"/>
    </w:r>
    <w:r w:rsidR="0075009A">
      <w:instrText xml:space="preserve">PAGE </w:instrText>
    </w:r>
    <w:r w:rsidR="0075009A">
      <w:fldChar w:fldCharType="separate"/>
    </w:r>
    <w:r w:rsidR="0075009A">
      <w:rPr>
        <w:noProof/>
      </w:rPr>
      <w:t>574</w:t>
    </w:r>
    <w:r w:rsidR="0075009A">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Pr="00924065" w:rsidRDefault="00EC49A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A87207">
    <w:pPr>
      <w:pStyle w:val="Footer"/>
    </w:pPr>
    <w:r>
      <w:pict>
        <v:rect id="_x0000_i1033" style="width:480.95pt;height:1pt" o:hralign="center" o:hrstd="t" o:hrnoshade="t" o:hr="t" fillcolor="black [3213]" stroked="f"/>
      </w:pict>
    </w:r>
  </w:p>
  <w:p w:rsidR="00EC49A7" w:rsidRPr="00B7374B" w:rsidRDefault="00EC49A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522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755F22">
    <w:pPr>
      <w:tabs>
        <w:tab w:val="left" w:pos="-1440"/>
        <w:tab w:val="left" w:pos="-720"/>
      </w:tabs>
    </w:pPr>
    <w:r>
      <w:pict>
        <v:rect id="_x0000_i1034" style="width:480.95pt;height:1pt" o:hralign="center" o:hrstd="t" o:hrnoshade="t" o:hr="t" fillcolor="black [3213]" stroked="f"/>
      </w:pict>
    </w:r>
  </w:p>
  <w:p w:rsidR="00EC49A7" w:rsidRPr="00954D22" w:rsidRDefault="00EC49A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73D9D">
      <w:rPr>
        <w:noProof/>
        <w:szCs w:val="24"/>
      </w:rPr>
      <w:t>521</w:t>
    </w:r>
    <w:r>
      <w:rPr>
        <w:szCs w:val="24"/>
      </w:rPr>
      <w:fldChar w:fldCharType="end"/>
    </w:r>
    <w:r w:rsidRPr="00954D22">
      <w:rPr>
        <w:szCs w:val="24"/>
      </w:rPr>
      <w:t xml:space="preserve"> -</w:t>
    </w:r>
  </w:p>
  <w:p w:rsidR="00EC49A7" w:rsidRDefault="00EC49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A87207">
    <w:pPr>
      <w:pStyle w:val="Footer"/>
    </w:pPr>
    <w:r>
      <w:pict>
        <v:rect id="_x0000_i1036" style="width:480.95pt;height:1pt" o:hralign="center" o:hrstd="t" o:hrnoshade="t" o:hr="t" fillcolor="black [3213]" stroked="f"/>
      </w:pict>
    </w:r>
  </w:p>
  <w:p w:rsidR="00EC49A7" w:rsidRPr="00B7374B" w:rsidRDefault="00EC49A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523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EC49A7" w:rsidRPr="00954D22" w:rsidRDefault="00EC49A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73D9D">
      <w:rPr>
        <w:noProof/>
        <w:szCs w:val="24"/>
      </w:rPr>
      <w:t>522</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C49A7" w:rsidRDefault="00EC49A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173D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EC49A7" w:rsidRPr="0009648D" w:rsidRDefault="00EC49A7" w:rsidP="00ED7E83">
    <w:pPr>
      <w:tabs>
        <w:tab w:val="center" w:pos="4680"/>
      </w:tabs>
    </w:pPr>
    <w:r>
      <w:tab/>
    </w:r>
    <w:r w:rsidRPr="0009648D">
      <w:t xml:space="preserve">- </w:t>
    </w:r>
    <w:r w:rsidR="0075009A">
      <w:fldChar w:fldCharType="begin"/>
    </w:r>
    <w:r w:rsidR="0075009A">
      <w:instrText xml:space="preserve"> PAGE   \* MERGEFORMAT </w:instrText>
    </w:r>
    <w:r w:rsidR="0075009A">
      <w:fldChar w:fldCharType="separate"/>
    </w:r>
    <w:r w:rsidR="00173D9D">
      <w:rPr>
        <w:noProof/>
      </w:rPr>
      <w:t>539</w:t>
    </w:r>
    <w:r w:rsidR="0075009A">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A7" w:rsidRDefault="00EC49A7" w:rsidP="00A87207">
      <w:r>
        <w:separator/>
      </w:r>
    </w:p>
  </w:footnote>
  <w:footnote w:type="continuationSeparator" w:id="0">
    <w:p w:rsidR="00EC49A7" w:rsidRDefault="00EC49A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C49A7">
      <w:tc>
        <w:tcPr>
          <w:tcW w:w="423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C49A7"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49A7"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C49A7">
      <w:trPr>
        <w:gridAfter w:val="2"/>
        <w:wAfter w:w="5250" w:type="dxa"/>
      </w:trPr>
      <w:tc>
        <w:tcPr>
          <w:tcW w:w="4230" w:type="dxa"/>
          <w:tcMar>
            <w:left w:w="0" w:type="dxa"/>
            <w:right w:w="0" w:type="dxa"/>
          </w:tcMar>
        </w:tcPr>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C49A7" w:rsidRPr="00755F22" w:rsidTr="00245129">
      <w:tc>
        <w:tcPr>
          <w:tcW w:w="4230" w:type="dxa"/>
          <w:tcMar>
            <w:left w:w="0" w:type="dxa"/>
            <w:right w:w="0" w:type="dxa"/>
          </w:tcMar>
        </w:tcPr>
        <w:p w:rsidR="00EC49A7" w:rsidRPr="00755F22" w:rsidRDefault="00EC49A7" w:rsidP="00831CA9">
          <w:pPr>
            <w:keepNext/>
            <w:keepLines/>
            <w:rPr>
              <w:sz w:val="20"/>
              <w:szCs w:val="20"/>
            </w:rPr>
          </w:pPr>
          <w:r w:rsidRPr="00755F22">
            <w:rPr>
              <w:sz w:val="20"/>
              <w:szCs w:val="20"/>
            </w:rPr>
            <w:t>MOTIONS</w:t>
          </w:r>
        </w:p>
      </w:tc>
      <w:tc>
        <w:tcPr>
          <w:tcW w:w="1170" w:type="dxa"/>
          <w:tcMar>
            <w:left w:w="0" w:type="dxa"/>
            <w:right w:w="0" w:type="dxa"/>
          </w:tcMar>
        </w:tcPr>
        <w:p w:rsidR="00EC49A7" w:rsidRPr="00755F22" w:rsidRDefault="00EC49A7" w:rsidP="00831CA9">
          <w:pPr>
            <w:keepLines/>
            <w:jc w:val="center"/>
            <w:rPr>
              <w:sz w:val="20"/>
              <w:szCs w:val="20"/>
            </w:rPr>
          </w:pPr>
        </w:p>
        <w:p w:rsidR="00EC49A7" w:rsidRPr="00755F22" w:rsidRDefault="00EC49A7" w:rsidP="00831CA9">
          <w:pPr>
            <w:keepLines/>
            <w:tabs>
              <w:tab w:val="left" w:pos="-1440"/>
              <w:tab w:val="left" w:pos="-720"/>
            </w:tabs>
            <w:jc w:val="center"/>
            <w:rPr>
              <w:sz w:val="20"/>
              <w:szCs w:val="20"/>
            </w:rPr>
          </w:pPr>
        </w:p>
      </w:tc>
      <w:tc>
        <w:tcPr>
          <w:tcW w:w="4080" w:type="dxa"/>
          <w:tcMar>
            <w:left w:w="0" w:type="dxa"/>
            <w:right w:w="0" w:type="dxa"/>
          </w:tcMar>
        </w:tcPr>
        <w:p w:rsidR="00EC49A7" w:rsidRPr="00BA6468" w:rsidRDefault="00EC49A7" w:rsidP="00BA6468">
          <w:pPr>
            <w:keepLines/>
            <w:rPr>
              <w:sz w:val="20"/>
              <w:szCs w:val="20"/>
              <w:lang w:val="fr-CA"/>
            </w:rPr>
          </w:pPr>
          <w:r w:rsidRPr="00BA6468">
            <w:rPr>
              <w:sz w:val="20"/>
              <w:szCs w:val="20"/>
              <w:lang w:val="fr-CA"/>
            </w:rPr>
            <w:t>REQUÊTES</w:t>
          </w:r>
        </w:p>
      </w:tc>
    </w:tr>
  </w:tbl>
  <w:p w:rsidR="00EC49A7" w:rsidRDefault="00EC49A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tc>
        <w:tcPr>
          <w:tcW w:w="420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49A7" w:rsidRPr="00B01A03"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C49A7" w:rsidRPr="00B01A03"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C49A7" w:rsidRPr="00B01A03"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C49A7" w:rsidRPr="00EC49A7" w:rsidTr="00245129">
      <w:tc>
        <w:tcPr>
          <w:tcW w:w="4200" w:type="dxa"/>
          <w:tcMar>
            <w:left w:w="0" w:type="dxa"/>
            <w:right w:w="0" w:type="dxa"/>
          </w:tcMar>
        </w:tcPr>
        <w:p w:rsidR="00EC49A7" w:rsidRPr="00F40249" w:rsidRDefault="00EC49A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C49A7" w:rsidRDefault="00EC49A7" w:rsidP="00102926">
          <w:pPr>
            <w:keepNext/>
            <w:keepLines/>
            <w:tabs>
              <w:tab w:val="left" w:pos="-1440"/>
              <w:tab w:val="left" w:pos="-720"/>
            </w:tabs>
            <w:jc w:val="center"/>
            <w:rPr>
              <w:sz w:val="20"/>
              <w:szCs w:val="20"/>
            </w:rPr>
          </w:pPr>
        </w:p>
        <w:p w:rsidR="00EC49A7" w:rsidRDefault="00EC49A7" w:rsidP="00102926">
          <w:pPr>
            <w:keepNext/>
            <w:keepLines/>
            <w:tabs>
              <w:tab w:val="left" w:pos="-1440"/>
              <w:tab w:val="left" w:pos="-720"/>
            </w:tabs>
            <w:jc w:val="center"/>
            <w:rPr>
              <w:sz w:val="20"/>
              <w:szCs w:val="20"/>
            </w:rPr>
          </w:pPr>
        </w:p>
        <w:p w:rsidR="00EC49A7" w:rsidRPr="00F40249" w:rsidRDefault="00EC49A7" w:rsidP="00102926">
          <w:pPr>
            <w:keepNext/>
            <w:keepLines/>
            <w:tabs>
              <w:tab w:val="left" w:pos="-1440"/>
              <w:tab w:val="left" w:pos="-720"/>
            </w:tabs>
            <w:jc w:val="center"/>
            <w:rPr>
              <w:sz w:val="20"/>
              <w:szCs w:val="20"/>
            </w:rPr>
          </w:pPr>
        </w:p>
      </w:tc>
      <w:tc>
        <w:tcPr>
          <w:tcW w:w="4230" w:type="dxa"/>
          <w:tcMar>
            <w:left w:w="0" w:type="dxa"/>
            <w:right w:w="0" w:type="dxa"/>
          </w:tcMar>
        </w:tcPr>
        <w:p w:rsidR="00EC49A7" w:rsidRPr="00F40249" w:rsidRDefault="00EC49A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C49A7" w:rsidRPr="00B01A03" w:rsidRDefault="00EC49A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tc>
        <w:tcPr>
          <w:tcW w:w="420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49A7" w:rsidRPr="00283C52"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C49A7" w:rsidRPr="00283C52"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C49A7" w:rsidRPr="00283C52"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rsidTr="00245129">
      <w:tc>
        <w:tcPr>
          <w:tcW w:w="4200" w:type="dxa"/>
          <w:tcMar>
            <w:left w:w="0" w:type="dxa"/>
            <w:right w:w="0" w:type="dxa"/>
          </w:tcMar>
        </w:tcPr>
        <w:p w:rsidR="00EC49A7" w:rsidRPr="00732DB7" w:rsidRDefault="00EC49A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EC49A7" w:rsidRPr="00732DB7" w:rsidRDefault="00EC49A7" w:rsidP="00732DB7">
          <w:pPr>
            <w:keepNext/>
            <w:keepLines/>
            <w:tabs>
              <w:tab w:val="left" w:pos="-1440"/>
              <w:tab w:val="left" w:pos="-720"/>
            </w:tabs>
            <w:jc w:val="center"/>
            <w:rPr>
              <w:sz w:val="20"/>
              <w:szCs w:val="20"/>
            </w:rPr>
          </w:pPr>
        </w:p>
        <w:p w:rsidR="00EC49A7" w:rsidRPr="00732DB7" w:rsidRDefault="00EC49A7" w:rsidP="00732DB7">
          <w:pPr>
            <w:keepNext/>
            <w:keepLines/>
            <w:tabs>
              <w:tab w:val="left" w:pos="-1440"/>
              <w:tab w:val="left" w:pos="-720"/>
            </w:tabs>
            <w:jc w:val="center"/>
            <w:rPr>
              <w:sz w:val="20"/>
              <w:szCs w:val="20"/>
            </w:rPr>
          </w:pPr>
        </w:p>
        <w:p w:rsidR="00EC49A7" w:rsidRPr="00732DB7" w:rsidRDefault="00EC49A7" w:rsidP="00732DB7">
          <w:pPr>
            <w:keepNext/>
            <w:keepLines/>
            <w:tabs>
              <w:tab w:val="left" w:pos="-1440"/>
              <w:tab w:val="left" w:pos="-720"/>
            </w:tabs>
            <w:jc w:val="center"/>
            <w:rPr>
              <w:sz w:val="20"/>
              <w:szCs w:val="20"/>
            </w:rPr>
          </w:pPr>
        </w:p>
      </w:tc>
      <w:tc>
        <w:tcPr>
          <w:tcW w:w="4080" w:type="dxa"/>
          <w:tcMar>
            <w:left w:w="0" w:type="dxa"/>
            <w:right w:w="0" w:type="dxa"/>
          </w:tcMar>
        </w:tcPr>
        <w:p w:rsidR="00EC49A7" w:rsidRPr="00732DB7" w:rsidRDefault="00EC49A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C49A7" w:rsidRPr="00283C52" w:rsidRDefault="00EC49A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tc>
        <w:tcPr>
          <w:tcW w:w="420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C49A7" w:rsidRPr="003C2C0F"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C49A7" w:rsidRPr="003C2C0F"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C49A7" w:rsidRPr="003C2C0F"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rsidTr="00245129">
      <w:tc>
        <w:tcPr>
          <w:tcW w:w="4200" w:type="dxa"/>
          <w:tcMar>
            <w:left w:w="0" w:type="dxa"/>
            <w:right w:w="0" w:type="dxa"/>
          </w:tcMar>
        </w:tcPr>
        <w:p w:rsidR="00EC49A7" w:rsidRPr="00FF6EEC" w:rsidRDefault="00EC49A7" w:rsidP="00FF6EEC">
          <w:pPr>
            <w:rPr>
              <w:sz w:val="20"/>
              <w:szCs w:val="20"/>
            </w:rPr>
          </w:pPr>
          <w:r w:rsidRPr="00FF6EEC">
            <w:rPr>
              <w:sz w:val="20"/>
              <w:szCs w:val="20"/>
            </w:rPr>
            <w:t>PRONOUNCEMENTS OF APPEALS RESERVED</w:t>
          </w:r>
        </w:p>
      </w:tc>
      <w:tc>
        <w:tcPr>
          <w:tcW w:w="1200" w:type="dxa"/>
          <w:tcMar>
            <w:left w:w="0" w:type="dxa"/>
            <w:right w:w="0" w:type="dxa"/>
          </w:tcMar>
        </w:tcPr>
        <w:p w:rsidR="00EC49A7" w:rsidRPr="00FF6EEC" w:rsidRDefault="00EC49A7" w:rsidP="00FF6EEC">
          <w:pPr>
            <w:jc w:val="center"/>
            <w:rPr>
              <w:sz w:val="20"/>
              <w:szCs w:val="20"/>
            </w:rPr>
          </w:pPr>
        </w:p>
        <w:p w:rsidR="00EC49A7" w:rsidRPr="00FF6EEC" w:rsidRDefault="00EC49A7" w:rsidP="00FF6EEC">
          <w:pPr>
            <w:jc w:val="center"/>
            <w:rPr>
              <w:sz w:val="20"/>
              <w:szCs w:val="20"/>
            </w:rPr>
          </w:pPr>
        </w:p>
        <w:p w:rsidR="00EC49A7" w:rsidRPr="00FF6EEC" w:rsidRDefault="00EC49A7" w:rsidP="00FF6EEC">
          <w:pPr>
            <w:jc w:val="center"/>
            <w:rPr>
              <w:sz w:val="20"/>
              <w:szCs w:val="20"/>
            </w:rPr>
          </w:pPr>
        </w:p>
      </w:tc>
      <w:tc>
        <w:tcPr>
          <w:tcW w:w="4080" w:type="dxa"/>
          <w:tcMar>
            <w:left w:w="0" w:type="dxa"/>
            <w:right w:w="0" w:type="dxa"/>
          </w:tcMar>
        </w:tcPr>
        <w:p w:rsidR="00EC49A7" w:rsidRPr="00FF6EEC" w:rsidRDefault="00EC49A7" w:rsidP="00FF6EEC">
          <w:pPr>
            <w:rPr>
              <w:sz w:val="20"/>
              <w:szCs w:val="20"/>
              <w:lang w:val="fr-CA"/>
            </w:rPr>
          </w:pPr>
          <w:r w:rsidRPr="00FF6EEC">
            <w:rPr>
              <w:sz w:val="20"/>
              <w:szCs w:val="20"/>
              <w:lang w:val="fr-CA"/>
            </w:rPr>
            <w:t>JUGEMENTS RENDUS SUR LES APPELS EN DÉLIBÉRÉ</w:t>
          </w:r>
        </w:p>
      </w:tc>
    </w:tr>
  </w:tbl>
  <w:p w:rsidR="00EC49A7" w:rsidRPr="003C2C0F" w:rsidRDefault="00EC49A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C49A7">
      <w:tc>
        <w:tcPr>
          <w:tcW w:w="423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C49A7"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C49A7"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C49A7" w:rsidRPr="00782AE4" w:rsidTr="00245129">
      <w:tc>
        <w:tcPr>
          <w:tcW w:w="4230" w:type="dxa"/>
          <w:tcMar>
            <w:left w:w="0" w:type="dxa"/>
            <w:right w:w="0" w:type="dxa"/>
          </w:tcMar>
        </w:tcPr>
        <w:p w:rsidR="00EC49A7" w:rsidRPr="00782AE4" w:rsidRDefault="00EC49A7" w:rsidP="00102926">
          <w:pPr>
            <w:keepNext/>
            <w:keepLines/>
            <w:tabs>
              <w:tab w:val="left" w:pos="-1440"/>
              <w:tab w:val="left" w:pos="-720"/>
            </w:tabs>
            <w:rPr>
              <w:sz w:val="20"/>
              <w:szCs w:val="20"/>
            </w:rPr>
          </w:pPr>
          <w:r w:rsidRPr="00782AE4">
            <w:rPr>
              <w:sz w:val="20"/>
              <w:szCs w:val="20"/>
            </w:rPr>
            <w:t xml:space="preserve">HEADNOTES OF RECENT </w:t>
          </w:r>
        </w:p>
        <w:p w:rsidR="00EC49A7" w:rsidRPr="00782AE4"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C49A7" w:rsidRDefault="00EC49A7" w:rsidP="00102926">
          <w:pPr>
            <w:keepNext/>
            <w:keepLines/>
            <w:tabs>
              <w:tab w:val="left" w:pos="-1440"/>
              <w:tab w:val="left" w:pos="-720"/>
            </w:tabs>
            <w:jc w:val="center"/>
            <w:rPr>
              <w:sz w:val="20"/>
              <w:szCs w:val="20"/>
            </w:rPr>
          </w:pPr>
        </w:p>
        <w:p w:rsidR="00EC49A7" w:rsidRDefault="00EC49A7" w:rsidP="00102926">
          <w:pPr>
            <w:keepNext/>
            <w:keepLines/>
            <w:tabs>
              <w:tab w:val="left" w:pos="-1440"/>
              <w:tab w:val="left" w:pos="-720"/>
            </w:tabs>
            <w:jc w:val="center"/>
            <w:rPr>
              <w:sz w:val="20"/>
              <w:szCs w:val="20"/>
            </w:rPr>
          </w:pPr>
        </w:p>
        <w:p w:rsidR="00EC49A7" w:rsidRPr="00782AE4" w:rsidRDefault="00EC49A7" w:rsidP="00102926">
          <w:pPr>
            <w:keepNext/>
            <w:keepLines/>
            <w:tabs>
              <w:tab w:val="left" w:pos="-1440"/>
              <w:tab w:val="left" w:pos="-720"/>
            </w:tabs>
            <w:jc w:val="center"/>
            <w:rPr>
              <w:sz w:val="20"/>
              <w:szCs w:val="20"/>
            </w:rPr>
          </w:pPr>
        </w:p>
      </w:tc>
      <w:tc>
        <w:tcPr>
          <w:tcW w:w="4080" w:type="dxa"/>
          <w:tcMar>
            <w:left w:w="0" w:type="dxa"/>
            <w:right w:w="0" w:type="dxa"/>
          </w:tcMar>
        </w:tcPr>
        <w:p w:rsidR="00EC49A7" w:rsidRPr="00102926"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C49A7" w:rsidRPr="00782AE4" w:rsidRDefault="00EC49A7" w:rsidP="00102926">
          <w:pPr>
            <w:keepLines/>
            <w:tabs>
              <w:tab w:val="left" w:pos="-1440"/>
              <w:tab w:val="left" w:pos="-720"/>
            </w:tabs>
            <w:rPr>
              <w:sz w:val="20"/>
              <w:szCs w:val="20"/>
            </w:rPr>
          </w:pPr>
          <w:r w:rsidRPr="00102926">
            <w:rPr>
              <w:sz w:val="20"/>
              <w:szCs w:val="20"/>
              <w:lang w:val="fr-CA"/>
            </w:rPr>
            <w:t>RÉCENTS</w:t>
          </w:r>
        </w:p>
      </w:tc>
    </w:tr>
  </w:tbl>
  <w:p w:rsidR="00EC49A7" w:rsidRDefault="00EC49A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EC49A7" w:rsidRPr="00EC49A7" w:rsidTr="00245129">
      <w:tc>
        <w:tcPr>
          <w:tcW w:w="4320" w:type="dxa"/>
        </w:tcPr>
        <w:p w:rsidR="00EC49A7" w:rsidRPr="006B6926" w:rsidRDefault="00EC49A7" w:rsidP="006B6926">
          <w:pPr>
            <w:keepNext/>
            <w:keepLines/>
            <w:rPr>
              <w:bCs/>
              <w:sz w:val="20"/>
              <w:szCs w:val="20"/>
              <w:lang w:val="en-GB"/>
            </w:rPr>
          </w:pPr>
          <w:r w:rsidRPr="006B6926">
            <w:rPr>
              <w:bCs/>
              <w:sz w:val="20"/>
              <w:szCs w:val="20"/>
              <w:lang w:val="en-GB"/>
            </w:rPr>
            <w:t>SUPREME COURT REPORTS</w:t>
          </w:r>
        </w:p>
      </w:tc>
      <w:tc>
        <w:tcPr>
          <w:tcW w:w="840" w:type="dxa"/>
        </w:tcPr>
        <w:p w:rsidR="00EC49A7" w:rsidRDefault="00EC49A7" w:rsidP="006B6926">
          <w:pPr>
            <w:jc w:val="center"/>
            <w:rPr>
              <w:bCs/>
              <w:sz w:val="20"/>
              <w:szCs w:val="20"/>
              <w:lang w:val="en-GB"/>
            </w:rPr>
          </w:pPr>
        </w:p>
        <w:p w:rsidR="00EC49A7" w:rsidRPr="006B6926" w:rsidRDefault="00EC49A7" w:rsidP="006B6926">
          <w:pPr>
            <w:jc w:val="center"/>
            <w:rPr>
              <w:bCs/>
              <w:sz w:val="20"/>
              <w:szCs w:val="20"/>
              <w:lang w:val="en-GB"/>
            </w:rPr>
          </w:pPr>
        </w:p>
      </w:tc>
      <w:tc>
        <w:tcPr>
          <w:tcW w:w="4320" w:type="dxa"/>
        </w:tcPr>
        <w:p w:rsidR="00EC49A7" w:rsidRPr="006B6926" w:rsidRDefault="00EC49A7" w:rsidP="006B6926">
          <w:pPr>
            <w:keepNext/>
            <w:keepLines/>
            <w:rPr>
              <w:bCs/>
              <w:sz w:val="20"/>
              <w:szCs w:val="20"/>
              <w:lang w:val="fr-CA"/>
            </w:rPr>
          </w:pPr>
          <w:r w:rsidRPr="006B6926">
            <w:rPr>
              <w:bCs/>
              <w:sz w:val="20"/>
              <w:szCs w:val="20"/>
              <w:lang w:val="fr-CA"/>
            </w:rPr>
            <w:t>RECUEIL DES ARRÊTS DE LA COUR SUPRÊME</w:t>
          </w:r>
        </w:p>
      </w:tc>
    </w:tr>
  </w:tbl>
  <w:p w:rsidR="00EC49A7" w:rsidRPr="000924F7" w:rsidRDefault="00EC49A7">
    <w:pPr>
      <w:pStyle w:val="Header"/>
      <w:rPr>
        <w:lang w:val="fr-CA"/>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C49A7" w:rsidRPr="0044776A" w:rsidTr="00245129">
      <w:tc>
        <w:tcPr>
          <w:tcW w:w="4290" w:type="dxa"/>
          <w:tcMar>
            <w:left w:w="0" w:type="dxa"/>
            <w:right w:w="0" w:type="dxa"/>
          </w:tcMar>
        </w:tcPr>
        <w:p w:rsidR="00EC49A7" w:rsidRPr="0044776A" w:rsidRDefault="00EC49A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C49A7" w:rsidRPr="0044776A" w:rsidRDefault="00EC49A7" w:rsidP="002E2327">
          <w:pPr>
            <w:keepNext/>
            <w:keepLines/>
            <w:tabs>
              <w:tab w:val="left" w:pos="-1440"/>
              <w:tab w:val="left" w:pos="-720"/>
            </w:tabs>
            <w:jc w:val="center"/>
            <w:rPr>
              <w:sz w:val="20"/>
              <w:szCs w:val="20"/>
            </w:rPr>
          </w:pPr>
        </w:p>
        <w:p w:rsidR="00EC49A7" w:rsidRPr="0044776A" w:rsidRDefault="00EC49A7" w:rsidP="002E2327">
          <w:pPr>
            <w:keepNext/>
            <w:keepLines/>
            <w:tabs>
              <w:tab w:val="left" w:pos="-1440"/>
              <w:tab w:val="left" w:pos="-720"/>
            </w:tabs>
            <w:jc w:val="center"/>
            <w:rPr>
              <w:sz w:val="20"/>
              <w:szCs w:val="20"/>
            </w:rPr>
          </w:pPr>
        </w:p>
        <w:p w:rsidR="00EC49A7" w:rsidRPr="0044776A" w:rsidRDefault="00EC49A7" w:rsidP="002E2327">
          <w:pPr>
            <w:keepNext/>
            <w:keepLines/>
            <w:tabs>
              <w:tab w:val="left" w:pos="-1440"/>
              <w:tab w:val="left" w:pos="-720"/>
            </w:tabs>
            <w:jc w:val="center"/>
            <w:rPr>
              <w:sz w:val="20"/>
              <w:szCs w:val="20"/>
            </w:rPr>
          </w:pPr>
        </w:p>
      </w:tc>
      <w:tc>
        <w:tcPr>
          <w:tcW w:w="4320" w:type="dxa"/>
          <w:tcMar>
            <w:left w:w="0" w:type="dxa"/>
            <w:right w:w="0" w:type="dxa"/>
          </w:tcMar>
        </w:tcPr>
        <w:p w:rsidR="00EC49A7" w:rsidRPr="0044776A" w:rsidRDefault="00EC49A7" w:rsidP="002E2327">
          <w:pPr>
            <w:keepLines/>
            <w:rPr>
              <w:sz w:val="20"/>
              <w:szCs w:val="20"/>
              <w:lang w:val="fr-CA"/>
            </w:rPr>
          </w:pPr>
          <w:r w:rsidRPr="0044776A">
            <w:rPr>
              <w:sz w:val="20"/>
              <w:szCs w:val="20"/>
              <w:lang w:val="fr-CA"/>
            </w:rPr>
            <w:t>DEMANDES D'AUTORISATION D'APPEL DÉPOSÉES</w:t>
          </w:r>
        </w:p>
      </w:tc>
    </w:tr>
  </w:tbl>
  <w:p w:rsidR="00EC49A7" w:rsidRDefault="00EC49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rsidTr="00245129">
      <w:tc>
        <w:tcPr>
          <w:tcW w:w="4200" w:type="dxa"/>
          <w:tcMar>
            <w:left w:w="0" w:type="dxa"/>
            <w:right w:w="0" w:type="dxa"/>
          </w:tcMar>
        </w:tcPr>
        <w:p w:rsidR="00EC49A7" w:rsidRPr="0044776A" w:rsidRDefault="00EC49A7" w:rsidP="0044776A">
          <w:pPr>
            <w:keepNext/>
            <w:keepLines/>
            <w:widowControl w:val="0"/>
            <w:rPr>
              <w:sz w:val="20"/>
              <w:szCs w:val="20"/>
            </w:rPr>
          </w:pPr>
          <w:r>
            <w:rPr>
              <w:sz w:val="20"/>
              <w:szCs w:val="20"/>
            </w:rPr>
            <w:t>APPLICATIONS FOR LEAVE</w:t>
          </w:r>
        </w:p>
        <w:p w:rsidR="00EC49A7" w:rsidRPr="0044776A" w:rsidRDefault="00EC49A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C49A7" w:rsidRPr="0044776A" w:rsidRDefault="00EC49A7" w:rsidP="0044776A">
          <w:pPr>
            <w:keepNext/>
            <w:keepLines/>
            <w:widowControl w:val="0"/>
            <w:jc w:val="center"/>
            <w:rPr>
              <w:sz w:val="20"/>
              <w:szCs w:val="20"/>
            </w:rPr>
          </w:pPr>
        </w:p>
        <w:p w:rsidR="00EC49A7" w:rsidRPr="0044776A" w:rsidRDefault="00EC49A7" w:rsidP="0044776A">
          <w:pPr>
            <w:keepNext/>
            <w:keepLines/>
            <w:widowControl w:val="0"/>
            <w:jc w:val="center"/>
            <w:rPr>
              <w:sz w:val="20"/>
              <w:szCs w:val="20"/>
            </w:rPr>
          </w:pPr>
        </w:p>
        <w:p w:rsidR="00EC49A7" w:rsidRPr="0044776A" w:rsidRDefault="00EC49A7" w:rsidP="0044776A">
          <w:pPr>
            <w:keepNext/>
            <w:keepLines/>
            <w:widowControl w:val="0"/>
            <w:jc w:val="center"/>
            <w:rPr>
              <w:sz w:val="20"/>
              <w:szCs w:val="20"/>
            </w:rPr>
          </w:pPr>
        </w:p>
      </w:tc>
      <w:tc>
        <w:tcPr>
          <w:tcW w:w="4080" w:type="dxa"/>
          <w:tcMar>
            <w:left w:w="0" w:type="dxa"/>
            <w:right w:w="0" w:type="dxa"/>
          </w:tcMar>
        </w:tcPr>
        <w:p w:rsidR="00EC49A7" w:rsidRPr="0044776A" w:rsidRDefault="00EC49A7" w:rsidP="0044776A">
          <w:pPr>
            <w:keepLines/>
            <w:widowControl w:val="0"/>
            <w:rPr>
              <w:sz w:val="20"/>
              <w:szCs w:val="20"/>
              <w:lang w:val="fr-CA"/>
            </w:rPr>
          </w:pPr>
          <w:r w:rsidRPr="0044776A">
            <w:rPr>
              <w:sz w:val="20"/>
              <w:szCs w:val="20"/>
              <w:lang w:val="fr-CA"/>
            </w:rPr>
            <w:t>DEMANDES SOUMISES À LA COUR DEPUIS LA DERNIÈRE PARUTION</w:t>
          </w:r>
        </w:p>
        <w:p w:rsidR="00EC49A7" w:rsidRPr="0044776A" w:rsidRDefault="00EC49A7" w:rsidP="0044776A">
          <w:pPr>
            <w:widowControl w:val="0"/>
            <w:rPr>
              <w:sz w:val="20"/>
              <w:szCs w:val="20"/>
              <w:lang w:val="fr-CA"/>
            </w:rPr>
          </w:pPr>
        </w:p>
      </w:tc>
    </w:tr>
  </w:tbl>
  <w:p w:rsidR="00EC49A7" w:rsidRPr="002E2327" w:rsidRDefault="00EC49A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A7" w:rsidRDefault="00EC49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tc>
        <w:tcPr>
          <w:tcW w:w="4200" w:type="dxa"/>
          <w:tcMar>
            <w:left w:w="0" w:type="dxa"/>
            <w:right w:w="0" w:type="dxa"/>
          </w:tcMar>
        </w:tcPr>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C49A7"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C49A7"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C49A7" w:rsidRPr="00FF6BA5"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C49A7" w:rsidRPr="00FF6BA5"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C49A7" w:rsidRPr="00FF6BA5"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C49A7" w:rsidRPr="00FF6BA5" w:rsidRDefault="00EC49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C49A7" w:rsidRPr="00EC49A7" w:rsidTr="00245129">
      <w:tc>
        <w:tcPr>
          <w:tcW w:w="4200" w:type="dxa"/>
          <w:tcMar>
            <w:left w:w="0" w:type="dxa"/>
            <w:right w:w="0" w:type="dxa"/>
          </w:tcMar>
        </w:tcPr>
        <w:p w:rsidR="00EC49A7" w:rsidRPr="00755F22"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C49A7" w:rsidRPr="00755F22" w:rsidRDefault="00EC49A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C49A7" w:rsidRPr="00755F22" w:rsidRDefault="00EC49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C49A7" w:rsidRPr="00755F22" w:rsidRDefault="00EC49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C49A7" w:rsidRPr="00755F22" w:rsidRDefault="00EC49A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C49A7" w:rsidRPr="00755F22" w:rsidRDefault="00EC49A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C49A7" w:rsidRPr="00FF6BA5" w:rsidRDefault="00EC49A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5011"/>
  </w:hdrShapeDefaults>
  <w:footnotePr>
    <w:footnote w:id="-1"/>
    <w:footnote w:id="0"/>
  </w:footnotePr>
  <w:endnotePr>
    <w:endnote w:id="-1"/>
    <w:endnote w:id="0"/>
  </w:endnotePr>
  <w:compat>
    <w:compatSetting w:name="compatibilityMode" w:uri="http://schemas.microsoft.com/office/word" w:val="12"/>
  </w:compat>
  <w:rsids>
    <w:rsidRoot w:val="002C70B1"/>
    <w:rsid w:val="0000126D"/>
    <w:rsid w:val="000021FE"/>
    <w:rsid w:val="00020DC3"/>
    <w:rsid w:val="0003223B"/>
    <w:rsid w:val="000327B2"/>
    <w:rsid w:val="0004528B"/>
    <w:rsid w:val="00064FBA"/>
    <w:rsid w:val="000740D0"/>
    <w:rsid w:val="00080706"/>
    <w:rsid w:val="00091FA6"/>
    <w:rsid w:val="00096BD9"/>
    <w:rsid w:val="000B2DBF"/>
    <w:rsid w:val="000B3C9A"/>
    <w:rsid w:val="000B40A2"/>
    <w:rsid w:val="000B4624"/>
    <w:rsid w:val="000C0ACD"/>
    <w:rsid w:val="000C0D2A"/>
    <w:rsid w:val="000C5CE8"/>
    <w:rsid w:val="000E2959"/>
    <w:rsid w:val="000F0B60"/>
    <w:rsid w:val="00102926"/>
    <w:rsid w:val="0010587F"/>
    <w:rsid w:val="00111C6B"/>
    <w:rsid w:val="0012102B"/>
    <w:rsid w:val="0013369E"/>
    <w:rsid w:val="001620E0"/>
    <w:rsid w:val="00164E6D"/>
    <w:rsid w:val="00173D9D"/>
    <w:rsid w:val="00177B2D"/>
    <w:rsid w:val="00183454"/>
    <w:rsid w:val="00193E04"/>
    <w:rsid w:val="001B157C"/>
    <w:rsid w:val="001B4006"/>
    <w:rsid w:val="001B5C20"/>
    <w:rsid w:val="001B5C23"/>
    <w:rsid w:val="001D0D5F"/>
    <w:rsid w:val="001D6B8C"/>
    <w:rsid w:val="001F1F83"/>
    <w:rsid w:val="001F40DF"/>
    <w:rsid w:val="001F6B2D"/>
    <w:rsid w:val="002021A9"/>
    <w:rsid w:val="00206566"/>
    <w:rsid w:val="002139A7"/>
    <w:rsid w:val="00215F7C"/>
    <w:rsid w:val="0022323B"/>
    <w:rsid w:val="00223CA6"/>
    <w:rsid w:val="00225C96"/>
    <w:rsid w:val="002410B8"/>
    <w:rsid w:val="00242AEE"/>
    <w:rsid w:val="00245129"/>
    <w:rsid w:val="00245879"/>
    <w:rsid w:val="00267FD5"/>
    <w:rsid w:val="0027272D"/>
    <w:rsid w:val="00274D34"/>
    <w:rsid w:val="00283ED8"/>
    <w:rsid w:val="002868D0"/>
    <w:rsid w:val="00293093"/>
    <w:rsid w:val="002A008C"/>
    <w:rsid w:val="002A27D1"/>
    <w:rsid w:val="002A4AFA"/>
    <w:rsid w:val="002B516C"/>
    <w:rsid w:val="002C70B1"/>
    <w:rsid w:val="002D72EB"/>
    <w:rsid w:val="002E2327"/>
    <w:rsid w:val="002E3583"/>
    <w:rsid w:val="002E5576"/>
    <w:rsid w:val="003207D6"/>
    <w:rsid w:val="00331B52"/>
    <w:rsid w:val="003359D3"/>
    <w:rsid w:val="00355967"/>
    <w:rsid w:val="00375123"/>
    <w:rsid w:val="00382C47"/>
    <w:rsid w:val="00384384"/>
    <w:rsid w:val="003866AE"/>
    <w:rsid w:val="00391488"/>
    <w:rsid w:val="003977D9"/>
    <w:rsid w:val="003B3977"/>
    <w:rsid w:val="003E1D4C"/>
    <w:rsid w:val="004129B2"/>
    <w:rsid w:val="004137A0"/>
    <w:rsid w:val="00422D9A"/>
    <w:rsid w:val="004256CF"/>
    <w:rsid w:val="00432989"/>
    <w:rsid w:val="00440E24"/>
    <w:rsid w:val="00443219"/>
    <w:rsid w:val="0044776A"/>
    <w:rsid w:val="0045676D"/>
    <w:rsid w:val="00457EB1"/>
    <w:rsid w:val="00460AFC"/>
    <w:rsid w:val="0047471F"/>
    <w:rsid w:val="00481F56"/>
    <w:rsid w:val="004B195E"/>
    <w:rsid w:val="004B52FA"/>
    <w:rsid w:val="004B66B4"/>
    <w:rsid w:val="004B7F60"/>
    <w:rsid w:val="004C1AAC"/>
    <w:rsid w:val="004D32B1"/>
    <w:rsid w:val="004D4927"/>
    <w:rsid w:val="004E1E0A"/>
    <w:rsid w:val="004F090E"/>
    <w:rsid w:val="00501F3C"/>
    <w:rsid w:val="0052229C"/>
    <w:rsid w:val="00527CC7"/>
    <w:rsid w:val="00571CA4"/>
    <w:rsid w:val="00574799"/>
    <w:rsid w:val="00582136"/>
    <w:rsid w:val="005910E4"/>
    <w:rsid w:val="005C6840"/>
    <w:rsid w:val="005F1ED8"/>
    <w:rsid w:val="005F263E"/>
    <w:rsid w:val="00600252"/>
    <w:rsid w:val="00612A40"/>
    <w:rsid w:val="0062714A"/>
    <w:rsid w:val="00641D35"/>
    <w:rsid w:val="00675479"/>
    <w:rsid w:val="00680709"/>
    <w:rsid w:val="00681F61"/>
    <w:rsid w:val="00693CBA"/>
    <w:rsid w:val="00696BF9"/>
    <w:rsid w:val="00697C62"/>
    <w:rsid w:val="006A329B"/>
    <w:rsid w:val="006A7EB8"/>
    <w:rsid w:val="006B6926"/>
    <w:rsid w:val="006C3F47"/>
    <w:rsid w:val="006C5F7A"/>
    <w:rsid w:val="006C79CC"/>
    <w:rsid w:val="006E06AF"/>
    <w:rsid w:val="006F350F"/>
    <w:rsid w:val="00704433"/>
    <w:rsid w:val="00732DB7"/>
    <w:rsid w:val="007340FC"/>
    <w:rsid w:val="0074238B"/>
    <w:rsid w:val="00745EF7"/>
    <w:rsid w:val="0075009A"/>
    <w:rsid w:val="00755F22"/>
    <w:rsid w:val="0076468A"/>
    <w:rsid w:val="00766E4A"/>
    <w:rsid w:val="007820CE"/>
    <w:rsid w:val="00782AE4"/>
    <w:rsid w:val="00793ECF"/>
    <w:rsid w:val="0079724F"/>
    <w:rsid w:val="007A3EAE"/>
    <w:rsid w:val="007C04FC"/>
    <w:rsid w:val="007C3DB0"/>
    <w:rsid w:val="007C47C2"/>
    <w:rsid w:val="007D3E0F"/>
    <w:rsid w:val="007E4282"/>
    <w:rsid w:val="007F387B"/>
    <w:rsid w:val="008001D6"/>
    <w:rsid w:val="00802863"/>
    <w:rsid w:val="00806454"/>
    <w:rsid w:val="008112A9"/>
    <w:rsid w:val="00815B3C"/>
    <w:rsid w:val="00815FF4"/>
    <w:rsid w:val="0081610A"/>
    <w:rsid w:val="0082783A"/>
    <w:rsid w:val="00831CA9"/>
    <w:rsid w:val="00832E3A"/>
    <w:rsid w:val="00834141"/>
    <w:rsid w:val="00835225"/>
    <w:rsid w:val="00850E1F"/>
    <w:rsid w:val="00852B84"/>
    <w:rsid w:val="00854663"/>
    <w:rsid w:val="0085476B"/>
    <w:rsid w:val="0086340B"/>
    <w:rsid w:val="00890FEB"/>
    <w:rsid w:val="00895E7E"/>
    <w:rsid w:val="008A5C1A"/>
    <w:rsid w:val="008C7EAC"/>
    <w:rsid w:val="008D292F"/>
    <w:rsid w:val="008E03DC"/>
    <w:rsid w:val="00902E51"/>
    <w:rsid w:val="00924065"/>
    <w:rsid w:val="00930D68"/>
    <w:rsid w:val="00932DB4"/>
    <w:rsid w:val="00941A4B"/>
    <w:rsid w:val="00946242"/>
    <w:rsid w:val="0095096B"/>
    <w:rsid w:val="00970CD3"/>
    <w:rsid w:val="009723FA"/>
    <w:rsid w:val="009833F3"/>
    <w:rsid w:val="00984546"/>
    <w:rsid w:val="00984F0A"/>
    <w:rsid w:val="00996510"/>
    <w:rsid w:val="009D1F15"/>
    <w:rsid w:val="009D555E"/>
    <w:rsid w:val="009F3024"/>
    <w:rsid w:val="009F39BA"/>
    <w:rsid w:val="00A0355E"/>
    <w:rsid w:val="00A13131"/>
    <w:rsid w:val="00A25248"/>
    <w:rsid w:val="00A375D1"/>
    <w:rsid w:val="00A51D10"/>
    <w:rsid w:val="00A52A83"/>
    <w:rsid w:val="00A6552C"/>
    <w:rsid w:val="00A81931"/>
    <w:rsid w:val="00A87207"/>
    <w:rsid w:val="00A935AA"/>
    <w:rsid w:val="00A956D3"/>
    <w:rsid w:val="00AB2201"/>
    <w:rsid w:val="00AB31B5"/>
    <w:rsid w:val="00AD1D34"/>
    <w:rsid w:val="00AD3259"/>
    <w:rsid w:val="00AE32DE"/>
    <w:rsid w:val="00AF1715"/>
    <w:rsid w:val="00AF38E9"/>
    <w:rsid w:val="00AF3904"/>
    <w:rsid w:val="00B010C0"/>
    <w:rsid w:val="00B03430"/>
    <w:rsid w:val="00B10658"/>
    <w:rsid w:val="00B27C79"/>
    <w:rsid w:val="00B4740D"/>
    <w:rsid w:val="00B61629"/>
    <w:rsid w:val="00B7374B"/>
    <w:rsid w:val="00B90DC0"/>
    <w:rsid w:val="00BA116A"/>
    <w:rsid w:val="00BA5582"/>
    <w:rsid w:val="00BA6468"/>
    <w:rsid w:val="00BB1D44"/>
    <w:rsid w:val="00BC3E52"/>
    <w:rsid w:val="00BD06DA"/>
    <w:rsid w:val="00BD4217"/>
    <w:rsid w:val="00BF25F3"/>
    <w:rsid w:val="00C1697B"/>
    <w:rsid w:val="00C21644"/>
    <w:rsid w:val="00C21CB5"/>
    <w:rsid w:val="00C35AFC"/>
    <w:rsid w:val="00C46376"/>
    <w:rsid w:val="00C50A5C"/>
    <w:rsid w:val="00C50FDF"/>
    <w:rsid w:val="00C63381"/>
    <w:rsid w:val="00C73D06"/>
    <w:rsid w:val="00C73E1B"/>
    <w:rsid w:val="00C759B4"/>
    <w:rsid w:val="00C77713"/>
    <w:rsid w:val="00C77C2B"/>
    <w:rsid w:val="00C85BB7"/>
    <w:rsid w:val="00CA2DEA"/>
    <w:rsid w:val="00CB3520"/>
    <w:rsid w:val="00CB43D5"/>
    <w:rsid w:val="00CC4D84"/>
    <w:rsid w:val="00CE198A"/>
    <w:rsid w:val="00CE4EDB"/>
    <w:rsid w:val="00CF08C8"/>
    <w:rsid w:val="00D004FC"/>
    <w:rsid w:val="00D10B88"/>
    <w:rsid w:val="00D177F4"/>
    <w:rsid w:val="00D21A33"/>
    <w:rsid w:val="00D31263"/>
    <w:rsid w:val="00D358C4"/>
    <w:rsid w:val="00D36E74"/>
    <w:rsid w:val="00D64901"/>
    <w:rsid w:val="00D74D3D"/>
    <w:rsid w:val="00D76BDF"/>
    <w:rsid w:val="00D818B6"/>
    <w:rsid w:val="00D84AAE"/>
    <w:rsid w:val="00D862C1"/>
    <w:rsid w:val="00D87A30"/>
    <w:rsid w:val="00D93B50"/>
    <w:rsid w:val="00D94028"/>
    <w:rsid w:val="00D94670"/>
    <w:rsid w:val="00DA46F6"/>
    <w:rsid w:val="00DB7B61"/>
    <w:rsid w:val="00DD0B49"/>
    <w:rsid w:val="00DE0502"/>
    <w:rsid w:val="00DE349D"/>
    <w:rsid w:val="00DF3FA9"/>
    <w:rsid w:val="00E01C01"/>
    <w:rsid w:val="00E048CC"/>
    <w:rsid w:val="00E06DFA"/>
    <w:rsid w:val="00E16FEA"/>
    <w:rsid w:val="00E20A0A"/>
    <w:rsid w:val="00E240C2"/>
    <w:rsid w:val="00E30CC5"/>
    <w:rsid w:val="00E356C7"/>
    <w:rsid w:val="00E37AB6"/>
    <w:rsid w:val="00E41A5A"/>
    <w:rsid w:val="00E45FE4"/>
    <w:rsid w:val="00E473E3"/>
    <w:rsid w:val="00E57D07"/>
    <w:rsid w:val="00E64B2E"/>
    <w:rsid w:val="00E64FA7"/>
    <w:rsid w:val="00E770CB"/>
    <w:rsid w:val="00E903A1"/>
    <w:rsid w:val="00E940EB"/>
    <w:rsid w:val="00E9703F"/>
    <w:rsid w:val="00EA2256"/>
    <w:rsid w:val="00EB2B90"/>
    <w:rsid w:val="00EC49A7"/>
    <w:rsid w:val="00EC6EE6"/>
    <w:rsid w:val="00ED7E83"/>
    <w:rsid w:val="00EE091F"/>
    <w:rsid w:val="00EE3AE0"/>
    <w:rsid w:val="00EE47A5"/>
    <w:rsid w:val="00EF1B06"/>
    <w:rsid w:val="00EF4B63"/>
    <w:rsid w:val="00F0068D"/>
    <w:rsid w:val="00F0576D"/>
    <w:rsid w:val="00F14E6D"/>
    <w:rsid w:val="00F15EA8"/>
    <w:rsid w:val="00F16C8D"/>
    <w:rsid w:val="00F26C61"/>
    <w:rsid w:val="00F33CCE"/>
    <w:rsid w:val="00F40249"/>
    <w:rsid w:val="00F526C8"/>
    <w:rsid w:val="00F71F50"/>
    <w:rsid w:val="00F761A3"/>
    <w:rsid w:val="00F9272D"/>
    <w:rsid w:val="00F9518C"/>
    <w:rsid w:val="00FA316E"/>
    <w:rsid w:val="00FA3373"/>
    <w:rsid w:val="00FA59EF"/>
    <w:rsid w:val="00FB19A2"/>
    <w:rsid w:val="00FC52A3"/>
    <w:rsid w:val="00FC6079"/>
    <w:rsid w:val="00FF1CD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50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852B84"/>
    <w:pPr>
      <w:jc w:val="both"/>
    </w:pPr>
    <w:rPr>
      <w:smallCaps/>
    </w:rPr>
  </w:style>
  <w:style w:type="character" w:customStyle="1" w:styleId="SCCBanSummaryChar">
    <w:name w:val="SCC.BanSummary Char"/>
    <w:basedOn w:val="DefaultParagraphFont"/>
    <w:link w:val="SCCBanSummary"/>
    <w:rsid w:val="00852B84"/>
    <w:rPr>
      <w:smallCaps/>
      <w:lang w:val="en-CA"/>
    </w:rPr>
  </w:style>
  <w:style w:type="paragraph" w:customStyle="1" w:styleId="SCCLsocParty">
    <w:name w:val="SCC.Lsoc.Party"/>
    <w:basedOn w:val="Normal"/>
    <w:next w:val="Normal"/>
    <w:link w:val="SCCLsocPartyChar"/>
    <w:rsid w:val="00EA2256"/>
    <w:pPr>
      <w:jc w:val="center"/>
    </w:pPr>
    <w:rPr>
      <w:rFonts w:eastAsia="Calibri" w:cs="Times New Roman"/>
      <w:lang w:val="fr-CA"/>
    </w:rPr>
  </w:style>
  <w:style w:type="character" w:customStyle="1" w:styleId="SCCLsocPartyChar">
    <w:name w:val="SCC.Lsoc.Party Char"/>
    <w:basedOn w:val="DefaultParagraphFont"/>
    <w:link w:val="SCCLsocParty"/>
    <w:rsid w:val="00EA2256"/>
    <w:rPr>
      <w:rFonts w:eastAsia="Calibri" w:cs="Times New Roman"/>
      <w:lang w:val="fr-CA"/>
    </w:rPr>
  </w:style>
  <w:style w:type="table" w:customStyle="1" w:styleId="TableGrid2">
    <w:name w:val="Table Grid2"/>
    <w:basedOn w:val="TableNormal"/>
    <w:next w:val="TableGrid"/>
    <w:uiPriority w:val="59"/>
    <w:rsid w:val="00CE4EDB"/>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3414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83414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g7hmx" TargetMode="External"/><Relationship Id="rId117" Type="http://schemas.openxmlformats.org/officeDocument/2006/relationships/footer" Target="footer27.xml"/><Relationship Id="rId21" Type="http://schemas.openxmlformats.org/officeDocument/2006/relationships/header" Target="header6.xml"/><Relationship Id="rId42" Type="http://schemas.openxmlformats.org/officeDocument/2006/relationships/hyperlink" Target="http://www.canlii.org/en/nl/nlca/doc/2014/2014nlca31/2014nlca31.html" TargetMode="External"/><Relationship Id="rId47" Type="http://schemas.openxmlformats.org/officeDocument/2006/relationships/hyperlink" Target="http://www.canlii.org/en/ab/abca/doc/2014/2014abca299/2014abca299.html" TargetMode="External"/><Relationship Id="rId63" Type="http://schemas.openxmlformats.org/officeDocument/2006/relationships/hyperlink" Target="http://canlii.ca/t/gdqg3" TargetMode="External"/><Relationship Id="rId68" Type="http://schemas.openxmlformats.org/officeDocument/2006/relationships/hyperlink" Target="http://www.canlii.org/fr/qc/qccq/doc/2013/2013qccq20000/2013qccq20000.html?resultIndex=1" TargetMode="External"/><Relationship Id="rId84" Type="http://schemas.openxmlformats.org/officeDocument/2006/relationships/footer" Target="footer12.xml"/><Relationship Id="rId89" Type="http://schemas.openxmlformats.org/officeDocument/2006/relationships/footer" Target="footer14.xml"/><Relationship Id="rId112" Type="http://schemas.openxmlformats.org/officeDocument/2006/relationships/header" Target="header25.xml"/><Relationship Id="rId16" Type="http://schemas.openxmlformats.org/officeDocument/2006/relationships/footer" Target="footer3.xml"/><Relationship Id="rId107" Type="http://schemas.openxmlformats.org/officeDocument/2006/relationships/hyperlink" Target="http://www.scc-csc.ca/case-dossier/info/sum-som-fra.aspx?cas=35448" TargetMode="External"/><Relationship Id="rId11" Type="http://schemas.openxmlformats.org/officeDocument/2006/relationships/header" Target="header1.xml"/><Relationship Id="rId32" Type="http://schemas.openxmlformats.org/officeDocument/2006/relationships/hyperlink" Target="http://www.canlii.org/en/on/onca/doc/2014/2014onca580/2014onca580.html" TargetMode="External"/><Relationship Id="rId37" Type="http://schemas.openxmlformats.org/officeDocument/2006/relationships/hyperlink" Target="http://www.canlii.org/en/ab/absec/doc/2013/2013abasc45/2013abasc45.html" TargetMode="External"/><Relationship Id="rId53" Type="http://schemas.openxmlformats.org/officeDocument/2006/relationships/hyperlink" Target="http://canlii.ca/t/gdrl3" TargetMode="External"/><Relationship Id="rId58" Type="http://schemas.openxmlformats.org/officeDocument/2006/relationships/hyperlink" Target="http://canlii.ca/t/gdrlj" TargetMode="External"/><Relationship Id="rId74" Type="http://schemas.openxmlformats.org/officeDocument/2006/relationships/hyperlink" Target="http://canlii.ca/t/g2w7n" TargetMode="External"/><Relationship Id="rId79" Type="http://schemas.openxmlformats.org/officeDocument/2006/relationships/header" Target="header10.xml"/><Relationship Id="rId102"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hyperlink" Target="http://www.canlii.org/en/sk/skca/doc/2014/2014skca97/2014skca97.html?resultIndex=1" TargetMode="External"/><Relationship Id="rId82" Type="http://schemas.openxmlformats.org/officeDocument/2006/relationships/header" Target="header12.xml"/><Relationship Id="rId90" Type="http://schemas.openxmlformats.org/officeDocument/2006/relationships/footer" Target="footer15.xml"/><Relationship Id="rId95" Type="http://schemas.openxmlformats.org/officeDocument/2006/relationships/header" Target="header17.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fws39" TargetMode="External"/><Relationship Id="rId30" Type="http://schemas.openxmlformats.org/officeDocument/2006/relationships/hyperlink" Target="http://www.canlii.org/en/on/onca/doc/2014/2014onca580/2014onca580.html" TargetMode="External"/><Relationship Id="rId35" Type="http://schemas.openxmlformats.org/officeDocument/2006/relationships/hyperlink" Target="http://www.canlii.org/en/ab/abca/doc/2014/2014abca273/2014abca273.html" TargetMode="External"/><Relationship Id="rId43" Type="http://schemas.openxmlformats.org/officeDocument/2006/relationships/hyperlink" Target="http://www.canlii.org/en/nl/nlsctd/doc/2013/2013canlii71959/2013canlii71959.html?searchUrlHash=AAAAAQAQMjAxMyBOTFREKEcpIDE1MAAAAAAB&amp;resultIndex=1" TargetMode="External"/><Relationship Id="rId48" Type="http://schemas.openxmlformats.org/officeDocument/2006/relationships/hyperlink" Target="http://www.canlii.org/en/ab/abca/doc/2014/2014abca372/2014abca372.html" TargetMode="External"/><Relationship Id="rId56" Type="http://schemas.openxmlformats.org/officeDocument/2006/relationships/hyperlink" Target="http://canlii.ca/t/gdrl3" TargetMode="External"/><Relationship Id="rId64" Type="http://schemas.openxmlformats.org/officeDocument/2006/relationships/hyperlink" Target="http://canlii.ca/t/gdqg3" TargetMode="External"/><Relationship Id="rId69" Type="http://schemas.openxmlformats.org/officeDocument/2006/relationships/hyperlink" Target="http://www.canlii.org/fr/qc/qcca/doc/2014/2014qcca1880/2014qcca1880.html?resultIndex=1" TargetMode="External"/><Relationship Id="rId77" Type="http://schemas.openxmlformats.org/officeDocument/2006/relationships/footer" Target="footer8.xml"/><Relationship Id="rId100" Type="http://schemas.openxmlformats.org/officeDocument/2006/relationships/footer" Target="footer19.xml"/><Relationship Id="rId105" Type="http://schemas.openxmlformats.org/officeDocument/2006/relationships/header" Target="header22.xml"/><Relationship Id="rId113" Type="http://schemas.openxmlformats.org/officeDocument/2006/relationships/footer" Target="footer25.xml"/><Relationship Id="rId118" Type="http://schemas.openxmlformats.org/officeDocument/2006/relationships/header" Target="header28.xml"/><Relationship Id="rId8" Type="http://schemas.openxmlformats.org/officeDocument/2006/relationships/image" Target="media/image1.wmf"/><Relationship Id="rId51" Type="http://schemas.openxmlformats.org/officeDocument/2006/relationships/hyperlink" Target="http://canlii.ca/t/fzskf" TargetMode="External"/><Relationship Id="rId72" Type="http://schemas.openxmlformats.org/officeDocument/2006/relationships/hyperlink" Target="http://www.canlii.org/fr/qc/qcca/doc/2014/2014qcca1880/2014qcca1880.html?resultIndex=1" TargetMode="External"/><Relationship Id="rId80" Type="http://schemas.openxmlformats.org/officeDocument/2006/relationships/footer" Target="footer10.xml"/><Relationship Id="rId85" Type="http://schemas.openxmlformats.org/officeDocument/2006/relationships/header" Target="header13.xml"/><Relationship Id="rId93" Type="http://schemas.openxmlformats.org/officeDocument/2006/relationships/hyperlink" Target="http://www.scc-csc.ca/case-dossier/info/sum-som-eng.aspx?cas=36107" TargetMode="External"/><Relationship Id="rId98" Type="http://schemas.openxmlformats.org/officeDocument/2006/relationships/footer" Target="footer18.xm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fws39" TargetMode="External"/><Relationship Id="rId33" Type="http://schemas.openxmlformats.org/officeDocument/2006/relationships/hyperlink" Target="http://www.canlii.org/en/ab/absec/doc/2013/2013abasc45/2013abasc45.html" TargetMode="External"/><Relationship Id="rId38" Type="http://schemas.openxmlformats.org/officeDocument/2006/relationships/hyperlink" Target="http://www.canlii.org/en/ab/absec/doc/2013/2013abasc273/2013abasc273.html" TargetMode="External"/><Relationship Id="rId46" Type="http://schemas.openxmlformats.org/officeDocument/2006/relationships/hyperlink" Target="http://www.canlii.org/en/ab/abca/doc/2014/2014abca372/2014abca372.html" TargetMode="External"/><Relationship Id="rId59" Type="http://schemas.openxmlformats.org/officeDocument/2006/relationships/hyperlink" Target="http://canlii.ca/t/fx1s9" TargetMode="External"/><Relationship Id="rId67" Type="http://schemas.openxmlformats.org/officeDocument/2006/relationships/hyperlink" Target="http://www.canlii.org/fr/qc/qccq/doc/2013/2013qccq19999/2013qccq19999.html" TargetMode="External"/><Relationship Id="rId103" Type="http://schemas.openxmlformats.org/officeDocument/2006/relationships/footer" Target="footer20.xml"/><Relationship Id="rId108" Type="http://schemas.openxmlformats.org/officeDocument/2006/relationships/header" Target="header23.xml"/><Relationship Id="rId116" Type="http://schemas.openxmlformats.org/officeDocument/2006/relationships/header" Target="header27.xml"/><Relationship Id="rId20" Type="http://schemas.openxmlformats.org/officeDocument/2006/relationships/footer" Target="footer5.xml"/><Relationship Id="rId41" Type="http://schemas.openxmlformats.org/officeDocument/2006/relationships/hyperlink" Target="http://www.canlii.org/en/nl/nlsctd/doc/2013/2013canlii71959/2013canlii71959.html?searchUrlHash=AAAAAQAQMjAxMyBOTFREKEcpIDE1MAAAAAAB&amp;resultIndex=1" TargetMode="External"/><Relationship Id="rId54" Type="http://schemas.openxmlformats.org/officeDocument/2006/relationships/hyperlink" Target="http://canlii.ca/t/fzskf" TargetMode="External"/><Relationship Id="rId62" Type="http://schemas.openxmlformats.org/officeDocument/2006/relationships/hyperlink" Target="http://www.canlii.org/en/sk/skca/doc/2014/2014skca97/2014skca97.html?resultIndex=1" TargetMode="External"/><Relationship Id="rId70" Type="http://schemas.openxmlformats.org/officeDocument/2006/relationships/hyperlink" Target="http://www.canlii.org/fr/qc/qccq/doc/2013/2013qccq19999/2013qccq19999.html" TargetMode="External"/><Relationship Id="rId75" Type="http://schemas.openxmlformats.org/officeDocument/2006/relationships/header" Target="header8.xml"/><Relationship Id="rId83" Type="http://schemas.openxmlformats.org/officeDocument/2006/relationships/footer" Target="footer11.xml"/><Relationship Id="rId88" Type="http://schemas.openxmlformats.org/officeDocument/2006/relationships/header" Target="header15.xml"/><Relationship Id="rId91" Type="http://schemas.openxmlformats.org/officeDocument/2006/relationships/header" Target="header16.xml"/><Relationship Id="rId96" Type="http://schemas.openxmlformats.org/officeDocument/2006/relationships/header" Target="header18.xml"/><Relationship Id="rId11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7hmx" TargetMode="External"/><Relationship Id="rId36" Type="http://schemas.openxmlformats.org/officeDocument/2006/relationships/hyperlink" Target="http://www.canlii.org/en/ab/abca/doc/2014/2014abca446/2014abca446.html" TargetMode="External"/><Relationship Id="rId49" Type="http://schemas.openxmlformats.org/officeDocument/2006/relationships/hyperlink" Target="http://www.canlii.org/en/on/onca/doc/2014/2014onca785/2014onca785.html?resultIndex=1" TargetMode="External"/><Relationship Id="rId57" Type="http://schemas.openxmlformats.org/officeDocument/2006/relationships/hyperlink" Target="http://canlii.ca/t/fx1s9" TargetMode="External"/><Relationship Id="rId106" Type="http://schemas.openxmlformats.org/officeDocument/2006/relationships/footer" Target="footer22.xml"/><Relationship Id="rId114" Type="http://schemas.openxmlformats.org/officeDocument/2006/relationships/header" Target="header26.xml"/><Relationship Id="rId119" Type="http://schemas.openxmlformats.org/officeDocument/2006/relationships/footer" Target="footer28.xml"/><Relationship Id="rId10" Type="http://schemas.openxmlformats.org/officeDocument/2006/relationships/hyperlink" Target="http://www.scc-csc.ca" TargetMode="External"/><Relationship Id="rId31" Type="http://schemas.openxmlformats.org/officeDocument/2006/relationships/hyperlink" Target="http://www.canlii.org/en/on/onsc/doc/2013/2013onsc5802/2013onsc5802.html" TargetMode="External"/><Relationship Id="rId44" Type="http://schemas.openxmlformats.org/officeDocument/2006/relationships/hyperlink" Target="http://www.canlii.org/en/nl/nlca/doc/2014/2014nlca31/2014nlca31.html" TargetMode="External"/><Relationship Id="rId52" Type="http://schemas.openxmlformats.org/officeDocument/2006/relationships/hyperlink" Target="http://canlii.ca/t/g1wr8" TargetMode="External"/><Relationship Id="rId60" Type="http://schemas.openxmlformats.org/officeDocument/2006/relationships/hyperlink" Target="http://canlii.ca/t/gdrlj" TargetMode="External"/><Relationship Id="rId65" Type="http://schemas.openxmlformats.org/officeDocument/2006/relationships/hyperlink" Target="http://www.canlii.org/en/bc/bcca/doc/2014/2014bcca382/2014bcca382.html?resultIndex=1" TargetMode="External"/><Relationship Id="rId73" Type="http://schemas.openxmlformats.org/officeDocument/2006/relationships/hyperlink" Target="http://canlii.ca/t/g2w7n" TargetMode="External"/><Relationship Id="rId78" Type="http://schemas.openxmlformats.org/officeDocument/2006/relationships/footer" Target="footer9.xml"/><Relationship Id="rId81" Type="http://schemas.openxmlformats.org/officeDocument/2006/relationships/header" Target="header11.xml"/><Relationship Id="rId86" Type="http://schemas.openxmlformats.org/officeDocument/2006/relationships/footer" Target="footer13.xml"/><Relationship Id="rId94" Type="http://schemas.openxmlformats.org/officeDocument/2006/relationships/hyperlink" Target="http://www.scc-csc.ca/case-dossier/info/sum-som-eng.aspx?cas=36059" TargetMode="External"/><Relationship Id="rId99" Type="http://schemas.openxmlformats.org/officeDocument/2006/relationships/header" Target="header19.xml"/><Relationship Id="rId10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ab/abca/doc/2014/2014abca273/2014abca273.html" TargetMode="External"/><Relationship Id="rId109" Type="http://schemas.openxmlformats.org/officeDocument/2006/relationships/header" Target="header24.xml"/><Relationship Id="rId34" Type="http://schemas.openxmlformats.org/officeDocument/2006/relationships/hyperlink" Target="http://www.canlii.org/en/ab/absec/doc/2013/2013abasc273/2013abasc273.html" TargetMode="External"/><Relationship Id="rId50" Type="http://schemas.openxmlformats.org/officeDocument/2006/relationships/hyperlink" Target="http://www.canlii.org/en/on/onca/doc/2014/2014onca785/2014onca785.html?resultIndex=1" TargetMode="External"/><Relationship Id="rId55" Type="http://schemas.openxmlformats.org/officeDocument/2006/relationships/hyperlink" Target="http://canlii.ca/t/g1wr8" TargetMode="External"/><Relationship Id="rId76" Type="http://schemas.openxmlformats.org/officeDocument/2006/relationships/header" Target="header9.xml"/><Relationship Id="rId97" Type="http://schemas.openxmlformats.org/officeDocument/2006/relationships/footer" Target="footer17.xml"/><Relationship Id="rId104" Type="http://schemas.openxmlformats.org/officeDocument/2006/relationships/footer" Target="footer21.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nlii.org/fr/qc/qccq/doc/2013/2013qccq20000/2013qccq20000.html?resultIndex=1" TargetMode="External"/><Relationship Id="rId92"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yperlink" Target="http://www.canlii.org/en/on/onsc/doc/2013/2013onsc5802/2013onsc5802.html" TargetMode="External"/><Relationship Id="rId24" Type="http://schemas.openxmlformats.org/officeDocument/2006/relationships/footer" Target="footer7.xml"/><Relationship Id="rId40" Type="http://schemas.openxmlformats.org/officeDocument/2006/relationships/hyperlink" Target="http://www.canlii.org/en/ab/abca/doc/2014/2014abca446/2014abca446.html" TargetMode="External"/><Relationship Id="rId45" Type="http://schemas.openxmlformats.org/officeDocument/2006/relationships/hyperlink" Target="http://www.canlii.org/en/ab/abca/doc/2014/2014abca299/2014abca299.html" TargetMode="External"/><Relationship Id="rId66" Type="http://schemas.openxmlformats.org/officeDocument/2006/relationships/hyperlink" Target="http://www.canlii.org/en/bc/bcca/doc/2014/2014bcca382/2014bcca382.html?resultIndex=1" TargetMode="External"/><Relationship Id="rId87" Type="http://schemas.openxmlformats.org/officeDocument/2006/relationships/header" Target="header14.xml"/><Relationship Id="rId110" Type="http://schemas.openxmlformats.org/officeDocument/2006/relationships/footer" Target="footer23.xml"/><Relationship Id="rId11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6391-8AB7-4B24-9CDE-4CE7AAFD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23651</Words>
  <Characters>134814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2015-03-20T18:21:00Z</dcterms:created>
  <dcterms:modified xsi:type="dcterms:W3CDTF">2015-11-26T21:54:00Z</dcterms:modified>
</cp:coreProperties>
</file>