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9098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9098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9098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9098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90981" w:rsidTr="002E5576">
        <w:tc>
          <w:tcPr>
            <w:tcW w:w="4518" w:type="dxa"/>
          </w:tcPr>
          <w:p w:rsidR="00BF25F3" w:rsidRPr="002E2327" w:rsidRDefault="002D179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2D179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9098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90981"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790981">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790981">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38677C" w:rsidP="00F0068D">
      <w:pPr>
        <w:pBdr>
          <w:bottom w:val="single" w:sz="6" w:space="1" w:color="auto"/>
        </w:pBdr>
        <w:tabs>
          <w:tab w:val="center" w:pos="4680"/>
          <w:tab w:val="right" w:pos="9360"/>
        </w:tabs>
        <w:rPr>
          <w:lang w:val="fr-CA"/>
        </w:rPr>
      </w:pPr>
      <w:r>
        <w:rPr>
          <w:lang w:val="fr-CA"/>
        </w:rPr>
        <w:t>April 10</w:t>
      </w:r>
      <w:r w:rsidR="00440E24" w:rsidRPr="00675479">
        <w:rPr>
          <w:lang w:val="fr-CA"/>
        </w:rPr>
        <w:t>, 201</w:t>
      </w:r>
      <w:r w:rsidR="00020DC3">
        <w:rPr>
          <w:lang w:val="fr-CA"/>
        </w:rPr>
        <w:t>5</w:t>
      </w:r>
      <w:r w:rsidR="00F0068D" w:rsidRPr="00675479">
        <w:rPr>
          <w:lang w:val="fr-CA"/>
        </w:rPr>
        <w:tab/>
      </w:r>
      <w:r w:rsidR="00DC1E68">
        <w:rPr>
          <w:lang w:val="fr-CA"/>
        </w:rPr>
        <w:t>599</w:t>
      </w:r>
      <w:r w:rsidR="00F0068D" w:rsidRPr="00675479">
        <w:rPr>
          <w:lang w:val="fr-CA"/>
        </w:rPr>
        <w:t xml:space="preserve"> - </w:t>
      </w:r>
      <w:r w:rsidR="00B70797">
        <w:rPr>
          <w:lang w:val="fr-CA"/>
        </w:rPr>
        <w:t>632</w:t>
      </w:r>
      <w:r w:rsidR="00440E24" w:rsidRPr="00675479">
        <w:rPr>
          <w:lang w:val="fr-CA"/>
        </w:rPr>
        <w:tab/>
      </w:r>
      <w:r w:rsidR="00440E24" w:rsidRPr="002E2327">
        <w:rPr>
          <w:lang w:val="fr-CA"/>
        </w:rPr>
        <w:t>Le</w:t>
      </w:r>
      <w:r w:rsidR="00C73D06">
        <w:rPr>
          <w:lang w:val="fr-CA"/>
        </w:rPr>
        <w:t xml:space="preserve"> </w:t>
      </w:r>
      <w:r>
        <w:rPr>
          <w:lang w:val="fr-CA"/>
        </w:rPr>
        <w:t>10</w:t>
      </w:r>
      <w:r w:rsidR="00C73D06">
        <w:rPr>
          <w:lang w:val="fr-CA"/>
        </w:rPr>
        <w:t xml:space="preserve"> </w:t>
      </w:r>
      <w:r w:rsidR="00440E24" w:rsidRPr="002E2327">
        <w:rPr>
          <w:lang w:val="fr-CA"/>
        </w:rPr>
        <w:t>av</w:t>
      </w:r>
      <w:r w:rsidR="00C73D06">
        <w:rPr>
          <w:lang w:val="fr-CA"/>
        </w:rPr>
        <w:t>r</w:t>
      </w:r>
      <w:r>
        <w:rPr>
          <w:lang w:val="fr-CA"/>
        </w:rPr>
        <w:t>il</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DC1E68" w:rsidRDefault="00440E24" w:rsidP="00440E24">
      <w:pPr>
        <w:pBdr>
          <w:bottom w:val="single" w:sz="6" w:space="1" w:color="auto"/>
        </w:pBdr>
        <w:tabs>
          <w:tab w:val="right" w:pos="9360"/>
        </w:tabs>
        <w:rPr>
          <w:sz w:val="18"/>
          <w:szCs w:val="18"/>
          <w:lang w:val="fr-CA"/>
        </w:rPr>
      </w:pPr>
      <w:r w:rsidRPr="00DC1E68">
        <w:rPr>
          <w:sz w:val="18"/>
          <w:szCs w:val="18"/>
          <w:lang w:val="fr-CA"/>
        </w:rPr>
        <w:t>© Supreme Court of Canada (201</w:t>
      </w:r>
      <w:r w:rsidR="00020DC3" w:rsidRPr="00DC1E68">
        <w:rPr>
          <w:sz w:val="18"/>
          <w:szCs w:val="18"/>
          <w:lang w:val="fr-CA"/>
        </w:rPr>
        <w:t>5</w:t>
      </w:r>
      <w:r w:rsidRPr="00DC1E68">
        <w:rPr>
          <w:sz w:val="18"/>
          <w:szCs w:val="18"/>
          <w:lang w:val="fr-CA"/>
        </w:rPr>
        <w:t>)</w:t>
      </w:r>
      <w:r w:rsidRPr="00DC1E68">
        <w:rPr>
          <w:sz w:val="18"/>
          <w:szCs w:val="18"/>
          <w:lang w:val="fr-CA"/>
        </w:rPr>
        <w:tab/>
        <w:t>© Cour suprême du Canada (201</w:t>
      </w:r>
      <w:r w:rsidR="00020DC3" w:rsidRPr="00DC1E68">
        <w:rPr>
          <w:sz w:val="18"/>
          <w:szCs w:val="18"/>
          <w:lang w:val="fr-CA"/>
        </w:rPr>
        <w:t>5</w:t>
      </w:r>
      <w:r w:rsidRPr="00DC1E68">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A87207" w:rsidRPr="002E2327" w:rsidRDefault="00A87207" w:rsidP="00087A11">
            <w:pPr>
              <w:tabs>
                <w:tab w:val="right" w:pos="9360"/>
              </w:tabs>
              <w:rPr>
                <w:rFonts w:cs="Times New Roman"/>
                <w:sz w:val="20"/>
                <w:szCs w:val="20"/>
              </w:rPr>
            </w:pPr>
          </w:p>
        </w:tc>
        <w:tc>
          <w:tcPr>
            <w:tcW w:w="1980" w:type="dxa"/>
          </w:tcPr>
          <w:p w:rsidR="0095096B" w:rsidRPr="002E2327" w:rsidRDefault="00DC1E68" w:rsidP="0095096B">
            <w:pPr>
              <w:jc w:val="center"/>
              <w:rPr>
                <w:rFonts w:cs="Times New Roman"/>
                <w:sz w:val="20"/>
                <w:szCs w:val="20"/>
              </w:rPr>
            </w:pPr>
            <w:r>
              <w:rPr>
                <w:rFonts w:cs="Times New Roman"/>
                <w:sz w:val="20"/>
                <w:szCs w:val="20"/>
              </w:rPr>
              <w:t>599</w:t>
            </w:r>
            <w:r w:rsidR="002D1795" w:rsidRPr="002E2327">
              <w:rPr>
                <w:rFonts w:cs="Times New Roman"/>
                <w:sz w:val="20"/>
                <w:szCs w:val="20"/>
              </w:rPr>
              <w:fldChar w:fldCharType="begin"/>
            </w:r>
            <w:r w:rsidR="0095096B" w:rsidRPr="002E2327">
              <w:rPr>
                <w:rFonts w:cs="Times New Roman"/>
                <w:sz w:val="20"/>
                <w:szCs w:val="20"/>
              </w:rPr>
              <w:instrText xml:space="preserve"> SEQ CHAPTER \h \r 1</w:instrText>
            </w:r>
            <w:r w:rsidR="002D1795"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C1E68" w:rsidP="0095096B">
            <w:pPr>
              <w:jc w:val="center"/>
              <w:rPr>
                <w:rFonts w:cs="Times New Roman"/>
                <w:sz w:val="20"/>
                <w:szCs w:val="20"/>
              </w:rPr>
            </w:pPr>
            <w:r>
              <w:rPr>
                <w:rFonts w:cs="Times New Roman"/>
                <w:sz w:val="20"/>
                <w:szCs w:val="20"/>
              </w:rPr>
              <w:t>600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4163E" w:rsidP="0095096B">
            <w:pPr>
              <w:jc w:val="center"/>
              <w:rPr>
                <w:rFonts w:cs="Times New Roman"/>
                <w:sz w:val="20"/>
                <w:szCs w:val="20"/>
              </w:rPr>
            </w:pPr>
            <w:r>
              <w:rPr>
                <w:rFonts w:cs="Times New Roman"/>
                <w:sz w:val="20"/>
                <w:szCs w:val="20"/>
              </w:rPr>
              <w:t xml:space="preserve">601 </w:t>
            </w:r>
            <w:r w:rsidR="0095096B" w:rsidRPr="002E2327">
              <w:rPr>
                <w:rFonts w:cs="Times New Roman"/>
                <w:sz w:val="20"/>
                <w:szCs w:val="20"/>
              </w:rPr>
              <w:t>-</w:t>
            </w:r>
            <w:r w:rsidR="003C1946">
              <w:rPr>
                <w:rFonts w:cs="Times New Roman"/>
                <w:sz w:val="20"/>
                <w:szCs w:val="20"/>
              </w:rPr>
              <w:t xml:space="preserve"> 627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C1946" w:rsidP="0095096B">
            <w:pPr>
              <w:jc w:val="center"/>
              <w:rPr>
                <w:rFonts w:cs="Times New Roman"/>
                <w:sz w:val="20"/>
                <w:szCs w:val="20"/>
              </w:rPr>
            </w:pPr>
            <w:r>
              <w:rPr>
                <w:rFonts w:cs="Times New Roman"/>
                <w:sz w:val="20"/>
                <w:szCs w:val="20"/>
              </w:rPr>
              <w:t xml:space="preserve">628 </w:t>
            </w:r>
            <w:r w:rsidR="0095096B" w:rsidRPr="002E2327">
              <w:rPr>
                <w:rFonts w:cs="Times New Roman"/>
                <w:sz w:val="20"/>
                <w:szCs w:val="20"/>
              </w:rPr>
              <w:t>-</w:t>
            </w:r>
            <w:r w:rsidR="00B70797">
              <w:rPr>
                <w:rFonts w:cs="Times New Roman"/>
                <w:sz w:val="20"/>
                <w:szCs w:val="20"/>
              </w:rPr>
              <w:t xml:space="preserve"> 632</w:t>
            </w:r>
          </w:p>
          <w:p w:rsidR="00A87207" w:rsidRPr="002E2327" w:rsidRDefault="00A87207" w:rsidP="00087A11">
            <w:pPr>
              <w:jc w:val="center"/>
              <w:rPr>
                <w:rFonts w:cs="Times New Roman"/>
                <w:sz w:val="20"/>
                <w:szCs w:val="20"/>
              </w:rPr>
            </w:pPr>
          </w:p>
        </w:tc>
        <w:tc>
          <w:tcPr>
            <w:tcW w:w="3888" w:type="dxa"/>
          </w:tcPr>
          <w:p w:rsidR="0095096B" w:rsidRPr="002E2327" w:rsidRDefault="002D179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A87207" w:rsidRPr="002E2327" w:rsidRDefault="00A87207" w:rsidP="00087A11">
            <w:pPr>
              <w:tabs>
                <w:tab w:val="right" w:pos="9360"/>
              </w:tabs>
              <w:rPr>
                <w:rFonts w:cs="Times New Roman"/>
                <w:sz w:val="20"/>
                <w:szCs w:val="20"/>
                <w:lang w:val="fr-CA"/>
              </w:rPr>
            </w:pPr>
          </w:p>
        </w:tc>
      </w:tr>
    </w:tbl>
    <w:p w:rsidR="0095096B" w:rsidRDefault="0095096B" w:rsidP="0095096B">
      <w:pPr>
        <w:tabs>
          <w:tab w:val="right" w:pos="9360"/>
        </w:tabs>
        <w:rPr>
          <w:sz w:val="20"/>
          <w:szCs w:val="20"/>
        </w:rPr>
      </w:pPr>
    </w:p>
    <w:p w:rsidR="00951BFE" w:rsidRDefault="00951BFE" w:rsidP="0095096B">
      <w:pPr>
        <w:tabs>
          <w:tab w:val="right" w:pos="9360"/>
        </w:tabs>
        <w:rPr>
          <w:sz w:val="20"/>
          <w:szCs w:val="20"/>
        </w:rPr>
      </w:pPr>
    </w:p>
    <w:p w:rsidR="00951BFE" w:rsidRDefault="00951BFE" w:rsidP="0095096B">
      <w:pPr>
        <w:tabs>
          <w:tab w:val="right" w:pos="9360"/>
        </w:tabs>
        <w:rPr>
          <w:sz w:val="20"/>
          <w:szCs w:val="20"/>
        </w:rPr>
      </w:pPr>
    </w:p>
    <w:p w:rsidR="00951BFE" w:rsidRDefault="00951BFE" w:rsidP="0095096B">
      <w:pPr>
        <w:tabs>
          <w:tab w:val="right" w:pos="9360"/>
        </w:tabs>
        <w:rPr>
          <w:sz w:val="20"/>
          <w:szCs w:val="20"/>
        </w:rPr>
      </w:pPr>
    </w:p>
    <w:p w:rsidR="00951BFE" w:rsidRPr="00951BFE" w:rsidRDefault="00951BFE" w:rsidP="0095096B">
      <w:pPr>
        <w:tabs>
          <w:tab w:val="right" w:pos="9360"/>
        </w:tabs>
        <w:rPr>
          <w:sz w:val="20"/>
          <w:szCs w:val="20"/>
        </w:rPr>
      </w:pPr>
    </w:p>
    <w:tbl>
      <w:tblPr>
        <w:tblStyle w:val="TableGrid"/>
        <w:tblW w:w="0" w:type="auto"/>
        <w:tblLook w:val="04A0" w:firstRow="1" w:lastRow="0" w:firstColumn="1" w:lastColumn="0" w:noHBand="0" w:noVBand="1"/>
      </w:tblPr>
      <w:tblGrid>
        <w:gridCol w:w="9576"/>
      </w:tblGrid>
      <w:tr w:rsidR="0079724F" w:rsidRPr="0079098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8F1116" w:rsidRPr="00C21644" w:rsidTr="003B3977">
        <w:tc>
          <w:tcPr>
            <w:tcW w:w="4320" w:type="dxa"/>
            <w:shd w:val="clear" w:color="auto" w:fill="auto"/>
          </w:tcPr>
          <w:p w:rsidR="008F1116" w:rsidRPr="008F1116" w:rsidRDefault="008F1116" w:rsidP="005F1ED8">
            <w:pPr>
              <w:rPr>
                <w:b/>
                <w:sz w:val="20"/>
                <w:szCs w:val="20"/>
              </w:rPr>
            </w:pPr>
            <w:r w:rsidRPr="008F1116">
              <w:rPr>
                <w:b/>
                <w:sz w:val="20"/>
                <w:szCs w:val="20"/>
              </w:rPr>
              <w:t>Ali Hassan Saeed</w:t>
            </w:r>
          </w:p>
          <w:p w:rsidR="008F1116" w:rsidRPr="00702050" w:rsidRDefault="008F1116" w:rsidP="005F1ED8">
            <w:pPr>
              <w:tabs>
                <w:tab w:val="left" w:pos="-1440"/>
                <w:tab w:val="left" w:pos="-720"/>
              </w:tabs>
              <w:rPr>
                <w:sz w:val="20"/>
                <w:szCs w:val="20"/>
              </w:rPr>
            </w:pPr>
            <w:r w:rsidRPr="008F1116">
              <w:rPr>
                <w:sz w:val="20"/>
                <w:szCs w:val="20"/>
              </w:rPr>
              <w:tab/>
            </w:r>
            <w:r w:rsidRPr="00702050">
              <w:rPr>
                <w:sz w:val="20"/>
                <w:szCs w:val="20"/>
              </w:rPr>
              <w:t xml:space="preserve">Peter J. Royal, Q.C. </w:t>
            </w:r>
          </w:p>
          <w:p w:rsidR="008F1116" w:rsidRPr="00233E21" w:rsidRDefault="008F1116" w:rsidP="005F1ED8">
            <w:pPr>
              <w:tabs>
                <w:tab w:val="left" w:pos="-1440"/>
                <w:tab w:val="left" w:pos="-720"/>
              </w:tabs>
              <w:rPr>
                <w:sz w:val="20"/>
                <w:szCs w:val="20"/>
              </w:rPr>
            </w:pPr>
            <w:r w:rsidRPr="00702050">
              <w:rPr>
                <w:sz w:val="20"/>
                <w:szCs w:val="20"/>
              </w:rPr>
              <w:tab/>
            </w:r>
            <w:r w:rsidR="006635B0">
              <w:rPr>
                <w:sz w:val="20"/>
                <w:szCs w:val="20"/>
              </w:rPr>
              <w:t>Ro</w:t>
            </w:r>
            <w:r w:rsidRPr="00233E21">
              <w:rPr>
                <w:sz w:val="20"/>
                <w:szCs w:val="20"/>
              </w:rPr>
              <w:t>y</w:t>
            </w:r>
            <w:r w:rsidR="006635B0">
              <w:rPr>
                <w:sz w:val="20"/>
                <w:szCs w:val="20"/>
              </w:rPr>
              <w:t>a</w:t>
            </w:r>
            <w:r w:rsidRPr="00233E21">
              <w:rPr>
                <w:sz w:val="20"/>
                <w:szCs w:val="20"/>
              </w:rPr>
              <w:t>l</w:t>
            </w:r>
            <w:r w:rsidR="006635B0">
              <w:rPr>
                <w:sz w:val="20"/>
                <w:szCs w:val="20"/>
              </w:rPr>
              <w:t xml:space="preserve"> &amp; Compa</w:t>
            </w:r>
            <w:r w:rsidRPr="00233E21">
              <w:rPr>
                <w:sz w:val="20"/>
                <w:szCs w:val="20"/>
              </w:rPr>
              <w:t>n</w:t>
            </w:r>
            <w:r w:rsidR="006635B0">
              <w:rPr>
                <w:sz w:val="20"/>
                <w:szCs w:val="20"/>
              </w:rPr>
              <w:t>y</w:t>
            </w:r>
          </w:p>
          <w:p w:rsidR="008F1116" w:rsidRPr="00233E21" w:rsidRDefault="008F1116" w:rsidP="005F1ED8">
            <w:pPr>
              <w:tabs>
                <w:tab w:val="left" w:pos="-1440"/>
                <w:tab w:val="left" w:pos="-720"/>
              </w:tabs>
              <w:rPr>
                <w:sz w:val="20"/>
                <w:szCs w:val="20"/>
              </w:rPr>
            </w:pPr>
          </w:p>
          <w:p w:rsidR="008F1116" w:rsidRPr="00702050" w:rsidRDefault="008F1116" w:rsidP="005F1ED8">
            <w:pPr>
              <w:tabs>
                <w:tab w:val="left" w:pos="-1440"/>
                <w:tab w:val="left" w:pos="-720"/>
              </w:tabs>
              <w:rPr>
                <w:sz w:val="20"/>
                <w:szCs w:val="20"/>
              </w:rPr>
            </w:pPr>
            <w:r w:rsidRPr="00233E21">
              <w:rPr>
                <w:sz w:val="20"/>
                <w:szCs w:val="20"/>
              </w:rPr>
              <w:tab/>
              <w:t>v. (36</w:t>
            </w:r>
            <w:r w:rsidR="00702050" w:rsidRPr="00233E21">
              <w:rPr>
                <w:sz w:val="20"/>
                <w:szCs w:val="20"/>
              </w:rPr>
              <w:t>32</w:t>
            </w:r>
            <w:r w:rsidRPr="00233E21">
              <w:rPr>
                <w:sz w:val="20"/>
                <w:szCs w:val="20"/>
              </w:rPr>
              <w:t>8)</w:t>
            </w:r>
          </w:p>
          <w:p w:rsidR="008F1116" w:rsidRPr="00702050" w:rsidRDefault="008F1116" w:rsidP="005F1ED8">
            <w:pPr>
              <w:tabs>
                <w:tab w:val="left" w:pos="-1440"/>
                <w:tab w:val="left" w:pos="-720"/>
              </w:tabs>
              <w:rPr>
                <w:sz w:val="20"/>
                <w:szCs w:val="20"/>
              </w:rPr>
            </w:pPr>
          </w:p>
          <w:p w:rsidR="008F1116" w:rsidRPr="00702050" w:rsidRDefault="008F1116" w:rsidP="005F1ED8">
            <w:pPr>
              <w:tabs>
                <w:tab w:val="left" w:pos="-1440"/>
                <w:tab w:val="left" w:pos="-720"/>
              </w:tabs>
              <w:rPr>
                <w:b/>
                <w:sz w:val="20"/>
                <w:szCs w:val="20"/>
              </w:rPr>
            </w:pPr>
            <w:r w:rsidRPr="00702050">
              <w:rPr>
                <w:b/>
                <w:sz w:val="20"/>
                <w:szCs w:val="20"/>
              </w:rPr>
              <w:t>Her Majesty the Queen</w:t>
            </w:r>
            <w:r w:rsidRPr="00702050">
              <w:rPr>
                <w:sz w:val="20"/>
                <w:szCs w:val="20"/>
              </w:rPr>
              <w:t xml:space="preserve"> </w:t>
            </w:r>
            <w:r w:rsidRPr="00702050">
              <w:rPr>
                <w:b/>
                <w:sz w:val="20"/>
                <w:szCs w:val="20"/>
              </w:rPr>
              <w:t>(Alta.)</w:t>
            </w:r>
          </w:p>
          <w:p w:rsidR="008F1116" w:rsidRPr="008F1116" w:rsidRDefault="008F1116" w:rsidP="005F1ED8">
            <w:pPr>
              <w:tabs>
                <w:tab w:val="left" w:pos="-1440"/>
                <w:tab w:val="left" w:pos="-720"/>
              </w:tabs>
              <w:rPr>
                <w:sz w:val="20"/>
                <w:szCs w:val="20"/>
              </w:rPr>
            </w:pPr>
            <w:r w:rsidRPr="00702050">
              <w:rPr>
                <w:sz w:val="20"/>
                <w:szCs w:val="20"/>
              </w:rPr>
              <w:tab/>
            </w:r>
            <w:r w:rsidRPr="008F1116">
              <w:rPr>
                <w:sz w:val="20"/>
                <w:szCs w:val="20"/>
              </w:rPr>
              <w:t>Joanne Dartana</w:t>
            </w:r>
          </w:p>
          <w:p w:rsidR="008F1116" w:rsidRPr="008F1116" w:rsidRDefault="008F1116" w:rsidP="005F1ED8">
            <w:pPr>
              <w:tabs>
                <w:tab w:val="left" w:pos="-1440"/>
                <w:tab w:val="left" w:pos="-720"/>
              </w:tabs>
              <w:rPr>
                <w:sz w:val="20"/>
                <w:szCs w:val="20"/>
              </w:rPr>
            </w:pPr>
            <w:r w:rsidRPr="008F1116">
              <w:rPr>
                <w:sz w:val="20"/>
                <w:szCs w:val="20"/>
              </w:rPr>
              <w:tab/>
              <w:t>A.G. of Alberta</w:t>
            </w:r>
          </w:p>
          <w:p w:rsidR="008F1116" w:rsidRPr="008F1116" w:rsidRDefault="008F1116" w:rsidP="005F1ED8">
            <w:pPr>
              <w:tabs>
                <w:tab w:val="left" w:pos="-1440"/>
                <w:tab w:val="left" w:pos="-720"/>
              </w:tabs>
              <w:rPr>
                <w:sz w:val="20"/>
                <w:szCs w:val="20"/>
              </w:rPr>
            </w:pPr>
          </w:p>
          <w:p w:rsidR="008F1116" w:rsidRPr="008F1116" w:rsidRDefault="008F1116" w:rsidP="005F1ED8">
            <w:pPr>
              <w:rPr>
                <w:sz w:val="20"/>
                <w:szCs w:val="20"/>
                <w:lang w:val="fr-CA"/>
              </w:rPr>
            </w:pPr>
            <w:r w:rsidRPr="008F1116">
              <w:rPr>
                <w:sz w:val="20"/>
                <w:szCs w:val="20"/>
                <w:lang w:val="fr-CA"/>
              </w:rPr>
              <w:t xml:space="preserve">FILING DATE: </w:t>
            </w:r>
            <w:r>
              <w:rPr>
                <w:sz w:val="20"/>
                <w:szCs w:val="20"/>
                <w:lang w:val="fr-CA"/>
              </w:rPr>
              <w:t>25</w:t>
            </w:r>
            <w:r w:rsidRPr="008F1116">
              <w:rPr>
                <w:sz w:val="20"/>
                <w:szCs w:val="20"/>
                <w:lang w:val="fr-CA"/>
              </w:rPr>
              <w:t>.</w:t>
            </w:r>
            <w:r>
              <w:rPr>
                <w:sz w:val="20"/>
                <w:szCs w:val="20"/>
                <w:lang w:val="fr-CA"/>
              </w:rPr>
              <w:t>02</w:t>
            </w:r>
            <w:r w:rsidRPr="008F1116">
              <w:rPr>
                <w:sz w:val="20"/>
                <w:szCs w:val="20"/>
                <w:lang w:val="fr-CA"/>
              </w:rPr>
              <w:t>.201</w:t>
            </w:r>
            <w:r>
              <w:rPr>
                <w:sz w:val="20"/>
                <w:szCs w:val="20"/>
                <w:lang w:val="fr-CA"/>
              </w:rPr>
              <w:t>5</w:t>
            </w:r>
          </w:p>
          <w:p w:rsidR="008F1116" w:rsidRPr="008F1116" w:rsidRDefault="00790981" w:rsidP="005F1ED8">
            <w:pPr>
              <w:rPr>
                <w:sz w:val="20"/>
                <w:szCs w:val="20"/>
                <w:lang w:val="fr-CA"/>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8F1116" w:rsidRPr="008F1116" w:rsidRDefault="008F1116" w:rsidP="00242AEE">
            <w:pPr>
              <w:jc w:val="center"/>
              <w:rPr>
                <w:sz w:val="20"/>
                <w:szCs w:val="20"/>
                <w:lang w:val="fr-CA"/>
              </w:rPr>
            </w:pPr>
          </w:p>
          <w:p w:rsidR="008F1116" w:rsidRPr="008F1116" w:rsidRDefault="008F1116" w:rsidP="00242AEE">
            <w:pPr>
              <w:jc w:val="center"/>
              <w:rPr>
                <w:sz w:val="20"/>
                <w:szCs w:val="20"/>
                <w:lang w:val="fr-CA"/>
              </w:rPr>
            </w:pPr>
          </w:p>
          <w:p w:rsidR="008F1116" w:rsidRPr="008F1116" w:rsidRDefault="008F1116" w:rsidP="00242AEE">
            <w:pPr>
              <w:jc w:val="center"/>
              <w:rPr>
                <w:sz w:val="20"/>
                <w:szCs w:val="20"/>
                <w:lang w:val="fr-CA"/>
              </w:rPr>
            </w:pPr>
          </w:p>
          <w:p w:rsidR="008F1116" w:rsidRPr="008F1116" w:rsidRDefault="008F1116" w:rsidP="00242AEE">
            <w:pPr>
              <w:jc w:val="center"/>
              <w:rPr>
                <w:sz w:val="20"/>
                <w:szCs w:val="20"/>
                <w:lang w:val="fr-CA"/>
              </w:rPr>
            </w:pPr>
          </w:p>
          <w:p w:rsidR="008F1116" w:rsidRPr="008F1116" w:rsidRDefault="008F1116" w:rsidP="00242AEE">
            <w:pPr>
              <w:jc w:val="center"/>
              <w:rPr>
                <w:sz w:val="20"/>
                <w:szCs w:val="20"/>
                <w:lang w:val="fr-CA"/>
              </w:rPr>
            </w:pPr>
          </w:p>
          <w:p w:rsidR="008F1116" w:rsidRPr="008F1116" w:rsidRDefault="008F1116" w:rsidP="00242AEE">
            <w:pPr>
              <w:jc w:val="center"/>
              <w:rPr>
                <w:sz w:val="20"/>
                <w:szCs w:val="20"/>
                <w:lang w:val="fr-CA"/>
              </w:rPr>
            </w:pPr>
          </w:p>
          <w:p w:rsidR="008F1116" w:rsidRPr="008F1116" w:rsidRDefault="008F1116" w:rsidP="00242AEE">
            <w:pPr>
              <w:jc w:val="center"/>
              <w:rPr>
                <w:sz w:val="20"/>
                <w:szCs w:val="20"/>
                <w:lang w:val="fr-CA"/>
              </w:rPr>
            </w:pPr>
          </w:p>
          <w:p w:rsidR="008F1116" w:rsidRPr="008F1116" w:rsidRDefault="008F1116" w:rsidP="00242AEE">
            <w:pPr>
              <w:jc w:val="center"/>
              <w:rPr>
                <w:sz w:val="20"/>
                <w:szCs w:val="20"/>
                <w:lang w:val="fr-CA"/>
              </w:rPr>
            </w:pPr>
          </w:p>
          <w:p w:rsidR="008F1116" w:rsidRPr="008F1116" w:rsidRDefault="008F1116" w:rsidP="00242AEE">
            <w:pPr>
              <w:jc w:val="center"/>
              <w:rPr>
                <w:sz w:val="20"/>
                <w:szCs w:val="20"/>
                <w:lang w:val="fr-CA"/>
              </w:rPr>
            </w:pPr>
          </w:p>
          <w:p w:rsidR="008F1116" w:rsidRPr="008F1116" w:rsidRDefault="008F1116" w:rsidP="00242AEE">
            <w:pPr>
              <w:jc w:val="center"/>
              <w:rPr>
                <w:sz w:val="20"/>
                <w:szCs w:val="20"/>
                <w:lang w:val="fr-CA"/>
              </w:rPr>
            </w:pPr>
          </w:p>
          <w:p w:rsidR="008F1116" w:rsidRPr="008F1116" w:rsidRDefault="008F1116" w:rsidP="00242AEE">
            <w:pPr>
              <w:jc w:val="center"/>
              <w:rPr>
                <w:sz w:val="20"/>
                <w:szCs w:val="20"/>
                <w:lang w:val="fr-CA"/>
              </w:rPr>
            </w:pPr>
          </w:p>
          <w:p w:rsidR="008F1116" w:rsidRPr="008F1116" w:rsidRDefault="008F1116" w:rsidP="00242AEE">
            <w:pPr>
              <w:jc w:val="center"/>
              <w:rPr>
                <w:sz w:val="20"/>
                <w:szCs w:val="20"/>
                <w:lang w:val="fr-CA"/>
              </w:rPr>
            </w:pPr>
          </w:p>
          <w:p w:rsidR="008F1116" w:rsidRPr="008F1116" w:rsidRDefault="008F1116" w:rsidP="00242AEE">
            <w:pPr>
              <w:jc w:val="center"/>
              <w:rPr>
                <w:sz w:val="20"/>
                <w:szCs w:val="20"/>
                <w:lang w:val="fr-CA"/>
              </w:rPr>
            </w:pPr>
          </w:p>
        </w:tc>
        <w:tc>
          <w:tcPr>
            <w:tcW w:w="4320" w:type="dxa"/>
            <w:shd w:val="clear" w:color="auto" w:fill="auto"/>
          </w:tcPr>
          <w:p w:rsidR="008F1116" w:rsidRPr="00A935AA" w:rsidRDefault="008F1116" w:rsidP="00B243C4">
            <w:pPr>
              <w:rPr>
                <w:sz w:val="20"/>
                <w:szCs w:val="20"/>
              </w:rPr>
            </w:pPr>
          </w:p>
        </w:tc>
      </w:tr>
    </w:tbl>
    <w:p w:rsidR="00242AEE" w:rsidRDefault="00242AEE" w:rsidP="0095096B">
      <w:pPr>
        <w:tabs>
          <w:tab w:val="right" w:pos="9360"/>
        </w:tabs>
        <w:rPr>
          <w:sz w:val="20"/>
          <w:szCs w:val="20"/>
        </w:rPr>
      </w:pPr>
    </w:p>
    <w:p w:rsidR="00702050" w:rsidRDefault="00702050"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DC1E68">
          <w:headerReference w:type="default" r:id="rId17"/>
          <w:footerReference w:type="default" r:id="rId18"/>
          <w:headerReference w:type="first" r:id="rId19"/>
          <w:footerReference w:type="first" r:id="rId20"/>
          <w:pgSz w:w="12240" w:h="15840"/>
          <w:pgMar w:top="720" w:right="965" w:bottom="1080" w:left="1656" w:header="706" w:footer="706" w:gutter="0"/>
          <w:pgNumType w:start="59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9098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A</w:t>
      </w:r>
      <w:r w:rsidR="00830DF8">
        <w:rPr>
          <w:b/>
          <w:sz w:val="20"/>
          <w:szCs w:val="20"/>
        </w:rPr>
        <w:t>P</w:t>
      </w:r>
      <w:r>
        <w:rPr>
          <w:b/>
          <w:sz w:val="20"/>
          <w:szCs w:val="20"/>
        </w:rPr>
        <w:t>R</w:t>
      </w:r>
      <w:r w:rsidR="00830DF8">
        <w:rPr>
          <w:b/>
          <w:sz w:val="20"/>
          <w:szCs w:val="20"/>
        </w:rPr>
        <w:t>IL</w:t>
      </w:r>
      <w:r>
        <w:rPr>
          <w:b/>
          <w:sz w:val="20"/>
          <w:szCs w:val="20"/>
        </w:rPr>
        <w:t xml:space="preserve"> </w:t>
      </w:r>
      <w:r w:rsidR="00830DF8">
        <w:rPr>
          <w:b/>
          <w:sz w:val="20"/>
          <w:szCs w:val="20"/>
        </w:rPr>
        <w:t>7</w:t>
      </w:r>
      <w:r w:rsidRPr="00C50A5C">
        <w:rPr>
          <w:b/>
          <w:sz w:val="20"/>
          <w:szCs w:val="20"/>
        </w:rPr>
        <w:t>, 201</w:t>
      </w:r>
      <w:r w:rsidR="00020DC3">
        <w:rPr>
          <w:b/>
          <w:sz w:val="20"/>
          <w:szCs w:val="20"/>
        </w:rPr>
        <w:t>5</w:t>
      </w:r>
      <w:r w:rsidRPr="00C50A5C">
        <w:rPr>
          <w:b/>
          <w:sz w:val="20"/>
          <w:szCs w:val="20"/>
        </w:rPr>
        <w:t xml:space="preserve"> / LE </w:t>
      </w:r>
      <w:r w:rsidR="00830DF8">
        <w:rPr>
          <w:b/>
          <w:sz w:val="20"/>
          <w:szCs w:val="20"/>
        </w:rPr>
        <w:t>7</w:t>
      </w:r>
      <w:r>
        <w:rPr>
          <w:b/>
          <w:sz w:val="20"/>
          <w:szCs w:val="20"/>
        </w:rPr>
        <w:t xml:space="preserve"> AVR</w:t>
      </w:r>
      <w:r w:rsidR="00830DF8">
        <w:rPr>
          <w:b/>
          <w:sz w:val="20"/>
          <w:szCs w:val="20"/>
        </w:rPr>
        <w:t>IL</w:t>
      </w:r>
      <w:r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FA0CA2" w:rsidP="00CB3520">
      <w:pPr>
        <w:pStyle w:val="ListParagraph"/>
        <w:widowControl w:val="0"/>
        <w:numPr>
          <w:ilvl w:val="0"/>
          <w:numId w:val="1"/>
        </w:numPr>
        <w:ind w:hanging="720"/>
        <w:jc w:val="both"/>
        <w:rPr>
          <w:sz w:val="20"/>
          <w:szCs w:val="20"/>
        </w:rPr>
      </w:pPr>
      <w:r w:rsidRPr="00FA0CA2">
        <w:rPr>
          <w:i/>
          <w:sz w:val="20"/>
          <w:szCs w:val="20"/>
        </w:rPr>
        <w:t>[W.P.] et al. v. Her Majesty the Queen et al.</w:t>
      </w:r>
      <w:r w:rsidRPr="00FA0CA2">
        <w:rPr>
          <w:sz w:val="20"/>
          <w:szCs w:val="20"/>
        </w:rPr>
        <w:t xml:space="preserve"> </w:t>
      </w:r>
      <w:r w:rsidRPr="00FA0CA2">
        <w:rPr>
          <w:sz w:val="20"/>
          <w:szCs w:val="20"/>
          <w:lang w:val="fr-CA"/>
        </w:rPr>
        <w:t xml:space="preserve">(Alta.) </w:t>
      </w:r>
      <w:r w:rsidRPr="00FA0CA2">
        <w:rPr>
          <w:sz w:val="20"/>
          <w:szCs w:val="20"/>
        </w:rPr>
        <w:t>(Civil) (By Leave)</w:t>
      </w:r>
      <w:r w:rsidRPr="00C50A5C">
        <w:rPr>
          <w:sz w:val="20"/>
          <w:szCs w:val="20"/>
        </w:rPr>
        <w:t xml:space="preserve"> </w:t>
      </w:r>
      <w:r w:rsidR="00CB3520" w:rsidRPr="00C50A5C">
        <w:rPr>
          <w:sz w:val="20"/>
          <w:szCs w:val="20"/>
        </w:rPr>
        <w:t>(3</w:t>
      </w:r>
      <w:r w:rsidR="00CB3520">
        <w:rPr>
          <w:sz w:val="20"/>
          <w:szCs w:val="20"/>
        </w:rPr>
        <w:t>62</w:t>
      </w:r>
      <w:r w:rsidR="00830DF8">
        <w:rPr>
          <w:sz w:val="20"/>
          <w:szCs w:val="20"/>
        </w:rPr>
        <w:t>85</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FA0CA2" w:rsidP="00CB3520">
      <w:pPr>
        <w:pStyle w:val="ListParagraph"/>
        <w:widowControl w:val="0"/>
        <w:numPr>
          <w:ilvl w:val="0"/>
          <w:numId w:val="1"/>
        </w:numPr>
        <w:ind w:hanging="720"/>
        <w:jc w:val="both"/>
        <w:rPr>
          <w:sz w:val="20"/>
          <w:szCs w:val="20"/>
        </w:rPr>
      </w:pPr>
      <w:r w:rsidRPr="00FA0CA2">
        <w:rPr>
          <w:i/>
          <w:sz w:val="20"/>
          <w:szCs w:val="20"/>
        </w:rPr>
        <w:t>Louis Peter Tekavec et al. v. Her Majesty the Queen in Right of the Province of British Columbia</w:t>
      </w:r>
      <w:r w:rsidRPr="00FA0CA2">
        <w:rPr>
          <w:sz w:val="20"/>
          <w:szCs w:val="20"/>
        </w:rPr>
        <w:t xml:space="preserve"> (B.C.) (Civil) (By Leave)</w:t>
      </w:r>
      <w:r w:rsidRPr="00C612D0">
        <w:rPr>
          <w:sz w:val="20"/>
          <w:szCs w:val="20"/>
        </w:rPr>
        <w:t xml:space="preserve"> </w:t>
      </w:r>
      <w:r w:rsidR="00CB3520" w:rsidRPr="00C612D0">
        <w:rPr>
          <w:sz w:val="20"/>
          <w:szCs w:val="20"/>
        </w:rPr>
        <w:t>(3</w:t>
      </w:r>
      <w:r w:rsidR="00CB3520">
        <w:rPr>
          <w:sz w:val="20"/>
          <w:szCs w:val="20"/>
        </w:rPr>
        <w:t>6</w:t>
      </w:r>
      <w:r w:rsidR="00830DF8">
        <w:rPr>
          <w:sz w:val="20"/>
          <w:szCs w:val="20"/>
        </w:rPr>
        <w:t>269</w:t>
      </w:r>
      <w:r w:rsidR="00CB3520" w:rsidRPr="00C612D0">
        <w:rPr>
          <w:sz w:val="20"/>
          <w:szCs w:val="20"/>
        </w:rPr>
        <w:t>)</w:t>
      </w:r>
    </w:p>
    <w:p w:rsidR="00CB3520" w:rsidRDefault="00CB3520" w:rsidP="00CB3520">
      <w:pPr>
        <w:widowControl w:val="0"/>
        <w:jc w:val="both"/>
        <w:rPr>
          <w:sz w:val="20"/>
          <w:szCs w:val="20"/>
        </w:rPr>
      </w:pPr>
    </w:p>
    <w:p w:rsidR="00830DF8" w:rsidRDefault="00830DF8" w:rsidP="00CB3520">
      <w:pPr>
        <w:widowControl w:val="0"/>
        <w:jc w:val="both"/>
        <w:rPr>
          <w:sz w:val="20"/>
          <w:szCs w:val="20"/>
        </w:rPr>
      </w:pPr>
    </w:p>
    <w:p w:rsidR="00830DF8" w:rsidRPr="00830DF8" w:rsidRDefault="00830DF8" w:rsidP="00830DF8">
      <w:pPr>
        <w:widowControl w:val="0"/>
        <w:jc w:val="center"/>
        <w:rPr>
          <w:b/>
          <w:sz w:val="20"/>
          <w:szCs w:val="20"/>
          <w:lang w:val="fr-CA"/>
        </w:rPr>
      </w:pPr>
      <w:r w:rsidRPr="00830DF8">
        <w:rPr>
          <w:b/>
          <w:sz w:val="20"/>
          <w:szCs w:val="20"/>
          <w:lang w:val="fr-CA"/>
        </w:rPr>
        <w:t>CORAM: Abella, Karakatsanis and Côté JJ.</w:t>
      </w:r>
    </w:p>
    <w:p w:rsidR="00830DF8" w:rsidRPr="00C50A5C" w:rsidRDefault="00830DF8" w:rsidP="00830DF8">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830DF8" w:rsidRPr="00830DF8" w:rsidRDefault="00830DF8" w:rsidP="00CB3520">
      <w:pPr>
        <w:widowControl w:val="0"/>
        <w:jc w:val="both"/>
        <w:rPr>
          <w:sz w:val="20"/>
          <w:szCs w:val="20"/>
          <w:lang w:val="fr-CA"/>
        </w:rPr>
      </w:pPr>
    </w:p>
    <w:p w:rsidR="00CB3520" w:rsidRPr="00C50A5C" w:rsidRDefault="00FA0CA2" w:rsidP="00CB3520">
      <w:pPr>
        <w:pStyle w:val="ListParagraph"/>
        <w:widowControl w:val="0"/>
        <w:numPr>
          <w:ilvl w:val="0"/>
          <w:numId w:val="1"/>
        </w:numPr>
        <w:ind w:hanging="720"/>
        <w:jc w:val="both"/>
        <w:rPr>
          <w:sz w:val="20"/>
          <w:szCs w:val="20"/>
        </w:rPr>
      </w:pPr>
      <w:r w:rsidRPr="00FA0CA2">
        <w:rPr>
          <w:i/>
          <w:sz w:val="20"/>
          <w:szCs w:val="20"/>
        </w:rPr>
        <w:t>Jason Daoust-Crochetiere v. Her Majesty the Queen in Right of the Province of Ontario as represented by the Minister of Natural Resources for the Province of Ontario</w:t>
      </w:r>
      <w:r w:rsidRPr="00FA0CA2">
        <w:rPr>
          <w:sz w:val="20"/>
          <w:szCs w:val="20"/>
        </w:rPr>
        <w:t xml:space="preserve"> (Ont.) (Civil) (By Leave)</w:t>
      </w:r>
      <w:r w:rsidRPr="00940CAD">
        <w:rPr>
          <w:sz w:val="20"/>
          <w:szCs w:val="20"/>
        </w:rPr>
        <w:t xml:space="preserve"> </w:t>
      </w:r>
      <w:r w:rsidR="00CB3520" w:rsidRPr="00940CAD">
        <w:rPr>
          <w:sz w:val="20"/>
          <w:szCs w:val="20"/>
        </w:rPr>
        <w:t>(3</w:t>
      </w:r>
      <w:r w:rsidR="00830DF8">
        <w:rPr>
          <w:sz w:val="20"/>
          <w:szCs w:val="20"/>
        </w:rPr>
        <w:t>62</w:t>
      </w:r>
      <w:r w:rsidR="00CB3520">
        <w:rPr>
          <w:sz w:val="20"/>
          <w:szCs w:val="20"/>
        </w:rPr>
        <w:t>40</w:t>
      </w:r>
      <w:r w:rsidR="00CB3520" w:rsidRPr="00940CAD">
        <w:rPr>
          <w:sz w:val="20"/>
          <w:szCs w:val="20"/>
        </w:rPr>
        <w:t>)</w:t>
      </w:r>
    </w:p>
    <w:p w:rsidR="00CB3520" w:rsidRPr="00C50A5C" w:rsidRDefault="00CB3520" w:rsidP="00CB3520">
      <w:pPr>
        <w:widowControl w:val="0"/>
        <w:rPr>
          <w:sz w:val="20"/>
          <w:szCs w:val="20"/>
        </w:rPr>
      </w:pPr>
    </w:p>
    <w:p w:rsidR="00CB3520" w:rsidRPr="00C50A5C" w:rsidRDefault="00FA0CA2" w:rsidP="00CB3520">
      <w:pPr>
        <w:pStyle w:val="ListParagraph"/>
        <w:widowControl w:val="0"/>
        <w:numPr>
          <w:ilvl w:val="0"/>
          <w:numId w:val="1"/>
        </w:numPr>
        <w:ind w:hanging="720"/>
        <w:jc w:val="both"/>
        <w:rPr>
          <w:sz w:val="20"/>
          <w:szCs w:val="20"/>
        </w:rPr>
      </w:pPr>
      <w:r w:rsidRPr="00FA0CA2">
        <w:rPr>
          <w:i/>
          <w:sz w:val="20"/>
          <w:szCs w:val="20"/>
        </w:rPr>
        <w:t>V. I. Fabrikant v. Her Majesty the Queen in Right of Canada et al.</w:t>
      </w:r>
      <w:r w:rsidRPr="00FA0CA2">
        <w:rPr>
          <w:sz w:val="20"/>
          <w:szCs w:val="20"/>
        </w:rPr>
        <w:t xml:space="preserve"> (F.C.) (Civil) (By Leave)</w:t>
      </w:r>
      <w:r w:rsidRPr="00C50A5C">
        <w:rPr>
          <w:sz w:val="20"/>
          <w:szCs w:val="20"/>
        </w:rPr>
        <w:t xml:space="preserve"> </w:t>
      </w:r>
      <w:r w:rsidR="00CB3520" w:rsidRPr="00C50A5C">
        <w:rPr>
          <w:sz w:val="20"/>
          <w:szCs w:val="20"/>
        </w:rPr>
        <w:t>(3</w:t>
      </w:r>
      <w:r w:rsidR="00CB3520">
        <w:rPr>
          <w:sz w:val="20"/>
          <w:szCs w:val="20"/>
        </w:rPr>
        <w:t>6</w:t>
      </w:r>
      <w:r w:rsidR="00830DF8">
        <w:rPr>
          <w:sz w:val="20"/>
          <w:szCs w:val="20"/>
        </w:rPr>
        <w:t>282</w:t>
      </w:r>
      <w:r w:rsidR="00CB3520" w:rsidRPr="00C50A5C">
        <w:rPr>
          <w:sz w:val="20"/>
          <w:szCs w:val="20"/>
        </w:rPr>
        <w:t>)</w:t>
      </w:r>
    </w:p>
    <w:p w:rsidR="00CB3520" w:rsidRDefault="00CB3520" w:rsidP="00CB3520">
      <w:pPr>
        <w:widowControl w:val="0"/>
        <w:jc w:val="both"/>
        <w:rPr>
          <w:sz w:val="20"/>
          <w:szCs w:val="20"/>
        </w:rPr>
      </w:pPr>
    </w:p>
    <w:p w:rsidR="00830DF8" w:rsidRDefault="00830DF8" w:rsidP="00CB3520">
      <w:pPr>
        <w:widowControl w:val="0"/>
        <w:jc w:val="both"/>
        <w:rPr>
          <w:sz w:val="20"/>
          <w:szCs w:val="20"/>
        </w:rPr>
      </w:pPr>
    </w:p>
    <w:p w:rsidR="00830DF8" w:rsidRPr="00C50A5C" w:rsidRDefault="00830DF8" w:rsidP="00830DF8">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830DF8" w:rsidRPr="00C50A5C" w:rsidRDefault="00830DF8" w:rsidP="00830DF8">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830DF8" w:rsidRPr="00830DF8" w:rsidRDefault="00830DF8" w:rsidP="00CB3520">
      <w:pPr>
        <w:widowControl w:val="0"/>
        <w:jc w:val="both"/>
        <w:rPr>
          <w:sz w:val="20"/>
          <w:szCs w:val="20"/>
          <w:lang w:val="fr-CA"/>
        </w:rPr>
      </w:pPr>
    </w:p>
    <w:p w:rsidR="00CB3520" w:rsidRPr="009C5D38" w:rsidRDefault="00FA0CA2" w:rsidP="00CB3520">
      <w:pPr>
        <w:pStyle w:val="ListParagraph"/>
        <w:widowControl w:val="0"/>
        <w:numPr>
          <w:ilvl w:val="0"/>
          <w:numId w:val="1"/>
        </w:numPr>
        <w:ind w:hanging="720"/>
        <w:jc w:val="both"/>
        <w:rPr>
          <w:sz w:val="20"/>
          <w:szCs w:val="20"/>
        </w:rPr>
      </w:pPr>
      <w:r w:rsidRPr="00FA0CA2">
        <w:rPr>
          <w:i/>
          <w:sz w:val="20"/>
          <w:szCs w:val="20"/>
        </w:rPr>
        <w:t>Conrad M. Black v. Her Majesty the Queen</w:t>
      </w:r>
      <w:r w:rsidRPr="00FA0CA2">
        <w:rPr>
          <w:sz w:val="20"/>
          <w:szCs w:val="20"/>
        </w:rPr>
        <w:t xml:space="preserve"> (F.C.) (Civil) (By Leave)</w:t>
      </w:r>
      <w:r w:rsidRPr="009C5D38">
        <w:rPr>
          <w:sz w:val="20"/>
          <w:szCs w:val="20"/>
        </w:rPr>
        <w:t xml:space="preserve"> </w:t>
      </w:r>
      <w:r w:rsidR="00CB3520" w:rsidRPr="009C5D38">
        <w:rPr>
          <w:sz w:val="20"/>
          <w:szCs w:val="20"/>
        </w:rPr>
        <w:t>(36</w:t>
      </w:r>
      <w:r w:rsidR="00830DF8">
        <w:rPr>
          <w:sz w:val="20"/>
          <w:szCs w:val="20"/>
        </w:rPr>
        <w:t>29</w:t>
      </w:r>
      <w:r w:rsidR="00CB3520" w:rsidRPr="009C5D38">
        <w:rPr>
          <w:sz w:val="20"/>
          <w:szCs w:val="20"/>
        </w:rPr>
        <w:t>3)</w:t>
      </w:r>
    </w:p>
    <w:p w:rsidR="00CB3520" w:rsidRPr="00830DF8" w:rsidRDefault="00CB3520" w:rsidP="00CB3520">
      <w:pPr>
        <w:widowControl w:val="0"/>
        <w:jc w:val="both"/>
        <w:rPr>
          <w:sz w:val="20"/>
          <w:szCs w:val="20"/>
        </w:rPr>
      </w:pPr>
    </w:p>
    <w:p w:rsidR="00CB3520" w:rsidRPr="00830DF8" w:rsidRDefault="00FA0CA2" w:rsidP="00CB3520">
      <w:pPr>
        <w:pStyle w:val="ListParagraph"/>
        <w:widowControl w:val="0"/>
        <w:numPr>
          <w:ilvl w:val="0"/>
          <w:numId w:val="1"/>
        </w:numPr>
        <w:ind w:hanging="720"/>
        <w:jc w:val="both"/>
        <w:rPr>
          <w:sz w:val="20"/>
          <w:szCs w:val="20"/>
        </w:rPr>
      </w:pPr>
      <w:r w:rsidRPr="00FA0CA2">
        <w:rPr>
          <w:i/>
          <w:sz w:val="20"/>
          <w:szCs w:val="20"/>
        </w:rPr>
        <w:t>O.S.S. v. C.K.S.(B.)</w:t>
      </w:r>
      <w:r w:rsidRPr="00FA0CA2">
        <w:rPr>
          <w:sz w:val="20"/>
          <w:szCs w:val="20"/>
        </w:rPr>
        <w:t xml:space="preserve"> (Alta.) (Civil) (By Leave)</w:t>
      </w:r>
      <w:r w:rsidRPr="00830DF8">
        <w:rPr>
          <w:sz w:val="20"/>
          <w:szCs w:val="20"/>
        </w:rPr>
        <w:t xml:space="preserve"> </w:t>
      </w:r>
      <w:r w:rsidR="00CB3520" w:rsidRPr="00830DF8">
        <w:rPr>
          <w:sz w:val="20"/>
          <w:szCs w:val="20"/>
        </w:rPr>
        <w:t>(36</w:t>
      </w:r>
      <w:r w:rsidR="00830DF8">
        <w:rPr>
          <w:sz w:val="20"/>
          <w:szCs w:val="20"/>
        </w:rPr>
        <w:t>299</w:t>
      </w:r>
      <w:r w:rsidR="00CB3520" w:rsidRPr="00830DF8">
        <w:rPr>
          <w:sz w:val="20"/>
          <w:szCs w:val="20"/>
        </w:rPr>
        <w:t>)</w:t>
      </w:r>
    </w:p>
    <w:p w:rsidR="002E2327" w:rsidRPr="00CB3520" w:rsidRDefault="002E2327" w:rsidP="002E2327">
      <w:pPr>
        <w:widowControl w:val="0"/>
        <w:rPr>
          <w:sz w:val="20"/>
          <w:szCs w:val="20"/>
        </w:rPr>
      </w:pPr>
    </w:p>
    <w:p w:rsidR="002E2327" w:rsidRDefault="00790981" w:rsidP="002E2327">
      <w:pPr>
        <w:widowControl w:val="0"/>
        <w:rPr>
          <w:sz w:val="20"/>
          <w:szCs w:val="20"/>
        </w:rPr>
      </w:pPr>
      <w:r>
        <w:rPr>
          <w:sz w:val="20"/>
          <w:szCs w:val="20"/>
        </w:rPr>
        <w:pict>
          <v:rect id="_x0000_i1028" style="width:2in;height:1pt" o:hrpct="0" o:hralign="center" o:hrstd="t" o:hrnoshade="t" o:hr="t" fillcolor="black [3213]" stroked="f"/>
        </w:pict>
      </w:r>
    </w:p>
    <w:p w:rsidR="00D94028" w:rsidRDefault="00D94028" w:rsidP="002E2327">
      <w:pPr>
        <w:widowControl w:val="0"/>
        <w:rPr>
          <w:sz w:val="20"/>
          <w:szCs w:val="20"/>
        </w:rPr>
      </w:pPr>
    </w:p>
    <w:p w:rsidR="00FA0CA2" w:rsidRPr="00FA0CA2" w:rsidRDefault="00FA0CA2" w:rsidP="00FA0CA2">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90981"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E2959" w:rsidP="000E2959">
      <w:pPr>
        <w:rPr>
          <w:b/>
          <w:sz w:val="20"/>
          <w:szCs w:val="20"/>
        </w:rPr>
      </w:pPr>
      <w:r w:rsidRPr="00C50A5C">
        <w:rPr>
          <w:b/>
          <w:sz w:val="20"/>
          <w:szCs w:val="20"/>
        </w:rPr>
        <w:t>A</w:t>
      </w:r>
      <w:r w:rsidR="00233E21">
        <w:rPr>
          <w:b/>
          <w:sz w:val="20"/>
          <w:szCs w:val="20"/>
        </w:rPr>
        <w:t>P</w:t>
      </w:r>
      <w:r w:rsidR="00681F61">
        <w:rPr>
          <w:b/>
          <w:sz w:val="20"/>
          <w:szCs w:val="20"/>
        </w:rPr>
        <w:t>R</w:t>
      </w:r>
      <w:r w:rsidR="00233E21">
        <w:rPr>
          <w:b/>
          <w:sz w:val="20"/>
          <w:szCs w:val="20"/>
        </w:rPr>
        <w:t>IL</w:t>
      </w:r>
      <w:r w:rsidRPr="00C50A5C">
        <w:rPr>
          <w:b/>
          <w:sz w:val="20"/>
          <w:szCs w:val="20"/>
        </w:rPr>
        <w:t xml:space="preserve"> </w:t>
      </w:r>
      <w:r w:rsidR="00233E21">
        <w:rPr>
          <w:b/>
          <w:sz w:val="20"/>
          <w:szCs w:val="20"/>
        </w:rPr>
        <w:t>9</w:t>
      </w:r>
      <w:r w:rsidRPr="00C50A5C">
        <w:rPr>
          <w:b/>
          <w:sz w:val="20"/>
          <w:szCs w:val="20"/>
        </w:rPr>
        <w:t>, 201</w:t>
      </w:r>
      <w:r w:rsidR="00681F61">
        <w:rPr>
          <w:b/>
          <w:sz w:val="20"/>
          <w:szCs w:val="20"/>
        </w:rPr>
        <w:t>5</w:t>
      </w:r>
      <w:r w:rsidRPr="00C50A5C">
        <w:rPr>
          <w:b/>
          <w:sz w:val="20"/>
          <w:szCs w:val="20"/>
        </w:rPr>
        <w:t xml:space="preserve"> / LE </w:t>
      </w:r>
      <w:r w:rsidR="00233E21">
        <w:rPr>
          <w:b/>
          <w:sz w:val="20"/>
          <w:szCs w:val="20"/>
        </w:rPr>
        <w:t>9</w:t>
      </w:r>
      <w:r w:rsidRPr="00C50A5C">
        <w:rPr>
          <w:b/>
          <w:sz w:val="20"/>
          <w:szCs w:val="20"/>
        </w:rPr>
        <w:t xml:space="preserve"> A</w:t>
      </w:r>
      <w:r w:rsidR="00681F61">
        <w:rPr>
          <w:b/>
          <w:sz w:val="20"/>
          <w:szCs w:val="20"/>
        </w:rPr>
        <w:t>VR</w:t>
      </w:r>
      <w:r w:rsidR="00233E21">
        <w:rPr>
          <w:b/>
          <w:sz w:val="20"/>
          <w:szCs w:val="20"/>
        </w:rPr>
        <w:t>IL</w:t>
      </w:r>
      <w:r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62B33" w:rsidRPr="00790981" w:rsidTr="00B243C4">
        <w:trPr>
          <w:cantSplit/>
        </w:trPr>
        <w:tc>
          <w:tcPr>
            <w:tcW w:w="1458" w:type="dxa"/>
          </w:tcPr>
          <w:p w:rsidR="00962B33" w:rsidRPr="00C417EA" w:rsidRDefault="00962B33" w:rsidP="00B243C4">
            <w:pPr>
              <w:rPr>
                <w:sz w:val="20"/>
                <w:szCs w:val="20"/>
              </w:rPr>
            </w:pPr>
            <w:r w:rsidRPr="00C417EA">
              <w:rPr>
                <w:rStyle w:val="SCCFileNumberChar"/>
                <w:sz w:val="20"/>
                <w:szCs w:val="20"/>
              </w:rPr>
              <w:t>36154</w:t>
            </w:r>
          </w:p>
          <w:p w:rsidR="00962B33" w:rsidRPr="00C417EA" w:rsidRDefault="00962B33" w:rsidP="00B243C4">
            <w:pPr>
              <w:rPr>
                <w:b/>
                <w:sz w:val="20"/>
                <w:szCs w:val="20"/>
                <w:lang w:val="fr-CA"/>
              </w:rPr>
            </w:pPr>
          </w:p>
        </w:tc>
        <w:tc>
          <w:tcPr>
            <w:tcW w:w="8118" w:type="dxa"/>
          </w:tcPr>
          <w:p w:rsidR="00962B33" w:rsidRPr="00C417EA" w:rsidRDefault="00962B33" w:rsidP="00B243C4">
            <w:pPr>
              <w:jc w:val="both"/>
              <w:rPr>
                <w:sz w:val="20"/>
                <w:szCs w:val="20"/>
                <w:lang w:val="fr-CA"/>
              </w:rPr>
            </w:pPr>
            <w:r w:rsidRPr="00C417EA">
              <w:rPr>
                <w:rStyle w:val="SCCLsocChar"/>
                <w:sz w:val="20"/>
                <w:szCs w:val="20"/>
              </w:rPr>
              <w:t>Gestion 1050 de la Montagne Inc.</w:t>
            </w:r>
            <w:r w:rsidR="00882E8C">
              <w:rPr>
                <w:rStyle w:val="SCCLsocChar"/>
                <w:sz w:val="20"/>
                <w:szCs w:val="20"/>
              </w:rPr>
              <w:t xml:space="preserve"> et</w:t>
            </w:r>
            <w:r w:rsidRPr="00C417EA">
              <w:rPr>
                <w:rStyle w:val="SCCLsocChar"/>
                <w:sz w:val="20"/>
                <w:szCs w:val="20"/>
              </w:rPr>
              <w:t xml:space="preserve"> Corporation de Gestion Sunshine Boys c. Gestion Furst Inc.</w:t>
            </w:r>
            <w:r w:rsidR="00882E8C">
              <w:rPr>
                <w:rStyle w:val="SCCLsocChar"/>
                <w:sz w:val="20"/>
                <w:szCs w:val="20"/>
              </w:rPr>
              <w:t xml:space="preserve"> et</w:t>
            </w:r>
            <w:r w:rsidRPr="00C417EA">
              <w:rPr>
                <w:rStyle w:val="SCCLsocChar"/>
                <w:sz w:val="20"/>
                <w:szCs w:val="20"/>
              </w:rPr>
              <w:t xml:space="preserve"> Investissements Rainbow Capital Limitée</w:t>
            </w:r>
            <w:r w:rsidRPr="00C417EA">
              <w:rPr>
                <w:sz w:val="20"/>
                <w:szCs w:val="20"/>
                <w:lang w:val="fr-CA"/>
              </w:rPr>
              <w:t xml:space="preserve"> (Qc) (Civile) (Autorisation)</w:t>
            </w:r>
          </w:p>
          <w:p w:rsidR="00962B33" w:rsidRPr="00C417EA" w:rsidRDefault="00962B33" w:rsidP="00B243C4">
            <w:pPr>
              <w:jc w:val="both"/>
              <w:rPr>
                <w:sz w:val="20"/>
                <w:szCs w:val="20"/>
                <w:lang w:val="fr-CA"/>
              </w:rPr>
            </w:pPr>
          </w:p>
        </w:tc>
      </w:tr>
      <w:tr w:rsidR="00962B33" w:rsidRPr="00790981" w:rsidTr="00B243C4">
        <w:trPr>
          <w:cantSplit/>
        </w:trPr>
        <w:tc>
          <w:tcPr>
            <w:tcW w:w="1458" w:type="dxa"/>
          </w:tcPr>
          <w:p w:rsidR="00962B33" w:rsidRPr="00882E8C" w:rsidRDefault="00962B33" w:rsidP="00B243C4">
            <w:pPr>
              <w:rPr>
                <w:sz w:val="20"/>
                <w:szCs w:val="20"/>
                <w:lang w:val="fr-CA"/>
              </w:rPr>
            </w:pPr>
            <w:r w:rsidRPr="00882E8C">
              <w:rPr>
                <w:sz w:val="20"/>
                <w:szCs w:val="20"/>
                <w:lang w:val="fr-CA"/>
              </w:rPr>
              <w:t>Coram :</w:t>
            </w:r>
          </w:p>
        </w:tc>
        <w:tc>
          <w:tcPr>
            <w:tcW w:w="8118" w:type="dxa"/>
          </w:tcPr>
          <w:p w:rsidR="00962B33" w:rsidRPr="00C417EA" w:rsidRDefault="00962B33" w:rsidP="00B243C4">
            <w:pPr>
              <w:rPr>
                <w:sz w:val="20"/>
                <w:szCs w:val="20"/>
                <w:lang w:val="fr-CA"/>
              </w:rPr>
            </w:pPr>
            <w:r w:rsidRPr="00C417EA">
              <w:rPr>
                <w:rStyle w:val="SCCCoramChar"/>
                <w:sz w:val="20"/>
                <w:szCs w:val="20"/>
              </w:rPr>
              <w:t>Les juges Abella, Karakatsanis et Côté</w:t>
            </w:r>
          </w:p>
          <w:p w:rsidR="00962B33" w:rsidRPr="00C417EA" w:rsidRDefault="00962B33" w:rsidP="00B243C4">
            <w:pPr>
              <w:rPr>
                <w:sz w:val="20"/>
                <w:szCs w:val="20"/>
                <w:u w:val="single"/>
                <w:lang w:val="fr-CA"/>
              </w:rPr>
            </w:pPr>
          </w:p>
        </w:tc>
      </w:tr>
      <w:tr w:rsidR="00962B33" w:rsidRPr="00C417EA" w:rsidTr="00B243C4">
        <w:trPr>
          <w:cantSplit/>
        </w:trPr>
        <w:tc>
          <w:tcPr>
            <w:tcW w:w="9576" w:type="dxa"/>
            <w:gridSpan w:val="2"/>
          </w:tcPr>
          <w:p w:rsidR="00962B33" w:rsidRPr="00C417EA" w:rsidRDefault="00962B33" w:rsidP="00B243C4">
            <w:pPr>
              <w:pStyle w:val="SCCShortJudgment"/>
              <w:rPr>
                <w:szCs w:val="20"/>
                <w:lang w:val="fr-CA"/>
              </w:rPr>
            </w:pPr>
            <w:r w:rsidRPr="00C417EA">
              <w:rPr>
                <w:szCs w:val="20"/>
                <w:lang w:val="fr-CA"/>
              </w:rPr>
              <w:t>La demande d’autorisation d’appel de l’arrêt de la Cour d’appel du Québec (Montréal), numéro 500-09-024238-149, 2014 QCCA 1919, daté du 10 octobre 2014, est rejetée avec dépens.</w:t>
            </w:r>
          </w:p>
          <w:p w:rsidR="00962B33" w:rsidRPr="00C417EA" w:rsidRDefault="00962B33" w:rsidP="00B243C4">
            <w:pPr>
              <w:pStyle w:val="SCCShortJudgment"/>
              <w:ind w:firstLine="0"/>
              <w:rPr>
                <w:szCs w:val="20"/>
                <w:lang w:val="fr-CA"/>
              </w:rPr>
            </w:pPr>
          </w:p>
          <w:p w:rsidR="00962B33" w:rsidRPr="00C417EA" w:rsidRDefault="00962B33" w:rsidP="00B243C4">
            <w:pPr>
              <w:pStyle w:val="SCCShortJudgment"/>
              <w:rPr>
                <w:szCs w:val="20"/>
              </w:rPr>
            </w:pPr>
            <w:r w:rsidRPr="00C417EA">
              <w:rPr>
                <w:szCs w:val="20"/>
              </w:rPr>
              <w:t>The application for leave to appeal from the judgment of the Court of Appeal of Quebec (Montréal), Number 500-09-024238-149, 2014 QCCA 1919, dated October 10, 2014, is dismissed with costs.</w:t>
            </w:r>
          </w:p>
        </w:tc>
      </w:tr>
    </w:tbl>
    <w:p w:rsidR="00962B33" w:rsidRDefault="00962B33" w:rsidP="000E2959">
      <w:pPr>
        <w:rPr>
          <w:sz w:val="20"/>
          <w:szCs w:val="20"/>
        </w:rPr>
      </w:pPr>
    </w:p>
    <w:p w:rsidR="00233E21" w:rsidRPr="001B157C" w:rsidRDefault="00233E21" w:rsidP="00233E21">
      <w:pPr>
        <w:rPr>
          <w:sz w:val="20"/>
          <w:szCs w:val="20"/>
          <w:u w:val="single"/>
        </w:rPr>
      </w:pPr>
      <w:r w:rsidRPr="001B157C">
        <w:rPr>
          <w:sz w:val="20"/>
          <w:szCs w:val="20"/>
          <w:u w:val="single"/>
        </w:rPr>
        <w:t>CASE SUMMARY</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33E21" w:rsidRPr="00031974" w:rsidTr="00B243C4">
        <w:tc>
          <w:tcPr>
            <w:tcW w:w="5000" w:type="pct"/>
            <w:gridSpan w:val="3"/>
          </w:tcPr>
          <w:p w:rsidR="00233E21" w:rsidRPr="00031974" w:rsidRDefault="00233E21" w:rsidP="00B243C4">
            <w:pPr>
              <w:jc w:val="both"/>
              <w:rPr>
                <w:rFonts w:eastAsia="Calibri"/>
                <w:sz w:val="20"/>
              </w:rPr>
            </w:pPr>
            <w:r w:rsidRPr="00031974">
              <w:rPr>
                <w:rFonts w:eastAsia="Calibri"/>
                <w:sz w:val="20"/>
              </w:rPr>
              <w:t xml:space="preserve">Property – Dismemberments of right of ownership – Emphyteusis – Application of general rules of contract – Whether art. 1604 of </w:t>
            </w:r>
            <w:r w:rsidRPr="00031974">
              <w:rPr>
                <w:rFonts w:eastAsia="Calibri"/>
                <w:i/>
                <w:sz w:val="20"/>
              </w:rPr>
              <w:t>Civil Code of Québec</w:t>
            </w:r>
            <w:r w:rsidRPr="00031974">
              <w:rPr>
                <w:rFonts w:eastAsia="Calibri"/>
                <w:sz w:val="20"/>
              </w:rPr>
              <w:t>, C.Q.L.R. c. C</w:t>
            </w:r>
            <w:r w:rsidRPr="00031974">
              <w:rPr>
                <w:rFonts w:eastAsia="Calibri"/>
                <w:sz w:val="20"/>
              </w:rPr>
              <w:noBreakHyphen/>
              <w:t>1991, applies to contracts of emphyteusis – Appeals – Duty of appellate court to give reasons for its decision – Whether Court of Appeal erred in not giving reasons for its decision.</w:t>
            </w:r>
          </w:p>
        </w:tc>
      </w:tr>
      <w:tr w:rsidR="00233E21" w:rsidRPr="00031974" w:rsidTr="00B243C4">
        <w:tc>
          <w:tcPr>
            <w:tcW w:w="5000" w:type="pct"/>
            <w:gridSpan w:val="3"/>
          </w:tcPr>
          <w:p w:rsidR="00233E21" w:rsidRPr="00031974" w:rsidRDefault="00233E21" w:rsidP="00B243C4">
            <w:pPr>
              <w:jc w:val="both"/>
              <w:rPr>
                <w:rFonts w:eastAsia="Calibri"/>
                <w:sz w:val="20"/>
              </w:rPr>
            </w:pPr>
          </w:p>
        </w:tc>
      </w:tr>
      <w:tr w:rsidR="00233E21" w:rsidRPr="00031974" w:rsidTr="00B243C4">
        <w:tc>
          <w:tcPr>
            <w:tcW w:w="5000" w:type="pct"/>
            <w:gridSpan w:val="3"/>
          </w:tcPr>
          <w:p w:rsidR="00233E21" w:rsidRPr="00031974" w:rsidRDefault="00233E21" w:rsidP="00B243C4">
            <w:pPr>
              <w:jc w:val="both"/>
              <w:rPr>
                <w:rFonts w:eastAsia="Calibri"/>
                <w:sz w:val="20"/>
              </w:rPr>
            </w:pPr>
            <w:r w:rsidRPr="00031974">
              <w:rPr>
                <w:rFonts w:eastAsia="Calibri"/>
                <w:sz w:val="20"/>
              </w:rPr>
              <w:t xml:space="preserve">The respondents sought the resiliation of their contract of emphyteusis with the applicants on the ground that the applicants were in default, in part because they had not paid the  emphyteutic rent and the property taxes totalling $268,805.64.  However, at the start of the trial, the applicants paid all the arrears of rent.  After acknowledging that contracts of emphyteusis are governed by the general rules of contract, including art. 1604 of the </w:t>
            </w:r>
            <w:r w:rsidRPr="00031974">
              <w:rPr>
                <w:rFonts w:eastAsia="Calibri"/>
                <w:i/>
                <w:sz w:val="20"/>
              </w:rPr>
              <w:t>Civil Code of Québec</w:t>
            </w:r>
            <w:r w:rsidRPr="00031974">
              <w:rPr>
                <w:rFonts w:eastAsia="Calibri"/>
                <w:sz w:val="20"/>
              </w:rPr>
              <w:t>, the trial judge dismissed the respondents’ action.  Applying art. 1604, the judge found that the evidence was insufficient to show that the defaults had occurred repeatedly or to establish that the defaults were of sufficient importance to justify resiliation.  The Court of Appeal allowed the appeal on the ground that the defaults were [</w:t>
            </w:r>
            <w:r w:rsidRPr="00031974">
              <w:rPr>
                <w:rFonts w:eastAsia="Calibri"/>
                <w:smallCaps/>
                <w:sz w:val="20"/>
              </w:rPr>
              <w:t>translation</w:t>
            </w:r>
            <w:r w:rsidRPr="00031974">
              <w:rPr>
                <w:rFonts w:eastAsia="Calibri"/>
                <w:sz w:val="20"/>
              </w:rPr>
              <w:t>] “anything but of minor importance” (para. 2) and that, in the circumstances, the judge should have allowed the action.</w:t>
            </w:r>
          </w:p>
          <w:p w:rsidR="00233E21" w:rsidRPr="00031974" w:rsidRDefault="00233E21" w:rsidP="00B243C4">
            <w:pPr>
              <w:jc w:val="both"/>
              <w:rPr>
                <w:rFonts w:eastAsia="Calibri"/>
                <w:sz w:val="20"/>
              </w:rPr>
            </w:pPr>
          </w:p>
        </w:tc>
      </w:tr>
      <w:tr w:rsidR="00233E21" w:rsidRPr="00031974" w:rsidTr="00B243C4">
        <w:tc>
          <w:tcPr>
            <w:tcW w:w="2427" w:type="pct"/>
          </w:tcPr>
          <w:p w:rsidR="00233E21" w:rsidRPr="00031974" w:rsidRDefault="00233E21" w:rsidP="00B243C4">
            <w:pPr>
              <w:jc w:val="both"/>
              <w:rPr>
                <w:rFonts w:eastAsia="Calibri"/>
                <w:sz w:val="20"/>
              </w:rPr>
            </w:pPr>
            <w:r w:rsidRPr="00031974">
              <w:rPr>
                <w:rFonts w:eastAsia="Calibri"/>
                <w:sz w:val="20"/>
              </w:rPr>
              <w:t>January 20, 2014</w:t>
            </w:r>
          </w:p>
          <w:p w:rsidR="00233E21" w:rsidRPr="00031974" w:rsidRDefault="00233E21" w:rsidP="00B243C4">
            <w:pPr>
              <w:jc w:val="both"/>
              <w:rPr>
                <w:rFonts w:eastAsia="Calibri"/>
                <w:sz w:val="20"/>
              </w:rPr>
            </w:pPr>
            <w:r w:rsidRPr="00031974">
              <w:rPr>
                <w:rFonts w:eastAsia="Calibri"/>
                <w:sz w:val="20"/>
              </w:rPr>
              <w:t>Quebec Superior Court</w:t>
            </w:r>
          </w:p>
          <w:p w:rsidR="00233E21" w:rsidRPr="00031974" w:rsidRDefault="00233E21" w:rsidP="00B243C4">
            <w:pPr>
              <w:jc w:val="both"/>
              <w:rPr>
                <w:rFonts w:eastAsia="Calibri"/>
                <w:sz w:val="20"/>
              </w:rPr>
            </w:pPr>
            <w:r w:rsidRPr="00031974">
              <w:rPr>
                <w:rFonts w:eastAsia="Calibri"/>
                <w:sz w:val="20"/>
              </w:rPr>
              <w:t>(Dugré J.)</w:t>
            </w:r>
          </w:p>
          <w:p w:rsidR="00233E21" w:rsidRPr="00031974" w:rsidRDefault="00790981" w:rsidP="00B243C4">
            <w:pPr>
              <w:jc w:val="both"/>
              <w:rPr>
                <w:rFonts w:eastAsia="Calibri"/>
                <w:sz w:val="20"/>
              </w:rPr>
            </w:pPr>
            <w:hyperlink r:id="rId25" w:history="1">
              <w:r w:rsidR="00233E21" w:rsidRPr="00031974">
                <w:rPr>
                  <w:rFonts w:eastAsia="Calibri"/>
                  <w:color w:val="0000FF"/>
                  <w:sz w:val="20"/>
                  <w:u w:val="single"/>
                </w:rPr>
                <w:t>2014 QCCS 100</w:t>
              </w:r>
            </w:hyperlink>
          </w:p>
          <w:p w:rsidR="00233E21" w:rsidRPr="00031974" w:rsidRDefault="00233E21" w:rsidP="00B243C4">
            <w:pPr>
              <w:jc w:val="both"/>
              <w:rPr>
                <w:rFonts w:eastAsia="Calibri"/>
                <w:sz w:val="20"/>
              </w:rPr>
            </w:pPr>
          </w:p>
        </w:tc>
        <w:tc>
          <w:tcPr>
            <w:tcW w:w="243" w:type="pct"/>
          </w:tcPr>
          <w:p w:rsidR="00233E21" w:rsidRPr="00031974" w:rsidRDefault="00233E21" w:rsidP="00B243C4">
            <w:pPr>
              <w:jc w:val="both"/>
              <w:rPr>
                <w:rFonts w:eastAsia="Calibri"/>
                <w:sz w:val="20"/>
              </w:rPr>
            </w:pPr>
          </w:p>
        </w:tc>
        <w:tc>
          <w:tcPr>
            <w:tcW w:w="2330" w:type="pct"/>
          </w:tcPr>
          <w:p w:rsidR="00233E21" w:rsidRPr="00031974" w:rsidRDefault="00233E21" w:rsidP="00B243C4">
            <w:pPr>
              <w:jc w:val="both"/>
              <w:rPr>
                <w:rFonts w:eastAsia="Calibri"/>
                <w:sz w:val="20"/>
              </w:rPr>
            </w:pPr>
            <w:r w:rsidRPr="00031974">
              <w:rPr>
                <w:rFonts w:eastAsia="Calibri"/>
                <w:sz w:val="20"/>
              </w:rPr>
              <w:t>Respondents’ action seeking resiliation of contract of emphyteusis dismissed</w:t>
            </w:r>
          </w:p>
          <w:p w:rsidR="00233E21" w:rsidRPr="00031974" w:rsidRDefault="00233E21" w:rsidP="00B243C4">
            <w:pPr>
              <w:jc w:val="both"/>
              <w:rPr>
                <w:rFonts w:eastAsia="Calibri"/>
                <w:sz w:val="20"/>
              </w:rPr>
            </w:pPr>
          </w:p>
        </w:tc>
      </w:tr>
      <w:tr w:rsidR="00233E21" w:rsidRPr="00031974" w:rsidTr="00B243C4">
        <w:tc>
          <w:tcPr>
            <w:tcW w:w="2427" w:type="pct"/>
          </w:tcPr>
          <w:p w:rsidR="00233E21" w:rsidRPr="00031974" w:rsidRDefault="00233E21" w:rsidP="00B243C4">
            <w:pPr>
              <w:jc w:val="both"/>
              <w:rPr>
                <w:rFonts w:eastAsia="Calibri"/>
                <w:sz w:val="20"/>
              </w:rPr>
            </w:pPr>
            <w:r w:rsidRPr="00031974">
              <w:rPr>
                <w:rFonts w:eastAsia="Calibri"/>
                <w:sz w:val="20"/>
              </w:rPr>
              <w:t>October 10, 2014</w:t>
            </w:r>
          </w:p>
          <w:p w:rsidR="00233E21" w:rsidRPr="00031974" w:rsidRDefault="00233E21" w:rsidP="00B243C4">
            <w:pPr>
              <w:jc w:val="both"/>
              <w:rPr>
                <w:rFonts w:eastAsia="Calibri"/>
                <w:sz w:val="20"/>
              </w:rPr>
            </w:pPr>
            <w:r w:rsidRPr="00031974">
              <w:rPr>
                <w:rFonts w:eastAsia="Calibri"/>
                <w:sz w:val="20"/>
              </w:rPr>
              <w:t>Quebec Court of Appeal (Montréal)</w:t>
            </w:r>
          </w:p>
          <w:p w:rsidR="00233E21" w:rsidRPr="00031974" w:rsidRDefault="00233E21" w:rsidP="00B243C4">
            <w:pPr>
              <w:jc w:val="both"/>
              <w:rPr>
                <w:rFonts w:eastAsia="Calibri"/>
                <w:sz w:val="20"/>
              </w:rPr>
            </w:pPr>
            <w:r w:rsidRPr="00031974">
              <w:rPr>
                <w:rFonts w:eastAsia="Calibri"/>
                <w:sz w:val="20"/>
              </w:rPr>
              <w:t>(Pelletier, Emond and Bich JJ.A.)</w:t>
            </w:r>
          </w:p>
          <w:p w:rsidR="00233E21" w:rsidRPr="00031974" w:rsidRDefault="00790981" w:rsidP="00B243C4">
            <w:pPr>
              <w:jc w:val="both"/>
              <w:rPr>
                <w:rFonts w:eastAsia="Calibri"/>
                <w:sz w:val="20"/>
              </w:rPr>
            </w:pPr>
            <w:hyperlink r:id="rId26" w:history="1">
              <w:r w:rsidR="00233E21" w:rsidRPr="00031974">
                <w:rPr>
                  <w:rFonts w:eastAsia="Calibri"/>
                  <w:color w:val="0000FF"/>
                  <w:sz w:val="20"/>
                  <w:u w:val="single"/>
                </w:rPr>
                <w:t>2014 QCCA 1919</w:t>
              </w:r>
            </w:hyperlink>
          </w:p>
          <w:p w:rsidR="00233E21" w:rsidRPr="00031974" w:rsidRDefault="00233E21" w:rsidP="00B243C4">
            <w:pPr>
              <w:jc w:val="both"/>
              <w:rPr>
                <w:rFonts w:eastAsia="Calibri"/>
                <w:sz w:val="20"/>
              </w:rPr>
            </w:pPr>
          </w:p>
        </w:tc>
        <w:tc>
          <w:tcPr>
            <w:tcW w:w="243" w:type="pct"/>
          </w:tcPr>
          <w:p w:rsidR="00233E21" w:rsidRPr="00031974" w:rsidRDefault="00233E21" w:rsidP="00B243C4">
            <w:pPr>
              <w:jc w:val="both"/>
              <w:rPr>
                <w:rFonts w:eastAsia="Calibri"/>
                <w:sz w:val="20"/>
              </w:rPr>
            </w:pPr>
          </w:p>
        </w:tc>
        <w:tc>
          <w:tcPr>
            <w:tcW w:w="2330" w:type="pct"/>
          </w:tcPr>
          <w:p w:rsidR="00233E21" w:rsidRPr="00031974" w:rsidRDefault="00233E21" w:rsidP="00B243C4">
            <w:pPr>
              <w:jc w:val="both"/>
              <w:rPr>
                <w:rFonts w:eastAsia="Calibri"/>
                <w:sz w:val="20"/>
              </w:rPr>
            </w:pPr>
            <w:r w:rsidRPr="00031974">
              <w:rPr>
                <w:rFonts w:eastAsia="Calibri"/>
                <w:sz w:val="20"/>
              </w:rPr>
              <w:t>Appeal allowed; contract of emphyteusis declared resiliated</w:t>
            </w:r>
          </w:p>
          <w:p w:rsidR="00233E21" w:rsidRPr="00031974" w:rsidRDefault="00233E21" w:rsidP="00B243C4">
            <w:pPr>
              <w:jc w:val="both"/>
              <w:rPr>
                <w:rFonts w:eastAsia="Calibri"/>
                <w:sz w:val="20"/>
              </w:rPr>
            </w:pPr>
          </w:p>
        </w:tc>
      </w:tr>
      <w:tr w:rsidR="00233E21" w:rsidRPr="00031974" w:rsidTr="00B243C4">
        <w:tc>
          <w:tcPr>
            <w:tcW w:w="2427" w:type="pct"/>
          </w:tcPr>
          <w:p w:rsidR="00233E21" w:rsidRPr="00031974" w:rsidRDefault="00233E21" w:rsidP="00B243C4">
            <w:pPr>
              <w:jc w:val="both"/>
              <w:rPr>
                <w:rFonts w:eastAsia="Calibri"/>
                <w:sz w:val="20"/>
              </w:rPr>
            </w:pPr>
            <w:r w:rsidRPr="00031974">
              <w:rPr>
                <w:rFonts w:eastAsia="Calibri"/>
                <w:sz w:val="20"/>
              </w:rPr>
              <w:t>December 4, 2014</w:t>
            </w:r>
          </w:p>
          <w:p w:rsidR="00233E21" w:rsidRPr="00031974" w:rsidRDefault="00233E21" w:rsidP="00B243C4">
            <w:pPr>
              <w:jc w:val="both"/>
              <w:rPr>
                <w:rFonts w:eastAsia="Calibri"/>
                <w:sz w:val="20"/>
              </w:rPr>
            </w:pPr>
            <w:r w:rsidRPr="00031974">
              <w:rPr>
                <w:rFonts w:eastAsia="Calibri"/>
                <w:sz w:val="20"/>
              </w:rPr>
              <w:t xml:space="preserve">Supreme Court of Canada </w:t>
            </w:r>
          </w:p>
        </w:tc>
        <w:tc>
          <w:tcPr>
            <w:tcW w:w="243" w:type="pct"/>
          </w:tcPr>
          <w:p w:rsidR="00233E21" w:rsidRPr="00031974" w:rsidRDefault="00233E21" w:rsidP="00B243C4">
            <w:pPr>
              <w:jc w:val="both"/>
              <w:rPr>
                <w:rFonts w:eastAsia="Calibri"/>
                <w:sz w:val="20"/>
              </w:rPr>
            </w:pPr>
          </w:p>
        </w:tc>
        <w:tc>
          <w:tcPr>
            <w:tcW w:w="2330" w:type="pct"/>
          </w:tcPr>
          <w:p w:rsidR="00233E21" w:rsidRPr="00031974" w:rsidRDefault="00233E21" w:rsidP="00B243C4">
            <w:pPr>
              <w:jc w:val="both"/>
              <w:rPr>
                <w:rFonts w:eastAsia="Calibri"/>
                <w:sz w:val="20"/>
              </w:rPr>
            </w:pPr>
            <w:r w:rsidRPr="00031974">
              <w:rPr>
                <w:rFonts w:eastAsia="Calibri"/>
                <w:sz w:val="20"/>
              </w:rPr>
              <w:t>Application for leave to appeal filed</w:t>
            </w:r>
          </w:p>
        </w:tc>
      </w:tr>
    </w:tbl>
    <w:p w:rsidR="00233E21" w:rsidRDefault="00233E21" w:rsidP="000E2959">
      <w:pPr>
        <w:rPr>
          <w:sz w:val="20"/>
          <w:szCs w:val="20"/>
        </w:rPr>
      </w:pPr>
    </w:p>
    <w:p w:rsidR="00233E21" w:rsidRPr="00C50A5C" w:rsidRDefault="00790981" w:rsidP="00233E21">
      <w:pPr>
        <w:rPr>
          <w:sz w:val="20"/>
          <w:szCs w:val="20"/>
        </w:rPr>
      </w:pPr>
      <w:r>
        <w:rPr>
          <w:sz w:val="20"/>
          <w:szCs w:val="20"/>
          <w:lang w:val="fr-CA"/>
        </w:rPr>
        <w:pict>
          <v:rect id="_x0000_i1031" style="width:2in;height:1pt" o:hrpct="0" o:hralign="center" o:hrstd="t" o:hrnoshade="t" o:hr="t" fillcolor="black [3213]" stroked="f"/>
        </w:pict>
      </w:r>
    </w:p>
    <w:p w:rsidR="00233E21" w:rsidRDefault="00233E21" w:rsidP="00233E21">
      <w:pPr>
        <w:rPr>
          <w:sz w:val="20"/>
          <w:szCs w:val="20"/>
        </w:rPr>
      </w:pPr>
    </w:p>
    <w:p w:rsidR="00233E21" w:rsidRPr="001B157C" w:rsidRDefault="00233E21" w:rsidP="00233E21">
      <w:pPr>
        <w:rPr>
          <w:sz w:val="20"/>
          <w:szCs w:val="20"/>
          <w:u w:val="single"/>
          <w:lang w:val="fr-CA"/>
        </w:rPr>
      </w:pPr>
      <w:r w:rsidRPr="001B157C">
        <w:rPr>
          <w:sz w:val="20"/>
          <w:szCs w:val="20"/>
          <w:u w:val="single"/>
          <w:lang w:val="fr-CA"/>
        </w:rPr>
        <w:t>RÉSUMÉ DE L’AFFAIRE</w:t>
      </w:r>
    </w:p>
    <w:p w:rsidR="00233E21" w:rsidRDefault="00233E21"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33E21" w:rsidRPr="00A33CF8" w:rsidTr="00B243C4">
        <w:tc>
          <w:tcPr>
            <w:tcW w:w="5000" w:type="pct"/>
            <w:gridSpan w:val="3"/>
          </w:tcPr>
          <w:p w:rsidR="00233E21" w:rsidRPr="00031974" w:rsidRDefault="00233E21" w:rsidP="00B243C4">
            <w:pPr>
              <w:jc w:val="both"/>
              <w:rPr>
                <w:rFonts w:eastAsia="Calibri"/>
                <w:sz w:val="20"/>
                <w:lang w:val="fr-CA"/>
              </w:rPr>
            </w:pPr>
            <w:r w:rsidRPr="00031974">
              <w:rPr>
                <w:rFonts w:eastAsia="Calibri"/>
                <w:sz w:val="20"/>
                <w:lang w:val="fr-CA"/>
              </w:rPr>
              <w:t xml:space="preserve">Biens – Démembrements du droit de propriété – Emphytéose – Application des règles générales des contrats – L’article 1604 du </w:t>
            </w:r>
            <w:r w:rsidRPr="00031974">
              <w:rPr>
                <w:rFonts w:eastAsia="Calibri"/>
                <w:i/>
                <w:sz w:val="20"/>
                <w:lang w:val="fr-CA"/>
              </w:rPr>
              <w:t>Code civil du Québec</w:t>
            </w:r>
            <w:r w:rsidRPr="00031974">
              <w:rPr>
                <w:rFonts w:eastAsia="Calibri"/>
                <w:sz w:val="20"/>
                <w:lang w:val="fr-CA"/>
              </w:rPr>
              <w:t xml:space="preserve">, R.L.R.Q. c. C-1991, s’applique-t-il aux contrats d’emphytéose? – Appels – </w:t>
            </w:r>
            <w:r w:rsidRPr="00031974">
              <w:rPr>
                <w:rFonts w:eastAsia="Calibri"/>
                <w:sz w:val="20"/>
                <w:lang w:val="fr-CA"/>
              </w:rPr>
              <w:lastRenderedPageBreak/>
              <w:t>Obligation d’une cour d’appel de motiver sa décision – La Cour d’appel a-t-elle fait erreur en ne motivant pas sa décision?</w:t>
            </w:r>
          </w:p>
        </w:tc>
      </w:tr>
      <w:tr w:rsidR="00233E21" w:rsidRPr="00A33CF8" w:rsidTr="00B243C4">
        <w:tc>
          <w:tcPr>
            <w:tcW w:w="5000" w:type="pct"/>
            <w:gridSpan w:val="3"/>
          </w:tcPr>
          <w:p w:rsidR="00233E21" w:rsidRPr="00031974" w:rsidRDefault="00233E21" w:rsidP="00B243C4">
            <w:pPr>
              <w:jc w:val="both"/>
              <w:rPr>
                <w:rFonts w:eastAsia="Calibri"/>
                <w:sz w:val="20"/>
                <w:lang w:val="fr-CA"/>
              </w:rPr>
            </w:pPr>
          </w:p>
        </w:tc>
      </w:tr>
      <w:tr w:rsidR="00233E21" w:rsidRPr="00A33CF8" w:rsidTr="00B243C4">
        <w:tc>
          <w:tcPr>
            <w:tcW w:w="5000" w:type="pct"/>
            <w:gridSpan w:val="3"/>
          </w:tcPr>
          <w:p w:rsidR="00233E21" w:rsidRPr="00031974" w:rsidRDefault="00233E21" w:rsidP="00B243C4">
            <w:pPr>
              <w:jc w:val="both"/>
              <w:rPr>
                <w:rFonts w:eastAsia="Calibri"/>
                <w:sz w:val="20"/>
                <w:lang w:val="fr-CA"/>
              </w:rPr>
            </w:pPr>
            <w:r w:rsidRPr="00031974">
              <w:rPr>
                <w:rFonts w:eastAsia="Calibri"/>
                <w:sz w:val="20"/>
                <w:lang w:val="fr-CA"/>
              </w:rPr>
              <w:t xml:space="preserve">Les intimées ont demandé la résiliation du contrat d’emphytéose les liant aux demanderesses au motif que ces dernières étaient en défaut, notamment parce qu’elles n’avaient pas payé la rente emphytéotique et les taxes foncières, ces dernières totalisant 268 805,64 $.  Cependant, au début du procès, les demanderesses ont payé tous les arrérages de rente.  Après avoir reconnu que le contrat d’emphytéose obéit aux règles générales des contrats, dont l’article 1604 du </w:t>
            </w:r>
            <w:r w:rsidRPr="00031974">
              <w:rPr>
                <w:rFonts w:eastAsia="Calibri"/>
                <w:i/>
                <w:sz w:val="20"/>
                <w:lang w:val="fr-CA"/>
              </w:rPr>
              <w:t>Code civil du Québec</w:t>
            </w:r>
            <w:r w:rsidRPr="00031974">
              <w:rPr>
                <w:rFonts w:eastAsia="Calibri"/>
                <w:sz w:val="20"/>
                <w:lang w:val="fr-CA"/>
              </w:rPr>
              <w:t>, le juge de première instance a rejeté l’action des intimées.  Appliquant l’art. 1604, le juge a conclu que la preuve était insuffisante pour démontrer le caractère répétitif des défauts et pour établir que les défauts invoqués étaient suffisamment importants pour justifier la résiliation.  La Cour d’appel a accueilli l’appel au motif que les défauts étaient « tout sauf peu importants » (par. 2) et que dans les circonstances, le juge aurait dû faire droit à l’action.</w:t>
            </w:r>
          </w:p>
          <w:p w:rsidR="00233E21" w:rsidRPr="00031974" w:rsidRDefault="00233E21" w:rsidP="00B243C4">
            <w:pPr>
              <w:jc w:val="both"/>
              <w:rPr>
                <w:rFonts w:eastAsia="Calibri"/>
                <w:sz w:val="20"/>
                <w:lang w:val="fr-CA"/>
              </w:rPr>
            </w:pPr>
          </w:p>
        </w:tc>
      </w:tr>
      <w:tr w:rsidR="00233E21" w:rsidRPr="00A33CF8" w:rsidTr="00B243C4">
        <w:tc>
          <w:tcPr>
            <w:tcW w:w="2427" w:type="pct"/>
          </w:tcPr>
          <w:p w:rsidR="00233E21" w:rsidRPr="00031974" w:rsidRDefault="00233E21" w:rsidP="00B243C4">
            <w:pPr>
              <w:jc w:val="both"/>
              <w:rPr>
                <w:rFonts w:eastAsia="Calibri"/>
                <w:sz w:val="20"/>
                <w:lang w:val="fr-CA"/>
              </w:rPr>
            </w:pPr>
            <w:r w:rsidRPr="00031974">
              <w:rPr>
                <w:rFonts w:eastAsia="Calibri"/>
                <w:sz w:val="20"/>
                <w:lang w:val="fr-CA"/>
              </w:rPr>
              <w:t>Le 20 janvier 2014</w:t>
            </w:r>
          </w:p>
          <w:p w:rsidR="00233E21" w:rsidRPr="00031974" w:rsidRDefault="00233E21" w:rsidP="00B243C4">
            <w:pPr>
              <w:jc w:val="both"/>
              <w:rPr>
                <w:rFonts w:eastAsia="Calibri"/>
                <w:sz w:val="20"/>
                <w:lang w:val="fr-CA"/>
              </w:rPr>
            </w:pPr>
            <w:r w:rsidRPr="00031974">
              <w:rPr>
                <w:rFonts w:eastAsia="Calibri"/>
                <w:sz w:val="20"/>
                <w:lang w:val="fr-CA"/>
              </w:rPr>
              <w:t>Cour supérieure du Québec</w:t>
            </w:r>
          </w:p>
          <w:p w:rsidR="00233E21" w:rsidRPr="00031974" w:rsidRDefault="00233E21" w:rsidP="00B243C4">
            <w:pPr>
              <w:jc w:val="both"/>
              <w:rPr>
                <w:rFonts w:eastAsia="Calibri"/>
                <w:sz w:val="20"/>
              </w:rPr>
            </w:pPr>
            <w:r w:rsidRPr="00031974">
              <w:rPr>
                <w:rFonts w:eastAsia="Calibri"/>
                <w:sz w:val="20"/>
              </w:rPr>
              <w:t>(Le juge Dugré)</w:t>
            </w:r>
          </w:p>
          <w:p w:rsidR="00233E21" w:rsidRPr="00031974" w:rsidRDefault="00790981" w:rsidP="00B243C4">
            <w:pPr>
              <w:jc w:val="both"/>
              <w:rPr>
                <w:rFonts w:eastAsia="Calibri"/>
                <w:sz w:val="20"/>
              </w:rPr>
            </w:pPr>
            <w:hyperlink r:id="rId27" w:history="1">
              <w:r w:rsidR="00233E21" w:rsidRPr="00031974">
                <w:rPr>
                  <w:rFonts w:eastAsia="Calibri"/>
                  <w:color w:val="0000FF"/>
                  <w:sz w:val="20"/>
                  <w:u w:val="single"/>
                </w:rPr>
                <w:t>2014 QCCS 100</w:t>
              </w:r>
            </w:hyperlink>
          </w:p>
          <w:p w:rsidR="00233E21" w:rsidRPr="00031974" w:rsidRDefault="00233E21" w:rsidP="00B243C4">
            <w:pPr>
              <w:jc w:val="both"/>
              <w:rPr>
                <w:rFonts w:eastAsia="Calibri"/>
                <w:sz w:val="20"/>
              </w:rPr>
            </w:pPr>
          </w:p>
        </w:tc>
        <w:tc>
          <w:tcPr>
            <w:tcW w:w="243" w:type="pct"/>
          </w:tcPr>
          <w:p w:rsidR="00233E21" w:rsidRPr="00031974" w:rsidRDefault="00233E21" w:rsidP="00B243C4">
            <w:pPr>
              <w:jc w:val="both"/>
              <w:rPr>
                <w:rFonts w:eastAsia="Calibri"/>
                <w:sz w:val="20"/>
              </w:rPr>
            </w:pPr>
          </w:p>
        </w:tc>
        <w:tc>
          <w:tcPr>
            <w:tcW w:w="2330" w:type="pct"/>
          </w:tcPr>
          <w:p w:rsidR="00233E21" w:rsidRPr="00031974" w:rsidRDefault="00233E21" w:rsidP="00B243C4">
            <w:pPr>
              <w:jc w:val="both"/>
              <w:rPr>
                <w:rFonts w:eastAsia="Calibri"/>
                <w:sz w:val="20"/>
                <w:lang w:val="fr-CA"/>
              </w:rPr>
            </w:pPr>
            <w:r w:rsidRPr="00031974">
              <w:rPr>
                <w:rFonts w:eastAsia="Calibri"/>
                <w:sz w:val="20"/>
                <w:lang w:val="fr-CA"/>
              </w:rPr>
              <w:t>Action des intimées demandant la résiliation du contrat d’emphytéose rejetée</w:t>
            </w:r>
          </w:p>
          <w:p w:rsidR="00233E21" w:rsidRPr="00031974" w:rsidRDefault="00233E21" w:rsidP="00B243C4">
            <w:pPr>
              <w:jc w:val="both"/>
              <w:rPr>
                <w:rFonts w:eastAsia="Calibri"/>
                <w:sz w:val="20"/>
                <w:lang w:val="fr-CA"/>
              </w:rPr>
            </w:pPr>
          </w:p>
        </w:tc>
      </w:tr>
      <w:tr w:rsidR="00233E21" w:rsidRPr="00A33CF8" w:rsidTr="00B243C4">
        <w:tc>
          <w:tcPr>
            <w:tcW w:w="2427" w:type="pct"/>
          </w:tcPr>
          <w:p w:rsidR="00233E21" w:rsidRPr="00031974" w:rsidRDefault="00233E21" w:rsidP="00B243C4">
            <w:pPr>
              <w:jc w:val="both"/>
              <w:rPr>
                <w:rFonts w:eastAsia="Calibri"/>
                <w:sz w:val="20"/>
                <w:lang w:val="fr-CA"/>
              </w:rPr>
            </w:pPr>
            <w:r w:rsidRPr="00031974">
              <w:rPr>
                <w:rFonts w:eastAsia="Calibri"/>
                <w:sz w:val="20"/>
                <w:lang w:val="fr-CA"/>
              </w:rPr>
              <w:t>Le 10 octobre 2014</w:t>
            </w:r>
          </w:p>
          <w:p w:rsidR="00233E21" w:rsidRPr="00031974" w:rsidRDefault="00233E21" w:rsidP="00B243C4">
            <w:pPr>
              <w:jc w:val="both"/>
              <w:rPr>
                <w:rFonts w:eastAsia="Calibri"/>
                <w:sz w:val="20"/>
                <w:lang w:val="fr-CA"/>
              </w:rPr>
            </w:pPr>
            <w:r w:rsidRPr="00031974">
              <w:rPr>
                <w:rFonts w:eastAsia="Calibri"/>
                <w:sz w:val="20"/>
                <w:lang w:val="fr-CA"/>
              </w:rPr>
              <w:t>Cour d’appel du Québec (Montréal)</w:t>
            </w:r>
          </w:p>
          <w:p w:rsidR="00233E21" w:rsidRPr="00031974" w:rsidRDefault="00233E21" w:rsidP="00B243C4">
            <w:pPr>
              <w:jc w:val="both"/>
              <w:rPr>
                <w:rFonts w:eastAsia="Calibri"/>
                <w:sz w:val="20"/>
                <w:lang w:val="fr-CA"/>
              </w:rPr>
            </w:pPr>
            <w:r w:rsidRPr="00031974">
              <w:rPr>
                <w:rFonts w:eastAsia="Calibri"/>
                <w:sz w:val="20"/>
                <w:lang w:val="fr-CA"/>
              </w:rPr>
              <w:t>(Les juges Pelletier, Emond et Bich)</w:t>
            </w:r>
          </w:p>
          <w:p w:rsidR="00233E21" w:rsidRPr="00031974" w:rsidRDefault="00790981" w:rsidP="00B243C4">
            <w:pPr>
              <w:jc w:val="both"/>
              <w:rPr>
                <w:rFonts w:eastAsia="Calibri"/>
                <w:sz w:val="20"/>
              </w:rPr>
            </w:pPr>
            <w:hyperlink r:id="rId28" w:history="1">
              <w:r w:rsidR="00233E21" w:rsidRPr="00031974">
                <w:rPr>
                  <w:rFonts w:eastAsia="Calibri"/>
                  <w:color w:val="0000FF"/>
                  <w:sz w:val="20"/>
                  <w:u w:val="single"/>
                </w:rPr>
                <w:t>2014 QCCA 1919</w:t>
              </w:r>
            </w:hyperlink>
          </w:p>
          <w:p w:rsidR="00233E21" w:rsidRPr="00031974" w:rsidRDefault="00233E21" w:rsidP="00B243C4">
            <w:pPr>
              <w:jc w:val="both"/>
              <w:rPr>
                <w:rFonts w:eastAsia="Calibri"/>
                <w:sz w:val="20"/>
                <w:lang w:val="fr-CA"/>
              </w:rPr>
            </w:pPr>
          </w:p>
        </w:tc>
        <w:tc>
          <w:tcPr>
            <w:tcW w:w="243" w:type="pct"/>
          </w:tcPr>
          <w:p w:rsidR="00233E21" w:rsidRPr="00031974" w:rsidRDefault="00233E21" w:rsidP="00B243C4">
            <w:pPr>
              <w:jc w:val="both"/>
              <w:rPr>
                <w:rFonts w:eastAsia="Calibri"/>
                <w:sz w:val="20"/>
                <w:lang w:val="fr-CA"/>
              </w:rPr>
            </w:pPr>
          </w:p>
        </w:tc>
        <w:tc>
          <w:tcPr>
            <w:tcW w:w="2330" w:type="pct"/>
          </w:tcPr>
          <w:p w:rsidR="00233E21" w:rsidRPr="00031974" w:rsidRDefault="00233E21" w:rsidP="00B243C4">
            <w:pPr>
              <w:jc w:val="both"/>
              <w:rPr>
                <w:rFonts w:eastAsia="Calibri"/>
                <w:sz w:val="20"/>
                <w:lang w:val="fr-CA"/>
              </w:rPr>
            </w:pPr>
            <w:r w:rsidRPr="00031974">
              <w:rPr>
                <w:rFonts w:eastAsia="Calibri"/>
                <w:sz w:val="20"/>
                <w:lang w:val="fr-CA"/>
              </w:rPr>
              <w:t>Appel accueilli; résiliation du contrat d’emphytéose prononcée</w:t>
            </w:r>
          </w:p>
          <w:p w:rsidR="00233E21" w:rsidRPr="00031974" w:rsidRDefault="00233E21" w:rsidP="00B243C4">
            <w:pPr>
              <w:jc w:val="both"/>
              <w:rPr>
                <w:rFonts w:eastAsia="Calibri"/>
                <w:sz w:val="20"/>
                <w:lang w:val="fr-CA"/>
              </w:rPr>
            </w:pPr>
          </w:p>
        </w:tc>
      </w:tr>
      <w:tr w:rsidR="00233E21" w:rsidRPr="00031974" w:rsidTr="00B243C4">
        <w:tc>
          <w:tcPr>
            <w:tcW w:w="2427" w:type="pct"/>
          </w:tcPr>
          <w:p w:rsidR="00233E21" w:rsidRPr="00031974" w:rsidRDefault="00233E21" w:rsidP="00B243C4">
            <w:pPr>
              <w:jc w:val="both"/>
              <w:rPr>
                <w:rFonts w:eastAsia="Calibri"/>
                <w:sz w:val="20"/>
                <w:lang w:val="fr-CA"/>
              </w:rPr>
            </w:pPr>
            <w:r w:rsidRPr="00031974">
              <w:rPr>
                <w:rFonts w:eastAsia="Calibri"/>
                <w:sz w:val="20"/>
                <w:lang w:val="fr-CA"/>
              </w:rPr>
              <w:t>Le 4 décembre 2014</w:t>
            </w:r>
          </w:p>
          <w:p w:rsidR="00233E21" w:rsidRPr="00031974" w:rsidRDefault="00233E21" w:rsidP="00B243C4">
            <w:pPr>
              <w:jc w:val="both"/>
              <w:rPr>
                <w:rFonts w:eastAsia="Calibri"/>
                <w:sz w:val="20"/>
                <w:lang w:val="fr-CA"/>
              </w:rPr>
            </w:pPr>
            <w:r w:rsidRPr="00031974">
              <w:rPr>
                <w:rFonts w:eastAsia="Calibri"/>
                <w:sz w:val="20"/>
                <w:lang w:val="fr-CA"/>
              </w:rPr>
              <w:t xml:space="preserve">Cour suprême du Canada </w:t>
            </w:r>
          </w:p>
        </w:tc>
        <w:tc>
          <w:tcPr>
            <w:tcW w:w="243" w:type="pct"/>
          </w:tcPr>
          <w:p w:rsidR="00233E21" w:rsidRPr="00031974" w:rsidRDefault="00233E21" w:rsidP="00B243C4">
            <w:pPr>
              <w:jc w:val="both"/>
              <w:rPr>
                <w:rFonts w:eastAsia="Calibri"/>
                <w:sz w:val="20"/>
                <w:lang w:val="fr-CA"/>
              </w:rPr>
            </w:pPr>
          </w:p>
        </w:tc>
        <w:tc>
          <w:tcPr>
            <w:tcW w:w="2330" w:type="pct"/>
          </w:tcPr>
          <w:p w:rsidR="00233E21" w:rsidRPr="00031974" w:rsidRDefault="00233E21" w:rsidP="00B243C4">
            <w:pPr>
              <w:jc w:val="both"/>
              <w:rPr>
                <w:rFonts w:eastAsia="Calibri"/>
                <w:sz w:val="20"/>
              </w:rPr>
            </w:pPr>
            <w:r w:rsidRPr="00031974">
              <w:rPr>
                <w:rFonts w:eastAsia="Calibri"/>
                <w:sz w:val="20"/>
              </w:rPr>
              <w:t>Demande d’autorisation d’appel déposée</w:t>
            </w:r>
          </w:p>
        </w:tc>
      </w:tr>
    </w:tbl>
    <w:p w:rsidR="00233E21" w:rsidRDefault="00233E21" w:rsidP="000E2959">
      <w:pPr>
        <w:rPr>
          <w:sz w:val="20"/>
          <w:szCs w:val="20"/>
        </w:rPr>
      </w:pPr>
    </w:p>
    <w:p w:rsidR="00233E21" w:rsidRDefault="00790981" w:rsidP="000E2959">
      <w:pPr>
        <w:rPr>
          <w:sz w:val="20"/>
          <w:szCs w:val="20"/>
          <w:lang w:val="fr-CA"/>
        </w:rPr>
      </w:pPr>
      <w:r>
        <w:rPr>
          <w:sz w:val="20"/>
          <w:szCs w:val="20"/>
          <w:lang w:val="fr-CA"/>
        </w:rPr>
        <w:pict>
          <v:rect id="_x0000_i1032" style="width:2in;height:1pt" o:hrpct="0" o:hralign="center" o:hrstd="t" o:hrnoshade="t" o:hr="t" fillcolor="black [3213]" stroked="f"/>
        </w:pict>
      </w:r>
    </w:p>
    <w:p w:rsidR="00233E21" w:rsidRDefault="00233E21" w:rsidP="000E2959">
      <w:pPr>
        <w:rPr>
          <w:sz w:val="20"/>
          <w:szCs w:val="20"/>
          <w:lang w:val="fr-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62B33" w:rsidRPr="00962B33" w:rsidTr="00B243C4">
        <w:trPr>
          <w:cantSplit/>
        </w:trPr>
        <w:tc>
          <w:tcPr>
            <w:tcW w:w="1458" w:type="dxa"/>
          </w:tcPr>
          <w:p w:rsidR="00962B33" w:rsidRPr="00962B33" w:rsidRDefault="00962B33" w:rsidP="00962B33">
            <w:pPr>
              <w:rPr>
                <w:sz w:val="20"/>
                <w:szCs w:val="20"/>
              </w:rPr>
            </w:pPr>
            <w:r w:rsidRPr="00962B33">
              <w:rPr>
                <w:b/>
                <w:sz w:val="20"/>
                <w:szCs w:val="20"/>
                <w:lang w:val="fr-CA"/>
              </w:rPr>
              <w:t>36158</w:t>
            </w:r>
          </w:p>
          <w:p w:rsidR="00962B33" w:rsidRPr="00962B33" w:rsidRDefault="00962B33" w:rsidP="00962B33">
            <w:pPr>
              <w:rPr>
                <w:b/>
                <w:sz w:val="20"/>
                <w:szCs w:val="20"/>
                <w:lang w:val="fr-CA"/>
              </w:rPr>
            </w:pPr>
          </w:p>
        </w:tc>
        <w:tc>
          <w:tcPr>
            <w:tcW w:w="8118" w:type="dxa"/>
          </w:tcPr>
          <w:p w:rsidR="00962B33" w:rsidRPr="00962B33" w:rsidRDefault="00962B33" w:rsidP="00962B33">
            <w:pPr>
              <w:jc w:val="both"/>
              <w:rPr>
                <w:sz w:val="20"/>
                <w:szCs w:val="20"/>
              </w:rPr>
            </w:pPr>
            <w:r w:rsidRPr="00962B33">
              <w:rPr>
                <w:b/>
                <w:sz w:val="20"/>
                <w:szCs w:val="20"/>
                <w:u w:val="single"/>
              </w:rPr>
              <w:t>Walter Pruden v. Metis Settlements Appeal Tribunal and Kikino Metis Settlement</w:t>
            </w:r>
            <w:r w:rsidRPr="00962B33">
              <w:rPr>
                <w:sz w:val="20"/>
                <w:szCs w:val="20"/>
              </w:rPr>
              <w:t xml:space="preserve"> (Alta.) (Civil) (By Leave)</w:t>
            </w:r>
          </w:p>
          <w:p w:rsidR="00962B33" w:rsidRPr="00962B33" w:rsidRDefault="00962B33" w:rsidP="00962B33">
            <w:pPr>
              <w:jc w:val="both"/>
              <w:rPr>
                <w:sz w:val="20"/>
                <w:szCs w:val="20"/>
              </w:rPr>
            </w:pPr>
          </w:p>
        </w:tc>
      </w:tr>
      <w:tr w:rsidR="00962B33" w:rsidRPr="00962B33" w:rsidTr="00B243C4">
        <w:trPr>
          <w:cantSplit/>
        </w:trPr>
        <w:tc>
          <w:tcPr>
            <w:tcW w:w="1458" w:type="dxa"/>
          </w:tcPr>
          <w:p w:rsidR="00962B33" w:rsidRPr="00962B33" w:rsidRDefault="00962B33" w:rsidP="00962B33">
            <w:pPr>
              <w:rPr>
                <w:sz w:val="20"/>
                <w:szCs w:val="20"/>
              </w:rPr>
            </w:pPr>
            <w:r w:rsidRPr="00962B33">
              <w:rPr>
                <w:sz w:val="20"/>
                <w:szCs w:val="20"/>
              </w:rPr>
              <w:t>Coram :</w:t>
            </w:r>
          </w:p>
        </w:tc>
        <w:tc>
          <w:tcPr>
            <w:tcW w:w="8118" w:type="dxa"/>
          </w:tcPr>
          <w:p w:rsidR="00962B33" w:rsidRPr="00962B33" w:rsidRDefault="00962B33" w:rsidP="00962B33">
            <w:pPr>
              <w:rPr>
                <w:sz w:val="20"/>
                <w:szCs w:val="20"/>
              </w:rPr>
            </w:pPr>
            <w:r w:rsidRPr="00962B33">
              <w:rPr>
                <w:sz w:val="20"/>
                <w:szCs w:val="20"/>
                <w:u w:val="single"/>
              </w:rPr>
              <w:t>Rothstein, Cromwell and Moldaver JJ.</w:t>
            </w:r>
          </w:p>
          <w:p w:rsidR="00962B33" w:rsidRPr="00962B33" w:rsidRDefault="00962B33" w:rsidP="00962B33">
            <w:pPr>
              <w:rPr>
                <w:sz w:val="20"/>
                <w:szCs w:val="20"/>
                <w:u w:val="single"/>
              </w:rPr>
            </w:pPr>
          </w:p>
        </w:tc>
      </w:tr>
      <w:tr w:rsidR="00962B33" w:rsidRPr="00A33CF8" w:rsidTr="00B243C4">
        <w:trPr>
          <w:cantSplit/>
        </w:trPr>
        <w:tc>
          <w:tcPr>
            <w:tcW w:w="9576" w:type="dxa"/>
            <w:gridSpan w:val="2"/>
          </w:tcPr>
          <w:p w:rsidR="00962B33" w:rsidRPr="00962B33" w:rsidRDefault="00962B33" w:rsidP="00962B33">
            <w:pPr>
              <w:ind w:firstLine="720"/>
              <w:jc w:val="both"/>
              <w:rPr>
                <w:sz w:val="20"/>
                <w:szCs w:val="20"/>
              </w:rPr>
            </w:pPr>
            <w:r w:rsidRPr="00962B33">
              <w:rPr>
                <w:sz w:val="20"/>
                <w:szCs w:val="20"/>
              </w:rPr>
              <w:t>The application for leave to appeal from the judgment of the Court of Appeal of Alberta (Edmonton), Number 1403-0153-AC, 2014 ABCA 288, dated September 10, 2014, is dismissed.</w:t>
            </w:r>
          </w:p>
          <w:p w:rsidR="00962B33" w:rsidRPr="00962B33" w:rsidRDefault="00962B33" w:rsidP="00962B33">
            <w:pPr>
              <w:jc w:val="both"/>
              <w:rPr>
                <w:sz w:val="20"/>
                <w:szCs w:val="20"/>
              </w:rPr>
            </w:pPr>
          </w:p>
          <w:p w:rsidR="00962B33" w:rsidRPr="00962B33" w:rsidRDefault="00962B33" w:rsidP="00962B33">
            <w:pPr>
              <w:ind w:firstLine="720"/>
              <w:jc w:val="both"/>
              <w:rPr>
                <w:sz w:val="20"/>
                <w:szCs w:val="20"/>
                <w:lang w:val="fr-CA"/>
              </w:rPr>
            </w:pPr>
            <w:r w:rsidRPr="00962B33">
              <w:rPr>
                <w:sz w:val="20"/>
                <w:szCs w:val="20"/>
                <w:lang w:val="fr-CA"/>
              </w:rPr>
              <w:t>La demande d’autorisation d’appel de l’arrêt de la Cour d'appel de l’Alberta (Edmonton), numéro 1403-0153-AC, 2014 ABCA 288, daté du 10 septembre 2014, est rejetée.</w:t>
            </w:r>
          </w:p>
        </w:tc>
      </w:tr>
    </w:tbl>
    <w:p w:rsidR="00233E21" w:rsidRPr="00962B33" w:rsidRDefault="00233E21" w:rsidP="00233E21">
      <w:pPr>
        <w:rPr>
          <w:sz w:val="20"/>
          <w:szCs w:val="20"/>
          <w:lang w:val="fr-CA"/>
        </w:rPr>
      </w:pPr>
    </w:p>
    <w:p w:rsidR="00233E21" w:rsidRPr="001B157C" w:rsidRDefault="00233E21" w:rsidP="00233E21">
      <w:pPr>
        <w:rPr>
          <w:sz w:val="20"/>
          <w:szCs w:val="20"/>
          <w:u w:val="single"/>
        </w:rPr>
      </w:pPr>
      <w:r w:rsidRPr="001B157C">
        <w:rPr>
          <w:sz w:val="20"/>
          <w:szCs w:val="20"/>
          <w:u w:val="single"/>
        </w:rPr>
        <w:t>CASE SUMMARY</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07E0" w:rsidRPr="00031974" w:rsidTr="00B243C4">
        <w:tc>
          <w:tcPr>
            <w:tcW w:w="5000" w:type="pct"/>
            <w:gridSpan w:val="3"/>
          </w:tcPr>
          <w:p w:rsidR="004007E0" w:rsidRPr="00031974" w:rsidRDefault="004007E0" w:rsidP="00B243C4">
            <w:pPr>
              <w:jc w:val="both"/>
              <w:rPr>
                <w:rFonts w:eastAsia="Calibri"/>
                <w:sz w:val="20"/>
              </w:rPr>
            </w:pPr>
            <w:r w:rsidRPr="00031974">
              <w:rPr>
                <w:rFonts w:eastAsia="Calibri"/>
                <w:sz w:val="20"/>
              </w:rPr>
              <w:t xml:space="preserve">Limitation of actions – Administrative law – Judicial review – Legislation – Interpretation –What are the criteria or events necessary to trigger the extension of the time or limitation period under the </w:t>
            </w:r>
            <w:r w:rsidRPr="00031974">
              <w:rPr>
                <w:rFonts w:eastAsia="Calibri"/>
                <w:i/>
                <w:sz w:val="20"/>
              </w:rPr>
              <w:t>Métis Settlements Act</w:t>
            </w:r>
            <w:r w:rsidRPr="00031974">
              <w:rPr>
                <w:rFonts w:eastAsia="Calibri"/>
                <w:sz w:val="20"/>
              </w:rPr>
              <w:t>,</w:t>
            </w:r>
            <w:r w:rsidRPr="00031974">
              <w:rPr>
                <w:rFonts w:eastAsia="Calibri"/>
                <w:i/>
                <w:sz w:val="20"/>
              </w:rPr>
              <w:t xml:space="preserve"> </w:t>
            </w:r>
            <w:r w:rsidRPr="00031974">
              <w:rPr>
                <w:rFonts w:eastAsia="Calibri"/>
                <w:sz w:val="20"/>
              </w:rPr>
              <w:t>R.S.A. 2000, c. M-14</w:t>
            </w:r>
            <w:r w:rsidRPr="00031974">
              <w:rPr>
                <w:rFonts w:eastAsia="Calibri"/>
                <w:i/>
                <w:sz w:val="20"/>
              </w:rPr>
              <w:t xml:space="preserve"> </w:t>
            </w:r>
            <w:r w:rsidRPr="00031974">
              <w:rPr>
                <w:rFonts w:eastAsia="Calibri"/>
                <w:sz w:val="20"/>
              </w:rPr>
              <w:t xml:space="preserve">– What constitutes “special circumstances” for the purposes of extending limitations periods under the </w:t>
            </w:r>
            <w:r w:rsidRPr="00031974">
              <w:rPr>
                <w:rFonts w:eastAsia="Calibri"/>
                <w:i/>
                <w:sz w:val="20"/>
              </w:rPr>
              <w:t>Métis Settlements Act.</w:t>
            </w:r>
          </w:p>
        </w:tc>
      </w:tr>
      <w:tr w:rsidR="004007E0" w:rsidRPr="00031974" w:rsidTr="00B243C4">
        <w:tc>
          <w:tcPr>
            <w:tcW w:w="5000" w:type="pct"/>
            <w:gridSpan w:val="3"/>
          </w:tcPr>
          <w:p w:rsidR="004007E0" w:rsidRPr="00031974" w:rsidRDefault="004007E0" w:rsidP="00B243C4">
            <w:pPr>
              <w:jc w:val="both"/>
              <w:rPr>
                <w:rFonts w:eastAsia="Calibri"/>
                <w:sz w:val="20"/>
              </w:rPr>
            </w:pPr>
          </w:p>
        </w:tc>
      </w:tr>
      <w:tr w:rsidR="004007E0" w:rsidRPr="00031974" w:rsidTr="00B243C4">
        <w:tc>
          <w:tcPr>
            <w:tcW w:w="5000" w:type="pct"/>
            <w:gridSpan w:val="3"/>
          </w:tcPr>
          <w:p w:rsidR="004007E0" w:rsidRPr="00031974" w:rsidRDefault="004007E0" w:rsidP="00B243C4">
            <w:pPr>
              <w:jc w:val="both"/>
              <w:rPr>
                <w:rFonts w:eastAsia="Calibri"/>
                <w:sz w:val="20"/>
              </w:rPr>
            </w:pPr>
            <w:r w:rsidRPr="00031974">
              <w:rPr>
                <w:rFonts w:eastAsia="Calibri"/>
                <w:sz w:val="20"/>
              </w:rPr>
              <w:t xml:space="preserve">Kib Hogenson, who held Metis Title to one parcel of land and a Provisional Metis Title to another, passed away in 2006 without filing estate instructions.  The lands were transferred to the KMS Council as land trustee.  The Provisional Metis Title on the lands had expired before Mr. Hogenson’s death and was later cancelled. Part of the </w:t>
            </w:r>
            <w:r w:rsidRPr="00031974">
              <w:rPr>
                <w:rFonts w:eastAsia="Calibri"/>
                <w:sz w:val="20"/>
              </w:rPr>
              <w:lastRenderedPageBreak/>
              <w:t xml:space="preserve">parcel of land held by Metis Title was transferred to a third party in the fall of 2010, and the remainder stayed with the Council.  In December 2012, the applicant requested that lands held by Provisional Metis Title and the remainder of the lands held by Metis Title be posted as available and he submitted his application for both.  He claimed that as the two parcels of land had belonged to his adopted brother, they should go to his family or himself.  KMS Council denied the application on the basis that the Council decided to retain the lands for agricultural purposes.  On January 4, 2013, the applicant filed an appeal in writing to the Metis Settlements Appeal Tribunal. </w:t>
            </w:r>
          </w:p>
          <w:p w:rsidR="004007E0" w:rsidRPr="00031974" w:rsidRDefault="004007E0" w:rsidP="00B243C4">
            <w:pPr>
              <w:jc w:val="both"/>
              <w:rPr>
                <w:rFonts w:eastAsia="Calibri"/>
                <w:sz w:val="20"/>
              </w:rPr>
            </w:pPr>
          </w:p>
          <w:p w:rsidR="004007E0" w:rsidRPr="00031974" w:rsidRDefault="004007E0" w:rsidP="00B243C4">
            <w:pPr>
              <w:jc w:val="both"/>
              <w:rPr>
                <w:rFonts w:eastAsia="Calibri"/>
                <w:sz w:val="20"/>
              </w:rPr>
            </w:pPr>
            <w:r w:rsidRPr="00031974">
              <w:rPr>
                <w:rFonts w:eastAsia="Calibri"/>
                <w:sz w:val="20"/>
              </w:rPr>
              <w:t>The Metis Settlements Appeal Tribunal dismissed the applicant’s appeal, finding that he did not have a right of appeal as the appeal had not been filed on time and there was no reason to extend the appeal deadline.  The Court of Appeal for Alberta dismissed the appeal.</w:t>
            </w:r>
          </w:p>
          <w:p w:rsidR="004007E0" w:rsidRPr="00031974" w:rsidRDefault="004007E0" w:rsidP="00B243C4">
            <w:pPr>
              <w:jc w:val="both"/>
              <w:rPr>
                <w:rFonts w:eastAsia="Calibri"/>
                <w:sz w:val="20"/>
              </w:rPr>
            </w:pPr>
          </w:p>
        </w:tc>
      </w:tr>
      <w:tr w:rsidR="004007E0" w:rsidRPr="00031974" w:rsidTr="00B243C4">
        <w:tc>
          <w:tcPr>
            <w:tcW w:w="2427" w:type="pct"/>
          </w:tcPr>
          <w:p w:rsidR="004007E0" w:rsidRPr="00031974" w:rsidRDefault="004007E0" w:rsidP="00B243C4">
            <w:pPr>
              <w:jc w:val="both"/>
              <w:rPr>
                <w:rFonts w:eastAsia="Calibri"/>
                <w:sz w:val="20"/>
              </w:rPr>
            </w:pPr>
            <w:r w:rsidRPr="00031974">
              <w:rPr>
                <w:rFonts w:eastAsia="Calibri"/>
                <w:sz w:val="20"/>
              </w:rPr>
              <w:lastRenderedPageBreak/>
              <w:t>May 9, 2014</w:t>
            </w:r>
          </w:p>
          <w:p w:rsidR="004007E0" w:rsidRPr="00031974" w:rsidRDefault="004007E0" w:rsidP="00B243C4">
            <w:pPr>
              <w:jc w:val="both"/>
              <w:rPr>
                <w:rFonts w:eastAsia="Calibri"/>
                <w:sz w:val="20"/>
              </w:rPr>
            </w:pPr>
            <w:r w:rsidRPr="00031974">
              <w:rPr>
                <w:rFonts w:eastAsia="Calibri"/>
                <w:sz w:val="20"/>
              </w:rPr>
              <w:t>Metis Settlements Appeal Tribunal</w:t>
            </w:r>
          </w:p>
          <w:p w:rsidR="004007E0" w:rsidRPr="00031974" w:rsidRDefault="004007E0" w:rsidP="00B243C4">
            <w:pPr>
              <w:jc w:val="both"/>
              <w:rPr>
                <w:rFonts w:eastAsia="Calibri"/>
                <w:sz w:val="20"/>
              </w:rPr>
            </w:pPr>
            <w:r w:rsidRPr="00031974">
              <w:rPr>
                <w:rFonts w:eastAsia="Calibri"/>
                <w:sz w:val="20"/>
              </w:rPr>
              <w:t>(Lamouche (Chair), Parenteau and Souray)</w:t>
            </w:r>
          </w:p>
          <w:p w:rsidR="004007E0" w:rsidRPr="00031974" w:rsidRDefault="00790981" w:rsidP="00B243C4">
            <w:pPr>
              <w:jc w:val="both"/>
              <w:rPr>
                <w:rFonts w:eastAsia="Calibri"/>
                <w:sz w:val="20"/>
              </w:rPr>
            </w:pPr>
            <w:hyperlink r:id="rId29" w:history="1">
              <w:r w:rsidR="004007E0" w:rsidRPr="00031974">
                <w:rPr>
                  <w:rFonts w:eastAsia="Calibri"/>
                  <w:color w:val="0000FF"/>
                  <w:sz w:val="20"/>
                  <w:u w:val="single"/>
                </w:rPr>
                <w:t>Tribunal Order 257</w:t>
              </w:r>
            </w:hyperlink>
          </w:p>
          <w:p w:rsidR="004007E0" w:rsidRPr="00031974" w:rsidRDefault="004007E0" w:rsidP="00B243C4">
            <w:pPr>
              <w:jc w:val="both"/>
              <w:rPr>
                <w:rFonts w:eastAsia="Calibri"/>
                <w:sz w:val="20"/>
              </w:rPr>
            </w:pPr>
          </w:p>
        </w:tc>
        <w:tc>
          <w:tcPr>
            <w:tcW w:w="243" w:type="pct"/>
          </w:tcPr>
          <w:p w:rsidR="004007E0" w:rsidRPr="00031974" w:rsidRDefault="004007E0" w:rsidP="00B243C4">
            <w:pPr>
              <w:jc w:val="both"/>
              <w:rPr>
                <w:rFonts w:eastAsia="Calibri"/>
                <w:sz w:val="20"/>
              </w:rPr>
            </w:pPr>
          </w:p>
        </w:tc>
        <w:tc>
          <w:tcPr>
            <w:tcW w:w="2330" w:type="pct"/>
          </w:tcPr>
          <w:p w:rsidR="004007E0" w:rsidRPr="00031974" w:rsidRDefault="004007E0" w:rsidP="00B243C4">
            <w:pPr>
              <w:jc w:val="both"/>
              <w:rPr>
                <w:rFonts w:eastAsia="Calibri"/>
                <w:sz w:val="20"/>
              </w:rPr>
            </w:pPr>
            <w:r w:rsidRPr="00031974">
              <w:rPr>
                <w:rFonts w:eastAsia="Calibri"/>
                <w:sz w:val="20"/>
              </w:rPr>
              <w:t xml:space="preserve">Applicant’s appeal dismissed </w:t>
            </w:r>
          </w:p>
        </w:tc>
      </w:tr>
      <w:tr w:rsidR="004007E0" w:rsidRPr="00031974" w:rsidTr="00B243C4">
        <w:tc>
          <w:tcPr>
            <w:tcW w:w="2427" w:type="pct"/>
          </w:tcPr>
          <w:p w:rsidR="004007E0" w:rsidRPr="00031974" w:rsidRDefault="004007E0" w:rsidP="00B243C4">
            <w:pPr>
              <w:jc w:val="both"/>
              <w:rPr>
                <w:rFonts w:eastAsia="Calibri"/>
                <w:sz w:val="20"/>
              </w:rPr>
            </w:pPr>
            <w:r w:rsidRPr="00031974">
              <w:rPr>
                <w:rFonts w:eastAsia="Calibri"/>
                <w:sz w:val="20"/>
              </w:rPr>
              <w:t>September 10, 2014</w:t>
            </w:r>
          </w:p>
          <w:p w:rsidR="004007E0" w:rsidRPr="00031974" w:rsidRDefault="004007E0" w:rsidP="00B243C4">
            <w:pPr>
              <w:jc w:val="both"/>
              <w:rPr>
                <w:rFonts w:eastAsia="Calibri"/>
                <w:sz w:val="20"/>
              </w:rPr>
            </w:pPr>
            <w:r w:rsidRPr="00031974">
              <w:rPr>
                <w:rFonts w:eastAsia="Calibri"/>
                <w:sz w:val="20"/>
              </w:rPr>
              <w:t>Court of Appeal of Alberta (Edmonton)</w:t>
            </w:r>
          </w:p>
          <w:p w:rsidR="004007E0" w:rsidRPr="00031974" w:rsidRDefault="004007E0" w:rsidP="00B243C4">
            <w:pPr>
              <w:jc w:val="both"/>
              <w:rPr>
                <w:rFonts w:eastAsia="Calibri"/>
                <w:sz w:val="20"/>
              </w:rPr>
            </w:pPr>
            <w:r w:rsidRPr="00031974">
              <w:rPr>
                <w:rFonts w:eastAsia="Calibri"/>
                <w:sz w:val="20"/>
              </w:rPr>
              <w:t>(Watson J.A.)</w:t>
            </w:r>
          </w:p>
          <w:p w:rsidR="004007E0" w:rsidRPr="00031974" w:rsidRDefault="00790981" w:rsidP="00B243C4">
            <w:pPr>
              <w:jc w:val="both"/>
              <w:rPr>
                <w:rFonts w:eastAsia="Calibri"/>
                <w:sz w:val="20"/>
              </w:rPr>
            </w:pPr>
            <w:hyperlink r:id="rId30" w:history="1">
              <w:r w:rsidR="004007E0" w:rsidRPr="00031974">
                <w:rPr>
                  <w:rFonts w:eastAsia="Calibri"/>
                  <w:color w:val="0000FF"/>
                  <w:sz w:val="20"/>
                  <w:u w:val="single"/>
                </w:rPr>
                <w:t>2014 ABCA 288</w:t>
              </w:r>
            </w:hyperlink>
          </w:p>
          <w:p w:rsidR="004007E0" w:rsidRPr="00031974" w:rsidRDefault="004007E0" w:rsidP="00B243C4">
            <w:pPr>
              <w:jc w:val="both"/>
              <w:rPr>
                <w:rFonts w:eastAsia="Calibri"/>
                <w:sz w:val="20"/>
              </w:rPr>
            </w:pPr>
          </w:p>
        </w:tc>
        <w:tc>
          <w:tcPr>
            <w:tcW w:w="243" w:type="pct"/>
          </w:tcPr>
          <w:p w:rsidR="004007E0" w:rsidRPr="00031974" w:rsidRDefault="004007E0" w:rsidP="00B243C4">
            <w:pPr>
              <w:jc w:val="both"/>
              <w:rPr>
                <w:rFonts w:eastAsia="Calibri"/>
                <w:sz w:val="20"/>
              </w:rPr>
            </w:pPr>
          </w:p>
        </w:tc>
        <w:tc>
          <w:tcPr>
            <w:tcW w:w="2330" w:type="pct"/>
          </w:tcPr>
          <w:p w:rsidR="004007E0" w:rsidRPr="00031974" w:rsidRDefault="004007E0" w:rsidP="00B243C4">
            <w:pPr>
              <w:jc w:val="both"/>
              <w:rPr>
                <w:rFonts w:eastAsia="Calibri"/>
                <w:sz w:val="20"/>
              </w:rPr>
            </w:pPr>
            <w:r w:rsidRPr="00031974">
              <w:rPr>
                <w:rFonts w:eastAsia="Calibri"/>
                <w:sz w:val="20"/>
              </w:rPr>
              <w:t>Application for leave to appeal dismissed</w:t>
            </w:r>
          </w:p>
          <w:p w:rsidR="004007E0" w:rsidRPr="00031974" w:rsidRDefault="004007E0" w:rsidP="00B243C4">
            <w:pPr>
              <w:jc w:val="both"/>
              <w:rPr>
                <w:rFonts w:eastAsia="Calibri"/>
                <w:sz w:val="20"/>
              </w:rPr>
            </w:pPr>
          </w:p>
        </w:tc>
      </w:tr>
      <w:tr w:rsidR="004007E0" w:rsidRPr="00031974" w:rsidTr="00B243C4">
        <w:tc>
          <w:tcPr>
            <w:tcW w:w="2427" w:type="pct"/>
          </w:tcPr>
          <w:p w:rsidR="004007E0" w:rsidRPr="00031974" w:rsidRDefault="004007E0" w:rsidP="00B243C4">
            <w:pPr>
              <w:jc w:val="both"/>
              <w:rPr>
                <w:rFonts w:eastAsia="Calibri"/>
                <w:sz w:val="20"/>
              </w:rPr>
            </w:pPr>
            <w:r w:rsidRPr="00031974">
              <w:rPr>
                <w:rFonts w:eastAsia="Calibri"/>
                <w:sz w:val="20"/>
              </w:rPr>
              <w:t>November 6, 2014</w:t>
            </w:r>
          </w:p>
          <w:p w:rsidR="004007E0" w:rsidRPr="00031974" w:rsidRDefault="004007E0" w:rsidP="00B243C4">
            <w:pPr>
              <w:jc w:val="both"/>
              <w:rPr>
                <w:rFonts w:eastAsia="Calibri"/>
                <w:sz w:val="20"/>
              </w:rPr>
            </w:pPr>
            <w:r w:rsidRPr="00031974">
              <w:rPr>
                <w:rFonts w:eastAsia="Calibri"/>
                <w:sz w:val="20"/>
              </w:rPr>
              <w:t>Supreme Court of Canada</w:t>
            </w:r>
          </w:p>
        </w:tc>
        <w:tc>
          <w:tcPr>
            <w:tcW w:w="243" w:type="pct"/>
          </w:tcPr>
          <w:p w:rsidR="004007E0" w:rsidRPr="00031974" w:rsidRDefault="004007E0" w:rsidP="00B243C4">
            <w:pPr>
              <w:jc w:val="both"/>
              <w:rPr>
                <w:rFonts w:eastAsia="Calibri"/>
                <w:sz w:val="20"/>
              </w:rPr>
            </w:pPr>
          </w:p>
        </w:tc>
        <w:tc>
          <w:tcPr>
            <w:tcW w:w="2330" w:type="pct"/>
          </w:tcPr>
          <w:p w:rsidR="004007E0" w:rsidRPr="00031974" w:rsidRDefault="004007E0" w:rsidP="00B243C4">
            <w:pPr>
              <w:jc w:val="both"/>
              <w:rPr>
                <w:rFonts w:eastAsia="Calibri"/>
                <w:sz w:val="20"/>
              </w:rPr>
            </w:pPr>
            <w:r w:rsidRPr="00031974">
              <w:rPr>
                <w:rFonts w:eastAsia="Calibri"/>
                <w:sz w:val="20"/>
              </w:rPr>
              <w:t>Application for leave to appeal filed</w:t>
            </w:r>
          </w:p>
          <w:p w:rsidR="004007E0" w:rsidRPr="00031974" w:rsidRDefault="004007E0" w:rsidP="00B243C4">
            <w:pPr>
              <w:jc w:val="both"/>
              <w:rPr>
                <w:rFonts w:eastAsia="Calibri"/>
                <w:sz w:val="20"/>
              </w:rPr>
            </w:pPr>
          </w:p>
        </w:tc>
      </w:tr>
    </w:tbl>
    <w:p w:rsidR="00233E21" w:rsidRDefault="00233E21" w:rsidP="00233E21">
      <w:pPr>
        <w:rPr>
          <w:sz w:val="20"/>
          <w:szCs w:val="20"/>
        </w:rPr>
      </w:pPr>
    </w:p>
    <w:p w:rsidR="00233E21" w:rsidRPr="00C50A5C" w:rsidRDefault="00790981" w:rsidP="00233E21">
      <w:pPr>
        <w:rPr>
          <w:sz w:val="20"/>
          <w:szCs w:val="20"/>
        </w:rPr>
      </w:pPr>
      <w:r>
        <w:rPr>
          <w:sz w:val="20"/>
          <w:szCs w:val="20"/>
          <w:lang w:val="fr-CA"/>
        </w:rPr>
        <w:pict>
          <v:rect id="_x0000_i1033" style="width:2in;height:1pt" o:hrpct="0" o:hralign="center" o:hrstd="t" o:hrnoshade="t" o:hr="t" fillcolor="black [3213]" stroked="f"/>
        </w:pict>
      </w:r>
    </w:p>
    <w:p w:rsidR="00233E21" w:rsidRDefault="00233E21" w:rsidP="00233E21">
      <w:pPr>
        <w:rPr>
          <w:sz w:val="20"/>
          <w:szCs w:val="20"/>
        </w:rPr>
      </w:pPr>
    </w:p>
    <w:p w:rsidR="00233E21" w:rsidRPr="001B157C" w:rsidRDefault="00233E21" w:rsidP="00233E21">
      <w:pPr>
        <w:rPr>
          <w:sz w:val="20"/>
          <w:szCs w:val="20"/>
          <w:u w:val="single"/>
          <w:lang w:val="fr-CA"/>
        </w:rPr>
      </w:pPr>
      <w:r w:rsidRPr="001B157C">
        <w:rPr>
          <w:sz w:val="20"/>
          <w:szCs w:val="20"/>
          <w:u w:val="single"/>
          <w:lang w:val="fr-CA"/>
        </w:rPr>
        <w:t>RÉSUMÉ DE L’AFFAIRE</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07E0" w:rsidRPr="00A33CF8" w:rsidTr="00B243C4">
        <w:tc>
          <w:tcPr>
            <w:tcW w:w="5000" w:type="pct"/>
            <w:gridSpan w:val="3"/>
          </w:tcPr>
          <w:p w:rsidR="004007E0" w:rsidRPr="00031974" w:rsidRDefault="004007E0" w:rsidP="00B243C4">
            <w:pPr>
              <w:jc w:val="both"/>
              <w:rPr>
                <w:rFonts w:eastAsia="Calibri"/>
                <w:sz w:val="20"/>
                <w:lang w:val="fr-CA"/>
              </w:rPr>
            </w:pPr>
            <w:r w:rsidRPr="00031974">
              <w:rPr>
                <w:rFonts w:eastAsia="Calibri"/>
                <w:sz w:val="20"/>
                <w:lang w:val="fr-CA"/>
              </w:rPr>
              <w:t xml:space="preserve">Prescription – Droit administratif – Contrôle judiciaire – Législation – Interprétation – Quels sont les critères ou les événements nécessaires pour pouvoir demander une prorogation du délai de prescription sous le régime de la </w:t>
            </w:r>
            <w:r w:rsidRPr="00031974">
              <w:rPr>
                <w:rFonts w:eastAsia="Calibri"/>
                <w:i/>
                <w:sz w:val="20"/>
                <w:lang w:val="fr-CA"/>
              </w:rPr>
              <w:t>Métis Settlements Act</w:t>
            </w:r>
            <w:r w:rsidRPr="00031974">
              <w:rPr>
                <w:rFonts w:eastAsia="Calibri"/>
                <w:sz w:val="20"/>
                <w:lang w:val="fr-CA"/>
              </w:rPr>
              <w:t>,</w:t>
            </w:r>
            <w:r w:rsidRPr="00031974">
              <w:rPr>
                <w:rFonts w:eastAsia="Calibri"/>
                <w:i/>
                <w:sz w:val="20"/>
                <w:lang w:val="fr-CA"/>
              </w:rPr>
              <w:t xml:space="preserve"> </w:t>
            </w:r>
            <w:r w:rsidRPr="00031974">
              <w:rPr>
                <w:rFonts w:eastAsia="Calibri"/>
                <w:sz w:val="20"/>
                <w:lang w:val="fr-CA"/>
              </w:rPr>
              <w:t>R.S.A. 2000, ch. M-14?</w:t>
            </w:r>
            <w:r w:rsidRPr="00031974">
              <w:rPr>
                <w:rFonts w:eastAsia="Calibri"/>
                <w:i/>
                <w:sz w:val="20"/>
                <w:lang w:val="fr-CA"/>
              </w:rPr>
              <w:t xml:space="preserve"> </w:t>
            </w:r>
            <w:r w:rsidRPr="00031974">
              <w:rPr>
                <w:rFonts w:eastAsia="Calibri"/>
                <w:sz w:val="20"/>
                <w:lang w:val="fr-CA"/>
              </w:rPr>
              <w:t>– Quelles sont les [</w:t>
            </w:r>
            <w:r w:rsidRPr="00031974">
              <w:rPr>
                <w:rFonts w:eastAsia="Calibri"/>
                <w:smallCaps/>
                <w:sz w:val="20"/>
                <w:lang w:val="fr-CA"/>
              </w:rPr>
              <w:t>traduction</w:t>
            </w:r>
            <w:r w:rsidRPr="00031974">
              <w:rPr>
                <w:rFonts w:eastAsia="Calibri"/>
                <w:sz w:val="20"/>
                <w:lang w:val="fr-CA"/>
              </w:rPr>
              <w:t xml:space="preserve">] « circonstances particulières » qui justifient la prorogation des délais de prescription sous le régime de la </w:t>
            </w:r>
            <w:r w:rsidRPr="00031974">
              <w:rPr>
                <w:rFonts w:eastAsia="Calibri"/>
                <w:i/>
                <w:sz w:val="20"/>
                <w:lang w:val="fr-CA"/>
              </w:rPr>
              <w:t>Métis Settlements Act</w:t>
            </w:r>
            <w:r w:rsidRPr="00031974">
              <w:rPr>
                <w:rFonts w:eastAsia="Calibri"/>
                <w:sz w:val="20"/>
                <w:lang w:val="fr-CA"/>
              </w:rPr>
              <w:t>?</w:t>
            </w:r>
          </w:p>
        </w:tc>
      </w:tr>
      <w:tr w:rsidR="004007E0" w:rsidRPr="00A33CF8" w:rsidTr="00B243C4">
        <w:tc>
          <w:tcPr>
            <w:tcW w:w="5000" w:type="pct"/>
            <w:gridSpan w:val="3"/>
          </w:tcPr>
          <w:p w:rsidR="004007E0" w:rsidRPr="00031974" w:rsidRDefault="004007E0" w:rsidP="00B243C4">
            <w:pPr>
              <w:jc w:val="both"/>
              <w:rPr>
                <w:rFonts w:eastAsia="Calibri"/>
                <w:sz w:val="20"/>
                <w:lang w:val="fr-CA"/>
              </w:rPr>
            </w:pPr>
          </w:p>
        </w:tc>
      </w:tr>
      <w:tr w:rsidR="004007E0" w:rsidRPr="00031974" w:rsidTr="00B243C4">
        <w:tc>
          <w:tcPr>
            <w:tcW w:w="5000" w:type="pct"/>
            <w:gridSpan w:val="3"/>
          </w:tcPr>
          <w:p w:rsidR="004007E0" w:rsidRPr="00031974" w:rsidRDefault="004007E0" w:rsidP="00B243C4">
            <w:pPr>
              <w:jc w:val="both"/>
              <w:rPr>
                <w:rFonts w:eastAsia="Calibri"/>
                <w:sz w:val="20"/>
                <w:lang w:val="fr-CA"/>
              </w:rPr>
            </w:pPr>
            <w:r w:rsidRPr="00031974">
              <w:rPr>
                <w:rFonts w:eastAsia="Calibri"/>
                <w:sz w:val="20"/>
                <w:lang w:val="fr-CA"/>
              </w:rPr>
              <w:t xml:space="preserve">Kib Hogenson, titulaire d’un titre métis à l’égard d’une parcelle de terrain et d’un titre métis provisoire à l’égard d’une autre, est décédé en 2006 sans avoir déposé de directives successorales.  Les terrains ont été transférés au conseil du KMS en qualité de fiduciaire foncier.  Le titre métis provisoire à l’égard des terrains avait expiré avant le décès de M. Hogenson et a été annulé par la suite.  Une partie de la parcelle de terrain détenue par titre métis a été transférée à un tiers à l’automne 2010, et le reste est demeuré en la possession du conseil.  En décembre 2012, le demandeur a demandé que les terrains détenus par titre métis provisoire et le reste des terrains détenus par titre métis soient affichés comme disponibles et il a présenté sa demande à l’égard des deux.  Selon lui, parce que les deux parcelles de terrain avaient appartenu à son frère adoptif, elles revenaient à sa famille ou à lui.  Le conseil du KMS a rejeté la demande, ayant décidé de conserver les terrains à des fins agricoles.  Le 4 janvier 2013, le demandeur a déposé un appel par écrit au Metis Settlements Appeal Tribunal. </w:t>
            </w:r>
          </w:p>
          <w:p w:rsidR="004007E0" w:rsidRPr="00031974" w:rsidRDefault="004007E0" w:rsidP="00B243C4">
            <w:pPr>
              <w:jc w:val="both"/>
              <w:rPr>
                <w:rFonts w:eastAsia="Calibri"/>
                <w:sz w:val="20"/>
                <w:lang w:val="fr-CA"/>
              </w:rPr>
            </w:pPr>
          </w:p>
          <w:p w:rsidR="004007E0" w:rsidRPr="00031974" w:rsidRDefault="004007E0" w:rsidP="00B243C4">
            <w:pPr>
              <w:jc w:val="both"/>
              <w:rPr>
                <w:rFonts w:eastAsia="Calibri"/>
                <w:sz w:val="20"/>
                <w:lang w:val="fr-CA"/>
              </w:rPr>
            </w:pPr>
            <w:r w:rsidRPr="00031974">
              <w:rPr>
                <w:rFonts w:eastAsia="Calibri"/>
                <w:sz w:val="20"/>
                <w:lang w:val="fr-CA"/>
              </w:rPr>
              <w:t>Le Metis Settlements Appeal Tribunal a rejeté l’appel du demandeur, concluant qu’il n’avait pas de droit d’appel, puisque l’appel avait été déposé hors délai et qu’il n’y avait aucun motif de proroger le délai d’appel.  La Cour d’appel de l’Alberta a rejeté l’appel.</w:t>
            </w:r>
          </w:p>
          <w:p w:rsidR="004007E0" w:rsidRPr="00031974" w:rsidRDefault="004007E0" w:rsidP="00B243C4">
            <w:pPr>
              <w:jc w:val="both"/>
              <w:rPr>
                <w:rFonts w:eastAsia="Calibri"/>
                <w:sz w:val="20"/>
                <w:lang w:val="fr-CA"/>
              </w:rPr>
            </w:pPr>
          </w:p>
        </w:tc>
      </w:tr>
      <w:tr w:rsidR="004007E0" w:rsidRPr="00A33CF8" w:rsidTr="00962B33">
        <w:trPr>
          <w:cantSplit/>
        </w:trPr>
        <w:tc>
          <w:tcPr>
            <w:tcW w:w="2427" w:type="pct"/>
          </w:tcPr>
          <w:p w:rsidR="004007E0" w:rsidRPr="00031974" w:rsidRDefault="004007E0" w:rsidP="00B243C4">
            <w:pPr>
              <w:jc w:val="both"/>
              <w:rPr>
                <w:rFonts w:eastAsia="Calibri"/>
                <w:sz w:val="20"/>
                <w:lang w:val="fr-CA"/>
              </w:rPr>
            </w:pPr>
            <w:r w:rsidRPr="00031974">
              <w:rPr>
                <w:rFonts w:eastAsia="Calibri"/>
                <w:sz w:val="20"/>
                <w:lang w:val="fr-CA"/>
              </w:rPr>
              <w:lastRenderedPageBreak/>
              <w:t>9 mai 2014</w:t>
            </w:r>
          </w:p>
          <w:p w:rsidR="004007E0" w:rsidRPr="00031974" w:rsidRDefault="004007E0" w:rsidP="00B243C4">
            <w:pPr>
              <w:jc w:val="both"/>
              <w:rPr>
                <w:rFonts w:eastAsia="Calibri"/>
                <w:sz w:val="20"/>
                <w:lang w:val="fr-CA"/>
              </w:rPr>
            </w:pPr>
            <w:r w:rsidRPr="00031974">
              <w:rPr>
                <w:rFonts w:eastAsia="Calibri"/>
                <w:sz w:val="20"/>
                <w:lang w:val="fr-CA"/>
              </w:rPr>
              <w:t>Metis Settlements Appeal Tribunal</w:t>
            </w:r>
          </w:p>
          <w:p w:rsidR="004007E0" w:rsidRPr="00031974" w:rsidRDefault="004007E0" w:rsidP="00B243C4">
            <w:pPr>
              <w:jc w:val="both"/>
              <w:rPr>
                <w:rFonts w:eastAsia="Calibri"/>
                <w:sz w:val="20"/>
                <w:lang w:val="fr-CA"/>
              </w:rPr>
            </w:pPr>
            <w:r w:rsidRPr="00031974">
              <w:rPr>
                <w:rFonts w:eastAsia="Calibri"/>
                <w:sz w:val="20"/>
                <w:lang w:val="fr-CA"/>
              </w:rPr>
              <w:t>(M. Lamouche (président), Mme Parenteau et Mme Souray)</w:t>
            </w:r>
          </w:p>
          <w:p w:rsidR="004007E0" w:rsidRPr="00031974" w:rsidRDefault="00790981" w:rsidP="00B243C4">
            <w:pPr>
              <w:jc w:val="both"/>
              <w:rPr>
                <w:rFonts w:eastAsia="Calibri"/>
                <w:sz w:val="20"/>
                <w:lang w:val="fr-CA"/>
              </w:rPr>
            </w:pPr>
            <w:hyperlink r:id="rId31" w:history="1">
              <w:r w:rsidR="004007E0" w:rsidRPr="00031974">
                <w:rPr>
                  <w:rFonts w:eastAsia="Calibri"/>
                  <w:color w:val="0000FF"/>
                  <w:sz w:val="20"/>
                  <w:u w:val="single"/>
                  <w:lang w:val="fr-CA"/>
                </w:rPr>
                <w:t>Tribunal Order 257</w:t>
              </w:r>
            </w:hyperlink>
          </w:p>
          <w:p w:rsidR="004007E0" w:rsidRPr="00031974" w:rsidRDefault="004007E0" w:rsidP="00B243C4">
            <w:pPr>
              <w:jc w:val="both"/>
              <w:rPr>
                <w:rFonts w:eastAsia="Calibri"/>
                <w:sz w:val="20"/>
                <w:lang w:val="fr-CA"/>
              </w:rPr>
            </w:pPr>
          </w:p>
        </w:tc>
        <w:tc>
          <w:tcPr>
            <w:tcW w:w="243" w:type="pct"/>
          </w:tcPr>
          <w:p w:rsidR="004007E0" w:rsidRPr="00031974" w:rsidRDefault="004007E0" w:rsidP="00B243C4">
            <w:pPr>
              <w:jc w:val="both"/>
              <w:rPr>
                <w:rFonts w:eastAsia="Calibri"/>
                <w:sz w:val="20"/>
                <w:lang w:val="fr-CA"/>
              </w:rPr>
            </w:pPr>
          </w:p>
        </w:tc>
        <w:tc>
          <w:tcPr>
            <w:tcW w:w="2330" w:type="pct"/>
          </w:tcPr>
          <w:p w:rsidR="004007E0" w:rsidRPr="00031974" w:rsidRDefault="004007E0" w:rsidP="00B243C4">
            <w:pPr>
              <w:jc w:val="both"/>
              <w:rPr>
                <w:rFonts w:eastAsia="Calibri"/>
                <w:sz w:val="20"/>
                <w:lang w:val="fr-CA"/>
              </w:rPr>
            </w:pPr>
            <w:r w:rsidRPr="00031974">
              <w:rPr>
                <w:rFonts w:eastAsia="Calibri"/>
                <w:sz w:val="20"/>
                <w:lang w:val="fr-CA"/>
              </w:rPr>
              <w:t xml:space="preserve">Rejet de l’appel du demandeur </w:t>
            </w:r>
          </w:p>
        </w:tc>
      </w:tr>
      <w:tr w:rsidR="004007E0" w:rsidRPr="00A33CF8" w:rsidTr="00962B33">
        <w:trPr>
          <w:cantSplit/>
        </w:trPr>
        <w:tc>
          <w:tcPr>
            <w:tcW w:w="2427" w:type="pct"/>
          </w:tcPr>
          <w:p w:rsidR="004007E0" w:rsidRPr="00031974" w:rsidRDefault="004007E0" w:rsidP="00B243C4">
            <w:pPr>
              <w:jc w:val="both"/>
              <w:rPr>
                <w:rFonts w:eastAsia="Calibri"/>
                <w:sz w:val="20"/>
                <w:lang w:val="fr-CA"/>
              </w:rPr>
            </w:pPr>
            <w:r w:rsidRPr="00031974">
              <w:rPr>
                <w:rFonts w:eastAsia="Calibri"/>
                <w:sz w:val="20"/>
                <w:lang w:val="fr-CA"/>
              </w:rPr>
              <w:t>10 septembre 2014</w:t>
            </w:r>
          </w:p>
          <w:p w:rsidR="004007E0" w:rsidRPr="00031974" w:rsidRDefault="004007E0" w:rsidP="00B243C4">
            <w:pPr>
              <w:jc w:val="both"/>
              <w:rPr>
                <w:rFonts w:eastAsia="Calibri"/>
                <w:sz w:val="20"/>
                <w:lang w:val="fr-CA"/>
              </w:rPr>
            </w:pPr>
            <w:r w:rsidRPr="00031974">
              <w:rPr>
                <w:rFonts w:eastAsia="Calibri"/>
                <w:sz w:val="20"/>
                <w:lang w:val="fr-CA"/>
              </w:rPr>
              <w:t>Cour d’appel de l’Alberta (Edmonton)</w:t>
            </w:r>
          </w:p>
          <w:p w:rsidR="004007E0" w:rsidRPr="00031974" w:rsidRDefault="004007E0" w:rsidP="00B243C4">
            <w:pPr>
              <w:jc w:val="both"/>
              <w:rPr>
                <w:rFonts w:eastAsia="Calibri"/>
                <w:sz w:val="20"/>
                <w:lang w:val="fr-CA"/>
              </w:rPr>
            </w:pPr>
            <w:r w:rsidRPr="00031974">
              <w:rPr>
                <w:rFonts w:eastAsia="Calibri"/>
                <w:sz w:val="20"/>
                <w:lang w:val="fr-CA"/>
              </w:rPr>
              <w:t>(Juge Watson)</w:t>
            </w:r>
          </w:p>
          <w:p w:rsidR="004007E0" w:rsidRPr="00031974" w:rsidRDefault="00790981" w:rsidP="00B243C4">
            <w:pPr>
              <w:jc w:val="both"/>
              <w:rPr>
                <w:rFonts w:eastAsia="Calibri"/>
                <w:sz w:val="20"/>
                <w:lang w:val="fr-CA"/>
              </w:rPr>
            </w:pPr>
            <w:hyperlink r:id="rId32" w:history="1">
              <w:r w:rsidR="004007E0" w:rsidRPr="00031974">
                <w:rPr>
                  <w:rFonts w:eastAsia="Calibri"/>
                  <w:color w:val="0000FF"/>
                  <w:sz w:val="20"/>
                  <w:u w:val="single"/>
                  <w:lang w:val="fr-CA"/>
                </w:rPr>
                <w:t>2014 ABCA 288</w:t>
              </w:r>
            </w:hyperlink>
          </w:p>
          <w:p w:rsidR="004007E0" w:rsidRPr="00031974" w:rsidRDefault="004007E0" w:rsidP="00B243C4">
            <w:pPr>
              <w:jc w:val="both"/>
              <w:rPr>
                <w:rFonts w:eastAsia="Calibri"/>
                <w:sz w:val="20"/>
                <w:lang w:val="fr-CA"/>
              </w:rPr>
            </w:pPr>
          </w:p>
        </w:tc>
        <w:tc>
          <w:tcPr>
            <w:tcW w:w="243" w:type="pct"/>
          </w:tcPr>
          <w:p w:rsidR="004007E0" w:rsidRPr="00031974" w:rsidRDefault="004007E0" w:rsidP="00B243C4">
            <w:pPr>
              <w:jc w:val="both"/>
              <w:rPr>
                <w:rFonts w:eastAsia="Calibri"/>
                <w:sz w:val="20"/>
                <w:lang w:val="fr-CA"/>
              </w:rPr>
            </w:pPr>
          </w:p>
        </w:tc>
        <w:tc>
          <w:tcPr>
            <w:tcW w:w="2330" w:type="pct"/>
          </w:tcPr>
          <w:p w:rsidR="004007E0" w:rsidRPr="00031974" w:rsidRDefault="004007E0" w:rsidP="00B243C4">
            <w:pPr>
              <w:jc w:val="both"/>
              <w:rPr>
                <w:rFonts w:eastAsia="Calibri"/>
                <w:sz w:val="20"/>
                <w:lang w:val="fr-CA"/>
              </w:rPr>
            </w:pPr>
            <w:r w:rsidRPr="00031974">
              <w:rPr>
                <w:rFonts w:eastAsia="Calibri"/>
                <w:sz w:val="20"/>
                <w:lang w:val="fr-CA"/>
              </w:rPr>
              <w:t>Rejet de la demande d’autorisation d’appel</w:t>
            </w:r>
          </w:p>
          <w:p w:rsidR="004007E0" w:rsidRPr="00031974" w:rsidRDefault="004007E0" w:rsidP="00B243C4">
            <w:pPr>
              <w:jc w:val="both"/>
              <w:rPr>
                <w:rFonts w:eastAsia="Calibri"/>
                <w:sz w:val="20"/>
                <w:lang w:val="fr-CA"/>
              </w:rPr>
            </w:pPr>
          </w:p>
        </w:tc>
      </w:tr>
      <w:tr w:rsidR="004007E0" w:rsidRPr="00A33CF8" w:rsidTr="00962B33">
        <w:trPr>
          <w:cantSplit/>
        </w:trPr>
        <w:tc>
          <w:tcPr>
            <w:tcW w:w="2427" w:type="pct"/>
          </w:tcPr>
          <w:p w:rsidR="004007E0" w:rsidRPr="00031974" w:rsidRDefault="004007E0" w:rsidP="00B243C4">
            <w:pPr>
              <w:jc w:val="both"/>
              <w:rPr>
                <w:rFonts w:eastAsia="Calibri"/>
                <w:sz w:val="20"/>
                <w:lang w:val="fr-CA"/>
              </w:rPr>
            </w:pPr>
            <w:r w:rsidRPr="00031974">
              <w:rPr>
                <w:rFonts w:eastAsia="Calibri"/>
                <w:sz w:val="20"/>
                <w:lang w:val="fr-CA"/>
              </w:rPr>
              <w:t>6 novembre 2014</w:t>
            </w:r>
          </w:p>
          <w:p w:rsidR="004007E0" w:rsidRPr="00031974" w:rsidRDefault="004007E0" w:rsidP="00B243C4">
            <w:pPr>
              <w:jc w:val="both"/>
              <w:rPr>
                <w:rFonts w:eastAsia="Calibri"/>
                <w:sz w:val="20"/>
                <w:lang w:val="fr-CA"/>
              </w:rPr>
            </w:pPr>
            <w:r w:rsidRPr="00031974">
              <w:rPr>
                <w:rFonts w:eastAsia="Calibri"/>
                <w:sz w:val="20"/>
                <w:lang w:val="fr-CA"/>
              </w:rPr>
              <w:t>Cour suprême du Canada</w:t>
            </w:r>
          </w:p>
        </w:tc>
        <w:tc>
          <w:tcPr>
            <w:tcW w:w="243" w:type="pct"/>
          </w:tcPr>
          <w:p w:rsidR="004007E0" w:rsidRPr="00031974" w:rsidRDefault="004007E0" w:rsidP="00B243C4">
            <w:pPr>
              <w:jc w:val="both"/>
              <w:rPr>
                <w:rFonts w:eastAsia="Calibri"/>
                <w:sz w:val="20"/>
                <w:lang w:val="fr-CA"/>
              </w:rPr>
            </w:pPr>
          </w:p>
        </w:tc>
        <w:tc>
          <w:tcPr>
            <w:tcW w:w="2330" w:type="pct"/>
          </w:tcPr>
          <w:p w:rsidR="004007E0" w:rsidRPr="00031974" w:rsidRDefault="004007E0" w:rsidP="00B243C4">
            <w:pPr>
              <w:jc w:val="both"/>
              <w:rPr>
                <w:rFonts w:eastAsia="Calibri"/>
                <w:sz w:val="20"/>
                <w:lang w:val="fr-CA"/>
              </w:rPr>
            </w:pPr>
            <w:r w:rsidRPr="00031974">
              <w:rPr>
                <w:rFonts w:eastAsia="Calibri"/>
                <w:sz w:val="20"/>
                <w:lang w:val="fr-CA"/>
              </w:rPr>
              <w:t>Dépôt de la demande d’autorisation d’appel</w:t>
            </w:r>
          </w:p>
          <w:p w:rsidR="004007E0" w:rsidRPr="00031974" w:rsidRDefault="004007E0" w:rsidP="00B243C4">
            <w:pPr>
              <w:jc w:val="both"/>
              <w:rPr>
                <w:rFonts w:eastAsia="Calibri"/>
                <w:sz w:val="20"/>
                <w:lang w:val="fr-CA"/>
              </w:rPr>
            </w:pPr>
          </w:p>
        </w:tc>
      </w:tr>
    </w:tbl>
    <w:p w:rsidR="00233E21" w:rsidRPr="004007E0" w:rsidRDefault="00233E21" w:rsidP="00233E21">
      <w:pPr>
        <w:rPr>
          <w:sz w:val="20"/>
          <w:szCs w:val="20"/>
          <w:lang w:val="fr-CA"/>
        </w:rPr>
      </w:pPr>
    </w:p>
    <w:p w:rsidR="00233E21" w:rsidRDefault="00790981" w:rsidP="00233E21">
      <w:pPr>
        <w:rPr>
          <w:sz w:val="20"/>
          <w:szCs w:val="20"/>
          <w:lang w:val="fr-CA"/>
        </w:rPr>
      </w:pPr>
      <w:r>
        <w:rPr>
          <w:sz w:val="20"/>
          <w:szCs w:val="20"/>
          <w:lang w:val="fr-CA"/>
        </w:rPr>
        <w:pict>
          <v:rect id="_x0000_i1034" style="width:2in;height:1pt" o:hrpct="0" o:hralign="center" o:hrstd="t" o:hrnoshade="t" o:hr="t" fillcolor="black [3213]" stroked="f"/>
        </w:pict>
      </w:r>
    </w:p>
    <w:p w:rsidR="00233E21" w:rsidRDefault="00233E21" w:rsidP="00233E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62B33" w:rsidRPr="00C417EA" w:rsidTr="00B243C4">
        <w:trPr>
          <w:cantSplit/>
        </w:trPr>
        <w:tc>
          <w:tcPr>
            <w:tcW w:w="1458" w:type="dxa"/>
          </w:tcPr>
          <w:p w:rsidR="00962B33" w:rsidRPr="00C417EA" w:rsidRDefault="00962B33" w:rsidP="00B243C4">
            <w:pPr>
              <w:rPr>
                <w:sz w:val="20"/>
                <w:szCs w:val="20"/>
              </w:rPr>
            </w:pPr>
            <w:r w:rsidRPr="00C417EA">
              <w:rPr>
                <w:rStyle w:val="SCCFileNumberChar"/>
                <w:sz w:val="20"/>
                <w:szCs w:val="20"/>
              </w:rPr>
              <w:t>36196</w:t>
            </w:r>
          </w:p>
          <w:p w:rsidR="00962B33" w:rsidRPr="00C417EA" w:rsidRDefault="00962B33" w:rsidP="00B243C4">
            <w:pPr>
              <w:rPr>
                <w:b/>
                <w:sz w:val="20"/>
                <w:szCs w:val="20"/>
                <w:lang w:val="fr-CA"/>
              </w:rPr>
            </w:pPr>
          </w:p>
        </w:tc>
        <w:tc>
          <w:tcPr>
            <w:tcW w:w="8118" w:type="dxa"/>
          </w:tcPr>
          <w:p w:rsidR="00962B33" w:rsidRPr="00C417EA" w:rsidRDefault="00962B33" w:rsidP="00B243C4">
            <w:pPr>
              <w:jc w:val="both"/>
              <w:rPr>
                <w:sz w:val="20"/>
                <w:szCs w:val="20"/>
              </w:rPr>
            </w:pPr>
            <w:r w:rsidRPr="00C417EA">
              <w:rPr>
                <w:rStyle w:val="SCCLsocChar"/>
                <w:sz w:val="20"/>
                <w:szCs w:val="20"/>
                <w:lang w:val="en-CA"/>
              </w:rPr>
              <w:t>Richard Preston Centre for Excellence Society</w:t>
            </w:r>
            <w:r w:rsidR="00882E8C">
              <w:rPr>
                <w:rStyle w:val="SCCLsocChar"/>
                <w:sz w:val="20"/>
                <w:szCs w:val="20"/>
                <w:lang w:val="en-CA"/>
              </w:rPr>
              <w:t xml:space="preserve"> and</w:t>
            </w:r>
            <w:r w:rsidRPr="00C417EA">
              <w:rPr>
                <w:rStyle w:val="SCCLsocChar"/>
                <w:sz w:val="20"/>
                <w:szCs w:val="20"/>
                <w:lang w:val="en-CA"/>
              </w:rPr>
              <w:t xml:space="preserve"> Micmac Native Friendship Society v. Jono Developments Ltd.</w:t>
            </w:r>
            <w:r w:rsidR="00882E8C">
              <w:rPr>
                <w:rStyle w:val="SCCLsocChar"/>
                <w:sz w:val="20"/>
                <w:szCs w:val="20"/>
                <w:lang w:val="en-CA"/>
              </w:rPr>
              <w:t xml:space="preserve"> and</w:t>
            </w:r>
            <w:r w:rsidRPr="00C417EA">
              <w:rPr>
                <w:rStyle w:val="SCCLsocChar"/>
                <w:sz w:val="20"/>
                <w:szCs w:val="20"/>
                <w:lang w:val="en-CA"/>
              </w:rPr>
              <w:t xml:space="preserve"> Halifax Regional Municipality</w:t>
            </w:r>
            <w:r w:rsidRPr="00C417EA">
              <w:rPr>
                <w:sz w:val="20"/>
                <w:szCs w:val="20"/>
              </w:rPr>
              <w:t xml:space="preserve"> (N.S.) (Civil) (By Leave)</w:t>
            </w:r>
          </w:p>
          <w:p w:rsidR="00962B33" w:rsidRPr="00C417EA" w:rsidRDefault="00962B33" w:rsidP="00B243C4">
            <w:pPr>
              <w:jc w:val="both"/>
              <w:rPr>
                <w:sz w:val="20"/>
                <w:szCs w:val="20"/>
              </w:rPr>
            </w:pPr>
          </w:p>
        </w:tc>
      </w:tr>
      <w:tr w:rsidR="00962B33" w:rsidRPr="00A33CF8" w:rsidTr="00B243C4">
        <w:trPr>
          <w:cantSplit/>
        </w:trPr>
        <w:tc>
          <w:tcPr>
            <w:tcW w:w="1458" w:type="dxa"/>
          </w:tcPr>
          <w:p w:rsidR="00962B33" w:rsidRPr="00C417EA" w:rsidRDefault="00962B33" w:rsidP="00B243C4">
            <w:pPr>
              <w:rPr>
                <w:sz w:val="20"/>
                <w:szCs w:val="20"/>
              </w:rPr>
            </w:pPr>
            <w:r w:rsidRPr="00C417EA">
              <w:rPr>
                <w:sz w:val="20"/>
                <w:szCs w:val="20"/>
              </w:rPr>
              <w:t>Coram :</w:t>
            </w:r>
          </w:p>
        </w:tc>
        <w:tc>
          <w:tcPr>
            <w:tcW w:w="8118" w:type="dxa"/>
          </w:tcPr>
          <w:p w:rsidR="00962B33" w:rsidRPr="002F3DF0" w:rsidRDefault="00962B33" w:rsidP="00B243C4">
            <w:pPr>
              <w:rPr>
                <w:sz w:val="20"/>
                <w:szCs w:val="20"/>
                <w:lang w:val="fr-CA"/>
              </w:rPr>
            </w:pPr>
            <w:r w:rsidRPr="002F3DF0">
              <w:rPr>
                <w:rStyle w:val="SCCCoramChar"/>
                <w:sz w:val="20"/>
                <w:szCs w:val="20"/>
              </w:rPr>
              <w:t>Abella, Karakatsanis and Côté JJ.</w:t>
            </w:r>
          </w:p>
          <w:p w:rsidR="00962B33" w:rsidRPr="002F3DF0" w:rsidRDefault="00962B33" w:rsidP="00B243C4">
            <w:pPr>
              <w:rPr>
                <w:sz w:val="20"/>
                <w:szCs w:val="20"/>
                <w:u w:val="single"/>
                <w:lang w:val="fr-CA"/>
              </w:rPr>
            </w:pPr>
          </w:p>
        </w:tc>
      </w:tr>
      <w:tr w:rsidR="00962B33" w:rsidRPr="00A33CF8" w:rsidTr="00B243C4">
        <w:trPr>
          <w:cantSplit/>
        </w:trPr>
        <w:tc>
          <w:tcPr>
            <w:tcW w:w="9576" w:type="dxa"/>
            <w:gridSpan w:val="2"/>
          </w:tcPr>
          <w:p w:rsidR="00962B33" w:rsidRPr="00C417EA" w:rsidRDefault="00962B33" w:rsidP="00B243C4">
            <w:pPr>
              <w:pStyle w:val="SCCShortJudgment"/>
              <w:rPr>
                <w:szCs w:val="20"/>
              </w:rPr>
            </w:pPr>
            <w:r w:rsidRPr="00C417EA">
              <w:rPr>
                <w:szCs w:val="20"/>
              </w:rPr>
              <w:t>The application for leave to appeal from the judgment of the Nova Scotia Court of Appeal, Number CA 415197, 2014 NSCA 92, dated October 9, 2014, is dismissed with costs to the respondent, Jono Developments Ltd.</w:t>
            </w:r>
          </w:p>
          <w:p w:rsidR="00962B33" w:rsidRPr="00C417EA" w:rsidRDefault="00962B33" w:rsidP="00B243C4">
            <w:pPr>
              <w:pStyle w:val="SCCShortJudgment"/>
              <w:ind w:firstLine="0"/>
              <w:rPr>
                <w:szCs w:val="20"/>
              </w:rPr>
            </w:pPr>
          </w:p>
          <w:p w:rsidR="00962B33" w:rsidRPr="00C417EA" w:rsidRDefault="00962B33" w:rsidP="00B243C4">
            <w:pPr>
              <w:pStyle w:val="SCCShortJudgment"/>
              <w:rPr>
                <w:szCs w:val="20"/>
                <w:lang w:val="fr-CA"/>
              </w:rPr>
            </w:pPr>
            <w:r w:rsidRPr="00C417EA">
              <w:rPr>
                <w:szCs w:val="20"/>
                <w:lang w:val="fr-CA"/>
              </w:rPr>
              <w:t>La demande d’autorisation d’appel de l’arrêt de la Cour d’appel de la Nouvelle-Écosse, numéro CA 415197, 2014 NSCA 92, daté du 9 octobre 2014, est rejetée avec dépens accueillie à l’intimée Jono Developments Ltd.</w:t>
            </w:r>
          </w:p>
        </w:tc>
      </w:tr>
    </w:tbl>
    <w:p w:rsidR="00233E21" w:rsidRPr="00962B33" w:rsidRDefault="00233E21" w:rsidP="00233E21">
      <w:pPr>
        <w:rPr>
          <w:sz w:val="20"/>
          <w:szCs w:val="20"/>
          <w:lang w:val="fr-CA"/>
        </w:rPr>
      </w:pPr>
    </w:p>
    <w:p w:rsidR="00233E21" w:rsidRPr="001B157C" w:rsidRDefault="00233E21" w:rsidP="00233E21">
      <w:pPr>
        <w:rPr>
          <w:sz w:val="20"/>
          <w:szCs w:val="20"/>
          <w:u w:val="single"/>
        </w:rPr>
      </w:pPr>
      <w:r w:rsidRPr="001B157C">
        <w:rPr>
          <w:sz w:val="20"/>
          <w:szCs w:val="20"/>
          <w:u w:val="single"/>
        </w:rPr>
        <w:t>CASE SUMMARY</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35B0" w:rsidRPr="00031974" w:rsidTr="00B243C4">
        <w:tc>
          <w:tcPr>
            <w:tcW w:w="5000" w:type="pct"/>
            <w:gridSpan w:val="3"/>
          </w:tcPr>
          <w:p w:rsidR="006635B0" w:rsidRPr="00031974" w:rsidRDefault="006635B0" w:rsidP="00B243C4">
            <w:pPr>
              <w:jc w:val="both"/>
              <w:rPr>
                <w:rFonts w:eastAsia="Calibri"/>
                <w:sz w:val="20"/>
              </w:rPr>
            </w:pPr>
            <w:r w:rsidRPr="00031974">
              <w:rPr>
                <w:rFonts w:eastAsia="Calibri"/>
                <w:sz w:val="20"/>
              </w:rPr>
              <w:t xml:space="preserve">Administrative law — Judicial review — Duty of fairness — Legitimate expectations — Municipality selling school — Community groups objecting to sale — Municipality’s decision quashed on judicial review — Municipality’s decision restored by majority of Court of Appeal — Whether when decision-maker has represented that it will follow particular procedure, does doctrine of legitimate expectations establish that procedure as minimum requirements of duty of fairness — What is proper interpretation of “market value” requirement for sale of property under s. 61 of the </w:t>
            </w:r>
            <w:r w:rsidRPr="00031974">
              <w:rPr>
                <w:rFonts w:eastAsia="Calibri"/>
                <w:i/>
                <w:sz w:val="20"/>
              </w:rPr>
              <w:t>Halifax Regional Municipality Charter</w:t>
            </w:r>
            <w:r w:rsidRPr="00031974">
              <w:rPr>
                <w:rFonts w:eastAsia="Calibri"/>
                <w:sz w:val="20"/>
              </w:rPr>
              <w:t>?</w:t>
            </w:r>
          </w:p>
        </w:tc>
      </w:tr>
      <w:tr w:rsidR="006635B0" w:rsidRPr="00031974" w:rsidTr="00B243C4">
        <w:tc>
          <w:tcPr>
            <w:tcW w:w="5000" w:type="pct"/>
            <w:gridSpan w:val="3"/>
          </w:tcPr>
          <w:p w:rsidR="006635B0" w:rsidRPr="00031974" w:rsidRDefault="006635B0" w:rsidP="00B243C4">
            <w:pPr>
              <w:jc w:val="both"/>
              <w:rPr>
                <w:rFonts w:eastAsia="Calibri"/>
                <w:sz w:val="20"/>
              </w:rPr>
            </w:pPr>
          </w:p>
        </w:tc>
      </w:tr>
      <w:tr w:rsidR="006635B0" w:rsidRPr="00031974" w:rsidTr="00B243C4">
        <w:tc>
          <w:tcPr>
            <w:tcW w:w="5000" w:type="pct"/>
            <w:gridSpan w:val="3"/>
          </w:tcPr>
          <w:p w:rsidR="006635B0" w:rsidRPr="00031974" w:rsidRDefault="006635B0" w:rsidP="00B243C4">
            <w:pPr>
              <w:shd w:val="clear" w:color="auto" w:fill="FFFFFF"/>
              <w:autoSpaceDE w:val="0"/>
              <w:autoSpaceDN w:val="0"/>
              <w:jc w:val="both"/>
              <w:rPr>
                <w:sz w:val="20"/>
              </w:rPr>
            </w:pPr>
            <w:r w:rsidRPr="00031974">
              <w:rPr>
                <w:sz w:val="20"/>
              </w:rPr>
              <w:t xml:space="preserve">This appeal concerns the sale of a surplus school property, St. Patrick’s Alexandra Elementary School (the “Property”) by the respondent Halifax Regional Municipality to the respondent Jono Developments Limited. </w:t>
            </w:r>
          </w:p>
          <w:p w:rsidR="006635B0" w:rsidRPr="00031974" w:rsidRDefault="006635B0" w:rsidP="00B243C4">
            <w:pPr>
              <w:shd w:val="clear" w:color="auto" w:fill="FFFFFF"/>
              <w:autoSpaceDE w:val="0"/>
              <w:autoSpaceDN w:val="0"/>
              <w:jc w:val="both"/>
              <w:rPr>
                <w:sz w:val="20"/>
              </w:rPr>
            </w:pPr>
          </w:p>
          <w:p w:rsidR="006635B0" w:rsidRPr="00031974" w:rsidRDefault="006635B0" w:rsidP="00B243C4">
            <w:pPr>
              <w:shd w:val="clear" w:color="auto" w:fill="FFFFFF"/>
              <w:autoSpaceDE w:val="0"/>
              <w:autoSpaceDN w:val="0"/>
              <w:jc w:val="both"/>
              <w:rPr>
                <w:sz w:val="20"/>
              </w:rPr>
            </w:pPr>
            <w:r w:rsidRPr="00031974">
              <w:rPr>
                <w:sz w:val="20"/>
              </w:rPr>
              <w:t xml:space="preserve">The North End Community Health Association and the applicants, the Richard Preston Centre for Excellence Society and the Micmac Native Friendship Society sought judicial review of the Municipality’s decision to sell the Property to Jono.  They alleged that the Municipality breached the duty of fairness owed to them by not following the Municipality’s Procedures for the Disposal of Surplus Schools.  They also argued that the Municipality breached the </w:t>
            </w:r>
            <w:hyperlink r:id="rId33" w:history="1">
              <w:r w:rsidRPr="00031974">
                <w:rPr>
                  <w:rStyle w:val="Hyperlink"/>
                  <w:sz w:val="20"/>
                </w:rPr>
                <w:t>Halifax Regional Municipality Charter, S.N.S. 2008, c. 39</w:t>
              </w:r>
            </w:hyperlink>
            <w:r w:rsidRPr="00031974">
              <w:rPr>
                <w:sz w:val="20"/>
              </w:rPr>
              <w:t xml:space="preserve"> by selling the property below market value.  </w:t>
            </w:r>
          </w:p>
          <w:p w:rsidR="006635B0" w:rsidRPr="00031974" w:rsidRDefault="006635B0" w:rsidP="00B243C4">
            <w:pPr>
              <w:shd w:val="clear" w:color="auto" w:fill="FFFFFF"/>
              <w:autoSpaceDE w:val="0"/>
              <w:autoSpaceDN w:val="0"/>
              <w:jc w:val="both"/>
              <w:rPr>
                <w:sz w:val="20"/>
              </w:rPr>
            </w:pPr>
          </w:p>
          <w:p w:rsidR="006635B0" w:rsidRPr="00031974" w:rsidRDefault="006635B0" w:rsidP="00B243C4">
            <w:pPr>
              <w:jc w:val="both"/>
              <w:rPr>
                <w:rFonts w:eastAsia="Calibri"/>
                <w:sz w:val="20"/>
              </w:rPr>
            </w:pPr>
            <w:r w:rsidRPr="00031974">
              <w:rPr>
                <w:rFonts w:eastAsia="Calibri"/>
                <w:sz w:val="20"/>
              </w:rPr>
              <w:t xml:space="preserve">Justice MacAdam quashed the Municipality’s decision that approved the sale of the Property. On appeal, </w:t>
            </w:r>
            <w:bookmarkStart w:id="2" w:name="_Toc391029163"/>
            <w:bookmarkStart w:id="3" w:name="_Toc391029123"/>
            <w:bookmarkStart w:id="4" w:name="_Toc391027187"/>
            <w:bookmarkEnd w:id="2"/>
            <w:bookmarkEnd w:id="3"/>
            <w:bookmarkEnd w:id="4"/>
            <w:r w:rsidRPr="00031974">
              <w:rPr>
                <w:rFonts w:eastAsia="Calibri"/>
                <w:sz w:val="20"/>
              </w:rPr>
              <w:t xml:space="preserve">a majority of the Court of Appeal allowed the appeal and set Justice MacAdam’s order aside.  </w:t>
            </w:r>
          </w:p>
          <w:p w:rsidR="006635B0" w:rsidRPr="00031974" w:rsidRDefault="006635B0" w:rsidP="00B243C4">
            <w:pPr>
              <w:jc w:val="both"/>
              <w:rPr>
                <w:rFonts w:eastAsia="Calibri"/>
                <w:sz w:val="20"/>
              </w:rPr>
            </w:pPr>
          </w:p>
        </w:tc>
      </w:tr>
      <w:tr w:rsidR="006635B0" w:rsidRPr="00031974" w:rsidTr="00962B33">
        <w:trPr>
          <w:cantSplit/>
        </w:trPr>
        <w:tc>
          <w:tcPr>
            <w:tcW w:w="2427" w:type="pct"/>
          </w:tcPr>
          <w:p w:rsidR="006635B0" w:rsidRPr="00031974" w:rsidRDefault="006635B0" w:rsidP="00B243C4">
            <w:pPr>
              <w:jc w:val="both"/>
              <w:rPr>
                <w:rFonts w:eastAsia="Calibri"/>
                <w:sz w:val="20"/>
              </w:rPr>
            </w:pPr>
            <w:r w:rsidRPr="00031974">
              <w:rPr>
                <w:rFonts w:eastAsia="Calibri"/>
                <w:sz w:val="20"/>
              </w:rPr>
              <w:lastRenderedPageBreak/>
              <w:t>September 24, 2012</w:t>
            </w:r>
          </w:p>
          <w:p w:rsidR="006635B0" w:rsidRPr="00031974" w:rsidRDefault="006635B0" w:rsidP="00B243C4">
            <w:pPr>
              <w:jc w:val="both"/>
              <w:rPr>
                <w:rFonts w:eastAsia="Calibri"/>
                <w:sz w:val="20"/>
              </w:rPr>
            </w:pPr>
            <w:r w:rsidRPr="00031974">
              <w:rPr>
                <w:rFonts w:eastAsia="Calibri"/>
                <w:sz w:val="20"/>
              </w:rPr>
              <w:t>Supreme Court of Nova Scotia</w:t>
            </w:r>
          </w:p>
          <w:p w:rsidR="006635B0" w:rsidRPr="00031974" w:rsidRDefault="006635B0" w:rsidP="00B243C4">
            <w:pPr>
              <w:jc w:val="both"/>
              <w:rPr>
                <w:rFonts w:eastAsia="Calibri"/>
                <w:sz w:val="20"/>
              </w:rPr>
            </w:pPr>
            <w:r w:rsidRPr="00031974">
              <w:rPr>
                <w:rFonts w:eastAsia="Calibri"/>
                <w:sz w:val="20"/>
              </w:rPr>
              <w:t>(MacAdam J.)</w:t>
            </w:r>
          </w:p>
          <w:p w:rsidR="006635B0" w:rsidRPr="00031974" w:rsidRDefault="00790981" w:rsidP="00B243C4">
            <w:pPr>
              <w:jc w:val="both"/>
              <w:rPr>
                <w:rFonts w:eastAsia="Calibri"/>
                <w:sz w:val="20"/>
              </w:rPr>
            </w:pPr>
            <w:hyperlink r:id="rId34" w:history="1">
              <w:r w:rsidR="006635B0" w:rsidRPr="00031974">
                <w:rPr>
                  <w:rFonts w:eastAsia="Calibri"/>
                  <w:color w:val="0000FF"/>
                  <w:sz w:val="20"/>
                  <w:u w:val="single"/>
                </w:rPr>
                <w:t>2012 NSSC 330</w:t>
              </w:r>
            </w:hyperlink>
          </w:p>
          <w:p w:rsidR="006635B0" w:rsidRPr="00031974" w:rsidRDefault="006635B0" w:rsidP="00B243C4">
            <w:pPr>
              <w:jc w:val="both"/>
              <w:rPr>
                <w:rFonts w:eastAsia="Calibri"/>
                <w:sz w:val="20"/>
              </w:rPr>
            </w:pPr>
          </w:p>
        </w:tc>
        <w:tc>
          <w:tcPr>
            <w:tcW w:w="243" w:type="pct"/>
          </w:tcPr>
          <w:p w:rsidR="006635B0" w:rsidRPr="00031974" w:rsidRDefault="006635B0" w:rsidP="00B243C4">
            <w:pPr>
              <w:jc w:val="both"/>
              <w:rPr>
                <w:rFonts w:eastAsia="Calibri"/>
                <w:sz w:val="20"/>
              </w:rPr>
            </w:pPr>
          </w:p>
        </w:tc>
        <w:tc>
          <w:tcPr>
            <w:tcW w:w="2330" w:type="pct"/>
          </w:tcPr>
          <w:p w:rsidR="006635B0" w:rsidRPr="00031974" w:rsidRDefault="006635B0" w:rsidP="00B243C4">
            <w:pPr>
              <w:jc w:val="both"/>
              <w:rPr>
                <w:rFonts w:eastAsia="Calibri"/>
                <w:sz w:val="20"/>
              </w:rPr>
            </w:pPr>
            <w:r w:rsidRPr="00031974">
              <w:rPr>
                <w:rFonts w:eastAsia="Calibri"/>
                <w:sz w:val="20"/>
              </w:rPr>
              <w:t xml:space="preserve">Decision of Halifax Regional Council approving sale of St. Patrick’s Alexandra School property, quashed.  </w:t>
            </w:r>
          </w:p>
          <w:p w:rsidR="006635B0" w:rsidRPr="00031974" w:rsidRDefault="006635B0" w:rsidP="00B243C4">
            <w:pPr>
              <w:jc w:val="both"/>
              <w:rPr>
                <w:rFonts w:eastAsia="Calibri"/>
                <w:sz w:val="20"/>
              </w:rPr>
            </w:pPr>
          </w:p>
        </w:tc>
      </w:tr>
      <w:tr w:rsidR="006635B0" w:rsidRPr="00031974" w:rsidTr="00962B33">
        <w:trPr>
          <w:cantSplit/>
        </w:trPr>
        <w:tc>
          <w:tcPr>
            <w:tcW w:w="2427" w:type="pct"/>
          </w:tcPr>
          <w:p w:rsidR="006635B0" w:rsidRPr="00031974" w:rsidRDefault="006635B0" w:rsidP="00B243C4">
            <w:pPr>
              <w:jc w:val="both"/>
              <w:rPr>
                <w:rFonts w:eastAsia="Calibri"/>
                <w:sz w:val="20"/>
              </w:rPr>
            </w:pPr>
            <w:r w:rsidRPr="00031974">
              <w:rPr>
                <w:rFonts w:eastAsia="Calibri"/>
                <w:sz w:val="20"/>
              </w:rPr>
              <w:t>October 9, 2014</w:t>
            </w:r>
          </w:p>
          <w:p w:rsidR="006635B0" w:rsidRPr="00031974" w:rsidRDefault="006635B0" w:rsidP="00B243C4">
            <w:pPr>
              <w:jc w:val="both"/>
              <w:rPr>
                <w:rFonts w:eastAsia="Calibri"/>
                <w:sz w:val="20"/>
              </w:rPr>
            </w:pPr>
            <w:r w:rsidRPr="00031974">
              <w:rPr>
                <w:rFonts w:eastAsia="Calibri"/>
                <w:sz w:val="20"/>
              </w:rPr>
              <w:t>Nova Scotia Court of Appeal</w:t>
            </w:r>
          </w:p>
          <w:p w:rsidR="006635B0" w:rsidRPr="00031974" w:rsidRDefault="006635B0" w:rsidP="00B243C4">
            <w:pPr>
              <w:jc w:val="both"/>
              <w:rPr>
                <w:rFonts w:eastAsia="Calibri"/>
                <w:sz w:val="20"/>
              </w:rPr>
            </w:pPr>
            <w:r w:rsidRPr="00031974">
              <w:rPr>
                <w:rFonts w:eastAsia="Calibri"/>
                <w:sz w:val="20"/>
              </w:rPr>
              <w:t xml:space="preserve">(Farrar and Bryson JJ.A. and MacDonald </w:t>
            </w:r>
          </w:p>
          <w:p w:rsidR="006635B0" w:rsidRPr="00031974" w:rsidRDefault="006635B0" w:rsidP="00B243C4">
            <w:pPr>
              <w:jc w:val="both"/>
              <w:rPr>
                <w:rFonts w:eastAsia="Calibri"/>
                <w:sz w:val="20"/>
              </w:rPr>
            </w:pPr>
            <w:r w:rsidRPr="00031974">
              <w:rPr>
                <w:rFonts w:eastAsia="Calibri"/>
                <w:sz w:val="20"/>
              </w:rPr>
              <w:t>C.J.N.S. (dissenting))</w:t>
            </w:r>
          </w:p>
          <w:p w:rsidR="006635B0" w:rsidRPr="00031974" w:rsidRDefault="00790981" w:rsidP="00B243C4">
            <w:pPr>
              <w:jc w:val="both"/>
              <w:rPr>
                <w:rFonts w:eastAsia="Calibri"/>
                <w:sz w:val="20"/>
              </w:rPr>
            </w:pPr>
            <w:hyperlink r:id="rId35" w:history="1">
              <w:r w:rsidR="006635B0" w:rsidRPr="00031974">
                <w:rPr>
                  <w:rFonts w:eastAsia="Calibri"/>
                  <w:color w:val="0000FF"/>
                  <w:sz w:val="20"/>
                  <w:u w:val="single"/>
                </w:rPr>
                <w:t>2014 NSCA 92</w:t>
              </w:r>
            </w:hyperlink>
          </w:p>
          <w:p w:rsidR="006635B0" w:rsidRPr="00031974" w:rsidRDefault="006635B0" w:rsidP="00B243C4">
            <w:pPr>
              <w:jc w:val="both"/>
              <w:rPr>
                <w:rFonts w:eastAsia="Calibri"/>
                <w:sz w:val="20"/>
              </w:rPr>
            </w:pPr>
            <w:r w:rsidRPr="00031974">
              <w:rPr>
                <w:rFonts w:eastAsia="Calibri"/>
                <w:sz w:val="20"/>
              </w:rPr>
              <w:t xml:space="preserve">File No.: CA415197 </w:t>
            </w:r>
          </w:p>
          <w:p w:rsidR="006635B0" w:rsidRPr="00031974" w:rsidRDefault="006635B0" w:rsidP="00B243C4">
            <w:pPr>
              <w:jc w:val="both"/>
              <w:rPr>
                <w:rFonts w:eastAsia="Calibri"/>
                <w:sz w:val="20"/>
              </w:rPr>
            </w:pPr>
          </w:p>
        </w:tc>
        <w:tc>
          <w:tcPr>
            <w:tcW w:w="243" w:type="pct"/>
          </w:tcPr>
          <w:p w:rsidR="006635B0" w:rsidRPr="00031974" w:rsidRDefault="006635B0" w:rsidP="00B243C4">
            <w:pPr>
              <w:jc w:val="both"/>
              <w:rPr>
                <w:rFonts w:eastAsia="Calibri"/>
                <w:sz w:val="20"/>
              </w:rPr>
            </w:pPr>
          </w:p>
        </w:tc>
        <w:tc>
          <w:tcPr>
            <w:tcW w:w="2330" w:type="pct"/>
          </w:tcPr>
          <w:p w:rsidR="006635B0" w:rsidRPr="00031974" w:rsidRDefault="006635B0" w:rsidP="00B243C4">
            <w:pPr>
              <w:jc w:val="both"/>
              <w:rPr>
                <w:rFonts w:eastAsia="Calibri"/>
                <w:sz w:val="20"/>
              </w:rPr>
            </w:pPr>
            <w:r w:rsidRPr="00031974">
              <w:rPr>
                <w:rFonts w:eastAsia="Calibri"/>
                <w:sz w:val="20"/>
              </w:rPr>
              <w:t>Appeal allowed and order of MacAdam J. set aside.</w:t>
            </w:r>
          </w:p>
          <w:p w:rsidR="006635B0" w:rsidRPr="00031974" w:rsidRDefault="006635B0" w:rsidP="00B243C4">
            <w:pPr>
              <w:jc w:val="both"/>
              <w:rPr>
                <w:rFonts w:eastAsia="Calibri"/>
                <w:sz w:val="20"/>
              </w:rPr>
            </w:pPr>
          </w:p>
        </w:tc>
      </w:tr>
      <w:tr w:rsidR="006635B0" w:rsidRPr="00031974" w:rsidTr="00962B33">
        <w:trPr>
          <w:cantSplit/>
        </w:trPr>
        <w:tc>
          <w:tcPr>
            <w:tcW w:w="2427" w:type="pct"/>
          </w:tcPr>
          <w:p w:rsidR="006635B0" w:rsidRPr="00031974" w:rsidRDefault="006635B0" w:rsidP="00B243C4">
            <w:pPr>
              <w:jc w:val="both"/>
              <w:rPr>
                <w:rFonts w:eastAsia="Calibri"/>
                <w:sz w:val="20"/>
              </w:rPr>
            </w:pPr>
            <w:r w:rsidRPr="00031974">
              <w:rPr>
                <w:rFonts w:eastAsia="Calibri"/>
                <w:sz w:val="20"/>
              </w:rPr>
              <w:t>December 5, 2014</w:t>
            </w:r>
          </w:p>
          <w:p w:rsidR="006635B0" w:rsidRPr="00031974" w:rsidRDefault="006635B0" w:rsidP="00B243C4">
            <w:pPr>
              <w:jc w:val="both"/>
              <w:rPr>
                <w:rFonts w:eastAsia="Calibri"/>
                <w:sz w:val="20"/>
              </w:rPr>
            </w:pPr>
            <w:r w:rsidRPr="00031974">
              <w:rPr>
                <w:rFonts w:eastAsia="Calibri"/>
                <w:sz w:val="20"/>
              </w:rPr>
              <w:t>Supreme Court of Canada</w:t>
            </w:r>
          </w:p>
          <w:p w:rsidR="006635B0" w:rsidRPr="00031974" w:rsidRDefault="006635B0" w:rsidP="00B243C4">
            <w:pPr>
              <w:jc w:val="both"/>
              <w:rPr>
                <w:rFonts w:eastAsia="Calibri"/>
                <w:sz w:val="20"/>
              </w:rPr>
            </w:pPr>
          </w:p>
        </w:tc>
        <w:tc>
          <w:tcPr>
            <w:tcW w:w="243" w:type="pct"/>
          </w:tcPr>
          <w:p w:rsidR="006635B0" w:rsidRPr="00031974" w:rsidRDefault="006635B0" w:rsidP="00B243C4">
            <w:pPr>
              <w:jc w:val="both"/>
              <w:rPr>
                <w:rFonts w:eastAsia="Calibri"/>
                <w:sz w:val="20"/>
              </w:rPr>
            </w:pPr>
          </w:p>
        </w:tc>
        <w:tc>
          <w:tcPr>
            <w:tcW w:w="2330" w:type="pct"/>
          </w:tcPr>
          <w:p w:rsidR="006635B0" w:rsidRPr="00031974" w:rsidRDefault="006635B0" w:rsidP="00B243C4">
            <w:pPr>
              <w:jc w:val="both"/>
              <w:rPr>
                <w:rFonts w:eastAsia="Calibri"/>
                <w:sz w:val="20"/>
              </w:rPr>
            </w:pPr>
            <w:r w:rsidRPr="00031974">
              <w:rPr>
                <w:rFonts w:eastAsia="Calibri"/>
                <w:sz w:val="20"/>
              </w:rPr>
              <w:t>Application for leave to appeal filed.</w:t>
            </w:r>
          </w:p>
          <w:p w:rsidR="006635B0" w:rsidRPr="00031974" w:rsidRDefault="006635B0" w:rsidP="00B243C4">
            <w:pPr>
              <w:jc w:val="both"/>
              <w:rPr>
                <w:rFonts w:eastAsia="Calibri"/>
                <w:sz w:val="20"/>
              </w:rPr>
            </w:pPr>
          </w:p>
        </w:tc>
      </w:tr>
      <w:tr w:rsidR="006635B0" w:rsidRPr="00031974" w:rsidTr="00962B33">
        <w:trPr>
          <w:cantSplit/>
        </w:trPr>
        <w:tc>
          <w:tcPr>
            <w:tcW w:w="2427" w:type="pct"/>
          </w:tcPr>
          <w:p w:rsidR="006635B0" w:rsidRPr="00031974" w:rsidRDefault="006635B0" w:rsidP="00B243C4">
            <w:pPr>
              <w:jc w:val="both"/>
              <w:rPr>
                <w:rFonts w:eastAsia="Calibri"/>
                <w:sz w:val="20"/>
              </w:rPr>
            </w:pPr>
            <w:r w:rsidRPr="00031974">
              <w:rPr>
                <w:rFonts w:eastAsia="Calibri"/>
                <w:sz w:val="20"/>
              </w:rPr>
              <w:t>January 30, 2015</w:t>
            </w:r>
          </w:p>
          <w:p w:rsidR="006635B0" w:rsidRPr="00031974" w:rsidRDefault="006635B0" w:rsidP="00B243C4">
            <w:pPr>
              <w:jc w:val="both"/>
              <w:rPr>
                <w:rFonts w:eastAsia="Calibri"/>
                <w:sz w:val="20"/>
              </w:rPr>
            </w:pPr>
            <w:r w:rsidRPr="00031974">
              <w:rPr>
                <w:rFonts w:eastAsia="Calibri"/>
                <w:sz w:val="20"/>
              </w:rPr>
              <w:t>Supreme Court of Canada</w:t>
            </w:r>
          </w:p>
        </w:tc>
        <w:tc>
          <w:tcPr>
            <w:tcW w:w="243" w:type="pct"/>
          </w:tcPr>
          <w:p w:rsidR="006635B0" w:rsidRPr="00031974" w:rsidRDefault="006635B0" w:rsidP="00B243C4">
            <w:pPr>
              <w:jc w:val="both"/>
              <w:rPr>
                <w:rFonts w:eastAsia="Calibri"/>
                <w:sz w:val="20"/>
              </w:rPr>
            </w:pPr>
          </w:p>
        </w:tc>
        <w:tc>
          <w:tcPr>
            <w:tcW w:w="2330" w:type="pct"/>
          </w:tcPr>
          <w:p w:rsidR="006635B0" w:rsidRPr="00031974" w:rsidRDefault="006635B0" w:rsidP="00B243C4">
            <w:pPr>
              <w:jc w:val="both"/>
              <w:rPr>
                <w:rFonts w:eastAsia="Calibri"/>
                <w:sz w:val="20"/>
              </w:rPr>
            </w:pPr>
            <w:r w:rsidRPr="00031974">
              <w:rPr>
                <w:rFonts w:eastAsia="Calibri"/>
                <w:sz w:val="20"/>
              </w:rPr>
              <w:t>Respondent’s motion to extend time to file and/or serve response, granted.</w:t>
            </w:r>
          </w:p>
        </w:tc>
      </w:tr>
    </w:tbl>
    <w:p w:rsidR="00233E21" w:rsidRDefault="00233E21" w:rsidP="00233E21">
      <w:pPr>
        <w:rPr>
          <w:sz w:val="20"/>
          <w:szCs w:val="20"/>
        </w:rPr>
      </w:pPr>
    </w:p>
    <w:p w:rsidR="00233E21" w:rsidRPr="00C50A5C" w:rsidRDefault="00790981" w:rsidP="00233E21">
      <w:pPr>
        <w:rPr>
          <w:sz w:val="20"/>
          <w:szCs w:val="20"/>
        </w:rPr>
      </w:pPr>
      <w:r>
        <w:rPr>
          <w:sz w:val="20"/>
          <w:szCs w:val="20"/>
          <w:lang w:val="fr-CA"/>
        </w:rPr>
        <w:pict>
          <v:rect id="_x0000_i1035" style="width:2in;height:1pt" o:hrpct="0" o:hralign="center" o:hrstd="t" o:hrnoshade="t" o:hr="t" fillcolor="black [3213]" stroked="f"/>
        </w:pict>
      </w:r>
    </w:p>
    <w:p w:rsidR="00233E21" w:rsidRDefault="00233E21" w:rsidP="00233E21">
      <w:pPr>
        <w:rPr>
          <w:sz w:val="20"/>
          <w:szCs w:val="20"/>
        </w:rPr>
      </w:pPr>
    </w:p>
    <w:p w:rsidR="00233E21" w:rsidRPr="001B157C" w:rsidRDefault="00233E21" w:rsidP="00233E21">
      <w:pPr>
        <w:rPr>
          <w:sz w:val="20"/>
          <w:szCs w:val="20"/>
          <w:u w:val="single"/>
          <w:lang w:val="fr-CA"/>
        </w:rPr>
      </w:pPr>
      <w:r w:rsidRPr="001B157C">
        <w:rPr>
          <w:sz w:val="20"/>
          <w:szCs w:val="20"/>
          <w:u w:val="single"/>
          <w:lang w:val="fr-CA"/>
        </w:rPr>
        <w:t>RÉSUMÉ DE L’AFFAIRE</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35B0" w:rsidRPr="00A33CF8" w:rsidTr="00B243C4">
        <w:tc>
          <w:tcPr>
            <w:tcW w:w="5000" w:type="pct"/>
            <w:gridSpan w:val="3"/>
          </w:tcPr>
          <w:p w:rsidR="006635B0" w:rsidRPr="00031974" w:rsidRDefault="006635B0" w:rsidP="00B243C4">
            <w:pPr>
              <w:jc w:val="both"/>
              <w:rPr>
                <w:rFonts w:eastAsia="Calibri"/>
                <w:sz w:val="20"/>
                <w:lang w:val="fr-CA"/>
              </w:rPr>
            </w:pPr>
            <w:r w:rsidRPr="00031974">
              <w:rPr>
                <w:rFonts w:eastAsia="Calibri"/>
                <w:sz w:val="20"/>
                <w:lang w:val="fr-CA"/>
              </w:rPr>
              <w:t>Droit administratif — Contrôle judiciaire — Obligation d’équité — Attentes légitimes — La municipalité a vendu une école — Des groupes communautaires se sont opposés à la vente — La décision de la municipalité a été annulée à l’issue d’un contrôle judiciaire — Les juges majoritaires de la Cour d’appel ont rétabli la décision de la municipalité — Lorsqu’un décideur déclare qu’il va suivre une procédure particulière, cette procédure, suivant la théorie des attentes légitimes, fait-elle partie des exigences minimales de l’obligation d’équité? — Comment faut-il interpréter l’exigence relative à la [</w:t>
            </w:r>
            <w:r w:rsidRPr="00031974">
              <w:rPr>
                <w:rFonts w:eastAsia="Calibri"/>
                <w:smallCaps/>
                <w:sz w:val="20"/>
                <w:lang w:val="fr-CA"/>
              </w:rPr>
              <w:t>traduction</w:t>
            </w:r>
            <w:r w:rsidRPr="00031974">
              <w:rPr>
                <w:rFonts w:eastAsia="Calibri"/>
                <w:sz w:val="20"/>
                <w:lang w:val="fr-CA"/>
              </w:rPr>
              <w:t xml:space="preserve">] « valeur marchande » en ce qui concerne la vente d’un bien en application de l’art. 61 de la </w:t>
            </w:r>
            <w:r w:rsidRPr="00031974">
              <w:rPr>
                <w:rFonts w:eastAsia="Calibri"/>
                <w:i/>
                <w:sz w:val="20"/>
                <w:lang w:val="fr-CA"/>
              </w:rPr>
              <w:t>Halifax Regional Municipality Charter</w:t>
            </w:r>
            <w:r w:rsidRPr="00031974">
              <w:rPr>
                <w:rFonts w:eastAsia="Calibri"/>
                <w:sz w:val="20"/>
                <w:lang w:val="fr-CA"/>
              </w:rPr>
              <w:t>?</w:t>
            </w:r>
          </w:p>
        </w:tc>
      </w:tr>
      <w:tr w:rsidR="006635B0" w:rsidRPr="00A33CF8" w:rsidTr="00B243C4">
        <w:tc>
          <w:tcPr>
            <w:tcW w:w="5000" w:type="pct"/>
            <w:gridSpan w:val="3"/>
          </w:tcPr>
          <w:p w:rsidR="006635B0" w:rsidRPr="00031974" w:rsidRDefault="006635B0" w:rsidP="00B243C4">
            <w:pPr>
              <w:jc w:val="both"/>
              <w:rPr>
                <w:rFonts w:eastAsia="Calibri"/>
                <w:sz w:val="20"/>
                <w:lang w:val="fr-CA"/>
              </w:rPr>
            </w:pPr>
          </w:p>
        </w:tc>
      </w:tr>
      <w:tr w:rsidR="006635B0" w:rsidRPr="00A33CF8" w:rsidTr="00B243C4">
        <w:tc>
          <w:tcPr>
            <w:tcW w:w="5000" w:type="pct"/>
            <w:gridSpan w:val="3"/>
          </w:tcPr>
          <w:p w:rsidR="006635B0" w:rsidRPr="00031974" w:rsidRDefault="006635B0" w:rsidP="00B243C4">
            <w:pPr>
              <w:shd w:val="clear" w:color="auto" w:fill="FFFFFF"/>
              <w:autoSpaceDE w:val="0"/>
              <w:autoSpaceDN w:val="0"/>
              <w:jc w:val="both"/>
              <w:rPr>
                <w:sz w:val="20"/>
                <w:lang w:val="fr-CA"/>
              </w:rPr>
            </w:pPr>
            <w:r w:rsidRPr="00031974">
              <w:rPr>
                <w:sz w:val="20"/>
                <w:lang w:val="fr-CA"/>
              </w:rPr>
              <w:t xml:space="preserve">Le présent appel concerne la vente d’un bien scolaire excédentaire, l’école primaire St. Patrick’s Alexandra (le « bien »), par la Municipalité régionale d’Halifax, intimée, à Jono Developments Limited, intimée. </w:t>
            </w:r>
          </w:p>
          <w:p w:rsidR="006635B0" w:rsidRPr="00031974" w:rsidRDefault="006635B0" w:rsidP="00B243C4">
            <w:pPr>
              <w:shd w:val="clear" w:color="auto" w:fill="FFFFFF"/>
              <w:autoSpaceDE w:val="0"/>
              <w:autoSpaceDN w:val="0"/>
              <w:jc w:val="both"/>
              <w:rPr>
                <w:sz w:val="20"/>
                <w:lang w:val="fr-CA"/>
              </w:rPr>
            </w:pPr>
          </w:p>
          <w:p w:rsidR="006635B0" w:rsidRPr="00031974" w:rsidRDefault="006635B0" w:rsidP="00B243C4">
            <w:pPr>
              <w:shd w:val="clear" w:color="auto" w:fill="FFFFFF"/>
              <w:autoSpaceDE w:val="0"/>
              <w:autoSpaceDN w:val="0"/>
              <w:jc w:val="both"/>
              <w:rPr>
                <w:sz w:val="20"/>
                <w:lang w:val="fr-CA"/>
              </w:rPr>
            </w:pPr>
            <w:r w:rsidRPr="00031974">
              <w:rPr>
                <w:sz w:val="20"/>
                <w:lang w:val="fr-CA"/>
              </w:rPr>
              <w:t xml:space="preserve">La North End Community Health Association et les demanderesses, la Richard Preston Centre for Excellence Society et la Micmac Native Friendship Society ont demandé le contrôle judiciaire de la décision de la Municipalité de vendre le bien à Jono.  Selon elles, la Municipalité aurait violé l’obligation d’équité à leur égard en ne suivant pas les procédures de la Municipalité relative à l’aliénation d’écoles excédentaires.  Elles ont également fait valoir que la Municipalité avait violé la </w:t>
            </w:r>
            <w:hyperlink r:id="rId36" w:history="1">
              <w:r w:rsidRPr="00031974">
                <w:rPr>
                  <w:rStyle w:val="Hyperlink"/>
                  <w:sz w:val="20"/>
                  <w:lang w:val="fr-CA"/>
                </w:rPr>
                <w:t>Halifax Regional Municipality Charter, S.N.S. 2008, c. 39</w:t>
              </w:r>
            </w:hyperlink>
            <w:r w:rsidRPr="00031974">
              <w:rPr>
                <w:sz w:val="20"/>
                <w:lang w:val="fr-CA"/>
              </w:rPr>
              <w:t xml:space="preserve"> en vendant le bien à un prix moindre que sa valeur marchande.  </w:t>
            </w:r>
          </w:p>
          <w:p w:rsidR="006635B0" w:rsidRPr="00031974" w:rsidRDefault="006635B0" w:rsidP="00B243C4">
            <w:pPr>
              <w:shd w:val="clear" w:color="auto" w:fill="FFFFFF"/>
              <w:autoSpaceDE w:val="0"/>
              <w:autoSpaceDN w:val="0"/>
              <w:jc w:val="both"/>
              <w:rPr>
                <w:sz w:val="20"/>
                <w:lang w:val="fr-CA"/>
              </w:rPr>
            </w:pPr>
          </w:p>
          <w:p w:rsidR="006635B0" w:rsidRPr="00031974" w:rsidRDefault="006635B0" w:rsidP="00B243C4">
            <w:pPr>
              <w:jc w:val="both"/>
              <w:rPr>
                <w:rFonts w:eastAsia="Calibri"/>
                <w:sz w:val="20"/>
                <w:lang w:val="fr-CA"/>
              </w:rPr>
            </w:pPr>
            <w:r w:rsidRPr="00031974">
              <w:rPr>
                <w:rFonts w:eastAsia="Calibri"/>
                <w:sz w:val="20"/>
                <w:lang w:val="fr-CA"/>
              </w:rPr>
              <w:t xml:space="preserve">La juge MacAdam a annulé la décision de la municipalité d’approuver la vente du bien.  En appel, les juges majoritaires de la Cour d’appel ont accueilli l’appel et annulé l’ordonnance de la juge MacAdam.  </w:t>
            </w:r>
          </w:p>
          <w:p w:rsidR="006635B0" w:rsidRPr="00031974" w:rsidRDefault="006635B0" w:rsidP="00B243C4">
            <w:pPr>
              <w:jc w:val="both"/>
              <w:rPr>
                <w:rFonts w:eastAsia="Calibri"/>
                <w:sz w:val="20"/>
                <w:lang w:val="fr-CA"/>
              </w:rPr>
            </w:pPr>
          </w:p>
        </w:tc>
      </w:tr>
      <w:tr w:rsidR="006635B0" w:rsidRPr="00A33CF8" w:rsidTr="00B243C4">
        <w:tc>
          <w:tcPr>
            <w:tcW w:w="2427" w:type="pct"/>
          </w:tcPr>
          <w:p w:rsidR="006635B0" w:rsidRPr="00031974" w:rsidRDefault="006635B0" w:rsidP="00B243C4">
            <w:pPr>
              <w:jc w:val="both"/>
              <w:rPr>
                <w:rFonts w:eastAsia="Calibri"/>
                <w:sz w:val="20"/>
                <w:lang w:val="fr-CA"/>
              </w:rPr>
            </w:pPr>
            <w:r w:rsidRPr="00031974">
              <w:rPr>
                <w:rFonts w:eastAsia="Calibri"/>
                <w:sz w:val="20"/>
                <w:lang w:val="fr-CA"/>
              </w:rPr>
              <w:t>24 septembre 2012</w:t>
            </w:r>
          </w:p>
          <w:p w:rsidR="006635B0" w:rsidRPr="00031974" w:rsidRDefault="006635B0" w:rsidP="00B243C4">
            <w:pPr>
              <w:jc w:val="both"/>
              <w:rPr>
                <w:rFonts w:eastAsia="Calibri"/>
                <w:sz w:val="20"/>
                <w:lang w:val="fr-CA"/>
              </w:rPr>
            </w:pPr>
            <w:r w:rsidRPr="00031974">
              <w:rPr>
                <w:rFonts w:eastAsia="Calibri"/>
                <w:sz w:val="20"/>
                <w:lang w:val="fr-CA"/>
              </w:rPr>
              <w:t>Cour suprême de la Nouvelle-Écosse</w:t>
            </w:r>
          </w:p>
          <w:p w:rsidR="006635B0" w:rsidRPr="00031974" w:rsidRDefault="006635B0" w:rsidP="00B243C4">
            <w:pPr>
              <w:jc w:val="both"/>
              <w:rPr>
                <w:rFonts w:eastAsia="Calibri"/>
                <w:sz w:val="20"/>
                <w:lang w:val="fr-CA"/>
              </w:rPr>
            </w:pPr>
            <w:r w:rsidRPr="00031974">
              <w:rPr>
                <w:rFonts w:eastAsia="Calibri"/>
                <w:sz w:val="20"/>
                <w:lang w:val="fr-CA"/>
              </w:rPr>
              <w:t>(Juge MacAdam)</w:t>
            </w:r>
          </w:p>
          <w:p w:rsidR="006635B0" w:rsidRPr="00031974" w:rsidRDefault="00790981" w:rsidP="00B243C4">
            <w:pPr>
              <w:jc w:val="both"/>
              <w:rPr>
                <w:rFonts w:eastAsia="Calibri"/>
                <w:sz w:val="20"/>
                <w:lang w:val="fr-CA"/>
              </w:rPr>
            </w:pPr>
            <w:hyperlink r:id="rId37" w:history="1">
              <w:r w:rsidR="006635B0" w:rsidRPr="00031974">
                <w:rPr>
                  <w:rFonts w:eastAsia="Calibri"/>
                  <w:color w:val="0000FF"/>
                  <w:sz w:val="20"/>
                  <w:u w:val="single"/>
                  <w:lang w:val="fr-CA"/>
                </w:rPr>
                <w:t>2012 NSSC 330</w:t>
              </w:r>
            </w:hyperlink>
          </w:p>
          <w:p w:rsidR="006635B0" w:rsidRPr="00031974" w:rsidRDefault="006635B0" w:rsidP="00B243C4">
            <w:pPr>
              <w:jc w:val="both"/>
              <w:rPr>
                <w:rFonts w:eastAsia="Calibri"/>
                <w:sz w:val="20"/>
                <w:lang w:val="fr-CA"/>
              </w:rPr>
            </w:pPr>
          </w:p>
        </w:tc>
        <w:tc>
          <w:tcPr>
            <w:tcW w:w="243" w:type="pct"/>
          </w:tcPr>
          <w:p w:rsidR="006635B0" w:rsidRPr="00031974" w:rsidRDefault="006635B0" w:rsidP="00B243C4">
            <w:pPr>
              <w:jc w:val="both"/>
              <w:rPr>
                <w:rFonts w:eastAsia="Calibri"/>
                <w:sz w:val="20"/>
                <w:lang w:val="fr-CA"/>
              </w:rPr>
            </w:pPr>
          </w:p>
        </w:tc>
        <w:tc>
          <w:tcPr>
            <w:tcW w:w="2330" w:type="pct"/>
          </w:tcPr>
          <w:p w:rsidR="006635B0" w:rsidRPr="00031974" w:rsidRDefault="006635B0" w:rsidP="00B243C4">
            <w:pPr>
              <w:jc w:val="both"/>
              <w:rPr>
                <w:rFonts w:eastAsia="Calibri"/>
                <w:sz w:val="20"/>
                <w:lang w:val="fr-CA"/>
              </w:rPr>
            </w:pPr>
            <w:r w:rsidRPr="00031974">
              <w:rPr>
                <w:rFonts w:eastAsia="Calibri"/>
                <w:sz w:val="20"/>
                <w:lang w:val="fr-CA"/>
              </w:rPr>
              <w:t xml:space="preserve">Annulation de la décision du conseil de la Municipalité régionale d’Halifax d’approuver la vente de l’école St. Patrick’s Alexandra.  </w:t>
            </w:r>
          </w:p>
          <w:p w:rsidR="006635B0" w:rsidRPr="00031974" w:rsidRDefault="006635B0" w:rsidP="00B243C4">
            <w:pPr>
              <w:jc w:val="both"/>
              <w:rPr>
                <w:rFonts w:eastAsia="Calibri"/>
                <w:sz w:val="20"/>
                <w:lang w:val="fr-CA"/>
              </w:rPr>
            </w:pPr>
          </w:p>
        </w:tc>
      </w:tr>
      <w:tr w:rsidR="006635B0" w:rsidRPr="00A33CF8" w:rsidTr="00962B33">
        <w:trPr>
          <w:cantSplit/>
        </w:trPr>
        <w:tc>
          <w:tcPr>
            <w:tcW w:w="2427" w:type="pct"/>
          </w:tcPr>
          <w:p w:rsidR="006635B0" w:rsidRPr="00031974" w:rsidRDefault="006635B0" w:rsidP="00B243C4">
            <w:pPr>
              <w:jc w:val="both"/>
              <w:rPr>
                <w:rFonts w:eastAsia="Calibri"/>
                <w:sz w:val="20"/>
                <w:lang w:val="fr-CA"/>
              </w:rPr>
            </w:pPr>
            <w:r w:rsidRPr="00031974">
              <w:rPr>
                <w:rFonts w:eastAsia="Calibri"/>
                <w:sz w:val="20"/>
                <w:lang w:val="fr-CA"/>
              </w:rPr>
              <w:lastRenderedPageBreak/>
              <w:t>9 octobre 2014</w:t>
            </w:r>
          </w:p>
          <w:p w:rsidR="006635B0" w:rsidRPr="00031974" w:rsidRDefault="006635B0" w:rsidP="00B243C4">
            <w:pPr>
              <w:jc w:val="both"/>
              <w:rPr>
                <w:rFonts w:eastAsia="Calibri"/>
                <w:sz w:val="20"/>
                <w:lang w:val="fr-CA"/>
              </w:rPr>
            </w:pPr>
            <w:r w:rsidRPr="00031974">
              <w:rPr>
                <w:rFonts w:eastAsia="Calibri"/>
                <w:sz w:val="20"/>
                <w:lang w:val="fr-CA"/>
              </w:rPr>
              <w:t>Cour d’appel de la Nouvelle-Écosse</w:t>
            </w:r>
          </w:p>
          <w:p w:rsidR="006635B0" w:rsidRPr="00031974" w:rsidRDefault="006635B0" w:rsidP="00B243C4">
            <w:pPr>
              <w:jc w:val="both"/>
              <w:rPr>
                <w:rFonts w:eastAsia="Calibri"/>
                <w:sz w:val="20"/>
                <w:lang w:val="fr-CA"/>
              </w:rPr>
            </w:pPr>
            <w:r w:rsidRPr="00031974">
              <w:rPr>
                <w:rFonts w:eastAsia="Calibri"/>
                <w:sz w:val="20"/>
                <w:lang w:val="fr-CA"/>
              </w:rPr>
              <w:t>(Juges Farrar et Bryson, juge en chef MacDonald (dissident))</w:t>
            </w:r>
          </w:p>
          <w:p w:rsidR="006635B0" w:rsidRPr="00031974" w:rsidRDefault="00790981" w:rsidP="00B243C4">
            <w:pPr>
              <w:jc w:val="both"/>
              <w:rPr>
                <w:rFonts w:eastAsia="Calibri"/>
                <w:sz w:val="20"/>
                <w:lang w:val="fr-CA"/>
              </w:rPr>
            </w:pPr>
            <w:hyperlink r:id="rId38" w:history="1">
              <w:r w:rsidR="006635B0" w:rsidRPr="00031974">
                <w:rPr>
                  <w:rFonts w:eastAsia="Calibri"/>
                  <w:color w:val="0000FF"/>
                  <w:sz w:val="20"/>
                  <w:u w:val="single"/>
                  <w:lang w:val="fr-CA"/>
                </w:rPr>
                <w:t>2014 NSCA 92</w:t>
              </w:r>
            </w:hyperlink>
          </w:p>
          <w:p w:rsidR="006635B0" w:rsidRPr="00031974" w:rsidRDefault="006635B0" w:rsidP="00B243C4">
            <w:pPr>
              <w:jc w:val="both"/>
              <w:rPr>
                <w:rFonts w:eastAsia="Calibri"/>
                <w:sz w:val="20"/>
                <w:lang w:val="fr-CA"/>
              </w:rPr>
            </w:pPr>
            <w:r w:rsidRPr="00031974">
              <w:rPr>
                <w:rFonts w:eastAsia="Calibri"/>
                <w:sz w:val="20"/>
                <w:lang w:val="fr-CA"/>
              </w:rPr>
              <w:t>N</w:t>
            </w:r>
            <w:r w:rsidRPr="00031974">
              <w:rPr>
                <w:rFonts w:eastAsia="Calibri"/>
                <w:sz w:val="20"/>
                <w:vertAlign w:val="superscript"/>
                <w:lang w:val="fr-CA"/>
              </w:rPr>
              <w:t>o</w:t>
            </w:r>
            <w:r w:rsidRPr="00031974">
              <w:rPr>
                <w:rFonts w:eastAsia="Calibri"/>
                <w:sz w:val="20"/>
                <w:lang w:val="fr-CA"/>
              </w:rPr>
              <w:t xml:space="preserve"> du greffe : CA415197 </w:t>
            </w:r>
          </w:p>
          <w:p w:rsidR="006635B0" w:rsidRPr="00031974" w:rsidRDefault="006635B0" w:rsidP="00B243C4">
            <w:pPr>
              <w:jc w:val="both"/>
              <w:rPr>
                <w:rFonts w:eastAsia="Calibri"/>
                <w:sz w:val="20"/>
                <w:lang w:val="fr-CA"/>
              </w:rPr>
            </w:pPr>
          </w:p>
        </w:tc>
        <w:tc>
          <w:tcPr>
            <w:tcW w:w="243" w:type="pct"/>
          </w:tcPr>
          <w:p w:rsidR="006635B0" w:rsidRPr="00031974" w:rsidRDefault="006635B0" w:rsidP="00B243C4">
            <w:pPr>
              <w:jc w:val="both"/>
              <w:rPr>
                <w:rFonts w:eastAsia="Calibri"/>
                <w:sz w:val="20"/>
                <w:lang w:val="fr-CA"/>
              </w:rPr>
            </w:pPr>
          </w:p>
        </w:tc>
        <w:tc>
          <w:tcPr>
            <w:tcW w:w="2330" w:type="pct"/>
          </w:tcPr>
          <w:p w:rsidR="006635B0" w:rsidRPr="00031974" w:rsidRDefault="006635B0" w:rsidP="00B243C4">
            <w:pPr>
              <w:jc w:val="both"/>
              <w:rPr>
                <w:rFonts w:eastAsia="Calibri"/>
                <w:sz w:val="20"/>
                <w:lang w:val="fr-CA"/>
              </w:rPr>
            </w:pPr>
            <w:r w:rsidRPr="00031974">
              <w:rPr>
                <w:rFonts w:eastAsia="Calibri"/>
                <w:sz w:val="20"/>
                <w:lang w:val="fr-CA"/>
              </w:rPr>
              <w:t>Arrêt accueillant l’appel et annulant l’ordonnance de la juge MacAdam.</w:t>
            </w:r>
          </w:p>
          <w:p w:rsidR="006635B0" w:rsidRPr="00031974" w:rsidRDefault="006635B0" w:rsidP="00B243C4">
            <w:pPr>
              <w:jc w:val="both"/>
              <w:rPr>
                <w:rFonts w:eastAsia="Calibri"/>
                <w:sz w:val="20"/>
                <w:lang w:val="fr-CA"/>
              </w:rPr>
            </w:pPr>
          </w:p>
        </w:tc>
      </w:tr>
      <w:tr w:rsidR="006635B0" w:rsidRPr="00A33CF8" w:rsidTr="00962B33">
        <w:trPr>
          <w:cantSplit/>
        </w:trPr>
        <w:tc>
          <w:tcPr>
            <w:tcW w:w="2427" w:type="pct"/>
          </w:tcPr>
          <w:p w:rsidR="006635B0" w:rsidRPr="00031974" w:rsidRDefault="006635B0" w:rsidP="00B243C4">
            <w:pPr>
              <w:jc w:val="both"/>
              <w:rPr>
                <w:rFonts w:eastAsia="Calibri"/>
                <w:sz w:val="20"/>
                <w:lang w:val="fr-CA"/>
              </w:rPr>
            </w:pPr>
            <w:r w:rsidRPr="00031974">
              <w:rPr>
                <w:rFonts w:eastAsia="Calibri"/>
                <w:sz w:val="20"/>
                <w:lang w:val="fr-CA"/>
              </w:rPr>
              <w:t>5 décembre 2014</w:t>
            </w:r>
          </w:p>
          <w:p w:rsidR="006635B0" w:rsidRPr="00031974" w:rsidRDefault="006635B0" w:rsidP="00B243C4">
            <w:pPr>
              <w:jc w:val="both"/>
              <w:rPr>
                <w:rFonts w:eastAsia="Calibri"/>
                <w:sz w:val="20"/>
                <w:lang w:val="fr-CA"/>
              </w:rPr>
            </w:pPr>
            <w:r w:rsidRPr="00031974">
              <w:rPr>
                <w:rFonts w:eastAsia="Calibri"/>
                <w:sz w:val="20"/>
                <w:lang w:val="fr-CA"/>
              </w:rPr>
              <w:t>Cour suprême du Canada</w:t>
            </w:r>
          </w:p>
          <w:p w:rsidR="006635B0" w:rsidRPr="00031974" w:rsidRDefault="006635B0" w:rsidP="00B243C4">
            <w:pPr>
              <w:jc w:val="both"/>
              <w:rPr>
                <w:rFonts w:eastAsia="Calibri"/>
                <w:sz w:val="20"/>
                <w:lang w:val="fr-CA"/>
              </w:rPr>
            </w:pPr>
          </w:p>
        </w:tc>
        <w:tc>
          <w:tcPr>
            <w:tcW w:w="243" w:type="pct"/>
          </w:tcPr>
          <w:p w:rsidR="006635B0" w:rsidRPr="00031974" w:rsidRDefault="006635B0" w:rsidP="00B243C4">
            <w:pPr>
              <w:jc w:val="both"/>
              <w:rPr>
                <w:rFonts w:eastAsia="Calibri"/>
                <w:sz w:val="20"/>
                <w:lang w:val="fr-CA"/>
              </w:rPr>
            </w:pPr>
          </w:p>
        </w:tc>
        <w:tc>
          <w:tcPr>
            <w:tcW w:w="2330" w:type="pct"/>
          </w:tcPr>
          <w:p w:rsidR="006635B0" w:rsidRPr="00031974" w:rsidRDefault="006635B0" w:rsidP="00B243C4">
            <w:pPr>
              <w:jc w:val="both"/>
              <w:rPr>
                <w:rFonts w:eastAsia="Calibri"/>
                <w:sz w:val="20"/>
                <w:lang w:val="fr-CA"/>
              </w:rPr>
            </w:pPr>
            <w:r w:rsidRPr="00031974">
              <w:rPr>
                <w:rFonts w:eastAsia="Calibri"/>
                <w:sz w:val="20"/>
                <w:lang w:val="fr-CA"/>
              </w:rPr>
              <w:t>Dépôt de a demande d’autorisation d’appel.</w:t>
            </w:r>
          </w:p>
          <w:p w:rsidR="006635B0" w:rsidRPr="00031974" w:rsidRDefault="006635B0" w:rsidP="00B243C4">
            <w:pPr>
              <w:jc w:val="both"/>
              <w:rPr>
                <w:rFonts w:eastAsia="Calibri"/>
                <w:sz w:val="20"/>
                <w:lang w:val="fr-CA"/>
              </w:rPr>
            </w:pPr>
          </w:p>
        </w:tc>
      </w:tr>
      <w:tr w:rsidR="006635B0" w:rsidRPr="00A33CF8" w:rsidTr="00962B33">
        <w:trPr>
          <w:cantSplit/>
        </w:trPr>
        <w:tc>
          <w:tcPr>
            <w:tcW w:w="2427" w:type="pct"/>
          </w:tcPr>
          <w:p w:rsidR="006635B0" w:rsidRPr="00031974" w:rsidRDefault="006635B0" w:rsidP="00B243C4">
            <w:pPr>
              <w:jc w:val="both"/>
              <w:rPr>
                <w:rFonts w:eastAsia="Calibri"/>
                <w:sz w:val="20"/>
                <w:lang w:val="fr-CA"/>
              </w:rPr>
            </w:pPr>
            <w:r w:rsidRPr="00031974">
              <w:rPr>
                <w:rFonts w:eastAsia="Calibri"/>
                <w:sz w:val="20"/>
                <w:lang w:val="fr-CA"/>
              </w:rPr>
              <w:t>30 janvier 2015</w:t>
            </w:r>
          </w:p>
          <w:p w:rsidR="006635B0" w:rsidRPr="00031974" w:rsidRDefault="006635B0" w:rsidP="00B243C4">
            <w:pPr>
              <w:jc w:val="both"/>
              <w:rPr>
                <w:rFonts w:eastAsia="Calibri"/>
                <w:sz w:val="20"/>
                <w:lang w:val="fr-CA"/>
              </w:rPr>
            </w:pPr>
            <w:r w:rsidRPr="00031974">
              <w:rPr>
                <w:rFonts w:eastAsia="Calibri"/>
                <w:sz w:val="20"/>
                <w:lang w:val="fr-CA"/>
              </w:rPr>
              <w:t>Cour suprême du Canada</w:t>
            </w:r>
          </w:p>
        </w:tc>
        <w:tc>
          <w:tcPr>
            <w:tcW w:w="243" w:type="pct"/>
          </w:tcPr>
          <w:p w:rsidR="006635B0" w:rsidRPr="00031974" w:rsidRDefault="006635B0" w:rsidP="00B243C4">
            <w:pPr>
              <w:jc w:val="both"/>
              <w:rPr>
                <w:rFonts w:eastAsia="Calibri"/>
                <w:sz w:val="20"/>
                <w:lang w:val="fr-CA"/>
              </w:rPr>
            </w:pPr>
          </w:p>
        </w:tc>
        <w:tc>
          <w:tcPr>
            <w:tcW w:w="2330" w:type="pct"/>
          </w:tcPr>
          <w:p w:rsidR="006635B0" w:rsidRPr="00031974" w:rsidRDefault="006635B0" w:rsidP="00B243C4">
            <w:pPr>
              <w:jc w:val="both"/>
              <w:rPr>
                <w:rFonts w:eastAsia="Calibri"/>
                <w:sz w:val="20"/>
                <w:lang w:val="fr-CA"/>
              </w:rPr>
            </w:pPr>
            <w:r w:rsidRPr="00031974">
              <w:rPr>
                <w:rFonts w:eastAsia="Calibri"/>
                <w:sz w:val="20"/>
                <w:lang w:val="fr-CA"/>
              </w:rPr>
              <w:t>Arrêt accueillant la requête de l’intimée en prorogation du délai de dépôt ou de signification de la réponse.</w:t>
            </w:r>
          </w:p>
        </w:tc>
      </w:tr>
    </w:tbl>
    <w:p w:rsidR="00233E21" w:rsidRPr="006635B0" w:rsidRDefault="00233E21" w:rsidP="00233E21">
      <w:pPr>
        <w:rPr>
          <w:sz w:val="20"/>
          <w:szCs w:val="20"/>
          <w:lang w:val="fr-CA"/>
        </w:rPr>
      </w:pPr>
    </w:p>
    <w:p w:rsidR="00233E21" w:rsidRDefault="00790981" w:rsidP="00233E21">
      <w:pPr>
        <w:rPr>
          <w:sz w:val="20"/>
          <w:szCs w:val="20"/>
          <w:lang w:val="fr-CA"/>
        </w:rPr>
      </w:pPr>
      <w:r>
        <w:rPr>
          <w:sz w:val="20"/>
          <w:szCs w:val="20"/>
          <w:lang w:val="fr-CA"/>
        </w:rPr>
        <w:pict>
          <v:rect id="_x0000_i1036" style="width:2in;height:1pt" o:hrpct="0" o:hralign="center" o:hrstd="t" o:hrnoshade="t" o:hr="t" fillcolor="black [3213]" stroked="f"/>
        </w:pict>
      </w:r>
    </w:p>
    <w:p w:rsidR="00233E21" w:rsidRDefault="00233E21" w:rsidP="00233E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62B33" w:rsidRPr="00C417EA" w:rsidTr="00B243C4">
        <w:trPr>
          <w:cantSplit/>
        </w:trPr>
        <w:tc>
          <w:tcPr>
            <w:tcW w:w="1458" w:type="dxa"/>
          </w:tcPr>
          <w:p w:rsidR="00962B33" w:rsidRPr="00C417EA" w:rsidRDefault="00962B33" w:rsidP="00B243C4">
            <w:pPr>
              <w:rPr>
                <w:sz w:val="20"/>
                <w:szCs w:val="20"/>
              </w:rPr>
            </w:pPr>
            <w:r w:rsidRPr="00C417EA">
              <w:rPr>
                <w:rStyle w:val="SCCFileNumberChar"/>
                <w:sz w:val="20"/>
                <w:szCs w:val="20"/>
              </w:rPr>
              <w:t>36203</w:t>
            </w:r>
          </w:p>
          <w:p w:rsidR="00962B33" w:rsidRPr="00C417EA" w:rsidRDefault="00962B33" w:rsidP="00B243C4">
            <w:pPr>
              <w:rPr>
                <w:b/>
                <w:sz w:val="20"/>
                <w:szCs w:val="20"/>
                <w:lang w:val="fr-CA"/>
              </w:rPr>
            </w:pPr>
          </w:p>
        </w:tc>
        <w:tc>
          <w:tcPr>
            <w:tcW w:w="8118" w:type="dxa"/>
          </w:tcPr>
          <w:p w:rsidR="00962B33" w:rsidRPr="00C417EA" w:rsidRDefault="00962B33" w:rsidP="00B243C4">
            <w:pPr>
              <w:rPr>
                <w:sz w:val="20"/>
                <w:szCs w:val="20"/>
              </w:rPr>
            </w:pPr>
            <w:r w:rsidRPr="00C417EA">
              <w:rPr>
                <w:rStyle w:val="SCCLsocChar"/>
                <w:sz w:val="20"/>
                <w:szCs w:val="20"/>
                <w:lang w:val="en-CA"/>
              </w:rPr>
              <w:t>Brent Kern Family Trust v. Her Majesty the Queen</w:t>
            </w:r>
            <w:r w:rsidRPr="00C417EA">
              <w:rPr>
                <w:sz w:val="20"/>
                <w:szCs w:val="20"/>
              </w:rPr>
              <w:t xml:space="preserve"> (F</w:t>
            </w:r>
            <w:r>
              <w:rPr>
                <w:szCs w:val="20"/>
              </w:rPr>
              <w:t>.</w:t>
            </w:r>
            <w:r w:rsidRPr="00C417EA">
              <w:rPr>
                <w:sz w:val="20"/>
                <w:szCs w:val="20"/>
              </w:rPr>
              <w:t>C</w:t>
            </w:r>
            <w:r>
              <w:rPr>
                <w:szCs w:val="20"/>
              </w:rPr>
              <w:t>.</w:t>
            </w:r>
            <w:r w:rsidRPr="00C417EA">
              <w:rPr>
                <w:sz w:val="20"/>
                <w:szCs w:val="20"/>
              </w:rPr>
              <w:t>) (Civil) (By Leave)</w:t>
            </w:r>
          </w:p>
          <w:p w:rsidR="00962B33" w:rsidRPr="00C417EA" w:rsidRDefault="00962B33" w:rsidP="00B243C4">
            <w:pPr>
              <w:rPr>
                <w:sz w:val="20"/>
                <w:szCs w:val="20"/>
              </w:rPr>
            </w:pPr>
          </w:p>
        </w:tc>
      </w:tr>
      <w:tr w:rsidR="00962B33" w:rsidRPr="00A33CF8" w:rsidTr="00B243C4">
        <w:trPr>
          <w:cantSplit/>
        </w:trPr>
        <w:tc>
          <w:tcPr>
            <w:tcW w:w="1458" w:type="dxa"/>
          </w:tcPr>
          <w:p w:rsidR="00962B33" w:rsidRPr="00C417EA" w:rsidRDefault="00962B33" w:rsidP="00B243C4">
            <w:pPr>
              <w:rPr>
                <w:sz w:val="20"/>
                <w:szCs w:val="20"/>
              </w:rPr>
            </w:pPr>
            <w:r w:rsidRPr="00C417EA">
              <w:rPr>
                <w:sz w:val="20"/>
                <w:szCs w:val="20"/>
              </w:rPr>
              <w:t>Coram :</w:t>
            </w:r>
          </w:p>
        </w:tc>
        <w:tc>
          <w:tcPr>
            <w:tcW w:w="8118" w:type="dxa"/>
          </w:tcPr>
          <w:p w:rsidR="00962B33" w:rsidRPr="00962B33" w:rsidRDefault="00962B33" w:rsidP="00B243C4">
            <w:pPr>
              <w:rPr>
                <w:sz w:val="20"/>
                <w:szCs w:val="20"/>
                <w:lang w:val="fr-CA"/>
              </w:rPr>
            </w:pPr>
            <w:r w:rsidRPr="00962B33">
              <w:rPr>
                <w:rStyle w:val="SCCCoramChar"/>
                <w:sz w:val="20"/>
                <w:szCs w:val="20"/>
              </w:rPr>
              <w:t>Abella, Karakatsanis and Côté JJ.</w:t>
            </w:r>
          </w:p>
          <w:p w:rsidR="00962B33" w:rsidRPr="00962B33" w:rsidRDefault="00962B33" w:rsidP="00B243C4">
            <w:pPr>
              <w:rPr>
                <w:sz w:val="20"/>
                <w:szCs w:val="20"/>
                <w:u w:val="single"/>
                <w:lang w:val="fr-CA"/>
              </w:rPr>
            </w:pPr>
          </w:p>
        </w:tc>
      </w:tr>
      <w:tr w:rsidR="00962B33" w:rsidRPr="00A33CF8" w:rsidTr="00B243C4">
        <w:trPr>
          <w:cantSplit/>
        </w:trPr>
        <w:tc>
          <w:tcPr>
            <w:tcW w:w="9576" w:type="dxa"/>
            <w:gridSpan w:val="2"/>
          </w:tcPr>
          <w:p w:rsidR="00962B33" w:rsidRPr="00C417EA" w:rsidRDefault="00962B33" w:rsidP="00B243C4">
            <w:pPr>
              <w:pStyle w:val="SCCShortJudgment"/>
              <w:rPr>
                <w:szCs w:val="20"/>
              </w:rPr>
            </w:pPr>
            <w:r w:rsidRPr="00C417EA">
              <w:rPr>
                <w:szCs w:val="20"/>
              </w:rPr>
              <w:t>The application for leave to appeal from the judgment of the Federal Court of Appeal, Number A-375-13, 2014 FCA 230, dated October 14, 2014, is dismissed with costs.</w:t>
            </w:r>
          </w:p>
          <w:p w:rsidR="00962B33" w:rsidRPr="00C417EA" w:rsidRDefault="00962B33" w:rsidP="00B243C4">
            <w:pPr>
              <w:pStyle w:val="SCCShortJudgment"/>
              <w:ind w:firstLine="0"/>
              <w:rPr>
                <w:szCs w:val="20"/>
              </w:rPr>
            </w:pPr>
          </w:p>
          <w:p w:rsidR="00962B33" w:rsidRPr="00C417EA" w:rsidRDefault="00962B33" w:rsidP="00B243C4">
            <w:pPr>
              <w:pStyle w:val="SCCShortJudgment"/>
              <w:rPr>
                <w:szCs w:val="20"/>
                <w:lang w:val="fr-CA"/>
              </w:rPr>
            </w:pPr>
            <w:r w:rsidRPr="00C417EA">
              <w:rPr>
                <w:szCs w:val="20"/>
                <w:lang w:val="fr-CA"/>
              </w:rPr>
              <w:t>La demande d’autorisation d’appel de l’arrêt de la Cour d’appel fédérale, numéro A-375-13, 2014 CAF 230, daté du 14 octobre 2014, est rejetée avec dépens.</w:t>
            </w:r>
          </w:p>
        </w:tc>
      </w:tr>
    </w:tbl>
    <w:p w:rsidR="00233E21" w:rsidRPr="00962B33" w:rsidRDefault="00233E21" w:rsidP="00233E21">
      <w:pPr>
        <w:rPr>
          <w:sz w:val="20"/>
          <w:szCs w:val="20"/>
          <w:lang w:val="fr-CA"/>
        </w:rPr>
      </w:pPr>
    </w:p>
    <w:p w:rsidR="00233E21" w:rsidRPr="001B157C" w:rsidRDefault="00233E21" w:rsidP="00233E21">
      <w:pPr>
        <w:rPr>
          <w:sz w:val="20"/>
          <w:szCs w:val="20"/>
          <w:u w:val="single"/>
        </w:rPr>
      </w:pPr>
      <w:r w:rsidRPr="001B157C">
        <w:rPr>
          <w:sz w:val="20"/>
          <w:szCs w:val="20"/>
          <w:u w:val="single"/>
        </w:rPr>
        <w:t>CASE SUMMARY</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35B0" w:rsidRPr="00031974" w:rsidTr="00B243C4">
        <w:tc>
          <w:tcPr>
            <w:tcW w:w="5000" w:type="pct"/>
            <w:gridSpan w:val="3"/>
          </w:tcPr>
          <w:p w:rsidR="006635B0" w:rsidRPr="00031974" w:rsidRDefault="006635B0" w:rsidP="00B243C4">
            <w:pPr>
              <w:jc w:val="both"/>
              <w:rPr>
                <w:rFonts w:eastAsia="Calibri"/>
                <w:sz w:val="20"/>
              </w:rPr>
            </w:pPr>
            <w:r w:rsidRPr="00031974">
              <w:rPr>
                <w:rFonts w:eastAsia="Calibri"/>
                <w:sz w:val="20"/>
              </w:rPr>
              <w:t xml:space="preserve">Taxation — Income Tax — Trusts — Attribution — Whether </w:t>
            </w:r>
            <w:r w:rsidRPr="00031974">
              <w:rPr>
                <w:rFonts w:eastAsia="Calibri"/>
                <w:i/>
                <w:sz w:val="20"/>
              </w:rPr>
              <w:t>Miller v. Canada (Attorney General)</w:t>
            </w:r>
            <w:r w:rsidRPr="00031974">
              <w:rPr>
                <w:rFonts w:eastAsia="Calibri"/>
                <w:sz w:val="20"/>
              </w:rPr>
              <w:t xml:space="preserve">, 2002 FCA 370, correctly sets out the approach to be followed in determining the correctness of previous decisions — Whether </w:t>
            </w:r>
            <w:r w:rsidRPr="00031974">
              <w:rPr>
                <w:rFonts w:eastAsia="Calibri"/>
                <w:i/>
                <w:sz w:val="20"/>
              </w:rPr>
              <w:t>Canada v. Sommerer</w:t>
            </w:r>
            <w:r w:rsidRPr="00031974">
              <w:rPr>
                <w:rFonts w:eastAsia="Calibri"/>
                <w:sz w:val="20"/>
              </w:rPr>
              <w:t xml:space="preserve">, 2012 FCA 207, correctly interpreted the </w:t>
            </w:r>
            <w:r w:rsidRPr="00031974">
              <w:rPr>
                <w:rFonts w:eastAsia="Calibri"/>
                <w:i/>
                <w:sz w:val="20"/>
              </w:rPr>
              <w:t>Income Tax Act</w:t>
            </w:r>
            <w:r w:rsidRPr="00031974">
              <w:rPr>
                <w:rFonts w:eastAsia="Calibri"/>
                <w:sz w:val="20"/>
              </w:rPr>
              <w:t>, R.S.C. 1985, c. 1 (5th Supp.), s. 75(2).</w:t>
            </w:r>
          </w:p>
        </w:tc>
      </w:tr>
      <w:tr w:rsidR="006635B0" w:rsidRPr="00031974" w:rsidTr="00B243C4">
        <w:tc>
          <w:tcPr>
            <w:tcW w:w="5000" w:type="pct"/>
            <w:gridSpan w:val="3"/>
          </w:tcPr>
          <w:p w:rsidR="006635B0" w:rsidRPr="00031974" w:rsidRDefault="006635B0" w:rsidP="00B243C4">
            <w:pPr>
              <w:jc w:val="both"/>
              <w:rPr>
                <w:rFonts w:eastAsia="Calibri"/>
                <w:sz w:val="20"/>
              </w:rPr>
            </w:pPr>
          </w:p>
        </w:tc>
      </w:tr>
      <w:tr w:rsidR="006635B0" w:rsidRPr="00031974" w:rsidTr="00B243C4">
        <w:tc>
          <w:tcPr>
            <w:tcW w:w="5000" w:type="pct"/>
            <w:gridSpan w:val="3"/>
          </w:tcPr>
          <w:p w:rsidR="006635B0" w:rsidRPr="00031974" w:rsidRDefault="006635B0" w:rsidP="00B243C4">
            <w:pPr>
              <w:jc w:val="both"/>
              <w:rPr>
                <w:rFonts w:eastAsia="Calibri"/>
                <w:sz w:val="20"/>
              </w:rPr>
            </w:pPr>
            <w:r w:rsidRPr="00031974">
              <w:rPr>
                <w:rFonts w:eastAsia="Calibri"/>
                <w:sz w:val="20"/>
              </w:rPr>
              <w:t xml:space="preserve">Mr. Kern was initially the sole shareholder and controlling mind in Wilf’s Oilfield Services (1997) Ltd. (“OPCO”).  Mr. Kern became the preferred shareholder in OPCO and 905558 Alberta Ltd. (“Holdco”).  Mr. Kern, OPCO, and other family members were beneficiaries in the applicant Brent Kern Family Trust (the “Brent Trust”), while Holdco, Mr. Kern, and other family members were beneficiaries in the Kern Family Trust (the “Kern Trust”).  The common shares Mr. Kern held in OPCO and Holdco were exchanged for preferred shares, and the OPCO common shares were sold for valuable consideration to the Brent Trust.  In 2005, OPCO declared a $245,000 dividend in favour of the Kern Family Trust (the “Kern Trust”).  The Kern Trust allocated that dividend to Holdco.  Holdco declared a $245,000 dividend on the common shares owned by the applicant Brent Kern Family Trust (the “Brent Trust”). Holdco then allocated and paid $245,000 to Mr. Kern, who lent $245,000 to OPCO.  On the understanding that s. 75(2) of the </w:t>
            </w:r>
            <w:r w:rsidRPr="00031974">
              <w:rPr>
                <w:rFonts w:eastAsia="Calibri"/>
                <w:i/>
                <w:sz w:val="20"/>
              </w:rPr>
              <w:t>Income Tax Act</w:t>
            </w:r>
            <w:r w:rsidRPr="00031974">
              <w:rPr>
                <w:rFonts w:eastAsia="Calibri"/>
                <w:sz w:val="20"/>
              </w:rPr>
              <w:t>, R.S.C. 1985, c. 1, (5th Supp.), applied, the Brent Trust deemed its dividend to be received by OPCO as a non-taxable payment of inter-corporate dividends pursuant to s. 112 because OPCO had transferred the property while it was an enduring potential beneficiary, and the Brent Trust reported no income from the dividend.  In 2006, similar transactions and income tax reporting occurred for another amount.</w:t>
            </w:r>
          </w:p>
          <w:p w:rsidR="006635B0" w:rsidRPr="00031974" w:rsidRDefault="006635B0" w:rsidP="00B243C4">
            <w:pPr>
              <w:jc w:val="both"/>
              <w:rPr>
                <w:rFonts w:eastAsia="Calibri"/>
                <w:sz w:val="20"/>
              </w:rPr>
            </w:pPr>
          </w:p>
          <w:p w:rsidR="006635B0" w:rsidRPr="00031974" w:rsidRDefault="006635B0" w:rsidP="00B243C4">
            <w:pPr>
              <w:jc w:val="both"/>
              <w:rPr>
                <w:rFonts w:eastAsia="Calibri"/>
                <w:sz w:val="20"/>
              </w:rPr>
            </w:pPr>
            <w:r w:rsidRPr="00031974">
              <w:rPr>
                <w:rFonts w:eastAsia="Calibri"/>
                <w:sz w:val="20"/>
              </w:rPr>
              <w:t xml:space="preserve">After the transactions, </w:t>
            </w:r>
            <w:r w:rsidRPr="00031974">
              <w:rPr>
                <w:rFonts w:eastAsia="Calibri"/>
                <w:i/>
                <w:sz w:val="20"/>
              </w:rPr>
              <w:t>Canada v. Sommerer</w:t>
            </w:r>
            <w:r w:rsidRPr="00031974">
              <w:rPr>
                <w:rFonts w:eastAsia="Calibri"/>
                <w:sz w:val="20"/>
              </w:rPr>
              <w:t xml:space="preserve">, 2012 FCA 207, 2012 DTC 5126, held that a sale for fair market value would not invoke s. 75(2).  As a result, the 2005 and 2006 transactions, in respect of which neither OPCO nor Mr. Kern had declared income nor paid tax, were reassessed on the basis of non-reporting of taxable dividends.  Citing </w:t>
            </w:r>
            <w:r w:rsidRPr="00031974">
              <w:rPr>
                <w:rFonts w:eastAsia="Calibri"/>
                <w:i/>
                <w:sz w:val="20"/>
              </w:rPr>
              <w:t>Sommerer</w:t>
            </w:r>
            <w:r w:rsidRPr="00031974">
              <w:rPr>
                <w:rFonts w:eastAsia="Calibri"/>
                <w:sz w:val="20"/>
              </w:rPr>
              <w:t>, the Minister asserted that s. 75(2) did not apply or, in the alternative, asserted GAAR and the alleged abuse of s. 75(2).</w:t>
            </w:r>
          </w:p>
          <w:p w:rsidR="006635B0" w:rsidRPr="00031974" w:rsidRDefault="006635B0" w:rsidP="00B243C4">
            <w:pPr>
              <w:jc w:val="both"/>
              <w:rPr>
                <w:rFonts w:eastAsia="Calibri"/>
                <w:sz w:val="20"/>
              </w:rPr>
            </w:pPr>
          </w:p>
          <w:p w:rsidR="006635B0" w:rsidRPr="00031974" w:rsidRDefault="006635B0" w:rsidP="00B243C4">
            <w:pPr>
              <w:jc w:val="both"/>
              <w:rPr>
                <w:rFonts w:eastAsia="Calibri"/>
                <w:sz w:val="20"/>
              </w:rPr>
            </w:pPr>
            <w:r w:rsidRPr="00031974">
              <w:rPr>
                <w:rFonts w:eastAsia="Calibri"/>
                <w:sz w:val="20"/>
              </w:rPr>
              <w:t xml:space="preserve">The Tax Court of Canada held that </w:t>
            </w:r>
            <w:r w:rsidRPr="00031974">
              <w:rPr>
                <w:rFonts w:eastAsia="Calibri"/>
                <w:i/>
                <w:sz w:val="20"/>
              </w:rPr>
              <w:t>Sommerer</w:t>
            </w:r>
            <w:r w:rsidRPr="00031974">
              <w:rPr>
                <w:rFonts w:eastAsia="Calibri"/>
                <w:sz w:val="20"/>
              </w:rPr>
              <w:t xml:space="preserve"> applied and dismissed the appeals from the reassessments.  The Court of Appeal dismissed the appeal.</w:t>
            </w:r>
          </w:p>
          <w:p w:rsidR="006635B0" w:rsidRPr="00031974" w:rsidRDefault="006635B0" w:rsidP="00B243C4">
            <w:pPr>
              <w:jc w:val="both"/>
              <w:rPr>
                <w:rFonts w:eastAsia="Calibri"/>
                <w:sz w:val="20"/>
              </w:rPr>
            </w:pPr>
          </w:p>
        </w:tc>
      </w:tr>
      <w:tr w:rsidR="006635B0" w:rsidRPr="00031974" w:rsidTr="00B243C4">
        <w:tc>
          <w:tcPr>
            <w:tcW w:w="2427" w:type="pct"/>
          </w:tcPr>
          <w:p w:rsidR="006635B0" w:rsidRPr="00031974" w:rsidRDefault="006635B0" w:rsidP="00B243C4">
            <w:pPr>
              <w:jc w:val="both"/>
              <w:rPr>
                <w:rFonts w:eastAsia="Calibri"/>
                <w:sz w:val="20"/>
              </w:rPr>
            </w:pPr>
            <w:r w:rsidRPr="00031974">
              <w:rPr>
                <w:rFonts w:eastAsia="Calibri"/>
                <w:sz w:val="20"/>
              </w:rPr>
              <w:lastRenderedPageBreak/>
              <w:t>October 17, 2013</w:t>
            </w:r>
          </w:p>
          <w:p w:rsidR="006635B0" w:rsidRPr="00031974" w:rsidRDefault="006635B0" w:rsidP="00B243C4">
            <w:pPr>
              <w:jc w:val="both"/>
              <w:rPr>
                <w:rFonts w:eastAsia="Calibri"/>
                <w:sz w:val="20"/>
              </w:rPr>
            </w:pPr>
            <w:r w:rsidRPr="00031974">
              <w:rPr>
                <w:rFonts w:eastAsia="Calibri"/>
                <w:sz w:val="20"/>
              </w:rPr>
              <w:t>Tax Court of Canada</w:t>
            </w:r>
          </w:p>
          <w:p w:rsidR="006635B0" w:rsidRPr="00031974" w:rsidRDefault="006635B0" w:rsidP="00B243C4">
            <w:pPr>
              <w:jc w:val="both"/>
              <w:rPr>
                <w:rFonts w:eastAsia="Calibri"/>
                <w:sz w:val="20"/>
              </w:rPr>
            </w:pPr>
            <w:r w:rsidRPr="00031974">
              <w:rPr>
                <w:rFonts w:eastAsia="Calibri"/>
                <w:sz w:val="20"/>
              </w:rPr>
              <w:t>(Bocock J.)</w:t>
            </w:r>
          </w:p>
          <w:p w:rsidR="006635B0" w:rsidRPr="00031974" w:rsidRDefault="006635B0" w:rsidP="00B243C4">
            <w:pPr>
              <w:jc w:val="both"/>
              <w:rPr>
                <w:rFonts w:eastAsia="Calibri"/>
                <w:sz w:val="20"/>
              </w:rPr>
            </w:pPr>
            <w:r w:rsidRPr="00031974">
              <w:rPr>
                <w:rFonts w:eastAsia="Calibri"/>
                <w:sz w:val="20"/>
              </w:rPr>
              <w:t>2013 TCC 327</w:t>
            </w:r>
          </w:p>
          <w:p w:rsidR="006635B0" w:rsidRPr="00031974" w:rsidRDefault="006635B0" w:rsidP="00B243C4">
            <w:pPr>
              <w:jc w:val="both"/>
              <w:rPr>
                <w:rFonts w:eastAsia="Calibri"/>
                <w:sz w:val="20"/>
              </w:rPr>
            </w:pPr>
          </w:p>
        </w:tc>
        <w:tc>
          <w:tcPr>
            <w:tcW w:w="243" w:type="pct"/>
          </w:tcPr>
          <w:p w:rsidR="006635B0" w:rsidRPr="00031974" w:rsidRDefault="006635B0" w:rsidP="00B243C4">
            <w:pPr>
              <w:jc w:val="both"/>
              <w:rPr>
                <w:rFonts w:eastAsia="Calibri"/>
                <w:sz w:val="20"/>
              </w:rPr>
            </w:pPr>
          </w:p>
        </w:tc>
        <w:tc>
          <w:tcPr>
            <w:tcW w:w="2330" w:type="pct"/>
          </w:tcPr>
          <w:p w:rsidR="006635B0" w:rsidRPr="00031974" w:rsidRDefault="006635B0" w:rsidP="00B243C4">
            <w:pPr>
              <w:jc w:val="both"/>
              <w:rPr>
                <w:rFonts w:eastAsia="Calibri"/>
                <w:sz w:val="20"/>
              </w:rPr>
            </w:pPr>
            <w:r w:rsidRPr="00031974">
              <w:rPr>
                <w:rFonts w:eastAsia="Calibri"/>
                <w:sz w:val="20"/>
              </w:rPr>
              <w:t xml:space="preserve">Appeal from </w:t>
            </w:r>
            <w:r w:rsidRPr="00031974">
              <w:rPr>
                <w:rFonts w:eastAsia="Calibri"/>
                <w:i/>
                <w:sz w:val="20"/>
              </w:rPr>
              <w:t>Income Tax Act</w:t>
            </w:r>
            <w:r w:rsidRPr="00031974">
              <w:rPr>
                <w:rFonts w:eastAsia="Calibri"/>
                <w:sz w:val="20"/>
              </w:rPr>
              <w:t xml:space="preserve"> reassessments for 2005 and 2006 taxation years dismissed</w:t>
            </w:r>
          </w:p>
          <w:p w:rsidR="006635B0" w:rsidRPr="00031974" w:rsidRDefault="006635B0" w:rsidP="00B243C4">
            <w:pPr>
              <w:jc w:val="both"/>
              <w:rPr>
                <w:rFonts w:eastAsia="Calibri"/>
                <w:sz w:val="20"/>
              </w:rPr>
            </w:pPr>
          </w:p>
        </w:tc>
      </w:tr>
      <w:tr w:rsidR="006635B0" w:rsidRPr="00031974" w:rsidTr="00B243C4">
        <w:tc>
          <w:tcPr>
            <w:tcW w:w="2427" w:type="pct"/>
          </w:tcPr>
          <w:p w:rsidR="006635B0" w:rsidRPr="00031974" w:rsidRDefault="006635B0" w:rsidP="00B243C4">
            <w:pPr>
              <w:jc w:val="both"/>
              <w:rPr>
                <w:rFonts w:eastAsia="Calibri"/>
                <w:sz w:val="20"/>
              </w:rPr>
            </w:pPr>
            <w:r w:rsidRPr="00031974">
              <w:rPr>
                <w:rFonts w:eastAsia="Calibri"/>
                <w:sz w:val="20"/>
              </w:rPr>
              <w:t>October 14, 2014</w:t>
            </w:r>
          </w:p>
          <w:p w:rsidR="006635B0" w:rsidRPr="00031974" w:rsidRDefault="006635B0" w:rsidP="00B243C4">
            <w:pPr>
              <w:jc w:val="both"/>
              <w:rPr>
                <w:rFonts w:eastAsia="Calibri"/>
                <w:sz w:val="20"/>
              </w:rPr>
            </w:pPr>
            <w:r w:rsidRPr="00031974">
              <w:rPr>
                <w:rFonts w:eastAsia="Calibri"/>
                <w:sz w:val="20"/>
              </w:rPr>
              <w:t>Federal Court of Appeal</w:t>
            </w:r>
          </w:p>
          <w:p w:rsidR="006635B0" w:rsidRPr="00031974" w:rsidRDefault="006635B0" w:rsidP="00B243C4">
            <w:pPr>
              <w:jc w:val="both"/>
              <w:rPr>
                <w:rFonts w:eastAsia="Calibri"/>
                <w:sz w:val="20"/>
              </w:rPr>
            </w:pPr>
            <w:r w:rsidRPr="00031974">
              <w:rPr>
                <w:rFonts w:eastAsia="Calibri"/>
                <w:sz w:val="20"/>
              </w:rPr>
              <w:t>(Dawson, Stratas, Near JJ.A.)</w:t>
            </w:r>
          </w:p>
          <w:p w:rsidR="006635B0" w:rsidRPr="00031974" w:rsidRDefault="00790981" w:rsidP="00B243C4">
            <w:pPr>
              <w:jc w:val="both"/>
              <w:rPr>
                <w:rFonts w:eastAsia="Calibri"/>
                <w:sz w:val="20"/>
              </w:rPr>
            </w:pPr>
            <w:hyperlink r:id="rId39" w:history="1">
              <w:r w:rsidR="006635B0" w:rsidRPr="00031974">
                <w:rPr>
                  <w:rFonts w:eastAsia="Calibri"/>
                  <w:color w:val="0000FF"/>
                  <w:sz w:val="20"/>
                  <w:u w:val="single"/>
                </w:rPr>
                <w:t>2014 FCA 230</w:t>
              </w:r>
            </w:hyperlink>
            <w:r w:rsidR="006635B0" w:rsidRPr="00031974">
              <w:rPr>
                <w:rFonts w:eastAsia="Calibri"/>
                <w:sz w:val="20"/>
              </w:rPr>
              <w:t>; A-375-13</w:t>
            </w:r>
          </w:p>
          <w:p w:rsidR="006635B0" w:rsidRPr="00031974" w:rsidRDefault="006635B0" w:rsidP="00B243C4">
            <w:pPr>
              <w:jc w:val="both"/>
              <w:rPr>
                <w:rFonts w:eastAsia="Calibri"/>
                <w:sz w:val="20"/>
              </w:rPr>
            </w:pPr>
          </w:p>
        </w:tc>
        <w:tc>
          <w:tcPr>
            <w:tcW w:w="243" w:type="pct"/>
          </w:tcPr>
          <w:p w:rsidR="006635B0" w:rsidRPr="00031974" w:rsidRDefault="006635B0" w:rsidP="00B243C4">
            <w:pPr>
              <w:jc w:val="both"/>
              <w:rPr>
                <w:rFonts w:eastAsia="Calibri"/>
                <w:sz w:val="20"/>
              </w:rPr>
            </w:pPr>
          </w:p>
        </w:tc>
        <w:tc>
          <w:tcPr>
            <w:tcW w:w="2330" w:type="pct"/>
          </w:tcPr>
          <w:p w:rsidR="006635B0" w:rsidRPr="00031974" w:rsidRDefault="006635B0" w:rsidP="00B243C4">
            <w:pPr>
              <w:jc w:val="both"/>
              <w:rPr>
                <w:rFonts w:eastAsia="Calibri"/>
                <w:sz w:val="20"/>
              </w:rPr>
            </w:pPr>
            <w:r w:rsidRPr="00031974">
              <w:rPr>
                <w:rFonts w:eastAsia="Calibri"/>
                <w:sz w:val="20"/>
              </w:rPr>
              <w:t>Appeal dismissed</w:t>
            </w:r>
          </w:p>
          <w:p w:rsidR="006635B0" w:rsidRPr="00031974" w:rsidRDefault="006635B0" w:rsidP="00B243C4">
            <w:pPr>
              <w:jc w:val="both"/>
              <w:rPr>
                <w:rFonts w:eastAsia="Calibri"/>
                <w:sz w:val="20"/>
              </w:rPr>
            </w:pPr>
          </w:p>
        </w:tc>
      </w:tr>
      <w:tr w:rsidR="006635B0" w:rsidRPr="00031974" w:rsidTr="00B243C4">
        <w:tc>
          <w:tcPr>
            <w:tcW w:w="2427" w:type="pct"/>
          </w:tcPr>
          <w:p w:rsidR="006635B0" w:rsidRPr="00031974" w:rsidRDefault="006635B0" w:rsidP="00B243C4">
            <w:pPr>
              <w:jc w:val="both"/>
              <w:rPr>
                <w:rFonts w:eastAsia="Calibri"/>
                <w:sz w:val="20"/>
              </w:rPr>
            </w:pPr>
            <w:r w:rsidRPr="00031974">
              <w:rPr>
                <w:rFonts w:eastAsia="Calibri"/>
                <w:sz w:val="20"/>
              </w:rPr>
              <w:t>December 10, 2014</w:t>
            </w:r>
          </w:p>
          <w:p w:rsidR="006635B0" w:rsidRPr="00031974" w:rsidRDefault="006635B0" w:rsidP="00B243C4">
            <w:pPr>
              <w:jc w:val="both"/>
              <w:rPr>
                <w:rFonts w:eastAsia="Calibri"/>
                <w:sz w:val="20"/>
              </w:rPr>
            </w:pPr>
            <w:r w:rsidRPr="00031974">
              <w:rPr>
                <w:rFonts w:eastAsia="Calibri"/>
                <w:sz w:val="20"/>
              </w:rPr>
              <w:t>Supreme Court of Canada</w:t>
            </w:r>
          </w:p>
        </w:tc>
        <w:tc>
          <w:tcPr>
            <w:tcW w:w="243" w:type="pct"/>
          </w:tcPr>
          <w:p w:rsidR="006635B0" w:rsidRPr="00031974" w:rsidRDefault="006635B0" w:rsidP="00B243C4">
            <w:pPr>
              <w:jc w:val="both"/>
              <w:rPr>
                <w:rFonts w:eastAsia="Calibri"/>
                <w:sz w:val="20"/>
              </w:rPr>
            </w:pPr>
          </w:p>
        </w:tc>
        <w:tc>
          <w:tcPr>
            <w:tcW w:w="2330" w:type="pct"/>
          </w:tcPr>
          <w:p w:rsidR="006635B0" w:rsidRPr="00031974" w:rsidRDefault="006635B0" w:rsidP="00B243C4">
            <w:pPr>
              <w:jc w:val="both"/>
              <w:rPr>
                <w:rFonts w:eastAsia="Calibri"/>
                <w:sz w:val="20"/>
              </w:rPr>
            </w:pPr>
            <w:r w:rsidRPr="00031974">
              <w:rPr>
                <w:rFonts w:eastAsia="Calibri"/>
                <w:sz w:val="20"/>
              </w:rPr>
              <w:t>Application for leave to appeal filed</w:t>
            </w:r>
          </w:p>
        </w:tc>
      </w:tr>
    </w:tbl>
    <w:p w:rsidR="00233E21" w:rsidRDefault="00233E21" w:rsidP="00233E21">
      <w:pPr>
        <w:rPr>
          <w:sz w:val="20"/>
          <w:szCs w:val="20"/>
        </w:rPr>
      </w:pPr>
    </w:p>
    <w:p w:rsidR="00233E21" w:rsidRPr="00C50A5C" w:rsidRDefault="00790981" w:rsidP="00233E21">
      <w:pPr>
        <w:rPr>
          <w:sz w:val="20"/>
          <w:szCs w:val="20"/>
        </w:rPr>
      </w:pPr>
      <w:r>
        <w:rPr>
          <w:sz w:val="20"/>
          <w:szCs w:val="20"/>
          <w:lang w:val="fr-CA"/>
        </w:rPr>
        <w:pict>
          <v:rect id="_x0000_i1037" style="width:2in;height:1pt" o:hrpct="0" o:hralign="center" o:hrstd="t" o:hrnoshade="t" o:hr="t" fillcolor="black [3213]" stroked="f"/>
        </w:pict>
      </w:r>
    </w:p>
    <w:p w:rsidR="00233E21" w:rsidRDefault="00233E21" w:rsidP="00233E21">
      <w:pPr>
        <w:rPr>
          <w:sz w:val="20"/>
          <w:szCs w:val="20"/>
        </w:rPr>
      </w:pPr>
    </w:p>
    <w:p w:rsidR="00233E21" w:rsidRPr="001B157C" w:rsidRDefault="00233E21" w:rsidP="00233E21">
      <w:pPr>
        <w:rPr>
          <w:sz w:val="20"/>
          <w:szCs w:val="20"/>
          <w:u w:val="single"/>
          <w:lang w:val="fr-CA"/>
        </w:rPr>
      </w:pPr>
      <w:r w:rsidRPr="001B157C">
        <w:rPr>
          <w:sz w:val="20"/>
          <w:szCs w:val="20"/>
          <w:u w:val="single"/>
          <w:lang w:val="fr-CA"/>
        </w:rPr>
        <w:t>RÉSUMÉ DE L’AFFAIRE</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35B0" w:rsidRPr="00A33CF8" w:rsidTr="00B243C4">
        <w:tc>
          <w:tcPr>
            <w:tcW w:w="5000" w:type="pct"/>
            <w:gridSpan w:val="3"/>
          </w:tcPr>
          <w:p w:rsidR="006635B0" w:rsidRPr="00031974" w:rsidRDefault="006635B0" w:rsidP="00B243C4">
            <w:pPr>
              <w:jc w:val="both"/>
              <w:rPr>
                <w:rFonts w:eastAsia="Calibri"/>
                <w:sz w:val="20"/>
                <w:lang w:val="fr-CA"/>
              </w:rPr>
            </w:pPr>
            <w:r w:rsidRPr="00031974">
              <w:rPr>
                <w:rFonts w:eastAsia="Calibri"/>
                <w:sz w:val="20"/>
                <w:lang w:val="fr-CA"/>
              </w:rPr>
              <w:t xml:space="preserve">Droit fiscal — Impôt sur le revenu — Fiducies — Attribution — L’arrêt </w:t>
            </w:r>
            <w:r w:rsidRPr="00031974">
              <w:rPr>
                <w:rFonts w:eastAsia="Calibri"/>
                <w:i/>
                <w:sz w:val="20"/>
                <w:lang w:val="fr-CA"/>
              </w:rPr>
              <w:t>Miller c. Canada (Procureur général)</w:t>
            </w:r>
            <w:r w:rsidRPr="00031974">
              <w:rPr>
                <w:rFonts w:eastAsia="Calibri"/>
                <w:sz w:val="20"/>
                <w:lang w:val="fr-CA"/>
              </w:rPr>
              <w:t xml:space="preserve">, 2002 CAF 370, énonce-t-il correctement la méthode à suivre pour statuer sur le bien-fondé de décisions antérieures? — L’arrêt </w:t>
            </w:r>
            <w:r w:rsidRPr="00031974">
              <w:rPr>
                <w:rFonts w:eastAsia="Calibri"/>
                <w:i/>
                <w:sz w:val="20"/>
                <w:lang w:val="fr-CA"/>
              </w:rPr>
              <w:t>Canada c. Sommerer</w:t>
            </w:r>
            <w:r w:rsidRPr="00031974">
              <w:rPr>
                <w:rFonts w:eastAsia="Calibri"/>
                <w:sz w:val="20"/>
                <w:lang w:val="fr-CA"/>
              </w:rPr>
              <w:t xml:space="preserve">, 2012 CAF 207, a-t-il correctement interprété la </w:t>
            </w:r>
            <w:r w:rsidRPr="00031974">
              <w:rPr>
                <w:rFonts w:eastAsia="Calibri"/>
                <w:i/>
                <w:sz w:val="20"/>
                <w:lang w:val="fr-CA"/>
              </w:rPr>
              <w:t>Loi de l’impôt sur le revenu</w:t>
            </w:r>
            <w:r w:rsidRPr="00031974">
              <w:rPr>
                <w:rFonts w:eastAsia="Calibri"/>
                <w:sz w:val="20"/>
                <w:lang w:val="fr-CA"/>
              </w:rPr>
              <w:t>, L.R.C. 1985, ch. 1 (5</w:t>
            </w:r>
            <w:r w:rsidRPr="00031974">
              <w:rPr>
                <w:rFonts w:eastAsia="Calibri"/>
                <w:sz w:val="20"/>
                <w:vertAlign w:val="superscript"/>
                <w:lang w:val="fr-CA"/>
              </w:rPr>
              <w:t>e</w:t>
            </w:r>
            <w:r w:rsidRPr="00031974">
              <w:rPr>
                <w:rFonts w:eastAsia="Calibri"/>
                <w:sz w:val="20"/>
                <w:lang w:val="fr-CA"/>
              </w:rPr>
              <w:t xml:space="preserve"> suppl.), par. 75(2)?</w:t>
            </w:r>
          </w:p>
        </w:tc>
      </w:tr>
      <w:tr w:rsidR="006635B0" w:rsidRPr="00A33CF8" w:rsidTr="00B243C4">
        <w:tc>
          <w:tcPr>
            <w:tcW w:w="5000" w:type="pct"/>
            <w:gridSpan w:val="3"/>
          </w:tcPr>
          <w:p w:rsidR="006635B0" w:rsidRPr="00031974" w:rsidRDefault="006635B0" w:rsidP="00B243C4">
            <w:pPr>
              <w:jc w:val="both"/>
              <w:rPr>
                <w:rFonts w:eastAsia="Calibri"/>
                <w:sz w:val="20"/>
                <w:lang w:val="fr-CA"/>
              </w:rPr>
            </w:pPr>
          </w:p>
        </w:tc>
      </w:tr>
      <w:tr w:rsidR="006635B0" w:rsidRPr="00031974" w:rsidTr="00B243C4">
        <w:tc>
          <w:tcPr>
            <w:tcW w:w="5000" w:type="pct"/>
            <w:gridSpan w:val="3"/>
          </w:tcPr>
          <w:p w:rsidR="006635B0" w:rsidRPr="00031974" w:rsidRDefault="006635B0" w:rsidP="00B243C4">
            <w:pPr>
              <w:jc w:val="both"/>
              <w:rPr>
                <w:rFonts w:eastAsia="Calibri"/>
                <w:sz w:val="20"/>
                <w:lang w:val="fr-CA"/>
              </w:rPr>
            </w:pPr>
            <w:r w:rsidRPr="00031974">
              <w:rPr>
                <w:rFonts w:eastAsia="Calibri"/>
                <w:sz w:val="20"/>
                <w:lang w:val="fr-CA"/>
              </w:rPr>
              <w:t xml:space="preserve">Initialement, M. Kern était l'unique actionnaire et l'âme dirigeante de Wilf's Oilfield Services (1997) Ltd. (la « société d'exploitation »).  Monsieur Kern est devenu l’actionnaire privilégié de la société d’exploitation et de 905558 Alberta Ltd. (la « société de portefeuille »).  Monsieur Kern, la société d’exploitation et d’autres membres de la famille étaient bénéficiaires de la Brent Kern Family Trust (la « fiducie Brent »), demanderesse, alors que la société de portefeuille, M. Kern, et d’autres membres de la famille étaient bénéficiaires de la Kern Family Trust (la « fiducie Kern »).  Les actions ordinaires que détenait M. Kern dans la société d'exploitation et la société de portefeuille ont été échangées contre des actions privilégiées, et les actions ordinaires de la société d’exploitation ont été vendues moyennant une contrepartie à la fiducie Brent.  En 2005, la société d’exploitation a déclaré un dividende de 245 000 $ en faveur de la fiducie Kern.  La fiducie Kern a attribué ce dividende à la société de portefeuille.  La société de portefeuille a déclaré un dividende de 245 000 $ sur les actions ordinaires que détenait la fiducie Brent, demanderesse.  La société de portefeuille a alors attribué et payé la somme de 245 000 $ à M. Kern qui, à son tour, a prêté la somme de 245,000 $ à la société d’exploitation.  Se fondant sur la prémisse que le par. 75(2) de la </w:t>
            </w:r>
            <w:r w:rsidRPr="00031974">
              <w:rPr>
                <w:rFonts w:eastAsia="Calibri"/>
                <w:i/>
                <w:sz w:val="20"/>
                <w:lang w:val="fr-CA"/>
              </w:rPr>
              <w:t>Loi de l’impôt sur le revenu</w:t>
            </w:r>
            <w:r w:rsidRPr="00031974">
              <w:rPr>
                <w:rFonts w:eastAsia="Calibri"/>
                <w:sz w:val="20"/>
                <w:lang w:val="fr-CA"/>
              </w:rPr>
              <w:t>, L.R.C. 1985, ch. 1, (5</w:t>
            </w:r>
            <w:r w:rsidRPr="00031974">
              <w:rPr>
                <w:rFonts w:eastAsia="Calibri"/>
                <w:sz w:val="20"/>
                <w:vertAlign w:val="superscript"/>
                <w:lang w:val="fr-CA"/>
              </w:rPr>
              <w:t>e</w:t>
            </w:r>
            <w:r w:rsidRPr="00031974">
              <w:rPr>
                <w:rFonts w:eastAsia="Calibri"/>
                <w:sz w:val="20"/>
                <w:lang w:val="fr-CA"/>
              </w:rPr>
              <w:t> suppl.) s’appliquait, la fiducie Brent a soutenu que son dividende était réputé avoir été reçu par la société d’exploitation à titre de paiement non imposable de dividendes entre sociétés aux termes de l’art. 112, parce que la société d’exploitation avait transféré le bien pendant qu’elle était  une bénéficiaire éventuelle, et la fiducie Brent n'a fait état d'aucun revenu découlant du dividende.  En 2006, des opérations semblables ont eu lieu, et des déclarations de revenus semblables ont été produites pour un autre montant.</w:t>
            </w:r>
          </w:p>
          <w:p w:rsidR="006635B0" w:rsidRPr="00031974" w:rsidRDefault="006635B0" w:rsidP="00B243C4">
            <w:pPr>
              <w:jc w:val="both"/>
              <w:rPr>
                <w:rFonts w:eastAsia="Calibri"/>
                <w:sz w:val="20"/>
                <w:lang w:val="fr-CA"/>
              </w:rPr>
            </w:pPr>
          </w:p>
          <w:p w:rsidR="006635B0" w:rsidRPr="00031974" w:rsidRDefault="006635B0" w:rsidP="00B243C4">
            <w:pPr>
              <w:jc w:val="both"/>
              <w:rPr>
                <w:rFonts w:eastAsia="Calibri"/>
                <w:sz w:val="20"/>
                <w:lang w:val="fr-CA"/>
              </w:rPr>
            </w:pPr>
            <w:r w:rsidRPr="00031974">
              <w:rPr>
                <w:rFonts w:eastAsia="Calibri"/>
                <w:sz w:val="20"/>
                <w:lang w:val="fr-CA"/>
              </w:rPr>
              <w:t xml:space="preserve">Après les opérations, il a été statué dans </w:t>
            </w:r>
            <w:r w:rsidRPr="00031974">
              <w:rPr>
                <w:rFonts w:eastAsia="Calibri"/>
                <w:i/>
                <w:sz w:val="20"/>
                <w:lang w:val="fr-CA"/>
              </w:rPr>
              <w:t>Canada c. Sommerer</w:t>
            </w:r>
            <w:r w:rsidRPr="00031974">
              <w:rPr>
                <w:rFonts w:eastAsia="Calibri"/>
                <w:sz w:val="20"/>
                <w:lang w:val="fr-CA"/>
              </w:rPr>
              <w:t>, 2012 CAF 207, 2012 DTC 5126, qu’une vente pour la juste valeur marchande ne déclenchait pas le par. 75(2).  Par conséquent, les opérations de 2005 et 2006, à l'égard desquelles ni la société d'exploitation ni M. Kern n'avaient déclaré un revenu ni payé de l'impôt, ont fait l’objet de nouvelles cotisations fondées sur la non</w:t>
            </w:r>
            <w:r w:rsidRPr="00031974">
              <w:rPr>
                <w:rFonts w:eastAsia="Calibri"/>
                <w:sz w:val="20"/>
                <w:lang w:val="fr-CA"/>
              </w:rPr>
              <w:noBreakHyphen/>
              <w:t xml:space="preserve">déclaration de dividendes imposables.  Citant </w:t>
            </w:r>
            <w:r w:rsidRPr="00031974">
              <w:rPr>
                <w:rFonts w:eastAsia="Calibri"/>
                <w:i/>
                <w:sz w:val="20"/>
                <w:lang w:val="fr-CA"/>
              </w:rPr>
              <w:t>Sommerer</w:t>
            </w:r>
            <w:r w:rsidRPr="00031974">
              <w:rPr>
                <w:rFonts w:eastAsia="Calibri"/>
                <w:sz w:val="20"/>
                <w:lang w:val="fr-CA"/>
              </w:rPr>
              <w:t>, le ministre a soutenu que le par. 75(2) ne s’appliquait pas ou, subsidiairement, il a invoqué la RGAÉ et l’abus allégué du par. 75(2).</w:t>
            </w:r>
          </w:p>
          <w:p w:rsidR="006635B0" w:rsidRPr="00031974" w:rsidRDefault="006635B0" w:rsidP="00B243C4">
            <w:pPr>
              <w:jc w:val="both"/>
              <w:rPr>
                <w:rFonts w:eastAsia="Calibri"/>
                <w:sz w:val="20"/>
                <w:lang w:val="fr-CA"/>
              </w:rPr>
            </w:pPr>
          </w:p>
          <w:p w:rsidR="006635B0" w:rsidRPr="00031974" w:rsidRDefault="006635B0" w:rsidP="00B243C4">
            <w:pPr>
              <w:jc w:val="both"/>
              <w:rPr>
                <w:rFonts w:eastAsia="Calibri"/>
                <w:sz w:val="20"/>
                <w:lang w:val="fr-CA"/>
              </w:rPr>
            </w:pPr>
            <w:r w:rsidRPr="00031974">
              <w:rPr>
                <w:rFonts w:eastAsia="Calibri"/>
                <w:sz w:val="20"/>
                <w:lang w:val="fr-CA"/>
              </w:rPr>
              <w:t xml:space="preserve">La Cour canadienne de l’impôt a statué que l’arrêt </w:t>
            </w:r>
            <w:r w:rsidRPr="00031974">
              <w:rPr>
                <w:rFonts w:eastAsia="Calibri"/>
                <w:i/>
                <w:sz w:val="20"/>
                <w:lang w:val="fr-CA"/>
              </w:rPr>
              <w:t>Sommerer</w:t>
            </w:r>
            <w:r w:rsidRPr="00031974">
              <w:rPr>
                <w:rFonts w:eastAsia="Calibri"/>
                <w:sz w:val="20"/>
                <w:lang w:val="fr-CA"/>
              </w:rPr>
              <w:t xml:space="preserve"> s’appliquait et elle a rejeté les appels des nouvelles </w:t>
            </w:r>
            <w:r w:rsidRPr="00031974">
              <w:rPr>
                <w:rFonts w:eastAsia="Calibri"/>
                <w:sz w:val="20"/>
                <w:lang w:val="fr-CA"/>
              </w:rPr>
              <w:lastRenderedPageBreak/>
              <w:t>cotisations.  La Cour d’appel a rejeté l’appel.</w:t>
            </w:r>
          </w:p>
          <w:p w:rsidR="006635B0" w:rsidRPr="00031974" w:rsidRDefault="006635B0" w:rsidP="00B243C4">
            <w:pPr>
              <w:jc w:val="both"/>
              <w:rPr>
                <w:rFonts w:eastAsia="Calibri"/>
                <w:sz w:val="20"/>
                <w:lang w:val="fr-CA"/>
              </w:rPr>
            </w:pPr>
          </w:p>
        </w:tc>
      </w:tr>
      <w:tr w:rsidR="006635B0" w:rsidRPr="00A33CF8" w:rsidTr="00B243C4">
        <w:tc>
          <w:tcPr>
            <w:tcW w:w="2427" w:type="pct"/>
          </w:tcPr>
          <w:p w:rsidR="006635B0" w:rsidRPr="00031974" w:rsidRDefault="006635B0" w:rsidP="00B243C4">
            <w:pPr>
              <w:jc w:val="both"/>
              <w:rPr>
                <w:rFonts w:eastAsia="Calibri"/>
                <w:sz w:val="20"/>
                <w:lang w:val="fr-CA"/>
              </w:rPr>
            </w:pPr>
            <w:r w:rsidRPr="00031974">
              <w:rPr>
                <w:rFonts w:eastAsia="Calibri"/>
                <w:sz w:val="20"/>
                <w:lang w:val="fr-CA"/>
              </w:rPr>
              <w:lastRenderedPageBreak/>
              <w:t>17 octobre 2013</w:t>
            </w:r>
          </w:p>
          <w:p w:rsidR="006635B0" w:rsidRPr="00031974" w:rsidRDefault="006635B0" w:rsidP="00B243C4">
            <w:pPr>
              <w:jc w:val="both"/>
              <w:rPr>
                <w:rFonts w:eastAsia="Calibri"/>
                <w:sz w:val="20"/>
                <w:lang w:val="fr-CA"/>
              </w:rPr>
            </w:pPr>
            <w:r w:rsidRPr="00031974">
              <w:rPr>
                <w:rFonts w:eastAsia="Calibri"/>
                <w:sz w:val="20"/>
                <w:lang w:val="fr-CA"/>
              </w:rPr>
              <w:t>Cour canadienne de l’impôt</w:t>
            </w:r>
          </w:p>
          <w:p w:rsidR="006635B0" w:rsidRPr="00031974" w:rsidRDefault="006635B0" w:rsidP="00B243C4">
            <w:pPr>
              <w:jc w:val="both"/>
              <w:rPr>
                <w:rFonts w:eastAsia="Calibri"/>
                <w:sz w:val="20"/>
                <w:lang w:val="fr-CA"/>
              </w:rPr>
            </w:pPr>
            <w:r w:rsidRPr="00031974">
              <w:rPr>
                <w:rFonts w:eastAsia="Calibri"/>
                <w:sz w:val="20"/>
                <w:lang w:val="fr-CA"/>
              </w:rPr>
              <w:t>(Juge Bocock)</w:t>
            </w:r>
          </w:p>
          <w:p w:rsidR="006635B0" w:rsidRPr="00031974" w:rsidRDefault="006635B0" w:rsidP="00B243C4">
            <w:pPr>
              <w:jc w:val="both"/>
              <w:rPr>
                <w:rFonts w:eastAsia="Calibri"/>
                <w:sz w:val="20"/>
                <w:lang w:val="fr-CA"/>
              </w:rPr>
            </w:pPr>
            <w:r w:rsidRPr="00031974">
              <w:rPr>
                <w:rFonts w:eastAsia="Calibri"/>
                <w:sz w:val="20"/>
                <w:lang w:val="fr-CA"/>
              </w:rPr>
              <w:t>2013 CCI 327</w:t>
            </w:r>
          </w:p>
          <w:p w:rsidR="006635B0" w:rsidRPr="00031974" w:rsidRDefault="006635B0" w:rsidP="00B243C4">
            <w:pPr>
              <w:jc w:val="both"/>
              <w:rPr>
                <w:rFonts w:eastAsia="Calibri"/>
                <w:sz w:val="20"/>
                <w:lang w:val="fr-CA"/>
              </w:rPr>
            </w:pPr>
          </w:p>
        </w:tc>
        <w:tc>
          <w:tcPr>
            <w:tcW w:w="243" w:type="pct"/>
          </w:tcPr>
          <w:p w:rsidR="006635B0" w:rsidRPr="00031974" w:rsidRDefault="006635B0" w:rsidP="00B243C4">
            <w:pPr>
              <w:jc w:val="both"/>
              <w:rPr>
                <w:rFonts w:eastAsia="Calibri"/>
                <w:sz w:val="20"/>
                <w:lang w:val="fr-CA"/>
              </w:rPr>
            </w:pPr>
          </w:p>
        </w:tc>
        <w:tc>
          <w:tcPr>
            <w:tcW w:w="2330" w:type="pct"/>
          </w:tcPr>
          <w:p w:rsidR="006635B0" w:rsidRPr="00031974" w:rsidRDefault="006635B0" w:rsidP="00B243C4">
            <w:pPr>
              <w:jc w:val="both"/>
              <w:rPr>
                <w:rFonts w:eastAsia="Calibri"/>
                <w:sz w:val="20"/>
                <w:lang w:val="fr-CA"/>
              </w:rPr>
            </w:pPr>
            <w:r w:rsidRPr="00031974">
              <w:rPr>
                <w:rFonts w:eastAsia="Calibri"/>
                <w:sz w:val="20"/>
                <w:lang w:val="fr-CA"/>
              </w:rPr>
              <w:t xml:space="preserve">Rejet de l’appel des nouvelles cotisations établies en application de la </w:t>
            </w:r>
            <w:r w:rsidRPr="00031974">
              <w:rPr>
                <w:rFonts w:eastAsia="Calibri"/>
                <w:i/>
                <w:sz w:val="20"/>
                <w:lang w:val="fr-CA"/>
              </w:rPr>
              <w:t>Loi de l’impôt sur le revenu</w:t>
            </w:r>
            <w:r w:rsidRPr="00031974">
              <w:rPr>
                <w:rFonts w:eastAsia="Calibri"/>
                <w:sz w:val="20"/>
                <w:lang w:val="fr-CA"/>
              </w:rPr>
              <w:t xml:space="preserve"> à l’égard des années d’imposition 2005 et 2006</w:t>
            </w:r>
          </w:p>
          <w:p w:rsidR="006635B0" w:rsidRPr="00031974" w:rsidRDefault="006635B0" w:rsidP="00B243C4">
            <w:pPr>
              <w:jc w:val="both"/>
              <w:rPr>
                <w:rFonts w:eastAsia="Calibri"/>
                <w:sz w:val="20"/>
                <w:lang w:val="fr-CA"/>
              </w:rPr>
            </w:pPr>
          </w:p>
        </w:tc>
      </w:tr>
      <w:tr w:rsidR="006635B0" w:rsidRPr="00031974" w:rsidTr="00B243C4">
        <w:tc>
          <w:tcPr>
            <w:tcW w:w="2427" w:type="pct"/>
          </w:tcPr>
          <w:p w:rsidR="006635B0" w:rsidRPr="00031974" w:rsidRDefault="006635B0" w:rsidP="00B243C4">
            <w:pPr>
              <w:jc w:val="both"/>
              <w:rPr>
                <w:rFonts w:eastAsia="Calibri"/>
                <w:sz w:val="20"/>
                <w:lang w:val="fr-CA"/>
              </w:rPr>
            </w:pPr>
            <w:r w:rsidRPr="00031974">
              <w:rPr>
                <w:rFonts w:eastAsia="Calibri"/>
                <w:sz w:val="20"/>
                <w:lang w:val="fr-CA"/>
              </w:rPr>
              <w:t>14 octobre 2014</w:t>
            </w:r>
          </w:p>
          <w:p w:rsidR="006635B0" w:rsidRPr="00031974" w:rsidRDefault="006635B0" w:rsidP="00B243C4">
            <w:pPr>
              <w:jc w:val="both"/>
              <w:rPr>
                <w:rFonts w:eastAsia="Calibri"/>
                <w:sz w:val="20"/>
                <w:lang w:val="fr-CA"/>
              </w:rPr>
            </w:pPr>
            <w:r w:rsidRPr="00031974">
              <w:rPr>
                <w:rFonts w:eastAsia="Calibri"/>
                <w:sz w:val="20"/>
                <w:lang w:val="fr-CA"/>
              </w:rPr>
              <w:t>Cour d’appel fédérale</w:t>
            </w:r>
          </w:p>
          <w:p w:rsidR="006635B0" w:rsidRPr="00031974" w:rsidRDefault="006635B0" w:rsidP="00B243C4">
            <w:pPr>
              <w:jc w:val="both"/>
              <w:rPr>
                <w:rFonts w:eastAsia="Calibri"/>
                <w:sz w:val="20"/>
                <w:lang w:val="fr-CA"/>
              </w:rPr>
            </w:pPr>
            <w:r w:rsidRPr="00031974">
              <w:rPr>
                <w:rFonts w:eastAsia="Calibri"/>
                <w:sz w:val="20"/>
                <w:lang w:val="fr-CA"/>
              </w:rPr>
              <w:t>(Juges Dawson, Stratas et Near)</w:t>
            </w:r>
          </w:p>
          <w:p w:rsidR="006635B0" w:rsidRPr="00031974" w:rsidRDefault="00790981" w:rsidP="00B243C4">
            <w:pPr>
              <w:jc w:val="both"/>
              <w:rPr>
                <w:rFonts w:eastAsia="Calibri"/>
                <w:sz w:val="20"/>
                <w:lang w:val="fr-CA"/>
              </w:rPr>
            </w:pPr>
            <w:hyperlink r:id="rId40" w:history="1">
              <w:r w:rsidR="006635B0" w:rsidRPr="00031974">
                <w:rPr>
                  <w:rFonts w:eastAsia="Calibri"/>
                  <w:color w:val="0000FF"/>
                  <w:sz w:val="20"/>
                  <w:u w:val="single"/>
                  <w:lang w:val="fr-CA"/>
                </w:rPr>
                <w:t>2014 FCA 230</w:t>
              </w:r>
            </w:hyperlink>
            <w:r w:rsidR="006635B0" w:rsidRPr="00031974">
              <w:rPr>
                <w:rFonts w:eastAsia="Calibri"/>
                <w:sz w:val="20"/>
                <w:lang w:val="fr-CA"/>
              </w:rPr>
              <w:t>; A-375-13</w:t>
            </w:r>
          </w:p>
          <w:p w:rsidR="006635B0" w:rsidRPr="00031974" w:rsidRDefault="006635B0" w:rsidP="00B243C4">
            <w:pPr>
              <w:jc w:val="both"/>
              <w:rPr>
                <w:rFonts w:eastAsia="Calibri"/>
                <w:sz w:val="20"/>
                <w:lang w:val="fr-CA"/>
              </w:rPr>
            </w:pPr>
          </w:p>
        </w:tc>
        <w:tc>
          <w:tcPr>
            <w:tcW w:w="243" w:type="pct"/>
          </w:tcPr>
          <w:p w:rsidR="006635B0" w:rsidRPr="00031974" w:rsidRDefault="006635B0" w:rsidP="00B243C4">
            <w:pPr>
              <w:jc w:val="both"/>
              <w:rPr>
                <w:rFonts w:eastAsia="Calibri"/>
                <w:sz w:val="20"/>
                <w:lang w:val="fr-CA"/>
              </w:rPr>
            </w:pPr>
          </w:p>
        </w:tc>
        <w:tc>
          <w:tcPr>
            <w:tcW w:w="2330" w:type="pct"/>
          </w:tcPr>
          <w:p w:rsidR="006635B0" w:rsidRPr="00031974" w:rsidRDefault="006635B0" w:rsidP="00B243C4">
            <w:pPr>
              <w:jc w:val="both"/>
              <w:rPr>
                <w:rFonts w:eastAsia="Calibri"/>
                <w:sz w:val="20"/>
                <w:lang w:val="fr-CA"/>
              </w:rPr>
            </w:pPr>
            <w:r w:rsidRPr="00031974">
              <w:rPr>
                <w:rFonts w:eastAsia="Calibri"/>
                <w:sz w:val="20"/>
                <w:lang w:val="fr-CA"/>
              </w:rPr>
              <w:t>Rejet de l’appel</w:t>
            </w:r>
          </w:p>
          <w:p w:rsidR="006635B0" w:rsidRPr="00031974" w:rsidRDefault="006635B0" w:rsidP="00B243C4">
            <w:pPr>
              <w:jc w:val="both"/>
              <w:rPr>
                <w:rFonts w:eastAsia="Calibri"/>
                <w:sz w:val="20"/>
                <w:lang w:val="fr-CA"/>
              </w:rPr>
            </w:pPr>
          </w:p>
        </w:tc>
      </w:tr>
      <w:tr w:rsidR="006635B0" w:rsidRPr="00A33CF8" w:rsidTr="00B243C4">
        <w:tc>
          <w:tcPr>
            <w:tcW w:w="2427" w:type="pct"/>
          </w:tcPr>
          <w:p w:rsidR="006635B0" w:rsidRPr="00031974" w:rsidRDefault="006635B0" w:rsidP="00B243C4">
            <w:pPr>
              <w:jc w:val="both"/>
              <w:rPr>
                <w:rFonts w:eastAsia="Calibri"/>
                <w:sz w:val="20"/>
                <w:lang w:val="fr-CA"/>
              </w:rPr>
            </w:pPr>
            <w:r w:rsidRPr="00031974">
              <w:rPr>
                <w:rFonts w:eastAsia="Calibri"/>
                <w:sz w:val="20"/>
                <w:lang w:val="fr-CA"/>
              </w:rPr>
              <w:t>10 décembre 2014</w:t>
            </w:r>
          </w:p>
          <w:p w:rsidR="006635B0" w:rsidRPr="00031974" w:rsidRDefault="006635B0" w:rsidP="00B243C4">
            <w:pPr>
              <w:jc w:val="both"/>
              <w:rPr>
                <w:rFonts w:eastAsia="Calibri"/>
                <w:sz w:val="20"/>
                <w:lang w:val="fr-CA"/>
              </w:rPr>
            </w:pPr>
            <w:r w:rsidRPr="00031974">
              <w:rPr>
                <w:rFonts w:eastAsia="Calibri"/>
                <w:sz w:val="20"/>
                <w:lang w:val="fr-CA"/>
              </w:rPr>
              <w:t>Cour suprême du Canada</w:t>
            </w:r>
          </w:p>
        </w:tc>
        <w:tc>
          <w:tcPr>
            <w:tcW w:w="243" w:type="pct"/>
          </w:tcPr>
          <w:p w:rsidR="006635B0" w:rsidRPr="00031974" w:rsidRDefault="006635B0" w:rsidP="00B243C4">
            <w:pPr>
              <w:jc w:val="both"/>
              <w:rPr>
                <w:rFonts w:eastAsia="Calibri"/>
                <w:sz w:val="20"/>
                <w:lang w:val="fr-CA"/>
              </w:rPr>
            </w:pPr>
          </w:p>
        </w:tc>
        <w:tc>
          <w:tcPr>
            <w:tcW w:w="2330" w:type="pct"/>
          </w:tcPr>
          <w:p w:rsidR="006635B0" w:rsidRPr="00031974" w:rsidRDefault="006635B0" w:rsidP="00B243C4">
            <w:pPr>
              <w:jc w:val="both"/>
              <w:rPr>
                <w:rFonts w:eastAsia="Calibri"/>
                <w:sz w:val="20"/>
                <w:lang w:val="fr-CA"/>
              </w:rPr>
            </w:pPr>
            <w:r w:rsidRPr="00031974">
              <w:rPr>
                <w:rFonts w:eastAsia="Calibri"/>
                <w:sz w:val="20"/>
                <w:lang w:val="fr-CA"/>
              </w:rPr>
              <w:t>Dépôt de la demande d’autorisation d’appel</w:t>
            </w:r>
          </w:p>
        </w:tc>
      </w:tr>
    </w:tbl>
    <w:p w:rsidR="00233E21" w:rsidRPr="006635B0" w:rsidRDefault="00233E21" w:rsidP="00233E21">
      <w:pPr>
        <w:rPr>
          <w:sz w:val="20"/>
          <w:szCs w:val="20"/>
          <w:lang w:val="fr-CA"/>
        </w:rPr>
      </w:pPr>
    </w:p>
    <w:p w:rsidR="00233E21" w:rsidRDefault="00790981" w:rsidP="00233E21">
      <w:pPr>
        <w:rPr>
          <w:sz w:val="20"/>
          <w:szCs w:val="20"/>
          <w:lang w:val="fr-CA"/>
        </w:rPr>
      </w:pPr>
      <w:r>
        <w:rPr>
          <w:sz w:val="20"/>
          <w:szCs w:val="20"/>
          <w:lang w:val="fr-CA"/>
        </w:rPr>
        <w:pict>
          <v:rect id="_x0000_i1038" style="width:2in;height:1pt" o:hrpct="0" o:hralign="center" o:hrstd="t" o:hrnoshade="t" o:hr="t" fillcolor="black [3213]" stroked="f"/>
        </w:pict>
      </w:r>
    </w:p>
    <w:p w:rsidR="00233E21" w:rsidRDefault="00233E21" w:rsidP="00233E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21E85" w:rsidRPr="00C417EA" w:rsidTr="00B243C4">
        <w:trPr>
          <w:cantSplit/>
        </w:trPr>
        <w:tc>
          <w:tcPr>
            <w:tcW w:w="1458" w:type="dxa"/>
          </w:tcPr>
          <w:p w:rsidR="00021E85" w:rsidRPr="00C417EA" w:rsidRDefault="00021E85" w:rsidP="00B243C4">
            <w:pPr>
              <w:rPr>
                <w:sz w:val="20"/>
                <w:szCs w:val="20"/>
              </w:rPr>
            </w:pPr>
            <w:r w:rsidRPr="00C417EA">
              <w:rPr>
                <w:rStyle w:val="SCCFileNumberChar"/>
                <w:sz w:val="20"/>
                <w:szCs w:val="20"/>
              </w:rPr>
              <w:t>36208</w:t>
            </w:r>
          </w:p>
          <w:p w:rsidR="00021E85" w:rsidRPr="00C417EA" w:rsidRDefault="00021E85" w:rsidP="00B243C4">
            <w:pPr>
              <w:rPr>
                <w:b/>
                <w:sz w:val="20"/>
                <w:szCs w:val="20"/>
                <w:lang w:val="fr-CA"/>
              </w:rPr>
            </w:pPr>
          </w:p>
        </w:tc>
        <w:tc>
          <w:tcPr>
            <w:tcW w:w="8118" w:type="dxa"/>
          </w:tcPr>
          <w:p w:rsidR="00021E85" w:rsidRPr="00C417EA" w:rsidRDefault="00021E85" w:rsidP="00B243C4">
            <w:pPr>
              <w:jc w:val="both"/>
              <w:rPr>
                <w:sz w:val="20"/>
                <w:szCs w:val="20"/>
              </w:rPr>
            </w:pPr>
            <w:r w:rsidRPr="00C417EA">
              <w:rPr>
                <w:rStyle w:val="SCCLsocChar"/>
                <w:sz w:val="20"/>
                <w:szCs w:val="20"/>
                <w:lang w:val="en-CA"/>
              </w:rPr>
              <w:t xml:space="preserve">Edward Andrew Dennis, Harold Bell, Nathan Victor Macklin and Ian Lorne McCreary v. Her Majesty the Queen in the Right of Canada, as Represented by the Attorney General of Canada, Her Majesty the Queen in the Right of Canada, as </w:t>
            </w:r>
            <w:r w:rsidR="00882E8C">
              <w:rPr>
                <w:rStyle w:val="SCCLsocChar"/>
                <w:sz w:val="20"/>
                <w:szCs w:val="20"/>
                <w:lang w:val="en-CA"/>
              </w:rPr>
              <w:t>r</w:t>
            </w:r>
            <w:r w:rsidRPr="00C417EA">
              <w:rPr>
                <w:rStyle w:val="SCCLsocChar"/>
                <w:sz w:val="20"/>
                <w:szCs w:val="20"/>
                <w:lang w:val="en-CA"/>
              </w:rPr>
              <w:t>epresented by the Minister of Agriculture and Agrifood</w:t>
            </w:r>
            <w:r w:rsidR="00882E8C">
              <w:rPr>
                <w:rStyle w:val="SCCLsocChar"/>
                <w:sz w:val="20"/>
                <w:szCs w:val="20"/>
                <w:lang w:val="en-CA"/>
              </w:rPr>
              <w:t xml:space="preserve"> and</w:t>
            </w:r>
            <w:r w:rsidRPr="00C417EA">
              <w:rPr>
                <w:rStyle w:val="SCCLsocChar"/>
                <w:sz w:val="20"/>
                <w:szCs w:val="20"/>
                <w:lang w:val="en-CA"/>
              </w:rPr>
              <w:t xml:space="preserve"> Canadian Wheat Board</w:t>
            </w:r>
            <w:r w:rsidRPr="00C417EA">
              <w:rPr>
                <w:sz w:val="20"/>
                <w:szCs w:val="20"/>
              </w:rPr>
              <w:t xml:space="preserve"> (F</w:t>
            </w:r>
            <w:r>
              <w:rPr>
                <w:szCs w:val="20"/>
              </w:rPr>
              <w:t>.</w:t>
            </w:r>
            <w:r w:rsidRPr="00C417EA">
              <w:rPr>
                <w:sz w:val="20"/>
                <w:szCs w:val="20"/>
              </w:rPr>
              <w:t>C</w:t>
            </w:r>
            <w:r>
              <w:rPr>
                <w:szCs w:val="20"/>
              </w:rPr>
              <w:t>.</w:t>
            </w:r>
            <w:r w:rsidRPr="00C417EA">
              <w:rPr>
                <w:sz w:val="20"/>
                <w:szCs w:val="20"/>
              </w:rPr>
              <w:t>) (Civil) (By Leave)</w:t>
            </w:r>
          </w:p>
          <w:p w:rsidR="00021E85" w:rsidRPr="00C417EA" w:rsidRDefault="00021E85" w:rsidP="00B243C4">
            <w:pPr>
              <w:jc w:val="both"/>
              <w:rPr>
                <w:sz w:val="20"/>
                <w:szCs w:val="20"/>
              </w:rPr>
            </w:pPr>
          </w:p>
        </w:tc>
      </w:tr>
      <w:tr w:rsidR="00021E85" w:rsidRPr="00C417EA" w:rsidTr="00B243C4">
        <w:trPr>
          <w:cantSplit/>
        </w:trPr>
        <w:tc>
          <w:tcPr>
            <w:tcW w:w="1458" w:type="dxa"/>
          </w:tcPr>
          <w:p w:rsidR="00021E85" w:rsidRPr="00C417EA" w:rsidRDefault="00021E85" w:rsidP="00B243C4">
            <w:pPr>
              <w:rPr>
                <w:sz w:val="20"/>
                <w:szCs w:val="20"/>
              </w:rPr>
            </w:pPr>
            <w:r w:rsidRPr="00C417EA">
              <w:rPr>
                <w:sz w:val="20"/>
                <w:szCs w:val="20"/>
              </w:rPr>
              <w:t>Coram :</w:t>
            </w:r>
          </w:p>
        </w:tc>
        <w:tc>
          <w:tcPr>
            <w:tcW w:w="8118" w:type="dxa"/>
          </w:tcPr>
          <w:p w:rsidR="00021E85" w:rsidRPr="00C417EA" w:rsidRDefault="00021E85" w:rsidP="00B243C4">
            <w:pPr>
              <w:rPr>
                <w:sz w:val="20"/>
                <w:szCs w:val="20"/>
              </w:rPr>
            </w:pPr>
            <w:r w:rsidRPr="00C417EA">
              <w:rPr>
                <w:rStyle w:val="SCCCoramChar"/>
                <w:sz w:val="20"/>
                <w:szCs w:val="20"/>
                <w:lang w:val="en-CA"/>
              </w:rPr>
              <w:t>Rothstein, Cromwell and Moldaver JJ.</w:t>
            </w:r>
          </w:p>
          <w:p w:rsidR="00021E85" w:rsidRPr="00C417EA" w:rsidRDefault="00021E85" w:rsidP="00B243C4">
            <w:pPr>
              <w:rPr>
                <w:sz w:val="20"/>
                <w:szCs w:val="20"/>
                <w:u w:val="single"/>
              </w:rPr>
            </w:pPr>
          </w:p>
        </w:tc>
      </w:tr>
      <w:tr w:rsidR="00021E85" w:rsidRPr="00A33CF8" w:rsidTr="00B243C4">
        <w:trPr>
          <w:cantSplit/>
        </w:trPr>
        <w:tc>
          <w:tcPr>
            <w:tcW w:w="9576" w:type="dxa"/>
            <w:gridSpan w:val="2"/>
          </w:tcPr>
          <w:p w:rsidR="00021E85" w:rsidRPr="00C417EA" w:rsidRDefault="00021E85" w:rsidP="00B243C4">
            <w:pPr>
              <w:pStyle w:val="SCCShortJudgment"/>
              <w:rPr>
                <w:szCs w:val="20"/>
              </w:rPr>
            </w:pPr>
            <w:r w:rsidRPr="00C417EA">
              <w:rPr>
                <w:szCs w:val="20"/>
              </w:rPr>
              <w:t>The application for leave to appeal from the judgment of the Federal Court of Appeal, Number A-436-13, 2014 FCA 232, dated October 15, 2014, is dismissed with costs.</w:t>
            </w:r>
          </w:p>
          <w:p w:rsidR="00021E85" w:rsidRPr="00C417EA" w:rsidRDefault="00021E85" w:rsidP="00B243C4">
            <w:pPr>
              <w:pStyle w:val="SCCShortJudgment"/>
              <w:ind w:firstLine="0"/>
              <w:rPr>
                <w:szCs w:val="20"/>
              </w:rPr>
            </w:pPr>
          </w:p>
          <w:p w:rsidR="00021E85" w:rsidRPr="00C417EA" w:rsidRDefault="00021E85" w:rsidP="00B243C4">
            <w:pPr>
              <w:pStyle w:val="SCCShortJudgment"/>
              <w:rPr>
                <w:szCs w:val="20"/>
                <w:lang w:val="fr-CA"/>
              </w:rPr>
            </w:pPr>
            <w:r w:rsidRPr="00C417EA">
              <w:rPr>
                <w:szCs w:val="20"/>
                <w:lang w:val="fr-CA"/>
              </w:rPr>
              <w:t>La demande d’autorisation d’appel de l’arrêt de la Cour d’appel fédérale, numéro A-436-13, 2014 CAF 232, daté du 15 octobre 2014, est rejetée avec dépens.</w:t>
            </w:r>
          </w:p>
        </w:tc>
      </w:tr>
    </w:tbl>
    <w:p w:rsidR="00233E21" w:rsidRPr="00021E85" w:rsidRDefault="00233E21" w:rsidP="00233E21">
      <w:pPr>
        <w:rPr>
          <w:sz w:val="20"/>
          <w:szCs w:val="20"/>
          <w:lang w:val="fr-CA"/>
        </w:rPr>
      </w:pPr>
    </w:p>
    <w:p w:rsidR="00233E21" w:rsidRPr="001B157C" w:rsidRDefault="00233E21" w:rsidP="00233E21">
      <w:pPr>
        <w:rPr>
          <w:sz w:val="20"/>
          <w:szCs w:val="20"/>
          <w:u w:val="single"/>
        </w:rPr>
      </w:pPr>
      <w:r w:rsidRPr="001B157C">
        <w:rPr>
          <w:sz w:val="20"/>
          <w:szCs w:val="20"/>
          <w:u w:val="single"/>
        </w:rPr>
        <w:t>CASE SUMMARY</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35B0" w:rsidRPr="00031974" w:rsidTr="00B243C4">
        <w:tc>
          <w:tcPr>
            <w:tcW w:w="5000" w:type="pct"/>
            <w:gridSpan w:val="3"/>
          </w:tcPr>
          <w:p w:rsidR="006635B0" w:rsidRPr="00031974" w:rsidRDefault="006635B0" w:rsidP="00B243C4">
            <w:pPr>
              <w:jc w:val="both"/>
              <w:rPr>
                <w:rFonts w:eastAsia="Calibri"/>
                <w:sz w:val="20"/>
              </w:rPr>
            </w:pPr>
            <w:r w:rsidRPr="00031974">
              <w:rPr>
                <w:rFonts w:eastAsia="Calibri"/>
                <w:sz w:val="20"/>
              </w:rPr>
              <w:t xml:space="preserve">Expropriation – Property – Should the protections given to common law property rights apply to interests that are collective rather than exclusive in nature – Should a property right be recognized to the benefit of grain producers in assets they paid for and to which they added value through their management and direction of the Canadian Wheat Board (CWB) – Did the legislature expropriate a proprietary interest of grain producers in the CWB by enacting the </w:t>
            </w:r>
            <w:r w:rsidRPr="00031974">
              <w:rPr>
                <w:rFonts w:eastAsia="Calibri"/>
                <w:i/>
                <w:sz w:val="20"/>
              </w:rPr>
              <w:t>Marketing Freedom for Grain Farmers Act</w:t>
            </w:r>
            <w:r w:rsidRPr="00031974">
              <w:rPr>
                <w:rFonts w:eastAsia="Calibri"/>
                <w:sz w:val="20"/>
              </w:rPr>
              <w:t>, S.C. 2011 c. 25.</w:t>
            </w:r>
          </w:p>
        </w:tc>
      </w:tr>
      <w:tr w:rsidR="006635B0" w:rsidRPr="00031974" w:rsidTr="00B243C4">
        <w:tc>
          <w:tcPr>
            <w:tcW w:w="5000" w:type="pct"/>
            <w:gridSpan w:val="3"/>
          </w:tcPr>
          <w:p w:rsidR="006635B0" w:rsidRPr="00031974" w:rsidRDefault="006635B0" w:rsidP="00B243C4">
            <w:pPr>
              <w:jc w:val="both"/>
              <w:rPr>
                <w:rFonts w:eastAsia="Calibri"/>
                <w:sz w:val="20"/>
              </w:rPr>
            </w:pPr>
          </w:p>
        </w:tc>
      </w:tr>
      <w:tr w:rsidR="006635B0" w:rsidRPr="00031974" w:rsidTr="00B243C4">
        <w:tc>
          <w:tcPr>
            <w:tcW w:w="5000" w:type="pct"/>
            <w:gridSpan w:val="3"/>
          </w:tcPr>
          <w:p w:rsidR="006635B0" w:rsidRPr="00031974" w:rsidRDefault="006635B0" w:rsidP="00B243C4">
            <w:pPr>
              <w:jc w:val="both"/>
              <w:rPr>
                <w:rFonts w:eastAsia="Calibri"/>
                <w:sz w:val="20"/>
              </w:rPr>
            </w:pPr>
            <w:r w:rsidRPr="00031974">
              <w:rPr>
                <w:rFonts w:eastAsia="Calibri"/>
                <w:sz w:val="20"/>
              </w:rPr>
              <w:t xml:space="preserve">The applicants brought a proposed class proceeding against the respondents in relation to legislation which amended and later repealed the </w:t>
            </w:r>
            <w:r w:rsidRPr="00031974">
              <w:rPr>
                <w:rFonts w:eastAsia="Calibri"/>
                <w:i/>
                <w:sz w:val="20"/>
              </w:rPr>
              <w:t>Canadian Wheat Board Act</w:t>
            </w:r>
            <w:r w:rsidRPr="00031974">
              <w:rPr>
                <w:rFonts w:eastAsia="Calibri"/>
                <w:sz w:val="20"/>
              </w:rPr>
              <w:t xml:space="preserve">, RSC 1985, c. C-24.  They claimed that, through the enactment of the </w:t>
            </w:r>
            <w:r w:rsidRPr="00031974">
              <w:rPr>
                <w:rFonts w:eastAsia="Calibri"/>
                <w:i/>
                <w:sz w:val="20"/>
              </w:rPr>
              <w:t>Marketing Freedom for Grain Farmers Act</w:t>
            </w:r>
            <w:r w:rsidRPr="00031974">
              <w:rPr>
                <w:rFonts w:eastAsia="Calibri"/>
                <w:sz w:val="20"/>
              </w:rPr>
              <w:t>, S.C. 2011 c. 25 (the “</w:t>
            </w:r>
            <w:r w:rsidRPr="00031974">
              <w:rPr>
                <w:rFonts w:eastAsia="Calibri"/>
                <w:i/>
                <w:sz w:val="20"/>
              </w:rPr>
              <w:t>MFGFA</w:t>
            </w:r>
            <w:r w:rsidRPr="00031974">
              <w:rPr>
                <w:rFonts w:eastAsia="Calibri"/>
                <w:sz w:val="20"/>
              </w:rPr>
              <w:t>”), the respondents: unlawfully expropriated assets belonging to the Canadian Wheat Board (“CWB”), in which the applicants had an interest; converted property in which the applicants had an interest; were unjustly enriched; unlawfully interfered with the economic relations of the applicants; and breached fiduciary duties owed to the applicants.  The applicants also claimed that during the 2011-2012 pool period the respondents mismanaged monies under the CWB, using them to cover the costs and losses of the transition or paying them into the contingency fund instead of to producers as required and failing to establish a reasonable price for grain remaining unsold.</w:t>
            </w:r>
          </w:p>
          <w:p w:rsidR="006635B0" w:rsidRPr="00031974" w:rsidRDefault="006635B0" w:rsidP="00B243C4">
            <w:pPr>
              <w:jc w:val="both"/>
              <w:rPr>
                <w:rFonts w:eastAsia="Calibri"/>
                <w:sz w:val="20"/>
              </w:rPr>
            </w:pPr>
          </w:p>
          <w:p w:rsidR="006635B0" w:rsidRPr="00031974" w:rsidRDefault="006635B0" w:rsidP="00B243C4">
            <w:pPr>
              <w:jc w:val="both"/>
              <w:rPr>
                <w:rFonts w:eastAsia="Calibri"/>
                <w:sz w:val="20"/>
              </w:rPr>
            </w:pPr>
            <w:r w:rsidRPr="00031974">
              <w:rPr>
                <w:rFonts w:eastAsia="Calibri"/>
                <w:sz w:val="20"/>
              </w:rPr>
              <w:t xml:space="preserve">The Federal Court allowed in part the Crown’s motion for an order striking out the proposed class proceeding.  The claims for expropriation, conversion, unjust enrichment, unlawful interference with economic relations and breach of </w:t>
            </w:r>
            <w:r w:rsidRPr="00031974">
              <w:rPr>
                <w:rFonts w:eastAsia="Calibri"/>
                <w:sz w:val="20"/>
              </w:rPr>
              <w:lastRenderedPageBreak/>
              <w:t>trust were struck out as having no reasonable prospect of success.  The applicants’ claim for mismanagement was allowed to proceed.  The Federal Court of Appeal dismissed the applicants’ appeal and the respondents’ cross-appeal.</w:t>
            </w:r>
          </w:p>
          <w:p w:rsidR="006635B0" w:rsidRPr="00031974" w:rsidRDefault="006635B0" w:rsidP="00B243C4">
            <w:pPr>
              <w:jc w:val="both"/>
              <w:rPr>
                <w:rFonts w:eastAsia="Calibri"/>
                <w:sz w:val="20"/>
              </w:rPr>
            </w:pPr>
          </w:p>
        </w:tc>
      </w:tr>
      <w:tr w:rsidR="006635B0" w:rsidRPr="00031974" w:rsidTr="00B243C4">
        <w:tc>
          <w:tcPr>
            <w:tcW w:w="2427" w:type="pct"/>
          </w:tcPr>
          <w:p w:rsidR="006635B0" w:rsidRPr="00031974" w:rsidRDefault="006635B0" w:rsidP="00B243C4">
            <w:pPr>
              <w:jc w:val="both"/>
              <w:rPr>
                <w:rFonts w:eastAsia="Calibri"/>
                <w:sz w:val="20"/>
              </w:rPr>
            </w:pPr>
            <w:r w:rsidRPr="00031974">
              <w:rPr>
                <w:rFonts w:eastAsia="Calibri"/>
                <w:sz w:val="20"/>
              </w:rPr>
              <w:lastRenderedPageBreak/>
              <w:t>November 29, 2013</w:t>
            </w:r>
          </w:p>
          <w:p w:rsidR="006635B0" w:rsidRPr="00031974" w:rsidRDefault="006635B0" w:rsidP="00B243C4">
            <w:pPr>
              <w:jc w:val="both"/>
              <w:rPr>
                <w:rFonts w:eastAsia="Calibri"/>
                <w:sz w:val="20"/>
              </w:rPr>
            </w:pPr>
            <w:r w:rsidRPr="00031974">
              <w:rPr>
                <w:rFonts w:eastAsia="Calibri"/>
                <w:sz w:val="20"/>
              </w:rPr>
              <w:t>Federal Court</w:t>
            </w:r>
          </w:p>
          <w:p w:rsidR="006635B0" w:rsidRPr="00031974" w:rsidRDefault="006635B0" w:rsidP="00B243C4">
            <w:pPr>
              <w:jc w:val="both"/>
              <w:rPr>
                <w:rFonts w:eastAsia="Calibri"/>
                <w:sz w:val="20"/>
              </w:rPr>
            </w:pPr>
            <w:r w:rsidRPr="00031974">
              <w:rPr>
                <w:rFonts w:eastAsia="Calibri"/>
                <w:sz w:val="20"/>
              </w:rPr>
              <w:t>(Tremblay-Lamer J.)</w:t>
            </w:r>
          </w:p>
          <w:p w:rsidR="006635B0" w:rsidRPr="00031974" w:rsidRDefault="006635B0" w:rsidP="00B243C4">
            <w:pPr>
              <w:jc w:val="both"/>
              <w:rPr>
                <w:rFonts w:eastAsia="Calibri"/>
                <w:sz w:val="20"/>
              </w:rPr>
            </w:pPr>
            <w:r w:rsidRPr="00031974">
              <w:rPr>
                <w:rFonts w:eastAsia="Calibri"/>
                <w:sz w:val="20"/>
              </w:rPr>
              <w:t>2013 FC 1197</w:t>
            </w:r>
          </w:p>
        </w:tc>
        <w:tc>
          <w:tcPr>
            <w:tcW w:w="243" w:type="pct"/>
          </w:tcPr>
          <w:p w:rsidR="006635B0" w:rsidRPr="00031974" w:rsidRDefault="006635B0" w:rsidP="00B243C4">
            <w:pPr>
              <w:jc w:val="both"/>
              <w:rPr>
                <w:rFonts w:eastAsia="Calibri"/>
                <w:sz w:val="20"/>
              </w:rPr>
            </w:pPr>
          </w:p>
        </w:tc>
        <w:tc>
          <w:tcPr>
            <w:tcW w:w="2330" w:type="pct"/>
          </w:tcPr>
          <w:p w:rsidR="006635B0" w:rsidRPr="00031974" w:rsidRDefault="006635B0" w:rsidP="00B243C4">
            <w:pPr>
              <w:jc w:val="both"/>
              <w:rPr>
                <w:rFonts w:eastAsia="Calibri"/>
                <w:sz w:val="20"/>
              </w:rPr>
            </w:pPr>
            <w:r w:rsidRPr="00031974">
              <w:rPr>
                <w:rFonts w:eastAsia="Calibri"/>
                <w:sz w:val="20"/>
              </w:rPr>
              <w:t>Motion for an order striking out proposed class proceeding allowed in part; claims for expropriation, conversion, unjust enrichment, unlawful interference with economic relations and breach of trust are struck out; claim for mismanagement allowed to proceed</w:t>
            </w:r>
          </w:p>
          <w:p w:rsidR="006635B0" w:rsidRPr="00031974" w:rsidRDefault="006635B0" w:rsidP="00B243C4">
            <w:pPr>
              <w:jc w:val="both"/>
              <w:rPr>
                <w:rFonts w:eastAsia="Calibri"/>
                <w:sz w:val="20"/>
              </w:rPr>
            </w:pPr>
          </w:p>
        </w:tc>
      </w:tr>
      <w:tr w:rsidR="006635B0" w:rsidRPr="00031974" w:rsidTr="00B243C4">
        <w:tc>
          <w:tcPr>
            <w:tcW w:w="2427" w:type="pct"/>
          </w:tcPr>
          <w:p w:rsidR="006635B0" w:rsidRPr="00031974" w:rsidRDefault="006635B0" w:rsidP="00B243C4">
            <w:pPr>
              <w:jc w:val="both"/>
              <w:rPr>
                <w:rFonts w:eastAsia="Calibri"/>
                <w:sz w:val="20"/>
              </w:rPr>
            </w:pPr>
            <w:r w:rsidRPr="00031974">
              <w:rPr>
                <w:rFonts w:eastAsia="Calibri"/>
                <w:sz w:val="20"/>
              </w:rPr>
              <w:t>October 15, 2014</w:t>
            </w:r>
          </w:p>
          <w:p w:rsidR="006635B0" w:rsidRPr="00031974" w:rsidRDefault="006635B0" w:rsidP="00B243C4">
            <w:pPr>
              <w:jc w:val="both"/>
              <w:rPr>
                <w:rFonts w:eastAsia="Calibri"/>
                <w:sz w:val="20"/>
              </w:rPr>
            </w:pPr>
            <w:r w:rsidRPr="00031974">
              <w:rPr>
                <w:rFonts w:eastAsia="Calibri"/>
                <w:sz w:val="20"/>
              </w:rPr>
              <w:t>Federal Court of Appeal</w:t>
            </w:r>
          </w:p>
          <w:p w:rsidR="006635B0" w:rsidRPr="00031974" w:rsidRDefault="006635B0" w:rsidP="00B243C4">
            <w:pPr>
              <w:jc w:val="both"/>
              <w:rPr>
                <w:rFonts w:eastAsia="Calibri"/>
                <w:sz w:val="20"/>
              </w:rPr>
            </w:pPr>
            <w:r w:rsidRPr="00031974">
              <w:rPr>
                <w:rFonts w:eastAsia="Calibri"/>
                <w:sz w:val="20"/>
              </w:rPr>
              <w:t>(Nadon, Gauthier and Webb JJ.A.)</w:t>
            </w:r>
          </w:p>
          <w:p w:rsidR="006635B0" w:rsidRPr="00031974" w:rsidRDefault="00790981" w:rsidP="00B243C4">
            <w:pPr>
              <w:jc w:val="both"/>
              <w:rPr>
                <w:rFonts w:eastAsia="Calibri"/>
                <w:sz w:val="20"/>
              </w:rPr>
            </w:pPr>
            <w:hyperlink r:id="rId41" w:history="1">
              <w:r w:rsidR="006635B0" w:rsidRPr="00031974">
                <w:rPr>
                  <w:rFonts w:eastAsia="Calibri"/>
                  <w:color w:val="0000FF"/>
                  <w:sz w:val="20"/>
                  <w:u w:val="single"/>
                </w:rPr>
                <w:t>2014 FCA 232</w:t>
              </w:r>
            </w:hyperlink>
            <w:r w:rsidR="006635B0" w:rsidRPr="00031974">
              <w:rPr>
                <w:rFonts w:eastAsia="Calibri"/>
                <w:sz w:val="20"/>
              </w:rPr>
              <w:t>; A-436-13</w:t>
            </w:r>
          </w:p>
          <w:p w:rsidR="006635B0" w:rsidRPr="00031974" w:rsidRDefault="006635B0" w:rsidP="00B243C4">
            <w:pPr>
              <w:jc w:val="both"/>
              <w:rPr>
                <w:rFonts w:eastAsia="Calibri"/>
                <w:sz w:val="20"/>
              </w:rPr>
            </w:pPr>
          </w:p>
        </w:tc>
        <w:tc>
          <w:tcPr>
            <w:tcW w:w="243" w:type="pct"/>
          </w:tcPr>
          <w:p w:rsidR="006635B0" w:rsidRPr="00031974" w:rsidRDefault="006635B0" w:rsidP="00B243C4">
            <w:pPr>
              <w:jc w:val="both"/>
              <w:rPr>
                <w:rFonts w:eastAsia="Calibri"/>
                <w:sz w:val="20"/>
              </w:rPr>
            </w:pPr>
          </w:p>
        </w:tc>
        <w:tc>
          <w:tcPr>
            <w:tcW w:w="2330" w:type="pct"/>
          </w:tcPr>
          <w:p w:rsidR="006635B0" w:rsidRPr="00031974" w:rsidRDefault="006635B0" w:rsidP="00B243C4">
            <w:pPr>
              <w:jc w:val="both"/>
              <w:rPr>
                <w:rFonts w:eastAsia="Calibri"/>
                <w:sz w:val="20"/>
              </w:rPr>
            </w:pPr>
            <w:r w:rsidRPr="00031974">
              <w:rPr>
                <w:rFonts w:eastAsia="Calibri"/>
                <w:sz w:val="20"/>
              </w:rPr>
              <w:t>Appeal and cross-appeal dismissed</w:t>
            </w:r>
          </w:p>
          <w:p w:rsidR="006635B0" w:rsidRPr="00031974" w:rsidRDefault="006635B0" w:rsidP="00B243C4">
            <w:pPr>
              <w:jc w:val="both"/>
              <w:rPr>
                <w:rFonts w:eastAsia="Calibri"/>
                <w:sz w:val="20"/>
              </w:rPr>
            </w:pPr>
          </w:p>
        </w:tc>
      </w:tr>
      <w:tr w:rsidR="006635B0" w:rsidRPr="00031974" w:rsidTr="00B243C4">
        <w:tc>
          <w:tcPr>
            <w:tcW w:w="2427" w:type="pct"/>
          </w:tcPr>
          <w:p w:rsidR="006635B0" w:rsidRPr="00031974" w:rsidRDefault="006635B0" w:rsidP="00B243C4">
            <w:pPr>
              <w:jc w:val="both"/>
              <w:rPr>
                <w:rFonts w:eastAsia="Calibri"/>
                <w:sz w:val="20"/>
              </w:rPr>
            </w:pPr>
            <w:r w:rsidRPr="00031974">
              <w:rPr>
                <w:rFonts w:eastAsia="Calibri"/>
                <w:sz w:val="20"/>
              </w:rPr>
              <w:t>December 15, 2014</w:t>
            </w:r>
          </w:p>
          <w:p w:rsidR="006635B0" w:rsidRPr="00031974" w:rsidRDefault="006635B0" w:rsidP="00B243C4">
            <w:pPr>
              <w:jc w:val="both"/>
              <w:rPr>
                <w:rFonts w:eastAsia="Calibri"/>
                <w:sz w:val="20"/>
              </w:rPr>
            </w:pPr>
            <w:r w:rsidRPr="00031974">
              <w:rPr>
                <w:rFonts w:eastAsia="Calibri"/>
                <w:sz w:val="20"/>
              </w:rPr>
              <w:t>Supreme Court of Canada</w:t>
            </w:r>
          </w:p>
        </w:tc>
        <w:tc>
          <w:tcPr>
            <w:tcW w:w="243" w:type="pct"/>
          </w:tcPr>
          <w:p w:rsidR="006635B0" w:rsidRPr="00031974" w:rsidRDefault="006635B0" w:rsidP="00B243C4">
            <w:pPr>
              <w:jc w:val="both"/>
              <w:rPr>
                <w:rFonts w:eastAsia="Calibri"/>
                <w:sz w:val="20"/>
              </w:rPr>
            </w:pPr>
          </w:p>
        </w:tc>
        <w:tc>
          <w:tcPr>
            <w:tcW w:w="2330" w:type="pct"/>
          </w:tcPr>
          <w:p w:rsidR="006635B0" w:rsidRPr="00031974" w:rsidRDefault="006635B0" w:rsidP="00B243C4">
            <w:pPr>
              <w:jc w:val="both"/>
              <w:rPr>
                <w:rFonts w:eastAsia="Calibri"/>
                <w:sz w:val="20"/>
              </w:rPr>
            </w:pPr>
            <w:r w:rsidRPr="00031974">
              <w:rPr>
                <w:rFonts w:eastAsia="Calibri"/>
                <w:sz w:val="20"/>
              </w:rPr>
              <w:t>Application for leave to appeal filed</w:t>
            </w:r>
          </w:p>
          <w:p w:rsidR="006635B0" w:rsidRPr="00031974" w:rsidRDefault="006635B0" w:rsidP="00B243C4">
            <w:pPr>
              <w:jc w:val="both"/>
              <w:rPr>
                <w:rFonts w:eastAsia="Calibri"/>
                <w:sz w:val="20"/>
              </w:rPr>
            </w:pPr>
          </w:p>
        </w:tc>
      </w:tr>
    </w:tbl>
    <w:p w:rsidR="00233E21" w:rsidRDefault="00233E21" w:rsidP="00233E21">
      <w:pPr>
        <w:rPr>
          <w:sz w:val="20"/>
          <w:szCs w:val="20"/>
        </w:rPr>
      </w:pPr>
    </w:p>
    <w:p w:rsidR="00233E21" w:rsidRPr="00C50A5C" w:rsidRDefault="00790981" w:rsidP="00233E21">
      <w:pPr>
        <w:rPr>
          <w:sz w:val="20"/>
          <w:szCs w:val="20"/>
        </w:rPr>
      </w:pPr>
      <w:r>
        <w:rPr>
          <w:sz w:val="20"/>
          <w:szCs w:val="20"/>
          <w:lang w:val="fr-CA"/>
        </w:rPr>
        <w:pict>
          <v:rect id="_x0000_i1039" style="width:2in;height:1pt" o:hrpct="0" o:hralign="center" o:hrstd="t" o:hrnoshade="t" o:hr="t" fillcolor="black [3213]" stroked="f"/>
        </w:pict>
      </w:r>
    </w:p>
    <w:p w:rsidR="00233E21" w:rsidRDefault="00233E21" w:rsidP="00233E21">
      <w:pPr>
        <w:rPr>
          <w:sz w:val="20"/>
          <w:szCs w:val="20"/>
        </w:rPr>
      </w:pPr>
    </w:p>
    <w:p w:rsidR="00233E21" w:rsidRPr="001B157C" w:rsidRDefault="00233E21" w:rsidP="00233E21">
      <w:pPr>
        <w:rPr>
          <w:sz w:val="20"/>
          <w:szCs w:val="20"/>
          <w:u w:val="single"/>
          <w:lang w:val="fr-CA"/>
        </w:rPr>
      </w:pPr>
      <w:r w:rsidRPr="001B157C">
        <w:rPr>
          <w:sz w:val="20"/>
          <w:szCs w:val="20"/>
          <w:u w:val="single"/>
          <w:lang w:val="fr-CA"/>
        </w:rPr>
        <w:t>RÉSUMÉ DE L’AFFAIRE</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35B0" w:rsidRPr="00A33CF8" w:rsidTr="00B243C4">
        <w:tc>
          <w:tcPr>
            <w:tcW w:w="5000" w:type="pct"/>
            <w:gridSpan w:val="3"/>
          </w:tcPr>
          <w:p w:rsidR="006635B0" w:rsidRPr="00031974" w:rsidRDefault="006635B0" w:rsidP="00B243C4">
            <w:pPr>
              <w:jc w:val="both"/>
              <w:rPr>
                <w:rFonts w:eastAsia="Calibri"/>
                <w:sz w:val="20"/>
                <w:lang w:val="fr-CA"/>
              </w:rPr>
            </w:pPr>
            <w:r w:rsidRPr="00031974">
              <w:rPr>
                <w:rFonts w:eastAsia="Calibri"/>
                <w:sz w:val="20"/>
                <w:lang w:val="fr-CA"/>
              </w:rPr>
              <w:t xml:space="preserve">Expropriation – Biens – Les protections accordées aux droits de propriété de common law devraient-elles s’appliquer à des droits qui revêtent un caractère collectif, plutôt qu’exclusif? – Y a-t-il lieu de reconnaître un droit de propriété à l’avantage des producteurs de céréales  à l’égard de biens qu’ils ont payés et auxquels ils ont ajouté de la valeur par leur gestion et leur direction de la Commission canadienne du blé (CCB)? – Le législateur a-t-il exproprié un droit de propriété des producteurs de céréales à l’égard de la CCB en édictant la </w:t>
            </w:r>
            <w:r w:rsidRPr="00031974">
              <w:rPr>
                <w:rFonts w:eastAsia="Calibri"/>
                <w:i/>
                <w:sz w:val="20"/>
                <w:lang w:val="fr-CA"/>
              </w:rPr>
              <w:t>Loi sur la liberté de choix des producteurs de grains en matière de commercialisation</w:t>
            </w:r>
            <w:r w:rsidRPr="00031974">
              <w:rPr>
                <w:rFonts w:eastAsia="Calibri"/>
                <w:sz w:val="20"/>
                <w:lang w:val="fr-CA"/>
              </w:rPr>
              <w:t>, L.C. 2011 ch. 25?</w:t>
            </w:r>
          </w:p>
        </w:tc>
      </w:tr>
      <w:tr w:rsidR="006635B0" w:rsidRPr="00A33CF8" w:rsidTr="00B243C4">
        <w:tc>
          <w:tcPr>
            <w:tcW w:w="5000" w:type="pct"/>
            <w:gridSpan w:val="3"/>
          </w:tcPr>
          <w:p w:rsidR="006635B0" w:rsidRPr="00031974" w:rsidRDefault="006635B0" w:rsidP="00B243C4">
            <w:pPr>
              <w:jc w:val="both"/>
              <w:rPr>
                <w:rFonts w:eastAsia="Calibri"/>
                <w:sz w:val="20"/>
                <w:lang w:val="fr-CA"/>
              </w:rPr>
            </w:pPr>
          </w:p>
        </w:tc>
      </w:tr>
      <w:tr w:rsidR="006635B0" w:rsidRPr="00A33CF8" w:rsidTr="00B243C4">
        <w:tc>
          <w:tcPr>
            <w:tcW w:w="5000" w:type="pct"/>
            <w:gridSpan w:val="3"/>
          </w:tcPr>
          <w:p w:rsidR="006635B0" w:rsidRPr="00031974" w:rsidRDefault="006635B0" w:rsidP="00B243C4">
            <w:pPr>
              <w:jc w:val="both"/>
              <w:rPr>
                <w:rFonts w:eastAsia="Calibri"/>
                <w:sz w:val="20"/>
                <w:lang w:val="fr-CA"/>
              </w:rPr>
            </w:pPr>
            <w:r w:rsidRPr="00031974">
              <w:rPr>
                <w:rFonts w:eastAsia="Calibri"/>
                <w:sz w:val="20"/>
                <w:lang w:val="fr-CA"/>
              </w:rPr>
              <w:t xml:space="preserve">Les demandeurs ont intenté un recours collectif projeté contre les intimés en rapport avec la loi qui a modifié, puis abrogé la </w:t>
            </w:r>
            <w:r w:rsidRPr="00031974">
              <w:rPr>
                <w:rFonts w:eastAsia="Calibri"/>
                <w:i/>
                <w:sz w:val="20"/>
                <w:lang w:val="fr-CA"/>
              </w:rPr>
              <w:t>Loi sur la Commission canadienne du blé</w:t>
            </w:r>
            <w:r w:rsidRPr="00031974">
              <w:rPr>
                <w:rFonts w:eastAsia="Calibri"/>
                <w:sz w:val="20"/>
                <w:lang w:val="fr-CA"/>
              </w:rPr>
              <w:t xml:space="preserve">, L.R.C. 1985, ch. C-24.  Selon les demandeurs, les intimés, par l’adoption de la </w:t>
            </w:r>
            <w:r w:rsidRPr="00031974">
              <w:rPr>
                <w:rFonts w:eastAsia="Calibri"/>
                <w:i/>
                <w:sz w:val="20"/>
                <w:lang w:val="fr-CA"/>
              </w:rPr>
              <w:t>Loi sur la liberté de choix des producteurs de grains en matière de commercialisation</w:t>
            </w:r>
            <w:r w:rsidRPr="00031974">
              <w:rPr>
                <w:rFonts w:eastAsia="Calibri"/>
                <w:sz w:val="20"/>
                <w:lang w:val="fr-CA"/>
              </w:rPr>
              <w:t>, L.C. 2011 ch. 25 (la « </w:t>
            </w:r>
            <w:r w:rsidRPr="00031974">
              <w:rPr>
                <w:rFonts w:eastAsia="Calibri"/>
                <w:i/>
                <w:sz w:val="20"/>
                <w:lang w:val="fr-CA"/>
              </w:rPr>
              <w:t>Loi</w:t>
            </w:r>
            <w:r w:rsidRPr="00031974">
              <w:rPr>
                <w:rFonts w:eastAsia="Calibri"/>
                <w:sz w:val="20"/>
                <w:lang w:val="fr-CA"/>
              </w:rPr>
              <w:t> »), auraient fait ce qui suit : ils auraient illégalement exproprié des biens appartenant à la Commission canadienne du blé (« CWB »), à l’égard desquels les demandeurs avaient un droit; ils auraient détourné des biens à l’égard desquels les demandeurs avaient un droit; ils se seraient injustement enrichis; ils auraient illégalement porté atteinte aux rapports économiques des demandeurs et ils auraient manqué à des obligations fiduciaires envers les demandeurs.  En outre, les demandeurs ont prétendu que pendant la période de livraison en commun de 2011-2012, les intimés auraient mal géré des sommes d’argent sous le régime de la CCB, en les utilisant pour acquitter les frais et les pertes de la transition ou en les versant dans le fonds de prévoyance, plutôt qu’aux producteurs comme il se doit, et en omettant de fixer un prix raisonnable pour les céréales invendues.</w:t>
            </w:r>
          </w:p>
          <w:p w:rsidR="006635B0" w:rsidRPr="00031974" w:rsidRDefault="006635B0" w:rsidP="00B243C4">
            <w:pPr>
              <w:jc w:val="both"/>
              <w:rPr>
                <w:rFonts w:eastAsia="Calibri"/>
                <w:sz w:val="20"/>
                <w:lang w:val="fr-CA"/>
              </w:rPr>
            </w:pPr>
          </w:p>
          <w:p w:rsidR="006635B0" w:rsidRPr="00031974" w:rsidRDefault="006635B0" w:rsidP="00B243C4">
            <w:pPr>
              <w:jc w:val="both"/>
              <w:rPr>
                <w:rFonts w:eastAsia="Calibri"/>
                <w:sz w:val="20"/>
                <w:lang w:val="fr-CA"/>
              </w:rPr>
            </w:pPr>
            <w:r w:rsidRPr="00031974">
              <w:rPr>
                <w:rFonts w:eastAsia="Calibri"/>
                <w:sz w:val="20"/>
                <w:lang w:val="fr-CA"/>
              </w:rPr>
              <w:t>La Cour fédérale a accueilli en partie la requête de Sa Majesté en radiation du recours collectif projeté.  Les réclamations fondées sur l’expropriation, le détournement, l’enrichissement injustifié, l’atteinte illégale aux rapports économiques et le manquement aux obligations fiduciaires ont été radiées, faute de possibilité raisonnable d’être accueillies.  La Cour a permis à la réclamation fondée sur la mauvaise gestion de suivre son cours.  La Cour d’appel fédérale a rejeté l’appel des demandeurs et l’appel incident des intimés.</w:t>
            </w:r>
          </w:p>
          <w:p w:rsidR="006635B0" w:rsidRPr="00031974" w:rsidRDefault="006635B0" w:rsidP="00B243C4">
            <w:pPr>
              <w:jc w:val="both"/>
              <w:rPr>
                <w:rFonts w:eastAsia="Calibri"/>
                <w:sz w:val="20"/>
                <w:lang w:val="fr-CA"/>
              </w:rPr>
            </w:pPr>
          </w:p>
        </w:tc>
      </w:tr>
      <w:tr w:rsidR="006635B0" w:rsidRPr="00A33CF8" w:rsidTr="00021E85">
        <w:trPr>
          <w:cantSplit/>
        </w:trPr>
        <w:tc>
          <w:tcPr>
            <w:tcW w:w="2427" w:type="pct"/>
          </w:tcPr>
          <w:p w:rsidR="006635B0" w:rsidRPr="00031974" w:rsidRDefault="006635B0" w:rsidP="00B243C4">
            <w:pPr>
              <w:jc w:val="both"/>
              <w:rPr>
                <w:rFonts w:eastAsia="Calibri"/>
                <w:sz w:val="20"/>
                <w:lang w:val="fr-CA"/>
              </w:rPr>
            </w:pPr>
            <w:r w:rsidRPr="00031974">
              <w:rPr>
                <w:rFonts w:eastAsia="Calibri"/>
                <w:sz w:val="20"/>
                <w:lang w:val="fr-CA"/>
              </w:rPr>
              <w:lastRenderedPageBreak/>
              <w:t>29 novembre 2013</w:t>
            </w:r>
          </w:p>
          <w:p w:rsidR="006635B0" w:rsidRPr="00031974" w:rsidRDefault="006635B0" w:rsidP="00B243C4">
            <w:pPr>
              <w:jc w:val="both"/>
              <w:rPr>
                <w:rFonts w:eastAsia="Calibri"/>
                <w:sz w:val="20"/>
                <w:lang w:val="fr-CA"/>
              </w:rPr>
            </w:pPr>
            <w:r w:rsidRPr="00031974">
              <w:rPr>
                <w:rFonts w:eastAsia="Calibri"/>
                <w:sz w:val="20"/>
                <w:lang w:val="fr-CA"/>
              </w:rPr>
              <w:t>Cour fédérale</w:t>
            </w:r>
          </w:p>
          <w:p w:rsidR="006635B0" w:rsidRPr="00031974" w:rsidRDefault="006635B0" w:rsidP="00B243C4">
            <w:pPr>
              <w:jc w:val="both"/>
              <w:rPr>
                <w:rFonts w:eastAsia="Calibri"/>
                <w:sz w:val="20"/>
                <w:lang w:val="fr-CA"/>
              </w:rPr>
            </w:pPr>
            <w:r w:rsidRPr="00031974">
              <w:rPr>
                <w:rFonts w:eastAsia="Calibri"/>
                <w:sz w:val="20"/>
                <w:lang w:val="fr-CA"/>
              </w:rPr>
              <w:t>(Juge Tremblay-Lamer)</w:t>
            </w:r>
          </w:p>
          <w:p w:rsidR="006635B0" w:rsidRPr="00031974" w:rsidRDefault="006635B0" w:rsidP="00B243C4">
            <w:pPr>
              <w:jc w:val="both"/>
              <w:rPr>
                <w:rFonts w:eastAsia="Calibri"/>
                <w:sz w:val="20"/>
                <w:lang w:val="fr-CA"/>
              </w:rPr>
            </w:pPr>
            <w:r w:rsidRPr="00031974">
              <w:rPr>
                <w:rFonts w:eastAsia="Calibri"/>
                <w:sz w:val="20"/>
                <w:lang w:val="fr-CA"/>
              </w:rPr>
              <w:t>2013 CF 1197</w:t>
            </w:r>
          </w:p>
        </w:tc>
        <w:tc>
          <w:tcPr>
            <w:tcW w:w="243" w:type="pct"/>
          </w:tcPr>
          <w:p w:rsidR="006635B0" w:rsidRPr="00031974" w:rsidRDefault="006635B0" w:rsidP="00B243C4">
            <w:pPr>
              <w:jc w:val="both"/>
              <w:rPr>
                <w:rFonts w:eastAsia="Calibri"/>
                <w:sz w:val="20"/>
                <w:lang w:val="fr-CA"/>
              </w:rPr>
            </w:pPr>
          </w:p>
        </w:tc>
        <w:tc>
          <w:tcPr>
            <w:tcW w:w="2330" w:type="pct"/>
          </w:tcPr>
          <w:p w:rsidR="006635B0" w:rsidRPr="00031974" w:rsidRDefault="006635B0" w:rsidP="00B243C4">
            <w:pPr>
              <w:jc w:val="both"/>
              <w:rPr>
                <w:rFonts w:eastAsia="Calibri"/>
                <w:sz w:val="20"/>
                <w:lang w:val="fr-CA"/>
              </w:rPr>
            </w:pPr>
            <w:r w:rsidRPr="00031974">
              <w:rPr>
                <w:rFonts w:eastAsia="Calibri"/>
                <w:sz w:val="20"/>
                <w:lang w:val="fr-CA"/>
              </w:rPr>
              <w:t>Jugement accueillant en partie la requête en radiation du recours collectif projeté; radiation des réclamations fondées sur l’expropriation, le détournement, l’enrichissement injustifié, l’atteinte illégale aux rapports économiques et le manquement aux obligations fiduciaires; jugement permettant à la réclamation fondée sur la mauvaise gestion de suivre son cours</w:t>
            </w:r>
          </w:p>
          <w:p w:rsidR="006635B0" w:rsidRPr="00031974" w:rsidRDefault="006635B0" w:rsidP="00B243C4">
            <w:pPr>
              <w:jc w:val="both"/>
              <w:rPr>
                <w:rFonts w:eastAsia="Calibri"/>
                <w:sz w:val="20"/>
                <w:lang w:val="fr-CA"/>
              </w:rPr>
            </w:pPr>
          </w:p>
        </w:tc>
      </w:tr>
      <w:tr w:rsidR="006635B0" w:rsidRPr="00A33CF8" w:rsidTr="00021E85">
        <w:trPr>
          <w:cantSplit/>
        </w:trPr>
        <w:tc>
          <w:tcPr>
            <w:tcW w:w="2427" w:type="pct"/>
          </w:tcPr>
          <w:p w:rsidR="006635B0" w:rsidRPr="00031974" w:rsidRDefault="006635B0" w:rsidP="00B243C4">
            <w:pPr>
              <w:jc w:val="both"/>
              <w:rPr>
                <w:rFonts w:eastAsia="Calibri"/>
                <w:sz w:val="20"/>
                <w:lang w:val="fr-CA"/>
              </w:rPr>
            </w:pPr>
            <w:r w:rsidRPr="00031974">
              <w:rPr>
                <w:rFonts w:eastAsia="Calibri"/>
                <w:sz w:val="20"/>
                <w:lang w:val="fr-CA"/>
              </w:rPr>
              <w:t>15 octobre 2014</w:t>
            </w:r>
          </w:p>
          <w:p w:rsidR="006635B0" w:rsidRPr="00031974" w:rsidRDefault="006635B0" w:rsidP="00B243C4">
            <w:pPr>
              <w:jc w:val="both"/>
              <w:rPr>
                <w:rFonts w:eastAsia="Calibri"/>
                <w:sz w:val="20"/>
                <w:lang w:val="fr-CA"/>
              </w:rPr>
            </w:pPr>
            <w:r w:rsidRPr="00031974">
              <w:rPr>
                <w:rFonts w:eastAsia="Calibri"/>
                <w:sz w:val="20"/>
                <w:lang w:val="fr-CA"/>
              </w:rPr>
              <w:t>Cour d’appel fédérale</w:t>
            </w:r>
          </w:p>
          <w:p w:rsidR="006635B0" w:rsidRPr="00031974" w:rsidRDefault="006635B0" w:rsidP="00B243C4">
            <w:pPr>
              <w:jc w:val="both"/>
              <w:rPr>
                <w:rFonts w:eastAsia="Calibri"/>
                <w:sz w:val="20"/>
                <w:lang w:val="fr-CA"/>
              </w:rPr>
            </w:pPr>
            <w:r w:rsidRPr="00031974">
              <w:rPr>
                <w:rFonts w:eastAsia="Calibri"/>
                <w:sz w:val="20"/>
                <w:lang w:val="fr-CA"/>
              </w:rPr>
              <w:t>(Juges Nadon, Gauthier et Webb)</w:t>
            </w:r>
          </w:p>
          <w:p w:rsidR="006635B0" w:rsidRPr="00031974" w:rsidRDefault="00790981" w:rsidP="00B243C4">
            <w:pPr>
              <w:jc w:val="both"/>
              <w:rPr>
                <w:rFonts w:eastAsia="Calibri"/>
                <w:sz w:val="20"/>
                <w:lang w:val="fr-CA"/>
              </w:rPr>
            </w:pPr>
            <w:hyperlink r:id="rId42" w:history="1">
              <w:r w:rsidR="006635B0" w:rsidRPr="00031974">
                <w:rPr>
                  <w:rFonts w:eastAsia="Calibri"/>
                  <w:color w:val="0000FF"/>
                  <w:sz w:val="20"/>
                  <w:u w:val="single"/>
                  <w:lang w:val="fr-CA"/>
                </w:rPr>
                <w:t>2014 FCA 232</w:t>
              </w:r>
            </w:hyperlink>
            <w:r w:rsidR="006635B0" w:rsidRPr="00031974">
              <w:rPr>
                <w:rFonts w:eastAsia="Calibri"/>
                <w:sz w:val="20"/>
                <w:lang w:val="fr-CA"/>
              </w:rPr>
              <w:t>; A-436-13</w:t>
            </w:r>
          </w:p>
          <w:p w:rsidR="006635B0" w:rsidRPr="00031974" w:rsidRDefault="006635B0" w:rsidP="00B243C4">
            <w:pPr>
              <w:jc w:val="both"/>
              <w:rPr>
                <w:rFonts w:eastAsia="Calibri"/>
                <w:sz w:val="20"/>
                <w:lang w:val="fr-CA"/>
              </w:rPr>
            </w:pPr>
          </w:p>
        </w:tc>
        <w:tc>
          <w:tcPr>
            <w:tcW w:w="243" w:type="pct"/>
          </w:tcPr>
          <w:p w:rsidR="006635B0" w:rsidRPr="00031974" w:rsidRDefault="006635B0" w:rsidP="00B243C4">
            <w:pPr>
              <w:jc w:val="both"/>
              <w:rPr>
                <w:rFonts w:eastAsia="Calibri"/>
                <w:sz w:val="20"/>
                <w:lang w:val="fr-CA"/>
              </w:rPr>
            </w:pPr>
          </w:p>
        </w:tc>
        <w:tc>
          <w:tcPr>
            <w:tcW w:w="2330" w:type="pct"/>
          </w:tcPr>
          <w:p w:rsidR="006635B0" w:rsidRPr="00031974" w:rsidRDefault="006635B0" w:rsidP="00B243C4">
            <w:pPr>
              <w:jc w:val="both"/>
              <w:rPr>
                <w:rFonts w:eastAsia="Calibri"/>
                <w:sz w:val="20"/>
                <w:lang w:val="fr-CA"/>
              </w:rPr>
            </w:pPr>
            <w:r w:rsidRPr="00031974">
              <w:rPr>
                <w:rFonts w:eastAsia="Calibri"/>
                <w:sz w:val="20"/>
                <w:lang w:val="fr-CA"/>
              </w:rPr>
              <w:t>Rejet de l’appel et de l’appel incident</w:t>
            </w:r>
          </w:p>
          <w:p w:rsidR="006635B0" w:rsidRPr="00031974" w:rsidRDefault="006635B0" w:rsidP="00B243C4">
            <w:pPr>
              <w:jc w:val="both"/>
              <w:rPr>
                <w:rFonts w:eastAsia="Calibri"/>
                <w:sz w:val="20"/>
                <w:lang w:val="fr-CA"/>
              </w:rPr>
            </w:pPr>
          </w:p>
        </w:tc>
      </w:tr>
      <w:tr w:rsidR="006635B0" w:rsidRPr="00A33CF8" w:rsidTr="00021E85">
        <w:trPr>
          <w:cantSplit/>
        </w:trPr>
        <w:tc>
          <w:tcPr>
            <w:tcW w:w="2427" w:type="pct"/>
          </w:tcPr>
          <w:p w:rsidR="006635B0" w:rsidRPr="00031974" w:rsidRDefault="006635B0" w:rsidP="00B243C4">
            <w:pPr>
              <w:jc w:val="both"/>
              <w:rPr>
                <w:rFonts w:eastAsia="Calibri"/>
                <w:sz w:val="20"/>
                <w:lang w:val="fr-CA"/>
              </w:rPr>
            </w:pPr>
            <w:r w:rsidRPr="00031974">
              <w:rPr>
                <w:rFonts w:eastAsia="Calibri"/>
                <w:sz w:val="20"/>
                <w:lang w:val="fr-CA"/>
              </w:rPr>
              <w:t>15 décembre 2014</w:t>
            </w:r>
          </w:p>
          <w:p w:rsidR="006635B0" w:rsidRPr="00031974" w:rsidRDefault="006635B0" w:rsidP="00B243C4">
            <w:pPr>
              <w:jc w:val="both"/>
              <w:rPr>
                <w:rFonts w:eastAsia="Calibri"/>
                <w:sz w:val="20"/>
                <w:lang w:val="fr-CA"/>
              </w:rPr>
            </w:pPr>
            <w:r w:rsidRPr="00031974">
              <w:rPr>
                <w:rFonts w:eastAsia="Calibri"/>
                <w:sz w:val="20"/>
                <w:lang w:val="fr-CA"/>
              </w:rPr>
              <w:t>Cour suprême du Canada</w:t>
            </w:r>
          </w:p>
        </w:tc>
        <w:tc>
          <w:tcPr>
            <w:tcW w:w="243" w:type="pct"/>
          </w:tcPr>
          <w:p w:rsidR="006635B0" w:rsidRPr="00031974" w:rsidRDefault="006635B0" w:rsidP="00B243C4">
            <w:pPr>
              <w:jc w:val="both"/>
              <w:rPr>
                <w:rFonts w:eastAsia="Calibri"/>
                <w:sz w:val="20"/>
                <w:lang w:val="fr-CA"/>
              </w:rPr>
            </w:pPr>
          </w:p>
        </w:tc>
        <w:tc>
          <w:tcPr>
            <w:tcW w:w="2330" w:type="pct"/>
          </w:tcPr>
          <w:p w:rsidR="006635B0" w:rsidRPr="00031974" w:rsidRDefault="006635B0" w:rsidP="00B243C4">
            <w:pPr>
              <w:jc w:val="both"/>
              <w:rPr>
                <w:rFonts w:eastAsia="Calibri"/>
                <w:sz w:val="20"/>
                <w:lang w:val="fr-CA"/>
              </w:rPr>
            </w:pPr>
            <w:r w:rsidRPr="00031974">
              <w:rPr>
                <w:rFonts w:eastAsia="Calibri"/>
                <w:sz w:val="20"/>
                <w:lang w:val="fr-CA"/>
              </w:rPr>
              <w:t>Dépôt de la demande d’autorisation d’appel</w:t>
            </w:r>
          </w:p>
          <w:p w:rsidR="006635B0" w:rsidRPr="00031974" w:rsidRDefault="006635B0" w:rsidP="00B243C4">
            <w:pPr>
              <w:jc w:val="both"/>
              <w:rPr>
                <w:rFonts w:eastAsia="Calibri"/>
                <w:sz w:val="20"/>
                <w:lang w:val="fr-CA"/>
              </w:rPr>
            </w:pPr>
          </w:p>
        </w:tc>
      </w:tr>
    </w:tbl>
    <w:p w:rsidR="00233E21" w:rsidRPr="006635B0" w:rsidRDefault="00233E21" w:rsidP="00233E21">
      <w:pPr>
        <w:rPr>
          <w:sz w:val="20"/>
          <w:szCs w:val="20"/>
          <w:lang w:val="fr-CA"/>
        </w:rPr>
      </w:pPr>
    </w:p>
    <w:p w:rsidR="00233E21" w:rsidRDefault="00790981" w:rsidP="00233E21">
      <w:pPr>
        <w:rPr>
          <w:sz w:val="20"/>
          <w:szCs w:val="20"/>
          <w:lang w:val="fr-CA"/>
        </w:rPr>
      </w:pPr>
      <w:r>
        <w:rPr>
          <w:sz w:val="20"/>
          <w:szCs w:val="20"/>
          <w:lang w:val="fr-CA"/>
        </w:rPr>
        <w:pict>
          <v:rect id="_x0000_i1040" style="width:2in;height:1pt" o:hrpct="0" o:hralign="center" o:hrstd="t" o:hrnoshade="t" o:hr="t" fillcolor="black [3213]" stroked="f"/>
        </w:pict>
      </w:r>
    </w:p>
    <w:p w:rsidR="00233E21" w:rsidRDefault="00233E21" w:rsidP="00233E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21E85" w:rsidRPr="00C417EA" w:rsidTr="00B243C4">
        <w:trPr>
          <w:cantSplit/>
        </w:trPr>
        <w:tc>
          <w:tcPr>
            <w:tcW w:w="1458" w:type="dxa"/>
          </w:tcPr>
          <w:p w:rsidR="00021E85" w:rsidRPr="00C417EA" w:rsidRDefault="00021E85" w:rsidP="00B243C4">
            <w:pPr>
              <w:rPr>
                <w:sz w:val="20"/>
                <w:szCs w:val="20"/>
              </w:rPr>
            </w:pPr>
            <w:r w:rsidRPr="00C417EA">
              <w:rPr>
                <w:rStyle w:val="SCCFileNumberChar"/>
                <w:sz w:val="20"/>
                <w:szCs w:val="20"/>
              </w:rPr>
              <w:t>36216</w:t>
            </w:r>
          </w:p>
          <w:p w:rsidR="00021E85" w:rsidRPr="00C417EA" w:rsidRDefault="00021E85" w:rsidP="00B243C4">
            <w:pPr>
              <w:rPr>
                <w:b/>
                <w:sz w:val="20"/>
                <w:szCs w:val="20"/>
                <w:lang w:val="fr-CA"/>
              </w:rPr>
            </w:pPr>
          </w:p>
        </w:tc>
        <w:tc>
          <w:tcPr>
            <w:tcW w:w="8118" w:type="dxa"/>
          </w:tcPr>
          <w:p w:rsidR="00021E85" w:rsidRPr="00C417EA" w:rsidRDefault="00021E85" w:rsidP="00B243C4">
            <w:pPr>
              <w:rPr>
                <w:sz w:val="20"/>
                <w:szCs w:val="20"/>
              </w:rPr>
            </w:pPr>
            <w:r w:rsidRPr="00C417EA">
              <w:rPr>
                <w:rStyle w:val="SCCLsocChar"/>
                <w:sz w:val="20"/>
                <w:szCs w:val="20"/>
                <w:lang w:val="en-CA"/>
              </w:rPr>
              <w:t>Her Majesty the Queen v. Timothy Louie</w:t>
            </w:r>
            <w:r w:rsidRPr="00C417EA">
              <w:rPr>
                <w:sz w:val="20"/>
                <w:szCs w:val="20"/>
              </w:rPr>
              <w:t xml:space="preserve"> (Sask.) (Criminal) (By Leave)</w:t>
            </w:r>
          </w:p>
          <w:p w:rsidR="00021E85" w:rsidRPr="00C417EA" w:rsidRDefault="00021E85" w:rsidP="00B243C4">
            <w:pPr>
              <w:rPr>
                <w:sz w:val="20"/>
                <w:szCs w:val="20"/>
              </w:rPr>
            </w:pPr>
          </w:p>
        </w:tc>
      </w:tr>
      <w:tr w:rsidR="00021E85" w:rsidRPr="00C417EA" w:rsidTr="00B243C4">
        <w:trPr>
          <w:cantSplit/>
        </w:trPr>
        <w:tc>
          <w:tcPr>
            <w:tcW w:w="1458" w:type="dxa"/>
          </w:tcPr>
          <w:p w:rsidR="00021E85" w:rsidRPr="00C417EA" w:rsidRDefault="00021E85" w:rsidP="00B243C4">
            <w:pPr>
              <w:rPr>
                <w:sz w:val="20"/>
                <w:szCs w:val="20"/>
              </w:rPr>
            </w:pPr>
            <w:r w:rsidRPr="00C417EA">
              <w:rPr>
                <w:sz w:val="20"/>
                <w:szCs w:val="20"/>
              </w:rPr>
              <w:t>Coram :</w:t>
            </w:r>
          </w:p>
        </w:tc>
        <w:tc>
          <w:tcPr>
            <w:tcW w:w="8118" w:type="dxa"/>
          </w:tcPr>
          <w:p w:rsidR="00021E85" w:rsidRPr="00C417EA" w:rsidRDefault="00021E85" w:rsidP="00B243C4">
            <w:pPr>
              <w:rPr>
                <w:sz w:val="20"/>
                <w:szCs w:val="20"/>
              </w:rPr>
            </w:pPr>
            <w:r w:rsidRPr="00C417EA">
              <w:rPr>
                <w:rStyle w:val="SCCCoramChar"/>
                <w:sz w:val="20"/>
                <w:szCs w:val="20"/>
                <w:lang w:val="en-CA"/>
              </w:rPr>
              <w:t>Rothstein, Cromwell and Moldaver JJ.</w:t>
            </w:r>
          </w:p>
          <w:p w:rsidR="00021E85" w:rsidRPr="00C417EA" w:rsidRDefault="00021E85" w:rsidP="00B243C4">
            <w:pPr>
              <w:rPr>
                <w:sz w:val="20"/>
                <w:szCs w:val="20"/>
                <w:u w:val="single"/>
              </w:rPr>
            </w:pPr>
          </w:p>
        </w:tc>
      </w:tr>
      <w:tr w:rsidR="00021E85" w:rsidRPr="00A33CF8" w:rsidTr="00B243C4">
        <w:trPr>
          <w:cantSplit/>
        </w:trPr>
        <w:tc>
          <w:tcPr>
            <w:tcW w:w="9576" w:type="dxa"/>
            <w:gridSpan w:val="2"/>
          </w:tcPr>
          <w:p w:rsidR="00021E85" w:rsidRPr="00C417EA" w:rsidRDefault="00021E85" w:rsidP="00B243C4">
            <w:pPr>
              <w:pStyle w:val="SCCShortJudgment"/>
              <w:rPr>
                <w:szCs w:val="20"/>
              </w:rPr>
            </w:pPr>
            <w:r w:rsidRPr="00C417EA">
              <w:rPr>
                <w:szCs w:val="20"/>
              </w:rPr>
              <w:t>The application for leave to appeal from the judgment of the Court of Appeal for Saskatchewan, Number CACR2346, 2014 SKCA 107, dated October 24, 2014, is dismissed.</w:t>
            </w:r>
          </w:p>
          <w:p w:rsidR="00021E85" w:rsidRPr="00C417EA" w:rsidRDefault="00021E85" w:rsidP="00B243C4">
            <w:pPr>
              <w:pStyle w:val="SCCShortJudgment"/>
              <w:ind w:firstLine="0"/>
              <w:rPr>
                <w:szCs w:val="20"/>
              </w:rPr>
            </w:pPr>
          </w:p>
          <w:p w:rsidR="00021E85" w:rsidRPr="00C417EA" w:rsidRDefault="00021E85" w:rsidP="00B243C4">
            <w:pPr>
              <w:pStyle w:val="SCCShortJudgment"/>
              <w:rPr>
                <w:szCs w:val="20"/>
                <w:lang w:val="fr-CA"/>
              </w:rPr>
            </w:pPr>
            <w:r w:rsidRPr="00C417EA">
              <w:rPr>
                <w:szCs w:val="20"/>
                <w:lang w:val="fr-CA"/>
              </w:rPr>
              <w:t>La demande d’autorisation d’appel de l’arrêt de la Cour d’appel de la Saskatchewan, numéro CACR2346, 2014 SKCA 107, daté du 24 octobre 2014, est rejetée.</w:t>
            </w:r>
          </w:p>
        </w:tc>
      </w:tr>
    </w:tbl>
    <w:p w:rsidR="00233E21" w:rsidRPr="00021E85" w:rsidRDefault="00233E21" w:rsidP="00233E21">
      <w:pPr>
        <w:rPr>
          <w:sz w:val="20"/>
          <w:szCs w:val="20"/>
          <w:lang w:val="fr-CA"/>
        </w:rPr>
      </w:pPr>
    </w:p>
    <w:p w:rsidR="00233E21" w:rsidRPr="001B157C" w:rsidRDefault="00233E21" w:rsidP="00233E21">
      <w:pPr>
        <w:rPr>
          <w:sz w:val="20"/>
          <w:szCs w:val="20"/>
          <w:u w:val="single"/>
        </w:rPr>
      </w:pPr>
      <w:r w:rsidRPr="001B157C">
        <w:rPr>
          <w:sz w:val="20"/>
          <w:szCs w:val="20"/>
          <w:u w:val="single"/>
        </w:rPr>
        <w:t>CASE SUMMARY</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35B0" w:rsidRPr="00031974" w:rsidTr="00B243C4">
        <w:tc>
          <w:tcPr>
            <w:tcW w:w="5000" w:type="pct"/>
            <w:gridSpan w:val="3"/>
          </w:tcPr>
          <w:p w:rsidR="006635B0" w:rsidRPr="00031974" w:rsidRDefault="006635B0" w:rsidP="00B243C4">
            <w:pPr>
              <w:jc w:val="both"/>
              <w:rPr>
                <w:rFonts w:eastAsia="Calibri"/>
                <w:smallCaps/>
                <w:sz w:val="20"/>
              </w:rPr>
            </w:pPr>
            <w:r w:rsidRPr="00031974">
              <w:rPr>
                <w:rFonts w:eastAsia="Calibri"/>
                <w:smallCaps/>
                <w:sz w:val="20"/>
              </w:rPr>
              <w:t xml:space="preserve">(Publication </w:t>
            </w:r>
            <w:r>
              <w:rPr>
                <w:rFonts w:eastAsia="Calibri"/>
                <w:smallCaps/>
                <w:sz w:val="20"/>
              </w:rPr>
              <w:t>B</w:t>
            </w:r>
            <w:r w:rsidRPr="00031974">
              <w:rPr>
                <w:rFonts w:eastAsia="Calibri"/>
                <w:smallCaps/>
                <w:sz w:val="20"/>
              </w:rPr>
              <w:t xml:space="preserve">an in </w:t>
            </w:r>
            <w:r>
              <w:rPr>
                <w:rFonts w:eastAsia="Calibri"/>
                <w:smallCaps/>
                <w:sz w:val="20"/>
              </w:rPr>
              <w:t>C</w:t>
            </w:r>
            <w:r w:rsidRPr="00031974">
              <w:rPr>
                <w:rFonts w:eastAsia="Calibri"/>
                <w:smallCaps/>
                <w:sz w:val="20"/>
              </w:rPr>
              <w:t>ase)</w:t>
            </w:r>
          </w:p>
          <w:p w:rsidR="006635B0" w:rsidRPr="00031974" w:rsidRDefault="006635B0" w:rsidP="00B243C4">
            <w:pPr>
              <w:jc w:val="both"/>
              <w:rPr>
                <w:rFonts w:eastAsia="Calibri"/>
                <w:sz w:val="20"/>
              </w:rPr>
            </w:pPr>
          </w:p>
          <w:p w:rsidR="006635B0" w:rsidRPr="00031974" w:rsidRDefault="006635B0" w:rsidP="00B243C4">
            <w:pPr>
              <w:jc w:val="both"/>
              <w:rPr>
                <w:rFonts w:eastAsia="Calibri"/>
                <w:sz w:val="20"/>
              </w:rPr>
            </w:pPr>
            <w:r w:rsidRPr="00031974">
              <w:rPr>
                <w:rFonts w:eastAsia="Calibri"/>
                <w:sz w:val="20"/>
              </w:rPr>
              <w:t>Criminal law – Procedural law – Appeal – Whether Court of Appeal erred by quashing a verdict pursuant to s. 686(1)(</w:t>
            </w:r>
            <w:r w:rsidRPr="00031974">
              <w:rPr>
                <w:rFonts w:eastAsia="Calibri"/>
                <w:i/>
                <w:sz w:val="20"/>
              </w:rPr>
              <w:t>a</w:t>
            </w:r>
            <w:r w:rsidRPr="00031974">
              <w:rPr>
                <w:rFonts w:eastAsia="Calibri"/>
                <w:sz w:val="20"/>
              </w:rPr>
              <w:t xml:space="preserve">)(ii) of the </w:t>
            </w:r>
            <w:r w:rsidRPr="00031974">
              <w:rPr>
                <w:rFonts w:eastAsia="Calibri"/>
                <w:i/>
                <w:sz w:val="20"/>
              </w:rPr>
              <w:t xml:space="preserve">Criminal Code </w:t>
            </w:r>
            <w:r w:rsidRPr="00031974">
              <w:rPr>
                <w:rFonts w:eastAsia="Calibri"/>
                <w:sz w:val="20"/>
              </w:rPr>
              <w:t>in the absence of a demonstrable error of law – Whether Court of Appeal erred by failing to dismiss the appeal pursuant to s. 686(1)(</w:t>
            </w:r>
            <w:r w:rsidRPr="00031974">
              <w:rPr>
                <w:rFonts w:eastAsia="Calibri"/>
                <w:i/>
                <w:sz w:val="20"/>
              </w:rPr>
              <w:t>b</w:t>
            </w:r>
            <w:r w:rsidRPr="00031974">
              <w:rPr>
                <w:rFonts w:eastAsia="Calibri"/>
                <w:sz w:val="20"/>
              </w:rPr>
              <w:t>)(iii)?</w:t>
            </w:r>
          </w:p>
        </w:tc>
      </w:tr>
      <w:tr w:rsidR="006635B0" w:rsidRPr="00031974" w:rsidTr="00B243C4">
        <w:tc>
          <w:tcPr>
            <w:tcW w:w="5000" w:type="pct"/>
            <w:gridSpan w:val="3"/>
          </w:tcPr>
          <w:p w:rsidR="006635B0" w:rsidRPr="00031974" w:rsidRDefault="006635B0" w:rsidP="00B243C4">
            <w:pPr>
              <w:jc w:val="both"/>
              <w:rPr>
                <w:rFonts w:eastAsia="Calibri"/>
                <w:sz w:val="20"/>
              </w:rPr>
            </w:pPr>
          </w:p>
        </w:tc>
      </w:tr>
      <w:tr w:rsidR="006635B0" w:rsidRPr="00031974" w:rsidTr="00B243C4">
        <w:tc>
          <w:tcPr>
            <w:tcW w:w="5000" w:type="pct"/>
            <w:gridSpan w:val="3"/>
          </w:tcPr>
          <w:p w:rsidR="006635B0" w:rsidRPr="00031974" w:rsidRDefault="006635B0" w:rsidP="00B243C4">
            <w:pPr>
              <w:jc w:val="both"/>
              <w:rPr>
                <w:rFonts w:eastAsia="Calibri"/>
                <w:sz w:val="20"/>
              </w:rPr>
            </w:pPr>
            <w:r w:rsidRPr="00031974">
              <w:rPr>
                <w:rFonts w:eastAsia="Calibri"/>
                <w:sz w:val="20"/>
              </w:rPr>
              <w:t xml:space="preserve">Mr. Louie was charged with sexual assault, sexual touching and invitation to sexual touching for conduct alleged to have occurred in 1996 and 1997.  The complainant was approximately 9 years old at the time of the offences.  When the complainant was 15 years old, she told her mother that Mr. Louie had raped her but the police were not contacted.  The complainant contacted police in 2010 after receiving a Facebook friend request from Mr. Louie’s Facebook account.  </w:t>
            </w:r>
          </w:p>
          <w:p w:rsidR="006635B0" w:rsidRPr="00031974" w:rsidRDefault="006635B0" w:rsidP="00B243C4">
            <w:pPr>
              <w:jc w:val="both"/>
              <w:rPr>
                <w:rFonts w:eastAsia="Calibri"/>
                <w:sz w:val="20"/>
              </w:rPr>
            </w:pPr>
          </w:p>
        </w:tc>
      </w:tr>
      <w:tr w:rsidR="006635B0" w:rsidRPr="00031974" w:rsidTr="00B243C4">
        <w:tc>
          <w:tcPr>
            <w:tcW w:w="2427" w:type="pct"/>
          </w:tcPr>
          <w:p w:rsidR="006635B0" w:rsidRPr="00031974" w:rsidRDefault="006635B0" w:rsidP="00B243C4">
            <w:pPr>
              <w:jc w:val="both"/>
              <w:rPr>
                <w:rFonts w:eastAsia="Calibri"/>
                <w:sz w:val="20"/>
              </w:rPr>
            </w:pPr>
            <w:r w:rsidRPr="00031974">
              <w:rPr>
                <w:rFonts w:eastAsia="Calibri"/>
                <w:sz w:val="20"/>
              </w:rPr>
              <w:t>December 7, 2012</w:t>
            </w:r>
          </w:p>
          <w:p w:rsidR="006635B0" w:rsidRPr="00031974" w:rsidRDefault="006635B0" w:rsidP="00B243C4">
            <w:pPr>
              <w:jc w:val="both"/>
              <w:rPr>
                <w:rFonts w:eastAsia="Calibri"/>
                <w:sz w:val="20"/>
              </w:rPr>
            </w:pPr>
            <w:r w:rsidRPr="00031974">
              <w:rPr>
                <w:rFonts w:eastAsia="Calibri"/>
                <w:sz w:val="20"/>
              </w:rPr>
              <w:t>Court of Queen’s Bench of Saskatchewan</w:t>
            </w:r>
          </w:p>
          <w:p w:rsidR="006635B0" w:rsidRPr="00031974" w:rsidRDefault="006635B0" w:rsidP="00B243C4">
            <w:pPr>
              <w:jc w:val="both"/>
              <w:rPr>
                <w:rFonts w:eastAsia="Calibri"/>
                <w:sz w:val="20"/>
              </w:rPr>
            </w:pPr>
            <w:r w:rsidRPr="00031974">
              <w:rPr>
                <w:rFonts w:eastAsia="Calibri"/>
                <w:sz w:val="20"/>
              </w:rPr>
              <w:t>(Whitmore J.)</w:t>
            </w:r>
          </w:p>
          <w:p w:rsidR="006635B0" w:rsidRPr="00031974" w:rsidRDefault="00790981" w:rsidP="00B243C4">
            <w:pPr>
              <w:jc w:val="both"/>
              <w:rPr>
                <w:rFonts w:eastAsia="Calibri"/>
                <w:sz w:val="20"/>
              </w:rPr>
            </w:pPr>
            <w:hyperlink r:id="rId43" w:history="1">
              <w:r w:rsidR="006635B0" w:rsidRPr="00031974">
                <w:rPr>
                  <w:rFonts w:eastAsia="Calibri"/>
                  <w:color w:val="0000FF"/>
                  <w:sz w:val="20"/>
                  <w:u w:val="single"/>
                </w:rPr>
                <w:t>2012 SKQB 504</w:t>
              </w:r>
            </w:hyperlink>
          </w:p>
          <w:p w:rsidR="006635B0" w:rsidRPr="00031974" w:rsidRDefault="006635B0" w:rsidP="00B243C4">
            <w:pPr>
              <w:jc w:val="both"/>
              <w:rPr>
                <w:rFonts w:eastAsia="Calibri"/>
                <w:sz w:val="20"/>
              </w:rPr>
            </w:pPr>
          </w:p>
        </w:tc>
        <w:tc>
          <w:tcPr>
            <w:tcW w:w="243" w:type="pct"/>
          </w:tcPr>
          <w:p w:rsidR="006635B0" w:rsidRPr="00031974" w:rsidRDefault="006635B0" w:rsidP="00B243C4">
            <w:pPr>
              <w:jc w:val="both"/>
              <w:rPr>
                <w:rFonts w:eastAsia="Calibri"/>
                <w:sz w:val="20"/>
              </w:rPr>
            </w:pPr>
          </w:p>
        </w:tc>
        <w:tc>
          <w:tcPr>
            <w:tcW w:w="2330" w:type="pct"/>
          </w:tcPr>
          <w:p w:rsidR="006635B0" w:rsidRPr="00031974" w:rsidRDefault="006635B0" w:rsidP="00B243C4">
            <w:pPr>
              <w:jc w:val="both"/>
              <w:rPr>
                <w:rFonts w:eastAsia="Calibri"/>
                <w:sz w:val="20"/>
              </w:rPr>
            </w:pPr>
            <w:r w:rsidRPr="00031974">
              <w:rPr>
                <w:rFonts w:eastAsia="Calibri"/>
                <w:sz w:val="20"/>
              </w:rPr>
              <w:t>Convictions for sexual assault, sexual interference and invitation to sexual touching</w:t>
            </w:r>
          </w:p>
          <w:p w:rsidR="006635B0" w:rsidRPr="00031974" w:rsidRDefault="006635B0" w:rsidP="00B243C4">
            <w:pPr>
              <w:jc w:val="both"/>
              <w:rPr>
                <w:rFonts w:eastAsia="Calibri"/>
                <w:sz w:val="20"/>
              </w:rPr>
            </w:pPr>
          </w:p>
        </w:tc>
      </w:tr>
      <w:tr w:rsidR="006635B0" w:rsidRPr="00031974" w:rsidTr="00021E85">
        <w:trPr>
          <w:cantSplit/>
        </w:trPr>
        <w:tc>
          <w:tcPr>
            <w:tcW w:w="2427" w:type="pct"/>
          </w:tcPr>
          <w:p w:rsidR="006635B0" w:rsidRPr="00031974" w:rsidRDefault="006635B0" w:rsidP="00B243C4">
            <w:pPr>
              <w:jc w:val="both"/>
              <w:rPr>
                <w:rFonts w:eastAsia="Calibri"/>
                <w:sz w:val="20"/>
              </w:rPr>
            </w:pPr>
            <w:r w:rsidRPr="00031974">
              <w:rPr>
                <w:rFonts w:eastAsia="Calibri"/>
                <w:sz w:val="20"/>
              </w:rPr>
              <w:lastRenderedPageBreak/>
              <w:t>October 24, 2014</w:t>
            </w:r>
          </w:p>
          <w:p w:rsidR="006635B0" w:rsidRPr="00031974" w:rsidRDefault="006635B0" w:rsidP="00B243C4">
            <w:pPr>
              <w:jc w:val="both"/>
              <w:rPr>
                <w:rFonts w:eastAsia="Calibri"/>
                <w:sz w:val="20"/>
              </w:rPr>
            </w:pPr>
            <w:r w:rsidRPr="00031974">
              <w:rPr>
                <w:rFonts w:eastAsia="Calibri"/>
                <w:sz w:val="20"/>
              </w:rPr>
              <w:t>Court of Appeal for Saskatchewan</w:t>
            </w:r>
          </w:p>
          <w:p w:rsidR="006635B0" w:rsidRPr="00031974" w:rsidRDefault="006635B0" w:rsidP="00B243C4">
            <w:pPr>
              <w:jc w:val="both"/>
              <w:rPr>
                <w:rFonts w:eastAsia="Calibri"/>
                <w:sz w:val="20"/>
              </w:rPr>
            </w:pPr>
            <w:r w:rsidRPr="00031974">
              <w:rPr>
                <w:rFonts w:eastAsia="Calibri"/>
                <w:sz w:val="20"/>
              </w:rPr>
              <w:t>(Lane, Herauf, Ryan-Frosile JJ.A.)</w:t>
            </w:r>
          </w:p>
          <w:p w:rsidR="006635B0" w:rsidRPr="00031974" w:rsidRDefault="006635B0" w:rsidP="00B243C4">
            <w:pPr>
              <w:jc w:val="both"/>
              <w:rPr>
                <w:rFonts w:eastAsia="Calibri"/>
                <w:sz w:val="20"/>
              </w:rPr>
            </w:pPr>
            <w:r w:rsidRPr="00031974">
              <w:rPr>
                <w:rFonts w:eastAsia="Calibri"/>
                <w:sz w:val="20"/>
              </w:rPr>
              <w:t xml:space="preserve">CACR2346; </w:t>
            </w:r>
            <w:hyperlink r:id="rId44" w:history="1">
              <w:r w:rsidRPr="00031974">
                <w:rPr>
                  <w:rFonts w:eastAsia="Calibri"/>
                  <w:color w:val="0000FF"/>
                  <w:sz w:val="20"/>
                  <w:u w:val="single"/>
                </w:rPr>
                <w:t>2014 SKCA 107</w:t>
              </w:r>
            </w:hyperlink>
          </w:p>
          <w:p w:rsidR="006635B0" w:rsidRPr="00031974" w:rsidRDefault="006635B0" w:rsidP="00B243C4">
            <w:pPr>
              <w:jc w:val="both"/>
              <w:rPr>
                <w:rFonts w:eastAsia="Calibri"/>
                <w:sz w:val="20"/>
              </w:rPr>
            </w:pPr>
          </w:p>
        </w:tc>
        <w:tc>
          <w:tcPr>
            <w:tcW w:w="243" w:type="pct"/>
          </w:tcPr>
          <w:p w:rsidR="006635B0" w:rsidRPr="00031974" w:rsidRDefault="006635B0" w:rsidP="00B243C4">
            <w:pPr>
              <w:jc w:val="both"/>
              <w:rPr>
                <w:rFonts w:eastAsia="Calibri"/>
                <w:sz w:val="20"/>
              </w:rPr>
            </w:pPr>
          </w:p>
        </w:tc>
        <w:tc>
          <w:tcPr>
            <w:tcW w:w="2330" w:type="pct"/>
          </w:tcPr>
          <w:p w:rsidR="006635B0" w:rsidRPr="00031974" w:rsidRDefault="006635B0" w:rsidP="00B243C4">
            <w:pPr>
              <w:jc w:val="both"/>
              <w:rPr>
                <w:rFonts w:eastAsia="Calibri"/>
                <w:sz w:val="20"/>
              </w:rPr>
            </w:pPr>
            <w:r w:rsidRPr="00031974">
              <w:rPr>
                <w:rFonts w:eastAsia="Calibri"/>
                <w:sz w:val="20"/>
              </w:rPr>
              <w:t>Appeal allowed, convictions set aside, new trial ordered</w:t>
            </w:r>
          </w:p>
          <w:p w:rsidR="006635B0" w:rsidRPr="00031974" w:rsidRDefault="006635B0" w:rsidP="00B243C4">
            <w:pPr>
              <w:jc w:val="both"/>
              <w:rPr>
                <w:rFonts w:eastAsia="Calibri"/>
                <w:sz w:val="20"/>
              </w:rPr>
            </w:pPr>
          </w:p>
        </w:tc>
      </w:tr>
      <w:tr w:rsidR="006635B0" w:rsidRPr="00031974" w:rsidTr="00021E85">
        <w:trPr>
          <w:cantSplit/>
        </w:trPr>
        <w:tc>
          <w:tcPr>
            <w:tcW w:w="2427" w:type="pct"/>
          </w:tcPr>
          <w:p w:rsidR="006635B0" w:rsidRPr="00031974" w:rsidRDefault="006635B0" w:rsidP="00B243C4">
            <w:pPr>
              <w:jc w:val="both"/>
              <w:rPr>
                <w:rFonts w:eastAsia="Calibri"/>
                <w:sz w:val="20"/>
              </w:rPr>
            </w:pPr>
            <w:r w:rsidRPr="00031974">
              <w:rPr>
                <w:rFonts w:eastAsia="Calibri"/>
                <w:sz w:val="20"/>
              </w:rPr>
              <w:t>December 18, 2014</w:t>
            </w:r>
          </w:p>
          <w:p w:rsidR="006635B0" w:rsidRPr="00031974" w:rsidRDefault="006635B0" w:rsidP="00B243C4">
            <w:pPr>
              <w:jc w:val="both"/>
              <w:rPr>
                <w:rFonts w:eastAsia="Calibri"/>
                <w:sz w:val="20"/>
              </w:rPr>
            </w:pPr>
            <w:r w:rsidRPr="00031974">
              <w:rPr>
                <w:rFonts w:eastAsia="Calibri"/>
                <w:sz w:val="20"/>
              </w:rPr>
              <w:t>Supreme Court of Canada</w:t>
            </w:r>
          </w:p>
        </w:tc>
        <w:tc>
          <w:tcPr>
            <w:tcW w:w="243" w:type="pct"/>
          </w:tcPr>
          <w:p w:rsidR="006635B0" w:rsidRPr="00031974" w:rsidRDefault="006635B0" w:rsidP="00B243C4">
            <w:pPr>
              <w:jc w:val="both"/>
              <w:rPr>
                <w:rFonts w:eastAsia="Calibri"/>
                <w:sz w:val="20"/>
              </w:rPr>
            </w:pPr>
          </w:p>
        </w:tc>
        <w:tc>
          <w:tcPr>
            <w:tcW w:w="2330" w:type="pct"/>
          </w:tcPr>
          <w:p w:rsidR="006635B0" w:rsidRPr="00031974" w:rsidRDefault="006635B0" w:rsidP="00B243C4">
            <w:pPr>
              <w:jc w:val="both"/>
              <w:rPr>
                <w:rFonts w:eastAsia="Calibri"/>
                <w:sz w:val="20"/>
              </w:rPr>
            </w:pPr>
            <w:r w:rsidRPr="00031974">
              <w:rPr>
                <w:rFonts w:eastAsia="Calibri"/>
                <w:sz w:val="20"/>
              </w:rPr>
              <w:t>Application for leave to appeal filed</w:t>
            </w:r>
          </w:p>
          <w:p w:rsidR="006635B0" w:rsidRPr="00031974" w:rsidRDefault="006635B0" w:rsidP="00B243C4">
            <w:pPr>
              <w:jc w:val="both"/>
              <w:rPr>
                <w:rFonts w:eastAsia="Calibri"/>
                <w:sz w:val="20"/>
              </w:rPr>
            </w:pPr>
          </w:p>
        </w:tc>
      </w:tr>
    </w:tbl>
    <w:p w:rsidR="00233E21" w:rsidRDefault="00233E21" w:rsidP="00233E21">
      <w:pPr>
        <w:rPr>
          <w:sz w:val="20"/>
          <w:szCs w:val="20"/>
        </w:rPr>
      </w:pPr>
    </w:p>
    <w:p w:rsidR="00233E21" w:rsidRPr="00C50A5C" w:rsidRDefault="00790981" w:rsidP="00233E21">
      <w:pPr>
        <w:rPr>
          <w:sz w:val="20"/>
          <w:szCs w:val="20"/>
        </w:rPr>
      </w:pPr>
      <w:r>
        <w:rPr>
          <w:sz w:val="20"/>
          <w:szCs w:val="20"/>
          <w:lang w:val="fr-CA"/>
        </w:rPr>
        <w:pict>
          <v:rect id="_x0000_i1041" style="width:2in;height:1pt" o:hrpct="0" o:hralign="center" o:hrstd="t" o:hrnoshade="t" o:hr="t" fillcolor="black [3213]" stroked="f"/>
        </w:pict>
      </w:r>
    </w:p>
    <w:p w:rsidR="00233E21" w:rsidRDefault="00233E21" w:rsidP="00233E21">
      <w:pPr>
        <w:rPr>
          <w:sz w:val="20"/>
          <w:szCs w:val="20"/>
        </w:rPr>
      </w:pPr>
    </w:p>
    <w:p w:rsidR="00233E21" w:rsidRPr="001B157C" w:rsidRDefault="00233E21" w:rsidP="00233E21">
      <w:pPr>
        <w:rPr>
          <w:sz w:val="20"/>
          <w:szCs w:val="20"/>
          <w:u w:val="single"/>
          <w:lang w:val="fr-CA"/>
        </w:rPr>
      </w:pPr>
      <w:r w:rsidRPr="001B157C">
        <w:rPr>
          <w:sz w:val="20"/>
          <w:szCs w:val="20"/>
          <w:u w:val="single"/>
          <w:lang w:val="fr-CA"/>
        </w:rPr>
        <w:t>RÉSUMÉ DE L’AFFAIRE</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35B0" w:rsidRPr="00031974" w:rsidTr="00B243C4">
        <w:tc>
          <w:tcPr>
            <w:tcW w:w="5000" w:type="pct"/>
            <w:gridSpan w:val="3"/>
          </w:tcPr>
          <w:p w:rsidR="006635B0" w:rsidRDefault="006635B0" w:rsidP="00B243C4">
            <w:pPr>
              <w:jc w:val="both"/>
              <w:rPr>
                <w:rFonts w:eastAsia="Calibri"/>
                <w:smallCaps/>
                <w:sz w:val="20"/>
                <w:lang w:val="fr-CA"/>
              </w:rPr>
            </w:pPr>
            <w:r w:rsidRPr="00031974">
              <w:rPr>
                <w:rFonts w:eastAsia="Calibri"/>
                <w:smallCaps/>
                <w:sz w:val="20"/>
                <w:lang w:val="fr-CA"/>
              </w:rPr>
              <w:t>(</w:t>
            </w:r>
            <w:r>
              <w:rPr>
                <w:rFonts w:eastAsia="Calibri"/>
                <w:smallCaps/>
                <w:sz w:val="20"/>
                <w:lang w:val="fr-CA"/>
              </w:rPr>
              <w:t>O</w:t>
            </w:r>
            <w:r w:rsidRPr="00031974">
              <w:rPr>
                <w:rFonts w:eastAsia="Calibri"/>
                <w:smallCaps/>
                <w:sz w:val="20"/>
                <w:lang w:val="fr-CA"/>
              </w:rPr>
              <w:t>rdonnance de non-publication dans le dossier)</w:t>
            </w:r>
          </w:p>
          <w:p w:rsidR="006635B0" w:rsidRPr="00031974" w:rsidRDefault="006635B0" w:rsidP="00B243C4">
            <w:pPr>
              <w:jc w:val="both"/>
              <w:rPr>
                <w:rFonts w:eastAsia="Calibri"/>
                <w:sz w:val="20"/>
                <w:lang w:val="fr-CA"/>
              </w:rPr>
            </w:pPr>
          </w:p>
          <w:p w:rsidR="006635B0" w:rsidRPr="00031974" w:rsidRDefault="006635B0" w:rsidP="00B243C4">
            <w:pPr>
              <w:jc w:val="both"/>
              <w:rPr>
                <w:rFonts w:eastAsia="Calibri"/>
                <w:sz w:val="20"/>
                <w:lang w:val="fr-CA"/>
              </w:rPr>
            </w:pPr>
            <w:r w:rsidRPr="00031974">
              <w:rPr>
                <w:rFonts w:eastAsia="Calibri"/>
                <w:sz w:val="20"/>
                <w:lang w:val="fr-CA"/>
              </w:rPr>
              <w:t>Droit criminel – Droit procédural – Appel – La cour d’appel a-t-elle eu tort d’écarter un verdict en vertu du sous-al. 686(1)</w:t>
            </w:r>
            <w:r w:rsidRPr="00031974">
              <w:rPr>
                <w:rFonts w:eastAsia="Calibri"/>
                <w:i/>
                <w:sz w:val="20"/>
                <w:lang w:val="fr-CA"/>
              </w:rPr>
              <w:t>a</w:t>
            </w:r>
            <w:r w:rsidRPr="00031974">
              <w:rPr>
                <w:rFonts w:eastAsia="Calibri"/>
                <w:sz w:val="20"/>
                <w:lang w:val="fr-CA"/>
              </w:rPr>
              <w:t xml:space="preserve">)(ii) du </w:t>
            </w:r>
            <w:r w:rsidRPr="00031974">
              <w:rPr>
                <w:rFonts w:eastAsia="Calibri"/>
                <w:i/>
                <w:sz w:val="20"/>
                <w:lang w:val="fr-CA"/>
              </w:rPr>
              <w:t>Code criminel</w:t>
            </w:r>
            <w:r w:rsidRPr="00031974">
              <w:rPr>
                <w:rFonts w:eastAsia="Calibri"/>
                <w:sz w:val="20"/>
                <w:lang w:val="fr-CA"/>
              </w:rPr>
              <w:t xml:space="preserve"> sans qu’il y ait d’erreur démontrable sur une question de droit? – La cour d’appel a-t-elle commis une erreur en ne rejetant pas l’appel sur le fondement du sous-al. 686(1)</w:t>
            </w:r>
            <w:r w:rsidRPr="00031974">
              <w:rPr>
                <w:rFonts w:eastAsia="Calibri"/>
                <w:i/>
                <w:sz w:val="20"/>
                <w:lang w:val="fr-CA"/>
              </w:rPr>
              <w:t>b</w:t>
            </w:r>
            <w:r w:rsidRPr="00031974">
              <w:rPr>
                <w:rFonts w:eastAsia="Calibri"/>
                <w:sz w:val="20"/>
                <w:lang w:val="fr-CA"/>
              </w:rPr>
              <w:t>)(iii)?</w:t>
            </w:r>
          </w:p>
        </w:tc>
      </w:tr>
      <w:tr w:rsidR="006635B0" w:rsidRPr="00031974" w:rsidTr="00B243C4">
        <w:tc>
          <w:tcPr>
            <w:tcW w:w="5000" w:type="pct"/>
            <w:gridSpan w:val="3"/>
          </w:tcPr>
          <w:p w:rsidR="006635B0" w:rsidRPr="00031974" w:rsidRDefault="006635B0" w:rsidP="00B243C4">
            <w:pPr>
              <w:jc w:val="both"/>
              <w:rPr>
                <w:rFonts w:eastAsia="Calibri"/>
                <w:sz w:val="20"/>
                <w:lang w:val="fr-CA"/>
              </w:rPr>
            </w:pPr>
          </w:p>
        </w:tc>
      </w:tr>
      <w:tr w:rsidR="006635B0" w:rsidRPr="00A33CF8" w:rsidTr="00B243C4">
        <w:tc>
          <w:tcPr>
            <w:tcW w:w="5000" w:type="pct"/>
            <w:gridSpan w:val="3"/>
          </w:tcPr>
          <w:p w:rsidR="006635B0" w:rsidRPr="00031974" w:rsidRDefault="006635B0" w:rsidP="00B243C4">
            <w:pPr>
              <w:jc w:val="both"/>
              <w:rPr>
                <w:rFonts w:eastAsia="Calibri"/>
                <w:sz w:val="20"/>
                <w:lang w:val="fr-CA"/>
              </w:rPr>
            </w:pPr>
            <w:r w:rsidRPr="00031974">
              <w:rPr>
                <w:rFonts w:eastAsia="Calibri"/>
                <w:sz w:val="20"/>
                <w:lang w:val="fr-CA"/>
              </w:rPr>
              <w:t xml:space="preserve">M. Louie a été accusé d’agression sexuelle, de contacts sexuels et d’incitation à des contacts sexuels pour des actes qu’il aurait commis en 1996 et 1997.  La plaignante était âgée d’environ 9 ans au moment des infractions.  Quand elle avait 15 ans, elle a informé sa mère qu’elle avait été violée par M. Louie, mais personne n’a appelé la police.  La plaignante a communiqué avec la police en 2010 après avoir reçu une demande d’ami Facebook du compte de M. Louie.  </w:t>
            </w:r>
          </w:p>
          <w:p w:rsidR="006635B0" w:rsidRPr="00031974" w:rsidRDefault="006635B0" w:rsidP="00B243C4">
            <w:pPr>
              <w:jc w:val="both"/>
              <w:rPr>
                <w:rFonts w:eastAsia="Calibri"/>
                <w:sz w:val="20"/>
                <w:lang w:val="fr-CA"/>
              </w:rPr>
            </w:pPr>
          </w:p>
        </w:tc>
      </w:tr>
      <w:tr w:rsidR="006635B0" w:rsidRPr="00A33CF8" w:rsidTr="00B243C4">
        <w:tc>
          <w:tcPr>
            <w:tcW w:w="2427" w:type="pct"/>
          </w:tcPr>
          <w:p w:rsidR="006635B0" w:rsidRPr="00031974" w:rsidRDefault="006635B0" w:rsidP="00B243C4">
            <w:pPr>
              <w:jc w:val="both"/>
              <w:rPr>
                <w:rFonts w:eastAsia="Calibri"/>
                <w:sz w:val="20"/>
                <w:lang w:val="fr-CA"/>
              </w:rPr>
            </w:pPr>
            <w:r w:rsidRPr="00031974">
              <w:rPr>
                <w:rFonts w:eastAsia="Calibri"/>
                <w:sz w:val="20"/>
                <w:lang w:val="fr-CA"/>
              </w:rPr>
              <w:t>7 décembre 2012</w:t>
            </w:r>
          </w:p>
          <w:p w:rsidR="006635B0" w:rsidRPr="00031974" w:rsidRDefault="006635B0" w:rsidP="00B243C4">
            <w:pPr>
              <w:jc w:val="both"/>
              <w:rPr>
                <w:rFonts w:eastAsia="Calibri"/>
                <w:sz w:val="20"/>
                <w:lang w:val="fr-CA"/>
              </w:rPr>
            </w:pPr>
            <w:r w:rsidRPr="00031974">
              <w:rPr>
                <w:rFonts w:eastAsia="Calibri"/>
                <w:sz w:val="20"/>
                <w:lang w:val="fr-CA"/>
              </w:rPr>
              <w:t>Cour du Banc de la Reine de la Saskatchewan</w:t>
            </w:r>
          </w:p>
          <w:p w:rsidR="006635B0" w:rsidRPr="00031974" w:rsidRDefault="006635B0" w:rsidP="00B243C4">
            <w:pPr>
              <w:jc w:val="both"/>
              <w:rPr>
                <w:rFonts w:eastAsia="Calibri"/>
                <w:sz w:val="20"/>
                <w:lang w:val="fr-CA"/>
              </w:rPr>
            </w:pPr>
            <w:r w:rsidRPr="00031974">
              <w:rPr>
                <w:rFonts w:eastAsia="Calibri"/>
                <w:sz w:val="20"/>
                <w:lang w:val="fr-CA"/>
              </w:rPr>
              <w:t>(Juge Whitmore)</w:t>
            </w:r>
          </w:p>
          <w:p w:rsidR="006635B0" w:rsidRPr="00031974" w:rsidRDefault="00790981" w:rsidP="00B243C4">
            <w:pPr>
              <w:jc w:val="both"/>
              <w:rPr>
                <w:rFonts w:eastAsia="Calibri"/>
                <w:sz w:val="20"/>
                <w:lang w:val="fr-CA"/>
              </w:rPr>
            </w:pPr>
            <w:hyperlink r:id="rId45" w:history="1">
              <w:r w:rsidR="006635B0" w:rsidRPr="00031974">
                <w:rPr>
                  <w:rFonts w:eastAsia="Calibri"/>
                  <w:color w:val="0000FF"/>
                  <w:sz w:val="20"/>
                  <w:u w:val="single"/>
                  <w:lang w:val="fr-CA"/>
                </w:rPr>
                <w:t>2012 SKQB 504</w:t>
              </w:r>
            </w:hyperlink>
          </w:p>
          <w:p w:rsidR="006635B0" w:rsidRPr="00031974" w:rsidRDefault="006635B0" w:rsidP="00B243C4">
            <w:pPr>
              <w:jc w:val="both"/>
              <w:rPr>
                <w:rFonts w:eastAsia="Calibri"/>
                <w:sz w:val="20"/>
                <w:lang w:val="fr-CA"/>
              </w:rPr>
            </w:pPr>
          </w:p>
        </w:tc>
        <w:tc>
          <w:tcPr>
            <w:tcW w:w="243" w:type="pct"/>
          </w:tcPr>
          <w:p w:rsidR="006635B0" w:rsidRPr="00031974" w:rsidRDefault="006635B0" w:rsidP="00B243C4">
            <w:pPr>
              <w:jc w:val="both"/>
              <w:rPr>
                <w:rFonts w:eastAsia="Calibri"/>
                <w:sz w:val="20"/>
                <w:lang w:val="fr-CA"/>
              </w:rPr>
            </w:pPr>
          </w:p>
        </w:tc>
        <w:tc>
          <w:tcPr>
            <w:tcW w:w="2330" w:type="pct"/>
          </w:tcPr>
          <w:p w:rsidR="006635B0" w:rsidRPr="00031974" w:rsidRDefault="006635B0" w:rsidP="00B243C4">
            <w:pPr>
              <w:jc w:val="both"/>
              <w:rPr>
                <w:rFonts w:eastAsia="Calibri"/>
                <w:sz w:val="20"/>
                <w:lang w:val="fr-CA"/>
              </w:rPr>
            </w:pPr>
            <w:r w:rsidRPr="00031974">
              <w:rPr>
                <w:rFonts w:eastAsia="Calibri"/>
                <w:sz w:val="20"/>
                <w:lang w:val="fr-CA"/>
              </w:rPr>
              <w:t>Déclarations de culpabilité pour agression sexuelle, contacts sexuels et incitation à des contacts sexuels</w:t>
            </w:r>
          </w:p>
          <w:p w:rsidR="006635B0" w:rsidRPr="00031974" w:rsidRDefault="006635B0" w:rsidP="00B243C4">
            <w:pPr>
              <w:jc w:val="both"/>
              <w:rPr>
                <w:rFonts w:eastAsia="Calibri"/>
                <w:sz w:val="20"/>
                <w:lang w:val="fr-CA"/>
              </w:rPr>
            </w:pPr>
          </w:p>
        </w:tc>
      </w:tr>
      <w:tr w:rsidR="006635B0" w:rsidRPr="00A33CF8" w:rsidTr="00B243C4">
        <w:tc>
          <w:tcPr>
            <w:tcW w:w="2427" w:type="pct"/>
          </w:tcPr>
          <w:p w:rsidR="006635B0" w:rsidRPr="00031974" w:rsidRDefault="006635B0" w:rsidP="00B243C4">
            <w:pPr>
              <w:jc w:val="both"/>
              <w:rPr>
                <w:rFonts w:eastAsia="Calibri"/>
                <w:sz w:val="20"/>
                <w:lang w:val="fr-CA"/>
              </w:rPr>
            </w:pPr>
            <w:r w:rsidRPr="00031974">
              <w:rPr>
                <w:rFonts w:eastAsia="Calibri"/>
                <w:sz w:val="20"/>
                <w:lang w:val="fr-CA"/>
              </w:rPr>
              <w:t>24 octobre 2014</w:t>
            </w:r>
          </w:p>
          <w:p w:rsidR="006635B0" w:rsidRPr="00031974" w:rsidRDefault="006635B0" w:rsidP="00B243C4">
            <w:pPr>
              <w:jc w:val="both"/>
              <w:rPr>
                <w:rFonts w:eastAsia="Calibri"/>
                <w:sz w:val="20"/>
                <w:lang w:val="fr-CA"/>
              </w:rPr>
            </w:pPr>
            <w:r w:rsidRPr="00031974">
              <w:rPr>
                <w:rFonts w:eastAsia="Calibri"/>
                <w:sz w:val="20"/>
                <w:lang w:val="fr-CA"/>
              </w:rPr>
              <w:t>Cour d’appel de la Saskatchewan</w:t>
            </w:r>
          </w:p>
          <w:p w:rsidR="006635B0" w:rsidRPr="00031974" w:rsidRDefault="006635B0" w:rsidP="00B243C4">
            <w:pPr>
              <w:jc w:val="both"/>
              <w:rPr>
                <w:rFonts w:eastAsia="Calibri"/>
                <w:sz w:val="20"/>
                <w:lang w:val="fr-CA"/>
              </w:rPr>
            </w:pPr>
            <w:r w:rsidRPr="00031974">
              <w:rPr>
                <w:rFonts w:eastAsia="Calibri"/>
                <w:sz w:val="20"/>
                <w:lang w:val="fr-CA"/>
              </w:rPr>
              <w:t>(Juges Lane, Herauf et Ryan-Frosile)</w:t>
            </w:r>
          </w:p>
          <w:p w:rsidR="006635B0" w:rsidRPr="00031974" w:rsidRDefault="006635B0" w:rsidP="00B243C4">
            <w:pPr>
              <w:jc w:val="both"/>
              <w:rPr>
                <w:rFonts w:eastAsia="Calibri"/>
                <w:sz w:val="20"/>
                <w:lang w:val="fr-CA"/>
              </w:rPr>
            </w:pPr>
            <w:r w:rsidRPr="00031974">
              <w:rPr>
                <w:rFonts w:eastAsia="Calibri"/>
                <w:sz w:val="20"/>
                <w:lang w:val="fr-CA"/>
              </w:rPr>
              <w:t xml:space="preserve">CACR2346; </w:t>
            </w:r>
            <w:hyperlink r:id="rId46" w:history="1">
              <w:r w:rsidRPr="00031974">
                <w:rPr>
                  <w:rFonts w:eastAsia="Calibri"/>
                  <w:color w:val="0000FF"/>
                  <w:sz w:val="20"/>
                  <w:u w:val="single"/>
                  <w:lang w:val="fr-CA"/>
                </w:rPr>
                <w:t>2014 SKCA 107</w:t>
              </w:r>
            </w:hyperlink>
          </w:p>
          <w:p w:rsidR="006635B0" w:rsidRPr="00031974" w:rsidRDefault="006635B0" w:rsidP="00B243C4">
            <w:pPr>
              <w:jc w:val="both"/>
              <w:rPr>
                <w:rFonts w:eastAsia="Calibri"/>
                <w:sz w:val="20"/>
                <w:lang w:val="fr-CA"/>
              </w:rPr>
            </w:pPr>
          </w:p>
        </w:tc>
        <w:tc>
          <w:tcPr>
            <w:tcW w:w="243" w:type="pct"/>
          </w:tcPr>
          <w:p w:rsidR="006635B0" w:rsidRPr="00031974" w:rsidRDefault="006635B0" w:rsidP="00B243C4">
            <w:pPr>
              <w:jc w:val="both"/>
              <w:rPr>
                <w:rFonts w:eastAsia="Calibri"/>
                <w:sz w:val="20"/>
                <w:lang w:val="fr-CA"/>
              </w:rPr>
            </w:pPr>
          </w:p>
        </w:tc>
        <w:tc>
          <w:tcPr>
            <w:tcW w:w="2330" w:type="pct"/>
          </w:tcPr>
          <w:p w:rsidR="006635B0" w:rsidRPr="00031974" w:rsidRDefault="006635B0" w:rsidP="00B243C4">
            <w:pPr>
              <w:jc w:val="both"/>
              <w:rPr>
                <w:rFonts w:eastAsia="Calibri"/>
                <w:sz w:val="20"/>
                <w:lang w:val="fr-CA"/>
              </w:rPr>
            </w:pPr>
            <w:r w:rsidRPr="00031974">
              <w:rPr>
                <w:rFonts w:eastAsia="Calibri"/>
                <w:sz w:val="20"/>
                <w:lang w:val="fr-CA"/>
              </w:rPr>
              <w:t>Appel accueilli; déclarations de culpabilité écartées, tenue d’un nouveau procès ordonnée</w:t>
            </w:r>
          </w:p>
          <w:p w:rsidR="006635B0" w:rsidRPr="00031974" w:rsidRDefault="006635B0" w:rsidP="00B243C4">
            <w:pPr>
              <w:jc w:val="both"/>
              <w:rPr>
                <w:rFonts w:eastAsia="Calibri"/>
                <w:sz w:val="20"/>
                <w:lang w:val="fr-CA"/>
              </w:rPr>
            </w:pPr>
          </w:p>
        </w:tc>
      </w:tr>
      <w:tr w:rsidR="006635B0" w:rsidRPr="00031974" w:rsidTr="00B243C4">
        <w:tc>
          <w:tcPr>
            <w:tcW w:w="2427" w:type="pct"/>
          </w:tcPr>
          <w:p w:rsidR="006635B0" w:rsidRPr="00031974" w:rsidRDefault="006635B0" w:rsidP="00B243C4">
            <w:pPr>
              <w:jc w:val="both"/>
              <w:rPr>
                <w:rFonts w:eastAsia="Calibri"/>
                <w:sz w:val="20"/>
                <w:lang w:val="fr-CA"/>
              </w:rPr>
            </w:pPr>
            <w:r w:rsidRPr="00031974">
              <w:rPr>
                <w:rFonts w:eastAsia="Calibri"/>
                <w:sz w:val="20"/>
                <w:lang w:val="fr-CA"/>
              </w:rPr>
              <w:t>18 décembre 2014</w:t>
            </w:r>
          </w:p>
          <w:p w:rsidR="006635B0" w:rsidRPr="00031974" w:rsidRDefault="006635B0" w:rsidP="00B243C4">
            <w:pPr>
              <w:jc w:val="both"/>
              <w:rPr>
                <w:rFonts w:eastAsia="Calibri"/>
                <w:sz w:val="20"/>
                <w:lang w:val="fr-CA"/>
              </w:rPr>
            </w:pPr>
            <w:r w:rsidRPr="00031974">
              <w:rPr>
                <w:rFonts w:eastAsia="Calibri"/>
                <w:sz w:val="20"/>
                <w:lang w:val="fr-CA"/>
              </w:rPr>
              <w:t>Cour suprême du Canada</w:t>
            </w:r>
          </w:p>
        </w:tc>
        <w:tc>
          <w:tcPr>
            <w:tcW w:w="243" w:type="pct"/>
          </w:tcPr>
          <w:p w:rsidR="006635B0" w:rsidRPr="00031974" w:rsidRDefault="006635B0" w:rsidP="00B243C4">
            <w:pPr>
              <w:jc w:val="both"/>
              <w:rPr>
                <w:rFonts w:eastAsia="Calibri"/>
                <w:sz w:val="20"/>
                <w:lang w:val="fr-CA"/>
              </w:rPr>
            </w:pPr>
          </w:p>
        </w:tc>
        <w:tc>
          <w:tcPr>
            <w:tcW w:w="2330" w:type="pct"/>
          </w:tcPr>
          <w:p w:rsidR="006635B0" w:rsidRPr="00031974" w:rsidRDefault="006635B0" w:rsidP="00B243C4">
            <w:pPr>
              <w:jc w:val="both"/>
              <w:rPr>
                <w:rFonts w:eastAsia="Calibri"/>
                <w:sz w:val="20"/>
                <w:lang w:val="fr-CA"/>
              </w:rPr>
            </w:pPr>
            <w:r w:rsidRPr="00031974">
              <w:rPr>
                <w:rFonts w:eastAsia="Calibri"/>
                <w:sz w:val="20"/>
                <w:lang w:val="fr-CA"/>
              </w:rPr>
              <w:t>Dépôt de la demande d’autorisation</w:t>
            </w:r>
          </w:p>
          <w:p w:rsidR="006635B0" w:rsidRPr="00031974" w:rsidRDefault="006635B0" w:rsidP="00B243C4">
            <w:pPr>
              <w:jc w:val="both"/>
              <w:rPr>
                <w:rFonts w:eastAsia="Calibri"/>
                <w:sz w:val="20"/>
                <w:lang w:val="fr-CA"/>
              </w:rPr>
            </w:pPr>
          </w:p>
        </w:tc>
      </w:tr>
    </w:tbl>
    <w:p w:rsidR="00233E21" w:rsidRDefault="00233E21" w:rsidP="00233E21">
      <w:pPr>
        <w:rPr>
          <w:sz w:val="20"/>
          <w:szCs w:val="20"/>
        </w:rPr>
      </w:pPr>
    </w:p>
    <w:p w:rsidR="00233E21" w:rsidRDefault="00790981" w:rsidP="00233E21">
      <w:pPr>
        <w:rPr>
          <w:sz w:val="20"/>
          <w:szCs w:val="20"/>
          <w:lang w:val="fr-CA"/>
        </w:rPr>
      </w:pPr>
      <w:r>
        <w:rPr>
          <w:sz w:val="20"/>
          <w:szCs w:val="20"/>
          <w:lang w:val="fr-CA"/>
        </w:rPr>
        <w:pict>
          <v:rect id="_x0000_i1042" style="width:2in;height:1pt" o:hrpct="0" o:hralign="center" o:hrstd="t" o:hrnoshade="t" o:hr="t" fillcolor="black [3213]" stroked="f"/>
        </w:pict>
      </w:r>
    </w:p>
    <w:p w:rsidR="00233E21" w:rsidRDefault="00233E21" w:rsidP="00233E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21E85" w:rsidRPr="00C417EA" w:rsidTr="00B243C4">
        <w:trPr>
          <w:cantSplit/>
        </w:trPr>
        <w:tc>
          <w:tcPr>
            <w:tcW w:w="1458" w:type="dxa"/>
          </w:tcPr>
          <w:p w:rsidR="00021E85" w:rsidRPr="00C417EA" w:rsidRDefault="00021E85" w:rsidP="00B243C4">
            <w:pPr>
              <w:rPr>
                <w:sz w:val="20"/>
                <w:szCs w:val="20"/>
              </w:rPr>
            </w:pPr>
            <w:r w:rsidRPr="00C417EA">
              <w:rPr>
                <w:rStyle w:val="SCCFileNumberChar"/>
                <w:sz w:val="20"/>
                <w:szCs w:val="20"/>
              </w:rPr>
              <w:t>36217</w:t>
            </w:r>
          </w:p>
          <w:p w:rsidR="00021E85" w:rsidRPr="00C417EA" w:rsidRDefault="00021E85" w:rsidP="00B243C4">
            <w:pPr>
              <w:rPr>
                <w:b/>
                <w:sz w:val="20"/>
                <w:szCs w:val="20"/>
                <w:lang w:val="fr-CA"/>
              </w:rPr>
            </w:pPr>
          </w:p>
        </w:tc>
        <w:tc>
          <w:tcPr>
            <w:tcW w:w="8118" w:type="dxa"/>
          </w:tcPr>
          <w:p w:rsidR="00021E85" w:rsidRPr="00C417EA" w:rsidRDefault="00021E85" w:rsidP="00B243C4">
            <w:pPr>
              <w:jc w:val="both"/>
              <w:rPr>
                <w:sz w:val="20"/>
                <w:szCs w:val="20"/>
              </w:rPr>
            </w:pPr>
            <w:r w:rsidRPr="00C417EA">
              <w:rPr>
                <w:rStyle w:val="SCCLsocChar"/>
                <w:sz w:val="20"/>
                <w:szCs w:val="20"/>
                <w:lang w:val="en-CA"/>
              </w:rPr>
              <w:t>Neila Catherine MacQueen, Joseph M. Petitpas, Ann Marie Ross</w:t>
            </w:r>
            <w:r w:rsidR="006B3620">
              <w:rPr>
                <w:rStyle w:val="SCCLsocChar"/>
                <w:sz w:val="20"/>
                <w:szCs w:val="20"/>
                <w:lang w:val="en-CA"/>
              </w:rPr>
              <w:t xml:space="preserve"> and</w:t>
            </w:r>
            <w:r w:rsidRPr="00C417EA">
              <w:rPr>
                <w:rStyle w:val="SCCLsocChar"/>
                <w:sz w:val="20"/>
                <w:szCs w:val="20"/>
                <w:lang w:val="en-CA"/>
              </w:rPr>
              <w:t xml:space="preserve"> Kathleen Iris Crawford v. Attorney General of Canada AND BETWEEN Neila Catherine MacQueen, Joseph M. Petitpas, Ann Marie Ross</w:t>
            </w:r>
            <w:r w:rsidR="006B3620">
              <w:rPr>
                <w:rStyle w:val="SCCLsocChar"/>
                <w:sz w:val="20"/>
                <w:szCs w:val="20"/>
                <w:lang w:val="en-CA"/>
              </w:rPr>
              <w:t xml:space="preserve"> and</w:t>
            </w:r>
            <w:r w:rsidRPr="00C417EA">
              <w:rPr>
                <w:rStyle w:val="SCCLsocChar"/>
                <w:sz w:val="20"/>
                <w:szCs w:val="20"/>
                <w:lang w:val="en-CA"/>
              </w:rPr>
              <w:t xml:space="preserve"> Kathleen Iris Crawford v. Sydney Steel Corporation, a body corporate, and Attorney General of Nova Scotia, representing Her Majesty the Queen in </w:t>
            </w:r>
            <w:r w:rsidR="006B3620">
              <w:rPr>
                <w:rStyle w:val="SCCLsocChar"/>
                <w:sz w:val="20"/>
                <w:szCs w:val="20"/>
                <w:lang w:val="en-CA"/>
              </w:rPr>
              <w:t>R</w:t>
            </w:r>
            <w:r w:rsidRPr="00C417EA">
              <w:rPr>
                <w:rStyle w:val="SCCLsocChar"/>
                <w:sz w:val="20"/>
                <w:szCs w:val="20"/>
                <w:lang w:val="en-CA"/>
              </w:rPr>
              <w:t>ight of the Province of Nova Scotia</w:t>
            </w:r>
            <w:r w:rsidRPr="00C417EA">
              <w:rPr>
                <w:sz w:val="20"/>
                <w:szCs w:val="20"/>
              </w:rPr>
              <w:t xml:space="preserve"> (N.S.) (Civil) (By Leave)</w:t>
            </w:r>
          </w:p>
          <w:p w:rsidR="00021E85" w:rsidRPr="00C417EA" w:rsidRDefault="00021E85" w:rsidP="00B243C4">
            <w:pPr>
              <w:jc w:val="both"/>
              <w:rPr>
                <w:sz w:val="20"/>
                <w:szCs w:val="20"/>
              </w:rPr>
            </w:pPr>
          </w:p>
        </w:tc>
      </w:tr>
      <w:tr w:rsidR="00021E85" w:rsidRPr="00C417EA" w:rsidTr="00B243C4">
        <w:trPr>
          <w:cantSplit/>
        </w:trPr>
        <w:tc>
          <w:tcPr>
            <w:tcW w:w="1458" w:type="dxa"/>
          </w:tcPr>
          <w:p w:rsidR="00021E85" w:rsidRPr="00C417EA" w:rsidRDefault="00021E85" w:rsidP="00B243C4">
            <w:pPr>
              <w:rPr>
                <w:sz w:val="20"/>
                <w:szCs w:val="20"/>
              </w:rPr>
            </w:pPr>
            <w:r w:rsidRPr="00C417EA">
              <w:rPr>
                <w:sz w:val="20"/>
                <w:szCs w:val="20"/>
              </w:rPr>
              <w:t>Coram :</w:t>
            </w:r>
          </w:p>
        </w:tc>
        <w:tc>
          <w:tcPr>
            <w:tcW w:w="8118" w:type="dxa"/>
          </w:tcPr>
          <w:p w:rsidR="00021E85" w:rsidRPr="00C417EA" w:rsidRDefault="00021E85" w:rsidP="00B243C4">
            <w:pPr>
              <w:rPr>
                <w:sz w:val="20"/>
                <w:szCs w:val="20"/>
              </w:rPr>
            </w:pPr>
            <w:r w:rsidRPr="00C417EA">
              <w:rPr>
                <w:rStyle w:val="SCCCoramChar"/>
                <w:sz w:val="20"/>
                <w:szCs w:val="20"/>
                <w:lang w:val="en-CA"/>
              </w:rPr>
              <w:t>Rothstein, Cromwell and Moldaver JJ.</w:t>
            </w:r>
          </w:p>
          <w:p w:rsidR="00021E85" w:rsidRPr="00C417EA" w:rsidRDefault="00021E85" w:rsidP="00B243C4">
            <w:pPr>
              <w:rPr>
                <w:sz w:val="20"/>
                <w:szCs w:val="20"/>
                <w:u w:val="single"/>
              </w:rPr>
            </w:pPr>
          </w:p>
        </w:tc>
      </w:tr>
      <w:tr w:rsidR="00021E85" w:rsidRPr="00A33CF8" w:rsidTr="00B243C4">
        <w:trPr>
          <w:cantSplit/>
        </w:trPr>
        <w:tc>
          <w:tcPr>
            <w:tcW w:w="9576" w:type="dxa"/>
            <w:gridSpan w:val="2"/>
          </w:tcPr>
          <w:p w:rsidR="00021E85" w:rsidRPr="00C417EA" w:rsidRDefault="00021E85" w:rsidP="00B243C4">
            <w:pPr>
              <w:pStyle w:val="SCCShortJudgment"/>
              <w:rPr>
                <w:szCs w:val="20"/>
              </w:rPr>
            </w:pPr>
            <w:r w:rsidRPr="00C417EA">
              <w:rPr>
                <w:szCs w:val="20"/>
              </w:rPr>
              <w:lastRenderedPageBreak/>
              <w:t xml:space="preserve">The applicants’ motion to file a single joint leave application from two judgments of the Nova Scotia Court of Appeal is granted. The motion for an extension of time to serve and file the </w:t>
            </w:r>
            <w:r w:rsidR="000D7DF4">
              <w:rPr>
                <w:szCs w:val="20"/>
              </w:rPr>
              <w:t>Attorney General of Canada’s response</w:t>
            </w:r>
            <w:r w:rsidRPr="00C417EA">
              <w:rPr>
                <w:szCs w:val="20"/>
              </w:rPr>
              <w:t xml:space="preserve"> is granted. The application for leave to appeal from the judgment of the Nova Scotia Court of Appeal, Numbers CA 392560</w:t>
            </w:r>
            <w:r w:rsidR="000D7DF4">
              <w:rPr>
                <w:szCs w:val="20"/>
              </w:rPr>
              <w:t xml:space="preserve"> and</w:t>
            </w:r>
            <w:r w:rsidRPr="00C417EA">
              <w:rPr>
                <w:szCs w:val="20"/>
              </w:rPr>
              <w:t xml:space="preserve"> CA 393200, 2014 NSCA 96, dated October 22, 2014, is dismissed with costs.</w:t>
            </w:r>
          </w:p>
          <w:p w:rsidR="00021E85" w:rsidRPr="00C417EA" w:rsidRDefault="00021E85" w:rsidP="00B243C4">
            <w:pPr>
              <w:pStyle w:val="SCCShortJudgment"/>
              <w:ind w:firstLine="0"/>
              <w:rPr>
                <w:szCs w:val="20"/>
              </w:rPr>
            </w:pPr>
          </w:p>
          <w:p w:rsidR="00021E85" w:rsidRPr="00C417EA" w:rsidRDefault="00021E85" w:rsidP="000D7DF4">
            <w:pPr>
              <w:pStyle w:val="SCCShortJudgment"/>
              <w:rPr>
                <w:szCs w:val="20"/>
                <w:lang w:val="fr-CA"/>
              </w:rPr>
            </w:pPr>
            <w:r w:rsidRPr="00C417EA">
              <w:rPr>
                <w:szCs w:val="20"/>
                <w:lang w:val="fr-CA"/>
              </w:rPr>
              <w:t xml:space="preserve">La requête des demandeurs pour déposer une seule demande d’autorisation conjointe à l’égard de deux arrêts de la Cour d’appel de la Nouvelle-Écosse est accueillie. La requête en prorogation du délai de signification et de dépôt de la </w:t>
            </w:r>
            <w:r w:rsidR="000D7DF4">
              <w:rPr>
                <w:szCs w:val="20"/>
                <w:lang w:val="fr-CA"/>
              </w:rPr>
              <w:t>répons</w:t>
            </w:r>
            <w:r w:rsidRPr="00C417EA">
              <w:rPr>
                <w:szCs w:val="20"/>
                <w:lang w:val="fr-CA"/>
              </w:rPr>
              <w:t>e du</w:t>
            </w:r>
            <w:r w:rsidR="000D7DF4">
              <w:rPr>
                <w:szCs w:val="20"/>
                <w:lang w:val="fr-CA"/>
              </w:rPr>
              <w:t xml:space="preserve"> Procureur gé</w:t>
            </w:r>
            <w:r w:rsidRPr="00C417EA">
              <w:rPr>
                <w:szCs w:val="20"/>
                <w:lang w:val="fr-CA"/>
              </w:rPr>
              <w:t>n</w:t>
            </w:r>
            <w:r w:rsidR="000D7DF4">
              <w:rPr>
                <w:szCs w:val="20"/>
                <w:lang w:val="fr-CA"/>
              </w:rPr>
              <w:t>éral du C</w:t>
            </w:r>
            <w:r w:rsidRPr="00C417EA">
              <w:rPr>
                <w:szCs w:val="20"/>
                <w:lang w:val="fr-CA"/>
              </w:rPr>
              <w:t>a</w:t>
            </w:r>
            <w:r w:rsidR="000D7DF4">
              <w:rPr>
                <w:szCs w:val="20"/>
                <w:lang w:val="fr-CA"/>
              </w:rPr>
              <w:t xml:space="preserve">nada est </w:t>
            </w:r>
            <w:r w:rsidRPr="00C417EA">
              <w:rPr>
                <w:szCs w:val="20"/>
                <w:lang w:val="fr-CA"/>
              </w:rPr>
              <w:t>accueillie. La demande d’autorisation d’appel de l’arrêt de la Cour d’appel de la Nouvelle-Écosse, numéros CA 392560</w:t>
            </w:r>
            <w:r w:rsidR="000D7DF4">
              <w:rPr>
                <w:szCs w:val="20"/>
                <w:lang w:val="fr-CA"/>
              </w:rPr>
              <w:t xml:space="preserve"> et </w:t>
            </w:r>
            <w:r w:rsidRPr="00C417EA">
              <w:rPr>
                <w:szCs w:val="20"/>
                <w:lang w:val="fr-CA"/>
              </w:rPr>
              <w:t xml:space="preserve"> CA 393200, 2014 NSCA 96, daté du 22 octobre 2014, est rejetée avec dépens.</w:t>
            </w:r>
          </w:p>
        </w:tc>
      </w:tr>
    </w:tbl>
    <w:p w:rsidR="00233E21" w:rsidRPr="00021E85" w:rsidRDefault="00233E21" w:rsidP="00233E21">
      <w:pPr>
        <w:rPr>
          <w:sz w:val="20"/>
          <w:szCs w:val="20"/>
          <w:lang w:val="fr-CA"/>
        </w:rPr>
      </w:pPr>
    </w:p>
    <w:p w:rsidR="00233E21" w:rsidRPr="001B157C" w:rsidRDefault="00233E21" w:rsidP="00233E21">
      <w:pPr>
        <w:rPr>
          <w:sz w:val="20"/>
          <w:szCs w:val="20"/>
          <w:u w:val="single"/>
        </w:rPr>
      </w:pPr>
      <w:r w:rsidRPr="001B157C">
        <w:rPr>
          <w:sz w:val="20"/>
          <w:szCs w:val="20"/>
          <w:u w:val="single"/>
        </w:rPr>
        <w:t>CASE SUMMARY</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35B0" w:rsidRPr="00031974" w:rsidTr="00B243C4">
        <w:tc>
          <w:tcPr>
            <w:tcW w:w="5000" w:type="pct"/>
            <w:gridSpan w:val="3"/>
          </w:tcPr>
          <w:p w:rsidR="006635B0" w:rsidRPr="00031974" w:rsidRDefault="006635B0" w:rsidP="00B243C4">
            <w:pPr>
              <w:jc w:val="both"/>
              <w:rPr>
                <w:rFonts w:eastAsia="Calibri"/>
                <w:sz w:val="20"/>
              </w:rPr>
            </w:pPr>
            <w:r w:rsidRPr="00031974">
              <w:rPr>
                <w:rFonts w:eastAsia="Calibri"/>
                <w:sz w:val="20"/>
              </w:rPr>
              <w:t>Civil procedure – Costs – Certification – Applicants’ action decertified on appeal – Applicants’ motion for reconsideration dismissed – Court of Appeal assessing costs of three proceedings – Does the principle that costs are discretionary give the judiciary freedom to award costs that disregard other, conflicting, principles of law? – Can the issue of costs be divorced from the questions of preferability?</w:t>
            </w:r>
          </w:p>
          <w:p w:rsidR="006635B0" w:rsidRPr="00031974" w:rsidRDefault="006635B0" w:rsidP="00B243C4">
            <w:pPr>
              <w:jc w:val="both"/>
              <w:rPr>
                <w:rFonts w:eastAsia="Calibri"/>
                <w:sz w:val="20"/>
              </w:rPr>
            </w:pPr>
          </w:p>
        </w:tc>
      </w:tr>
      <w:tr w:rsidR="006635B0" w:rsidRPr="00031974" w:rsidTr="00B243C4">
        <w:tc>
          <w:tcPr>
            <w:tcW w:w="5000" w:type="pct"/>
            <w:gridSpan w:val="3"/>
          </w:tcPr>
          <w:p w:rsidR="006635B0" w:rsidRPr="00031974" w:rsidRDefault="006635B0" w:rsidP="00B243C4">
            <w:pPr>
              <w:autoSpaceDE w:val="0"/>
              <w:autoSpaceDN w:val="0"/>
              <w:jc w:val="both"/>
              <w:rPr>
                <w:sz w:val="20"/>
                <w:lang w:eastAsia="en-CA"/>
              </w:rPr>
            </w:pPr>
            <w:r w:rsidRPr="00031974">
              <w:rPr>
                <w:sz w:val="20"/>
                <w:lang w:eastAsia="en-CA"/>
              </w:rPr>
              <w:t>In 2011, the applicants were successful in having a class action certified in an environmental case.  The respondents’ appeal was allowed and the class action was decertified.  The applicants then sought to have the Court of Appeal reconsider its original decision, taking into account recent Supreme Court of Canada jurisprudence.  The intended motion for reconsideration was dismissed.  The applicants’ application for leave to appeal to the Supreme Court of Canada was dismissed on January 15, 2015.  The Court of Appeal had to determine costs in the certification motion, the appeal and the intended motion for rehearing.</w:t>
            </w:r>
          </w:p>
        </w:tc>
      </w:tr>
      <w:tr w:rsidR="006635B0" w:rsidRPr="00031974" w:rsidTr="00B243C4">
        <w:tc>
          <w:tcPr>
            <w:tcW w:w="5000" w:type="pct"/>
            <w:gridSpan w:val="3"/>
          </w:tcPr>
          <w:p w:rsidR="006635B0" w:rsidRPr="00031974" w:rsidRDefault="006635B0" w:rsidP="00B243C4">
            <w:pPr>
              <w:jc w:val="both"/>
              <w:rPr>
                <w:rFonts w:eastAsia="Calibri"/>
                <w:sz w:val="20"/>
              </w:rPr>
            </w:pPr>
          </w:p>
        </w:tc>
      </w:tr>
      <w:tr w:rsidR="006635B0" w:rsidRPr="00031974" w:rsidTr="00B243C4">
        <w:tc>
          <w:tcPr>
            <w:tcW w:w="2427" w:type="pct"/>
          </w:tcPr>
          <w:p w:rsidR="006635B0" w:rsidRPr="00031974" w:rsidRDefault="006635B0" w:rsidP="00B243C4">
            <w:pPr>
              <w:jc w:val="both"/>
              <w:rPr>
                <w:rFonts w:eastAsia="Calibri"/>
                <w:sz w:val="20"/>
              </w:rPr>
            </w:pPr>
            <w:r w:rsidRPr="00031974">
              <w:rPr>
                <w:rFonts w:eastAsia="Calibri"/>
                <w:sz w:val="20"/>
              </w:rPr>
              <w:t>October 22, 2014</w:t>
            </w:r>
          </w:p>
          <w:p w:rsidR="006635B0" w:rsidRPr="00031974" w:rsidRDefault="006635B0" w:rsidP="00B243C4">
            <w:pPr>
              <w:jc w:val="both"/>
              <w:rPr>
                <w:rFonts w:eastAsia="Calibri"/>
                <w:sz w:val="20"/>
              </w:rPr>
            </w:pPr>
            <w:r w:rsidRPr="00031974">
              <w:rPr>
                <w:rFonts w:eastAsia="Calibri"/>
                <w:sz w:val="20"/>
              </w:rPr>
              <w:t>Nova Scotia Court of Appeal</w:t>
            </w:r>
          </w:p>
          <w:p w:rsidR="006635B0" w:rsidRPr="00031974" w:rsidRDefault="006635B0" w:rsidP="00B243C4">
            <w:pPr>
              <w:jc w:val="both"/>
              <w:rPr>
                <w:rFonts w:eastAsia="Calibri"/>
                <w:sz w:val="20"/>
              </w:rPr>
            </w:pPr>
            <w:r w:rsidRPr="00031974">
              <w:rPr>
                <w:rFonts w:eastAsia="Calibri"/>
                <w:sz w:val="20"/>
              </w:rPr>
              <w:t>(Oland, Farrar and Bryson JJ.A.)</w:t>
            </w:r>
          </w:p>
          <w:p w:rsidR="006635B0" w:rsidRPr="00031974" w:rsidRDefault="00790981" w:rsidP="00B243C4">
            <w:pPr>
              <w:jc w:val="both"/>
              <w:rPr>
                <w:rFonts w:eastAsia="Calibri"/>
                <w:sz w:val="20"/>
              </w:rPr>
            </w:pPr>
            <w:hyperlink r:id="rId47" w:history="1">
              <w:r w:rsidR="006635B0" w:rsidRPr="00031974">
                <w:rPr>
                  <w:rFonts w:eastAsia="Calibri"/>
                  <w:color w:val="0000FF"/>
                  <w:sz w:val="20"/>
                  <w:u w:val="single"/>
                </w:rPr>
                <w:t>2014 NSCA 96</w:t>
              </w:r>
            </w:hyperlink>
          </w:p>
          <w:p w:rsidR="006635B0" w:rsidRPr="00031974" w:rsidRDefault="006635B0" w:rsidP="00B243C4">
            <w:pPr>
              <w:jc w:val="both"/>
              <w:rPr>
                <w:rFonts w:eastAsia="Calibri"/>
                <w:sz w:val="20"/>
              </w:rPr>
            </w:pPr>
          </w:p>
        </w:tc>
        <w:tc>
          <w:tcPr>
            <w:tcW w:w="243" w:type="pct"/>
          </w:tcPr>
          <w:p w:rsidR="006635B0" w:rsidRPr="00031974" w:rsidRDefault="006635B0" w:rsidP="00B243C4">
            <w:pPr>
              <w:jc w:val="both"/>
              <w:rPr>
                <w:rFonts w:eastAsia="Calibri"/>
                <w:sz w:val="20"/>
              </w:rPr>
            </w:pPr>
          </w:p>
        </w:tc>
        <w:tc>
          <w:tcPr>
            <w:tcW w:w="2330" w:type="pct"/>
          </w:tcPr>
          <w:p w:rsidR="006635B0" w:rsidRPr="00031974" w:rsidRDefault="006635B0" w:rsidP="00B243C4">
            <w:pPr>
              <w:jc w:val="both"/>
              <w:rPr>
                <w:rFonts w:eastAsia="Calibri"/>
                <w:sz w:val="20"/>
              </w:rPr>
            </w:pPr>
            <w:r w:rsidRPr="00031974">
              <w:rPr>
                <w:rFonts w:eastAsia="Calibri"/>
                <w:sz w:val="20"/>
              </w:rPr>
              <w:t>Canada awarded costs and disbursements of $400,134.08 on the three proceedings; Nova Scotia awarded $337,742.54</w:t>
            </w:r>
          </w:p>
          <w:p w:rsidR="006635B0" w:rsidRPr="00031974" w:rsidRDefault="006635B0" w:rsidP="00B243C4">
            <w:pPr>
              <w:jc w:val="both"/>
              <w:rPr>
                <w:rFonts w:eastAsia="Calibri"/>
                <w:sz w:val="20"/>
              </w:rPr>
            </w:pPr>
          </w:p>
        </w:tc>
      </w:tr>
      <w:tr w:rsidR="006635B0" w:rsidRPr="00031974" w:rsidTr="00B243C4">
        <w:tc>
          <w:tcPr>
            <w:tcW w:w="2427" w:type="pct"/>
          </w:tcPr>
          <w:p w:rsidR="006635B0" w:rsidRPr="00031974" w:rsidRDefault="006635B0" w:rsidP="00B243C4">
            <w:pPr>
              <w:jc w:val="both"/>
              <w:rPr>
                <w:rFonts w:eastAsia="Calibri"/>
                <w:sz w:val="20"/>
              </w:rPr>
            </w:pPr>
            <w:r w:rsidRPr="00031974">
              <w:rPr>
                <w:rFonts w:eastAsia="Calibri"/>
                <w:sz w:val="20"/>
              </w:rPr>
              <w:t>December 19, 2014</w:t>
            </w:r>
          </w:p>
          <w:p w:rsidR="006635B0" w:rsidRPr="00031974" w:rsidRDefault="006635B0" w:rsidP="00B243C4">
            <w:pPr>
              <w:jc w:val="both"/>
              <w:rPr>
                <w:rFonts w:eastAsia="Calibri"/>
                <w:sz w:val="20"/>
              </w:rPr>
            </w:pPr>
            <w:r w:rsidRPr="00031974">
              <w:rPr>
                <w:rFonts w:eastAsia="Calibri"/>
                <w:sz w:val="20"/>
              </w:rPr>
              <w:t>Supreme Court of Canada</w:t>
            </w:r>
          </w:p>
        </w:tc>
        <w:tc>
          <w:tcPr>
            <w:tcW w:w="243" w:type="pct"/>
          </w:tcPr>
          <w:p w:rsidR="006635B0" w:rsidRPr="00031974" w:rsidRDefault="006635B0" w:rsidP="00B243C4">
            <w:pPr>
              <w:jc w:val="both"/>
              <w:rPr>
                <w:rFonts w:eastAsia="Calibri"/>
                <w:sz w:val="20"/>
              </w:rPr>
            </w:pPr>
          </w:p>
        </w:tc>
        <w:tc>
          <w:tcPr>
            <w:tcW w:w="2330" w:type="pct"/>
          </w:tcPr>
          <w:p w:rsidR="006635B0" w:rsidRPr="00031974" w:rsidRDefault="006635B0" w:rsidP="00B243C4">
            <w:pPr>
              <w:jc w:val="both"/>
              <w:rPr>
                <w:rFonts w:eastAsia="Calibri"/>
                <w:sz w:val="20"/>
              </w:rPr>
            </w:pPr>
            <w:r w:rsidRPr="00031974">
              <w:rPr>
                <w:rFonts w:eastAsia="Calibri"/>
                <w:sz w:val="20"/>
              </w:rPr>
              <w:t>Application for leave to appeal filed</w:t>
            </w:r>
          </w:p>
        </w:tc>
      </w:tr>
    </w:tbl>
    <w:p w:rsidR="00233E21" w:rsidRDefault="00233E21" w:rsidP="00233E21">
      <w:pPr>
        <w:rPr>
          <w:sz w:val="20"/>
          <w:szCs w:val="20"/>
        </w:rPr>
      </w:pPr>
    </w:p>
    <w:p w:rsidR="00233E21" w:rsidRPr="00C50A5C" w:rsidRDefault="00790981" w:rsidP="00233E21">
      <w:pPr>
        <w:rPr>
          <w:sz w:val="20"/>
          <w:szCs w:val="20"/>
        </w:rPr>
      </w:pPr>
      <w:r>
        <w:rPr>
          <w:sz w:val="20"/>
          <w:szCs w:val="20"/>
          <w:lang w:val="fr-CA"/>
        </w:rPr>
        <w:pict>
          <v:rect id="_x0000_i1043" style="width:2in;height:1pt" o:hrpct="0" o:hralign="center" o:hrstd="t" o:hrnoshade="t" o:hr="t" fillcolor="black [3213]" stroked="f"/>
        </w:pict>
      </w:r>
    </w:p>
    <w:p w:rsidR="00233E21" w:rsidRDefault="00233E21" w:rsidP="00233E21">
      <w:pPr>
        <w:rPr>
          <w:sz w:val="20"/>
          <w:szCs w:val="20"/>
        </w:rPr>
      </w:pPr>
    </w:p>
    <w:p w:rsidR="00233E21" w:rsidRPr="001B157C" w:rsidRDefault="00233E21" w:rsidP="00233E21">
      <w:pPr>
        <w:rPr>
          <w:sz w:val="20"/>
          <w:szCs w:val="20"/>
          <w:u w:val="single"/>
          <w:lang w:val="fr-CA"/>
        </w:rPr>
      </w:pPr>
      <w:r w:rsidRPr="001B157C">
        <w:rPr>
          <w:sz w:val="20"/>
          <w:szCs w:val="20"/>
          <w:u w:val="single"/>
          <w:lang w:val="fr-CA"/>
        </w:rPr>
        <w:t>RÉSUMÉ DE L’AFFAIRE</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35B0" w:rsidRPr="00A33CF8" w:rsidTr="00B243C4">
        <w:tc>
          <w:tcPr>
            <w:tcW w:w="5000" w:type="pct"/>
            <w:gridSpan w:val="3"/>
          </w:tcPr>
          <w:p w:rsidR="006635B0" w:rsidRPr="00031974" w:rsidRDefault="006635B0" w:rsidP="00B243C4">
            <w:pPr>
              <w:jc w:val="both"/>
              <w:rPr>
                <w:rFonts w:eastAsia="Calibri"/>
                <w:sz w:val="20"/>
                <w:lang w:val="fr-CA"/>
              </w:rPr>
            </w:pPr>
            <w:r w:rsidRPr="00031974">
              <w:rPr>
                <w:rFonts w:eastAsia="Calibri"/>
                <w:sz w:val="20"/>
                <w:lang w:val="fr-CA"/>
              </w:rPr>
              <w:t>Procédure civile – Dépens – Certification – La certification du recours collectif des demandeurs a été annulée en appel – La demande de réexamen présentée par les demandeurs a été rejetée – La Cour d’appel a liquidé les dépens de trois instances – Suivant le principe voulant que les dépens relèvent d’un pouvoir discrétionnaire, est-il loisible aux tribunaux d’accorder des dépens qui font abstraction d’autres principes de droit incompatibles? – La question des dépens peut-elle être séparée des questions relatives au meilleur moyen?</w:t>
            </w:r>
          </w:p>
          <w:p w:rsidR="006635B0" w:rsidRPr="00031974" w:rsidRDefault="006635B0" w:rsidP="00B243C4">
            <w:pPr>
              <w:jc w:val="both"/>
              <w:rPr>
                <w:rFonts w:eastAsia="Calibri"/>
                <w:sz w:val="20"/>
                <w:lang w:val="fr-CA"/>
              </w:rPr>
            </w:pPr>
          </w:p>
        </w:tc>
      </w:tr>
      <w:tr w:rsidR="006635B0" w:rsidRPr="00A33CF8" w:rsidTr="00B243C4">
        <w:tc>
          <w:tcPr>
            <w:tcW w:w="5000" w:type="pct"/>
            <w:gridSpan w:val="3"/>
          </w:tcPr>
          <w:p w:rsidR="006635B0" w:rsidRPr="00031974" w:rsidRDefault="006635B0" w:rsidP="00B243C4">
            <w:pPr>
              <w:autoSpaceDE w:val="0"/>
              <w:autoSpaceDN w:val="0"/>
              <w:jc w:val="both"/>
              <w:rPr>
                <w:sz w:val="20"/>
                <w:lang w:val="fr-CA" w:eastAsia="en-CA"/>
              </w:rPr>
            </w:pPr>
            <w:r w:rsidRPr="00031974">
              <w:rPr>
                <w:sz w:val="20"/>
                <w:lang w:val="fr-CA" w:eastAsia="en-CA"/>
              </w:rPr>
              <w:t>En 2011, les demandeurs ont réussi à faire certifier un recours collectif dans une affaire concernant l’environnement.  L’appel des intimés a été accueilli et la certification du recours collectif a été annulée.  Les demandeurs ont ensuite voulu demander à la Cour d’appel de réexaminer sa décision initiale, prenant en considération la jurisprudence récente de la Cour suprême du Canada.  La requête en réexamen projetée a été rejetée.  Le 15 janvier 2015, la Cour suprême du Canada a rejeté la demande d’autorisation d’appel des demandeurs.  La Cour d’appel devait taxer les dépens de la requête en certification, de l’appel et de la requête en réexamen projetée.</w:t>
            </w:r>
          </w:p>
        </w:tc>
      </w:tr>
      <w:tr w:rsidR="006635B0" w:rsidRPr="00A33CF8" w:rsidTr="00B243C4">
        <w:tc>
          <w:tcPr>
            <w:tcW w:w="5000" w:type="pct"/>
            <w:gridSpan w:val="3"/>
          </w:tcPr>
          <w:p w:rsidR="006635B0" w:rsidRPr="00031974" w:rsidRDefault="006635B0" w:rsidP="00B243C4">
            <w:pPr>
              <w:jc w:val="both"/>
              <w:rPr>
                <w:rFonts w:eastAsia="Calibri"/>
                <w:sz w:val="20"/>
                <w:lang w:val="fr-CA"/>
              </w:rPr>
            </w:pPr>
          </w:p>
        </w:tc>
      </w:tr>
      <w:tr w:rsidR="006635B0" w:rsidRPr="00A33CF8" w:rsidTr="00B243C4">
        <w:tc>
          <w:tcPr>
            <w:tcW w:w="2427" w:type="pct"/>
          </w:tcPr>
          <w:p w:rsidR="006635B0" w:rsidRPr="00031974" w:rsidRDefault="006635B0" w:rsidP="00B243C4">
            <w:pPr>
              <w:jc w:val="both"/>
              <w:rPr>
                <w:rFonts w:eastAsia="Calibri"/>
                <w:sz w:val="20"/>
                <w:lang w:val="fr-CA"/>
              </w:rPr>
            </w:pPr>
            <w:r w:rsidRPr="00031974">
              <w:rPr>
                <w:rFonts w:eastAsia="Calibri"/>
                <w:sz w:val="20"/>
                <w:lang w:val="fr-CA"/>
              </w:rPr>
              <w:lastRenderedPageBreak/>
              <w:t>22 octobre 2014</w:t>
            </w:r>
          </w:p>
          <w:p w:rsidR="006635B0" w:rsidRPr="00031974" w:rsidRDefault="006635B0" w:rsidP="00B243C4">
            <w:pPr>
              <w:jc w:val="both"/>
              <w:rPr>
                <w:rFonts w:eastAsia="Calibri"/>
                <w:sz w:val="20"/>
                <w:lang w:val="fr-CA"/>
              </w:rPr>
            </w:pPr>
            <w:r w:rsidRPr="00031974">
              <w:rPr>
                <w:rFonts w:eastAsia="Calibri"/>
                <w:sz w:val="20"/>
                <w:lang w:val="fr-CA"/>
              </w:rPr>
              <w:t>Cour d’appel de la Nouvelle-Écosse</w:t>
            </w:r>
          </w:p>
          <w:p w:rsidR="006635B0" w:rsidRPr="00031974" w:rsidRDefault="006635B0" w:rsidP="00B243C4">
            <w:pPr>
              <w:jc w:val="both"/>
              <w:rPr>
                <w:rFonts w:eastAsia="Calibri"/>
                <w:sz w:val="20"/>
                <w:lang w:val="fr-CA"/>
              </w:rPr>
            </w:pPr>
            <w:r w:rsidRPr="00031974">
              <w:rPr>
                <w:rFonts w:eastAsia="Calibri"/>
                <w:sz w:val="20"/>
                <w:lang w:val="fr-CA"/>
              </w:rPr>
              <w:t>(Juges Oland, Farrar et Bryson)</w:t>
            </w:r>
          </w:p>
          <w:p w:rsidR="006635B0" w:rsidRPr="00031974" w:rsidRDefault="00790981" w:rsidP="00B243C4">
            <w:pPr>
              <w:jc w:val="both"/>
              <w:rPr>
                <w:rFonts w:eastAsia="Calibri"/>
                <w:sz w:val="20"/>
                <w:lang w:val="fr-CA"/>
              </w:rPr>
            </w:pPr>
            <w:hyperlink r:id="rId48" w:history="1">
              <w:r w:rsidR="006635B0" w:rsidRPr="00031974">
                <w:rPr>
                  <w:rFonts w:eastAsia="Calibri"/>
                  <w:color w:val="0000FF"/>
                  <w:sz w:val="20"/>
                  <w:u w:val="single"/>
                  <w:lang w:val="fr-CA"/>
                </w:rPr>
                <w:t>2014 NSCA 96</w:t>
              </w:r>
            </w:hyperlink>
          </w:p>
          <w:p w:rsidR="006635B0" w:rsidRPr="00031974" w:rsidRDefault="006635B0" w:rsidP="00B243C4">
            <w:pPr>
              <w:jc w:val="both"/>
              <w:rPr>
                <w:rFonts w:eastAsia="Calibri"/>
                <w:sz w:val="20"/>
                <w:lang w:val="fr-CA"/>
              </w:rPr>
            </w:pPr>
          </w:p>
        </w:tc>
        <w:tc>
          <w:tcPr>
            <w:tcW w:w="243" w:type="pct"/>
          </w:tcPr>
          <w:p w:rsidR="006635B0" w:rsidRPr="00031974" w:rsidRDefault="006635B0" w:rsidP="00B243C4">
            <w:pPr>
              <w:jc w:val="both"/>
              <w:rPr>
                <w:rFonts w:eastAsia="Calibri"/>
                <w:sz w:val="20"/>
                <w:lang w:val="fr-CA"/>
              </w:rPr>
            </w:pPr>
          </w:p>
        </w:tc>
        <w:tc>
          <w:tcPr>
            <w:tcW w:w="2330" w:type="pct"/>
          </w:tcPr>
          <w:p w:rsidR="006635B0" w:rsidRPr="00031974" w:rsidRDefault="006635B0" w:rsidP="00B243C4">
            <w:pPr>
              <w:jc w:val="both"/>
              <w:rPr>
                <w:rFonts w:eastAsia="Calibri"/>
                <w:sz w:val="20"/>
                <w:lang w:val="fr-CA"/>
              </w:rPr>
            </w:pPr>
            <w:r w:rsidRPr="00031974">
              <w:rPr>
                <w:rFonts w:eastAsia="Calibri"/>
                <w:sz w:val="20"/>
                <w:lang w:val="fr-CA"/>
              </w:rPr>
              <w:t>Taxation des frais et des débours 400 134,08 $ en faveur du Canada relativement à trois instances; taxation des dépens de 337 742,54 $ en faveur de la Nouvelle-Écosse</w:t>
            </w:r>
          </w:p>
          <w:p w:rsidR="006635B0" w:rsidRPr="00031974" w:rsidRDefault="006635B0" w:rsidP="00B243C4">
            <w:pPr>
              <w:jc w:val="both"/>
              <w:rPr>
                <w:rFonts w:eastAsia="Calibri"/>
                <w:sz w:val="20"/>
                <w:lang w:val="fr-CA"/>
              </w:rPr>
            </w:pPr>
          </w:p>
        </w:tc>
      </w:tr>
      <w:tr w:rsidR="006635B0" w:rsidRPr="00A33CF8" w:rsidTr="00B243C4">
        <w:tc>
          <w:tcPr>
            <w:tcW w:w="2427" w:type="pct"/>
          </w:tcPr>
          <w:p w:rsidR="006635B0" w:rsidRPr="00031974" w:rsidRDefault="006635B0" w:rsidP="00B243C4">
            <w:pPr>
              <w:jc w:val="both"/>
              <w:rPr>
                <w:rFonts w:eastAsia="Calibri"/>
                <w:sz w:val="20"/>
                <w:lang w:val="fr-CA"/>
              </w:rPr>
            </w:pPr>
            <w:r w:rsidRPr="00031974">
              <w:rPr>
                <w:rFonts w:eastAsia="Calibri"/>
                <w:sz w:val="20"/>
                <w:lang w:val="fr-CA"/>
              </w:rPr>
              <w:t>19 décembre 2014</w:t>
            </w:r>
          </w:p>
          <w:p w:rsidR="006635B0" w:rsidRPr="00031974" w:rsidRDefault="006635B0" w:rsidP="00B243C4">
            <w:pPr>
              <w:jc w:val="both"/>
              <w:rPr>
                <w:rFonts w:eastAsia="Calibri"/>
                <w:sz w:val="20"/>
                <w:lang w:val="fr-CA"/>
              </w:rPr>
            </w:pPr>
            <w:r w:rsidRPr="00031974">
              <w:rPr>
                <w:rFonts w:eastAsia="Calibri"/>
                <w:sz w:val="20"/>
                <w:lang w:val="fr-CA"/>
              </w:rPr>
              <w:t>Cour suprême du Canada</w:t>
            </w:r>
          </w:p>
        </w:tc>
        <w:tc>
          <w:tcPr>
            <w:tcW w:w="243" w:type="pct"/>
          </w:tcPr>
          <w:p w:rsidR="006635B0" w:rsidRPr="00031974" w:rsidRDefault="006635B0" w:rsidP="00B243C4">
            <w:pPr>
              <w:jc w:val="both"/>
              <w:rPr>
                <w:rFonts w:eastAsia="Calibri"/>
                <w:sz w:val="20"/>
                <w:lang w:val="fr-CA"/>
              </w:rPr>
            </w:pPr>
          </w:p>
        </w:tc>
        <w:tc>
          <w:tcPr>
            <w:tcW w:w="2330" w:type="pct"/>
          </w:tcPr>
          <w:p w:rsidR="006635B0" w:rsidRPr="00031974" w:rsidRDefault="006635B0" w:rsidP="00B243C4">
            <w:pPr>
              <w:jc w:val="both"/>
              <w:rPr>
                <w:rFonts w:eastAsia="Calibri"/>
                <w:sz w:val="20"/>
                <w:lang w:val="fr-CA"/>
              </w:rPr>
            </w:pPr>
            <w:r w:rsidRPr="00031974">
              <w:rPr>
                <w:rFonts w:eastAsia="Calibri"/>
                <w:sz w:val="20"/>
                <w:lang w:val="fr-CA"/>
              </w:rPr>
              <w:t>Dépôt de la demande d’autorisation d’appel</w:t>
            </w:r>
          </w:p>
        </w:tc>
      </w:tr>
    </w:tbl>
    <w:p w:rsidR="00233E21" w:rsidRPr="006635B0" w:rsidRDefault="00233E21" w:rsidP="00233E21">
      <w:pPr>
        <w:rPr>
          <w:sz w:val="20"/>
          <w:szCs w:val="20"/>
          <w:lang w:val="fr-CA"/>
        </w:rPr>
      </w:pPr>
    </w:p>
    <w:p w:rsidR="00233E21" w:rsidRDefault="00790981" w:rsidP="00233E21">
      <w:pPr>
        <w:rPr>
          <w:sz w:val="20"/>
          <w:szCs w:val="20"/>
          <w:lang w:val="fr-CA"/>
        </w:rPr>
      </w:pPr>
      <w:r>
        <w:rPr>
          <w:sz w:val="20"/>
          <w:szCs w:val="20"/>
          <w:lang w:val="fr-CA"/>
        </w:rPr>
        <w:pict>
          <v:rect id="_x0000_i1044" style="width:2in;height:1pt" o:hrpct="0" o:hralign="center" o:hrstd="t" o:hrnoshade="t" o:hr="t" fillcolor="black [3213]" stroked="f"/>
        </w:pict>
      </w:r>
    </w:p>
    <w:p w:rsidR="00233E21" w:rsidRDefault="00233E21" w:rsidP="00233E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21E85" w:rsidRPr="00C417EA" w:rsidTr="00B243C4">
        <w:trPr>
          <w:cantSplit/>
        </w:trPr>
        <w:tc>
          <w:tcPr>
            <w:tcW w:w="1458" w:type="dxa"/>
          </w:tcPr>
          <w:p w:rsidR="00021E85" w:rsidRPr="00C417EA" w:rsidRDefault="00021E85" w:rsidP="00B243C4">
            <w:pPr>
              <w:rPr>
                <w:sz w:val="20"/>
                <w:szCs w:val="20"/>
              </w:rPr>
            </w:pPr>
            <w:r w:rsidRPr="00C417EA">
              <w:rPr>
                <w:rStyle w:val="SCCFileNumberChar"/>
                <w:sz w:val="20"/>
                <w:szCs w:val="20"/>
              </w:rPr>
              <w:t>36218</w:t>
            </w:r>
          </w:p>
          <w:p w:rsidR="00021E85" w:rsidRPr="00C417EA" w:rsidRDefault="00021E85" w:rsidP="00B243C4">
            <w:pPr>
              <w:rPr>
                <w:b/>
                <w:sz w:val="20"/>
                <w:szCs w:val="20"/>
                <w:lang w:val="fr-CA"/>
              </w:rPr>
            </w:pPr>
          </w:p>
        </w:tc>
        <w:tc>
          <w:tcPr>
            <w:tcW w:w="8118" w:type="dxa"/>
          </w:tcPr>
          <w:p w:rsidR="00021E85" w:rsidRPr="00C417EA" w:rsidRDefault="00021E85" w:rsidP="00B243C4">
            <w:pPr>
              <w:jc w:val="both"/>
              <w:rPr>
                <w:sz w:val="20"/>
                <w:szCs w:val="20"/>
              </w:rPr>
            </w:pPr>
            <w:r w:rsidRPr="00C417EA">
              <w:rPr>
                <w:rStyle w:val="SCCLsocChar"/>
                <w:sz w:val="20"/>
                <w:szCs w:val="20"/>
                <w:lang w:val="en-CA"/>
              </w:rPr>
              <w:t>Anthony Coote v. Lawyers</w:t>
            </w:r>
            <w:r w:rsidR="00C429BE">
              <w:rPr>
                <w:rStyle w:val="SCCLsocChar"/>
                <w:sz w:val="20"/>
                <w:szCs w:val="20"/>
                <w:lang w:val="en-CA"/>
              </w:rPr>
              <w:t>’</w:t>
            </w:r>
            <w:r w:rsidRPr="00C417EA">
              <w:rPr>
                <w:rStyle w:val="SCCLsocChar"/>
                <w:sz w:val="20"/>
                <w:szCs w:val="20"/>
                <w:lang w:val="en-CA"/>
              </w:rPr>
              <w:t xml:space="preserve"> Professional Indemnity Company (LAWPRO), et al</w:t>
            </w:r>
            <w:r w:rsidRPr="00C417EA">
              <w:rPr>
                <w:sz w:val="20"/>
                <w:szCs w:val="20"/>
              </w:rPr>
              <w:t xml:space="preserve"> (F</w:t>
            </w:r>
            <w:r>
              <w:rPr>
                <w:szCs w:val="20"/>
              </w:rPr>
              <w:t>.</w:t>
            </w:r>
            <w:r w:rsidRPr="00C417EA">
              <w:rPr>
                <w:sz w:val="20"/>
                <w:szCs w:val="20"/>
              </w:rPr>
              <w:t>C</w:t>
            </w:r>
            <w:r>
              <w:rPr>
                <w:szCs w:val="20"/>
              </w:rPr>
              <w:t>.</w:t>
            </w:r>
            <w:r w:rsidRPr="00C417EA">
              <w:rPr>
                <w:sz w:val="20"/>
                <w:szCs w:val="20"/>
              </w:rPr>
              <w:t>) (Civil) (By Leave)</w:t>
            </w:r>
          </w:p>
          <w:p w:rsidR="00021E85" w:rsidRPr="00C417EA" w:rsidRDefault="00021E85" w:rsidP="00B243C4">
            <w:pPr>
              <w:jc w:val="both"/>
              <w:rPr>
                <w:sz w:val="20"/>
                <w:szCs w:val="20"/>
              </w:rPr>
            </w:pPr>
          </w:p>
        </w:tc>
      </w:tr>
      <w:tr w:rsidR="00021E85" w:rsidRPr="00C417EA" w:rsidTr="00B243C4">
        <w:trPr>
          <w:cantSplit/>
        </w:trPr>
        <w:tc>
          <w:tcPr>
            <w:tcW w:w="1458" w:type="dxa"/>
          </w:tcPr>
          <w:p w:rsidR="00021E85" w:rsidRPr="00C417EA" w:rsidRDefault="00021E85" w:rsidP="00B243C4">
            <w:pPr>
              <w:rPr>
                <w:sz w:val="20"/>
                <w:szCs w:val="20"/>
              </w:rPr>
            </w:pPr>
            <w:r w:rsidRPr="00C417EA">
              <w:rPr>
                <w:sz w:val="20"/>
                <w:szCs w:val="20"/>
              </w:rPr>
              <w:t>Coram :</w:t>
            </w:r>
          </w:p>
        </w:tc>
        <w:tc>
          <w:tcPr>
            <w:tcW w:w="8118" w:type="dxa"/>
          </w:tcPr>
          <w:p w:rsidR="00021E85" w:rsidRPr="00C417EA" w:rsidRDefault="00021E85" w:rsidP="00B243C4">
            <w:pPr>
              <w:rPr>
                <w:sz w:val="20"/>
                <w:szCs w:val="20"/>
              </w:rPr>
            </w:pPr>
            <w:r w:rsidRPr="00C417EA">
              <w:rPr>
                <w:rStyle w:val="SCCCoramChar"/>
                <w:sz w:val="20"/>
                <w:szCs w:val="20"/>
                <w:lang w:val="en-CA"/>
              </w:rPr>
              <w:t>Rothstein, Cromwell and Moldaver JJ.</w:t>
            </w:r>
          </w:p>
          <w:p w:rsidR="00021E85" w:rsidRPr="00C417EA" w:rsidRDefault="00021E85" w:rsidP="00B243C4">
            <w:pPr>
              <w:rPr>
                <w:sz w:val="20"/>
                <w:szCs w:val="20"/>
                <w:u w:val="single"/>
              </w:rPr>
            </w:pPr>
          </w:p>
        </w:tc>
      </w:tr>
      <w:tr w:rsidR="00021E85" w:rsidRPr="002B2DB4" w:rsidTr="00B243C4">
        <w:trPr>
          <w:cantSplit/>
        </w:trPr>
        <w:tc>
          <w:tcPr>
            <w:tcW w:w="9576" w:type="dxa"/>
            <w:gridSpan w:val="2"/>
          </w:tcPr>
          <w:p w:rsidR="00021E85" w:rsidRPr="00C417EA" w:rsidRDefault="00021E85" w:rsidP="00B243C4">
            <w:pPr>
              <w:pStyle w:val="SCCShortJudgment"/>
              <w:rPr>
                <w:szCs w:val="20"/>
              </w:rPr>
            </w:pPr>
            <w:r w:rsidRPr="00C417EA">
              <w:rPr>
                <w:szCs w:val="20"/>
              </w:rPr>
              <w:t>The application for leave to appeal from the judgment of the Federal Court of Appeal, Number A-228-13, dated September 8, 2014, is dismissed with costs.</w:t>
            </w:r>
          </w:p>
          <w:p w:rsidR="00021E85" w:rsidRPr="00C417EA" w:rsidRDefault="00021E85" w:rsidP="00B243C4">
            <w:pPr>
              <w:pStyle w:val="SCCShortJudgment"/>
              <w:ind w:firstLine="0"/>
              <w:rPr>
                <w:szCs w:val="20"/>
              </w:rPr>
            </w:pPr>
          </w:p>
          <w:p w:rsidR="00021E85" w:rsidRPr="00C417EA" w:rsidRDefault="00021E85" w:rsidP="00B243C4">
            <w:pPr>
              <w:pStyle w:val="SCCShortJudgment"/>
              <w:rPr>
                <w:szCs w:val="20"/>
                <w:lang w:val="fr-CA"/>
              </w:rPr>
            </w:pPr>
            <w:r w:rsidRPr="00C417EA">
              <w:rPr>
                <w:szCs w:val="20"/>
                <w:lang w:val="fr-CA"/>
              </w:rPr>
              <w:t>La demande d’autorisation d’appel de l’arrêt de la Cour d’appel fédérale, numéro A-228-13, daté du 8 septembre 2014, est rejetée avec dépens.</w:t>
            </w:r>
          </w:p>
        </w:tc>
      </w:tr>
    </w:tbl>
    <w:p w:rsidR="00233E21" w:rsidRPr="00021E85" w:rsidRDefault="00233E21" w:rsidP="00233E21">
      <w:pPr>
        <w:rPr>
          <w:sz w:val="20"/>
          <w:szCs w:val="20"/>
          <w:lang w:val="fr-CA"/>
        </w:rPr>
      </w:pPr>
    </w:p>
    <w:p w:rsidR="00233E21" w:rsidRPr="001B157C" w:rsidRDefault="00233E21" w:rsidP="00233E21">
      <w:pPr>
        <w:rPr>
          <w:sz w:val="20"/>
          <w:szCs w:val="20"/>
          <w:u w:val="single"/>
        </w:rPr>
      </w:pPr>
      <w:r w:rsidRPr="001B157C">
        <w:rPr>
          <w:sz w:val="20"/>
          <w:szCs w:val="20"/>
          <w:u w:val="single"/>
        </w:rPr>
        <w:t>CASE SUMMARY</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E225E" w:rsidRPr="00031974" w:rsidTr="00B243C4">
        <w:tc>
          <w:tcPr>
            <w:tcW w:w="5000" w:type="pct"/>
            <w:gridSpan w:val="3"/>
          </w:tcPr>
          <w:p w:rsidR="002E225E" w:rsidRPr="00031974" w:rsidRDefault="002E225E" w:rsidP="00B243C4">
            <w:pPr>
              <w:jc w:val="both"/>
              <w:rPr>
                <w:rFonts w:eastAsia="Calibri"/>
                <w:sz w:val="20"/>
              </w:rPr>
            </w:pPr>
            <w:r w:rsidRPr="00031974">
              <w:rPr>
                <w:rFonts w:eastAsia="Calibri"/>
                <w:sz w:val="20"/>
              </w:rPr>
              <w:t xml:space="preserve">Civil procedure – Motions – Respondent bringing motion pursuant to s. 40 of </w:t>
            </w:r>
            <w:r w:rsidRPr="00031974">
              <w:rPr>
                <w:rFonts w:eastAsia="Calibri"/>
                <w:i/>
                <w:sz w:val="20"/>
              </w:rPr>
              <w:t xml:space="preserve">Federal Courts Act </w:t>
            </w:r>
            <w:r w:rsidRPr="00031974">
              <w:rPr>
                <w:rFonts w:eastAsia="Calibri"/>
                <w:sz w:val="20"/>
              </w:rPr>
              <w:t>to have applicant declared a vexatious litigant – Motion granted – Court of Appeal dismissing appeal – Whether Court of Appeal erred in law in dismissing motion filed by applicant in Federal Court of Appeal subsequent to final determination of his appeal?</w:t>
            </w:r>
          </w:p>
        </w:tc>
      </w:tr>
      <w:tr w:rsidR="002E225E" w:rsidRPr="00031974" w:rsidTr="00B243C4">
        <w:tc>
          <w:tcPr>
            <w:tcW w:w="5000" w:type="pct"/>
            <w:gridSpan w:val="3"/>
          </w:tcPr>
          <w:p w:rsidR="002E225E" w:rsidRPr="00031974" w:rsidRDefault="002E225E" w:rsidP="00B243C4">
            <w:pPr>
              <w:jc w:val="both"/>
              <w:rPr>
                <w:rFonts w:eastAsia="Calibri"/>
                <w:sz w:val="20"/>
              </w:rPr>
            </w:pPr>
          </w:p>
        </w:tc>
      </w:tr>
      <w:tr w:rsidR="002E225E" w:rsidRPr="00031974" w:rsidTr="00B243C4">
        <w:tc>
          <w:tcPr>
            <w:tcW w:w="5000" w:type="pct"/>
            <w:gridSpan w:val="3"/>
          </w:tcPr>
          <w:p w:rsidR="002E225E" w:rsidRPr="00031974" w:rsidRDefault="002E225E" w:rsidP="00B243C4">
            <w:pPr>
              <w:jc w:val="both"/>
              <w:rPr>
                <w:rFonts w:eastAsia="Calibri"/>
                <w:sz w:val="20"/>
              </w:rPr>
            </w:pPr>
            <w:r w:rsidRPr="00031974">
              <w:rPr>
                <w:rFonts w:eastAsia="Calibri"/>
                <w:sz w:val="20"/>
              </w:rPr>
              <w:t xml:space="preserve">The applicant’s son was the subject of proceedings taken under the </w:t>
            </w:r>
            <w:r w:rsidRPr="00031974">
              <w:rPr>
                <w:rFonts w:eastAsia="Calibri"/>
                <w:i/>
                <w:sz w:val="20"/>
              </w:rPr>
              <w:t>Immigration and Refugee Protection Act</w:t>
            </w:r>
            <w:r w:rsidRPr="00031974">
              <w:rPr>
                <w:rFonts w:eastAsia="Calibri"/>
                <w:sz w:val="20"/>
              </w:rPr>
              <w:t xml:space="preserve">, S.C. 2001, c. 27.  Several legal proceedings were brought by the applicant against various parties who were involved, in one manner or another, in those immigration proceedings and subsequent appeals. One of those respondents was the Lawyers’ Professional Indemnity Company (LAWPRO), an insurance company that provides professional liability insurance to lawyers in Ontario. </w:t>
            </w:r>
          </w:p>
          <w:p w:rsidR="002E225E" w:rsidRPr="00031974" w:rsidRDefault="002E225E" w:rsidP="00B243C4">
            <w:pPr>
              <w:jc w:val="both"/>
              <w:rPr>
                <w:rFonts w:eastAsia="Calibri"/>
                <w:sz w:val="20"/>
              </w:rPr>
            </w:pPr>
          </w:p>
          <w:p w:rsidR="002E225E" w:rsidRPr="00031974" w:rsidRDefault="002E225E" w:rsidP="00B243C4">
            <w:pPr>
              <w:jc w:val="both"/>
              <w:rPr>
                <w:rFonts w:eastAsia="Calibri"/>
                <w:sz w:val="20"/>
              </w:rPr>
            </w:pPr>
            <w:r w:rsidRPr="00031974">
              <w:rPr>
                <w:rFonts w:eastAsia="Calibri"/>
                <w:sz w:val="20"/>
              </w:rPr>
              <w:t xml:space="preserve">LAWPRO filed a motion seeking to have the applicant declared a vexatious litigant.  The applicant responded by filing a motion raising Charter issues and seeking to have LAWPRO declared vexatious. The applicant attempted to have LAWPRO’s motion against him struck out.  He failed when a prothonotary of the Federal Court dismissed his motion to quash the motion filed by LAWPRO. </w:t>
            </w:r>
          </w:p>
          <w:p w:rsidR="002E225E" w:rsidRPr="00031974" w:rsidRDefault="002E225E" w:rsidP="00B243C4">
            <w:pPr>
              <w:jc w:val="both"/>
              <w:rPr>
                <w:rFonts w:eastAsia="Calibri"/>
                <w:sz w:val="20"/>
              </w:rPr>
            </w:pPr>
          </w:p>
        </w:tc>
      </w:tr>
      <w:tr w:rsidR="002E225E" w:rsidRPr="00031974" w:rsidTr="00B243C4">
        <w:tc>
          <w:tcPr>
            <w:tcW w:w="2427" w:type="pct"/>
          </w:tcPr>
          <w:p w:rsidR="002E225E" w:rsidRPr="00031974" w:rsidRDefault="002E225E" w:rsidP="00B243C4">
            <w:pPr>
              <w:jc w:val="both"/>
              <w:rPr>
                <w:rFonts w:eastAsia="Calibri"/>
                <w:sz w:val="20"/>
              </w:rPr>
            </w:pPr>
            <w:r w:rsidRPr="00031974">
              <w:rPr>
                <w:rFonts w:eastAsia="Calibri"/>
                <w:sz w:val="20"/>
              </w:rPr>
              <w:t>March 18, 2013</w:t>
            </w:r>
          </w:p>
          <w:p w:rsidR="002E225E" w:rsidRPr="00031974" w:rsidRDefault="002E225E" w:rsidP="00B243C4">
            <w:pPr>
              <w:jc w:val="both"/>
              <w:rPr>
                <w:rFonts w:eastAsia="Calibri"/>
                <w:sz w:val="20"/>
              </w:rPr>
            </w:pPr>
            <w:r w:rsidRPr="00031974">
              <w:rPr>
                <w:rFonts w:eastAsia="Calibri"/>
                <w:sz w:val="20"/>
              </w:rPr>
              <w:t>Federal Court</w:t>
            </w:r>
          </w:p>
          <w:p w:rsidR="002E225E" w:rsidRPr="00031974" w:rsidRDefault="002E225E" w:rsidP="00B243C4">
            <w:pPr>
              <w:jc w:val="both"/>
              <w:rPr>
                <w:rFonts w:eastAsia="Calibri"/>
                <w:sz w:val="20"/>
              </w:rPr>
            </w:pPr>
            <w:r w:rsidRPr="00031974">
              <w:rPr>
                <w:rFonts w:eastAsia="Calibri"/>
                <w:sz w:val="20"/>
              </w:rPr>
              <w:t>(Manson J.)</w:t>
            </w:r>
          </w:p>
          <w:p w:rsidR="002E225E" w:rsidRPr="00031974" w:rsidRDefault="002E225E" w:rsidP="00B243C4">
            <w:pPr>
              <w:jc w:val="both"/>
              <w:rPr>
                <w:rFonts w:eastAsia="Calibri"/>
                <w:sz w:val="20"/>
              </w:rPr>
            </w:pPr>
            <w:r w:rsidRPr="00031974">
              <w:rPr>
                <w:rFonts w:eastAsia="Calibri"/>
                <w:sz w:val="20"/>
              </w:rPr>
              <w:t>Docket No. T-312-13</w:t>
            </w:r>
          </w:p>
        </w:tc>
        <w:tc>
          <w:tcPr>
            <w:tcW w:w="243" w:type="pct"/>
          </w:tcPr>
          <w:p w:rsidR="002E225E" w:rsidRPr="00031974" w:rsidRDefault="002E225E" w:rsidP="00B243C4">
            <w:pPr>
              <w:jc w:val="both"/>
              <w:rPr>
                <w:rFonts w:eastAsia="Calibri"/>
                <w:sz w:val="20"/>
              </w:rPr>
            </w:pPr>
          </w:p>
        </w:tc>
        <w:tc>
          <w:tcPr>
            <w:tcW w:w="2330" w:type="pct"/>
          </w:tcPr>
          <w:p w:rsidR="002E225E" w:rsidRPr="00031974" w:rsidRDefault="002E225E" w:rsidP="00B243C4">
            <w:pPr>
              <w:jc w:val="both"/>
              <w:rPr>
                <w:rFonts w:eastAsia="Calibri"/>
                <w:sz w:val="20"/>
              </w:rPr>
            </w:pPr>
            <w:r w:rsidRPr="00031974">
              <w:rPr>
                <w:rFonts w:eastAsia="Calibri"/>
                <w:sz w:val="20"/>
              </w:rPr>
              <w:t>Applicant’s motion to vary or set aside order of a prothonotary refusing to quash the Lawyers’ Professional Indemnity Company’s (LAWPRO) motion seeking to have him declared a vexatious litigant, dismissed.</w:t>
            </w:r>
          </w:p>
          <w:p w:rsidR="002E225E" w:rsidRPr="00031974" w:rsidRDefault="002E225E" w:rsidP="00B243C4">
            <w:pPr>
              <w:jc w:val="both"/>
              <w:rPr>
                <w:rFonts w:eastAsia="Calibri"/>
                <w:sz w:val="20"/>
              </w:rPr>
            </w:pPr>
          </w:p>
        </w:tc>
      </w:tr>
      <w:tr w:rsidR="002E225E" w:rsidRPr="00031974" w:rsidTr="00B243C4">
        <w:tc>
          <w:tcPr>
            <w:tcW w:w="2427" w:type="pct"/>
          </w:tcPr>
          <w:p w:rsidR="002E225E" w:rsidRPr="00031974" w:rsidRDefault="002E225E" w:rsidP="00B243C4">
            <w:pPr>
              <w:jc w:val="both"/>
              <w:rPr>
                <w:rFonts w:eastAsia="Calibri"/>
                <w:sz w:val="20"/>
              </w:rPr>
            </w:pPr>
            <w:r w:rsidRPr="00031974">
              <w:rPr>
                <w:rFonts w:eastAsia="Calibri"/>
                <w:sz w:val="20"/>
              </w:rPr>
              <w:t>April 11, 2013</w:t>
            </w:r>
          </w:p>
          <w:p w:rsidR="002E225E" w:rsidRPr="00031974" w:rsidRDefault="002E225E" w:rsidP="00B243C4">
            <w:pPr>
              <w:jc w:val="both"/>
              <w:rPr>
                <w:rFonts w:eastAsia="Calibri"/>
                <w:sz w:val="20"/>
              </w:rPr>
            </w:pPr>
            <w:r w:rsidRPr="00031974">
              <w:rPr>
                <w:rFonts w:eastAsia="Calibri"/>
                <w:sz w:val="20"/>
              </w:rPr>
              <w:t>Federal Court</w:t>
            </w:r>
          </w:p>
          <w:p w:rsidR="002E225E" w:rsidRPr="00031974" w:rsidRDefault="002E225E" w:rsidP="00B243C4">
            <w:pPr>
              <w:jc w:val="both"/>
              <w:rPr>
                <w:rFonts w:eastAsia="Calibri"/>
                <w:sz w:val="20"/>
              </w:rPr>
            </w:pPr>
            <w:r w:rsidRPr="00031974">
              <w:rPr>
                <w:rFonts w:eastAsia="Calibri"/>
                <w:sz w:val="20"/>
              </w:rPr>
              <w:t>(Boivin J.)</w:t>
            </w:r>
          </w:p>
          <w:p w:rsidR="002E225E" w:rsidRPr="00031974" w:rsidRDefault="002E225E" w:rsidP="00B243C4">
            <w:pPr>
              <w:jc w:val="both"/>
              <w:rPr>
                <w:rFonts w:eastAsia="Calibri"/>
                <w:sz w:val="20"/>
              </w:rPr>
            </w:pPr>
            <w:r w:rsidRPr="00031974">
              <w:rPr>
                <w:rFonts w:eastAsia="Calibri"/>
                <w:sz w:val="20"/>
              </w:rPr>
              <w:t>Docket No. T-312-13</w:t>
            </w:r>
          </w:p>
        </w:tc>
        <w:tc>
          <w:tcPr>
            <w:tcW w:w="243" w:type="pct"/>
          </w:tcPr>
          <w:p w:rsidR="002E225E" w:rsidRPr="00031974" w:rsidRDefault="002E225E" w:rsidP="00B243C4">
            <w:pPr>
              <w:jc w:val="both"/>
              <w:rPr>
                <w:rFonts w:eastAsia="Calibri"/>
                <w:sz w:val="20"/>
              </w:rPr>
            </w:pPr>
          </w:p>
        </w:tc>
        <w:tc>
          <w:tcPr>
            <w:tcW w:w="2330" w:type="pct"/>
          </w:tcPr>
          <w:p w:rsidR="002E225E" w:rsidRPr="00031974" w:rsidRDefault="002E225E" w:rsidP="00B243C4">
            <w:pPr>
              <w:jc w:val="both"/>
              <w:rPr>
                <w:rFonts w:eastAsia="Calibri"/>
                <w:sz w:val="20"/>
              </w:rPr>
            </w:pPr>
            <w:r w:rsidRPr="00031974">
              <w:rPr>
                <w:rFonts w:eastAsia="Calibri"/>
                <w:sz w:val="20"/>
              </w:rPr>
              <w:t>Order consolidating LAWPRO’s motion to have the applicant declared a vexatious litigant and the applicant’s motion seeking to have LAWPRO declared vexatious, should be joined and heard together.</w:t>
            </w:r>
          </w:p>
          <w:p w:rsidR="002E225E" w:rsidRPr="00031974" w:rsidRDefault="002E225E" w:rsidP="00B243C4">
            <w:pPr>
              <w:jc w:val="both"/>
              <w:rPr>
                <w:rFonts w:eastAsia="Calibri"/>
                <w:sz w:val="20"/>
              </w:rPr>
            </w:pPr>
          </w:p>
        </w:tc>
      </w:tr>
      <w:tr w:rsidR="002E225E" w:rsidRPr="00031974" w:rsidTr="00B243C4">
        <w:tc>
          <w:tcPr>
            <w:tcW w:w="2427" w:type="pct"/>
          </w:tcPr>
          <w:p w:rsidR="002E225E" w:rsidRPr="00031974" w:rsidRDefault="002E225E" w:rsidP="00B243C4">
            <w:pPr>
              <w:jc w:val="both"/>
              <w:rPr>
                <w:rFonts w:eastAsia="Calibri"/>
                <w:sz w:val="20"/>
              </w:rPr>
            </w:pPr>
            <w:r w:rsidRPr="00031974">
              <w:rPr>
                <w:rFonts w:eastAsia="Calibri"/>
                <w:sz w:val="20"/>
              </w:rPr>
              <w:lastRenderedPageBreak/>
              <w:t>June 13, 2013</w:t>
            </w:r>
          </w:p>
          <w:p w:rsidR="002E225E" w:rsidRPr="00031974" w:rsidRDefault="002E225E" w:rsidP="00B243C4">
            <w:pPr>
              <w:jc w:val="both"/>
              <w:rPr>
                <w:rFonts w:eastAsia="Calibri"/>
                <w:sz w:val="20"/>
              </w:rPr>
            </w:pPr>
            <w:r w:rsidRPr="00031974">
              <w:rPr>
                <w:rFonts w:eastAsia="Calibri"/>
                <w:sz w:val="20"/>
              </w:rPr>
              <w:t>Federal Court</w:t>
            </w:r>
          </w:p>
          <w:p w:rsidR="002E225E" w:rsidRPr="00031974" w:rsidRDefault="002E225E" w:rsidP="00B243C4">
            <w:pPr>
              <w:jc w:val="both"/>
              <w:rPr>
                <w:rFonts w:eastAsia="Calibri"/>
                <w:sz w:val="20"/>
              </w:rPr>
            </w:pPr>
            <w:r w:rsidRPr="00031974">
              <w:rPr>
                <w:rFonts w:eastAsia="Calibri"/>
                <w:sz w:val="20"/>
              </w:rPr>
              <w:t>(Hughes J.)</w:t>
            </w:r>
          </w:p>
          <w:p w:rsidR="002E225E" w:rsidRPr="00031974" w:rsidRDefault="00790981" w:rsidP="00B243C4">
            <w:pPr>
              <w:jc w:val="both"/>
              <w:rPr>
                <w:rFonts w:eastAsia="Calibri"/>
                <w:sz w:val="20"/>
              </w:rPr>
            </w:pPr>
            <w:hyperlink r:id="rId49" w:history="1">
              <w:r w:rsidR="002E225E" w:rsidRPr="00031974">
                <w:rPr>
                  <w:rFonts w:eastAsia="Calibri"/>
                  <w:color w:val="0000FF"/>
                  <w:sz w:val="20"/>
                  <w:u w:val="single"/>
                </w:rPr>
                <w:t>2013 FC 643</w:t>
              </w:r>
            </w:hyperlink>
          </w:p>
          <w:p w:rsidR="002E225E" w:rsidRPr="00031974" w:rsidRDefault="002E225E" w:rsidP="00B243C4">
            <w:pPr>
              <w:jc w:val="both"/>
              <w:rPr>
                <w:rFonts w:eastAsia="Calibri"/>
                <w:sz w:val="20"/>
              </w:rPr>
            </w:pPr>
            <w:r w:rsidRPr="00031974">
              <w:rPr>
                <w:rFonts w:eastAsia="Calibri"/>
                <w:sz w:val="20"/>
              </w:rPr>
              <w:t>Docket No. T-312-13</w:t>
            </w:r>
          </w:p>
          <w:p w:rsidR="002E225E" w:rsidRPr="00031974" w:rsidRDefault="002E225E" w:rsidP="00B243C4">
            <w:pPr>
              <w:jc w:val="both"/>
              <w:rPr>
                <w:rFonts w:eastAsia="Calibri"/>
                <w:sz w:val="20"/>
              </w:rPr>
            </w:pPr>
          </w:p>
        </w:tc>
        <w:tc>
          <w:tcPr>
            <w:tcW w:w="243" w:type="pct"/>
          </w:tcPr>
          <w:p w:rsidR="002E225E" w:rsidRPr="00031974" w:rsidRDefault="002E225E" w:rsidP="00B243C4">
            <w:pPr>
              <w:jc w:val="both"/>
              <w:rPr>
                <w:rFonts w:eastAsia="Calibri"/>
                <w:sz w:val="20"/>
              </w:rPr>
            </w:pPr>
          </w:p>
        </w:tc>
        <w:tc>
          <w:tcPr>
            <w:tcW w:w="2330" w:type="pct"/>
          </w:tcPr>
          <w:p w:rsidR="002E225E" w:rsidRPr="00031974" w:rsidRDefault="002E225E" w:rsidP="00B243C4">
            <w:pPr>
              <w:jc w:val="both"/>
              <w:rPr>
                <w:rFonts w:eastAsia="Calibri"/>
                <w:sz w:val="20"/>
              </w:rPr>
            </w:pPr>
            <w:r w:rsidRPr="00031974">
              <w:rPr>
                <w:rFonts w:eastAsia="Calibri"/>
                <w:sz w:val="20"/>
              </w:rPr>
              <w:t xml:space="preserve">Respondent LAWPRO’s motion to declare the applicant a vexatious litigant pursuant to s. 40 of the </w:t>
            </w:r>
            <w:r w:rsidRPr="00031974">
              <w:rPr>
                <w:rFonts w:eastAsia="Calibri"/>
                <w:i/>
                <w:sz w:val="20"/>
              </w:rPr>
              <w:t>Federal Courts Act</w:t>
            </w:r>
            <w:r w:rsidRPr="00031974">
              <w:rPr>
                <w:rFonts w:eastAsia="Calibri"/>
                <w:sz w:val="20"/>
              </w:rPr>
              <w:t xml:space="preserve">, R.S.C. 1985, c. F-7, granted; Applicant’s motion for an order declaring LAWPRO to be vexatious, dismissed; Applicant’s motion to set aside or vary the orders of Manson J. and Boivin J., dismissed. </w:t>
            </w:r>
          </w:p>
          <w:p w:rsidR="002E225E" w:rsidRPr="00031974" w:rsidRDefault="002E225E" w:rsidP="00B243C4">
            <w:pPr>
              <w:jc w:val="both"/>
              <w:rPr>
                <w:rFonts w:eastAsia="Calibri"/>
                <w:sz w:val="20"/>
              </w:rPr>
            </w:pPr>
          </w:p>
        </w:tc>
      </w:tr>
      <w:tr w:rsidR="002E225E" w:rsidRPr="00031974" w:rsidTr="00B243C4">
        <w:tc>
          <w:tcPr>
            <w:tcW w:w="2427" w:type="pct"/>
          </w:tcPr>
          <w:p w:rsidR="002E225E" w:rsidRPr="00031974" w:rsidRDefault="002E225E" w:rsidP="00B243C4">
            <w:pPr>
              <w:jc w:val="both"/>
              <w:rPr>
                <w:rFonts w:eastAsia="Calibri"/>
                <w:sz w:val="20"/>
              </w:rPr>
            </w:pPr>
            <w:r w:rsidRPr="00031974">
              <w:rPr>
                <w:rFonts w:eastAsia="Calibri"/>
                <w:sz w:val="20"/>
              </w:rPr>
              <w:t>April 10, 2014</w:t>
            </w:r>
          </w:p>
          <w:p w:rsidR="002E225E" w:rsidRPr="00031974" w:rsidRDefault="002E225E" w:rsidP="00B243C4">
            <w:pPr>
              <w:jc w:val="both"/>
              <w:rPr>
                <w:rFonts w:eastAsia="Calibri"/>
                <w:sz w:val="20"/>
              </w:rPr>
            </w:pPr>
            <w:r w:rsidRPr="00031974">
              <w:rPr>
                <w:rFonts w:eastAsia="Calibri"/>
                <w:sz w:val="20"/>
              </w:rPr>
              <w:t>Federal Court of Appeal</w:t>
            </w:r>
          </w:p>
          <w:p w:rsidR="002E225E" w:rsidRPr="00031974" w:rsidRDefault="002E225E" w:rsidP="00B243C4">
            <w:pPr>
              <w:jc w:val="both"/>
              <w:rPr>
                <w:rFonts w:eastAsia="Calibri"/>
                <w:sz w:val="20"/>
              </w:rPr>
            </w:pPr>
            <w:r w:rsidRPr="00031974">
              <w:rPr>
                <w:rFonts w:eastAsia="Calibri"/>
                <w:sz w:val="20"/>
              </w:rPr>
              <w:t>(Pelletier, Gauthier and Near JJ.A.)</w:t>
            </w:r>
          </w:p>
          <w:p w:rsidR="002E225E" w:rsidRPr="00031974" w:rsidRDefault="00790981" w:rsidP="00B243C4">
            <w:pPr>
              <w:jc w:val="both"/>
              <w:rPr>
                <w:rFonts w:eastAsia="Calibri"/>
                <w:sz w:val="20"/>
              </w:rPr>
            </w:pPr>
            <w:hyperlink r:id="rId50" w:history="1">
              <w:r w:rsidR="002E225E" w:rsidRPr="00031974">
                <w:rPr>
                  <w:rFonts w:eastAsia="Calibri"/>
                  <w:color w:val="0000FF"/>
                  <w:sz w:val="20"/>
                  <w:u w:val="single"/>
                </w:rPr>
                <w:t>2014 FCA 98</w:t>
              </w:r>
            </w:hyperlink>
          </w:p>
          <w:p w:rsidR="002E225E" w:rsidRPr="00031974" w:rsidRDefault="002E225E" w:rsidP="00B243C4">
            <w:pPr>
              <w:jc w:val="both"/>
              <w:rPr>
                <w:rFonts w:eastAsia="Calibri"/>
                <w:sz w:val="20"/>
              </w:rPr>
            </w:pPr>
            <w:r w:rsidRPr="00031974">
              <w:rPr>
                <w:rFonts w:eastAsia="Calibri"/>
                <w:sz w:val="20"/>
              </w:rPr>
              <w:t>Docket No. A-228-13</w:t>
            </w:r>
          </w:p>
          <w:p w:rsidR="002E225E" w:rsidRPr="00031974" w:rsidRDefault="002E225E" w:rsidP="00B243C4">
            <w:pPr>
              <w:jc w:val="both"/>
              <w:rPr>
                <w:rFonts w:eastAsia="Calibri"/>
                <w:sz w:val="20"/>
              </w:rPr>
            </w:pPr>
          </w:p>
        </w:tc>
        <w:tc>
          <w:tcPr>
            <w:tcW w:w="243" w:type="pct"/>
          </w:tcPr>
          <w:p w:rsidR="002E225E" w:rsidRPr="00031974" w:rsidRDefault="002E225E" w:rsidP="00B243C4">
            <w:pPr>
              <w:jc w:val="both"/>
              <w:rPr>
                <w:rFonts w:eastAsia="Calibri"/>
                <w:sz w:val="20"/>
              </w:rPr>
            </w:pPr>
          </w:p>
        </w:tc>
        <w:tc>
          <w:tcPr>
            <w:tcW w:w="2330" w:type="pct"/>
          </w:tcPr>
          <w:p w:rsidR="002E225E" w:rsidRPr="00031974" w:rsidRDefault="002E225E" w:rsidP="00B243C4">
            <w:pPr>
              <w:jc w:val="both"/>
              <w:rPr>
                <w:rFonts w:eastAsia="Calibri"/>
                <w:sz w:val="20"/>
              </w:rPr>
            </w:pPr>
            <w:r w:rsidRPr="00031974">
              <w:rPr>
                <w:rFonts w:eastAsia="Calibri"/>
                <w:sz w:val="20"/>
              </w:rPr>
              <w:t>Appeal dismissed.</w:t>
            </w:r>
          </w:p>
        </w:tc>
      </w:tr>
      <w:tr w:rsidR="002E225E" w:rsidRPr="00031974" w:rsidTr="00B243C4">
        <w:tc>
          <w:tcPr>
            <w:tcW w:w="2427" w:type="pct"/>
          </w:tcPr>
          <w:p w:rsidR="002E225E" w:rsidRPr="00031974" w:rsidRDefault="002E225E" w:rsidP="00B243C4">
            <w:pPr>
              <w:jc w:val="both"/>
              <w:rPr>
                <w:rFonts w:eastAsia="Calibri"/>
                <w:sz w:val="20"/>
              </w:rPr>
            </w:pPr>
            <w:r w:rsidRPr="00031974">
              <w:rPr>
                <w:rFonts w:eastAsia="Calibri"/>
                <w:sz w:val="20"/>
              </w:rPr>
              <w:t>September 8, 2014</w:t>
            </w:r>
          </w:p>
          <w:p w:rsidR="002E225E" w:rsidRPr="00031974" w:rsidRDefault="002E225E" w:rsidP="00B243C4">
            <w:pPr>
              <w:jc w:val="both"/>
              <w:rPr>
                <w:rFonts w:eastAsia="Calibri"/>
                <w:sz w:val="20"/>
              </w:rPr>
            </w:pPr>
            <w:r w:rsidRPr="00031974">
              <w:rPr>
                <w:rFonts w:eastAsia="Calibri"/>
                <w:sz w:val="20"/>
              </w:rPr>
              <w:t>Federal Court of Appeal</w:t>
            </w:r>
          </w:p>
          <w:p w:rsidR="002E225E" w:rsidRPr="00031974" w:rsidRDefault="002E225E" w:rsidP="00B243C4">
            <w:pPr>
              <w:jc w:val="both"/>
              <w:rPr>
                <w:rFonts w:eastAsia="Calibri"/>
                <w:sz w:val="20"/>
              </w:rPr>
            </w:pPr>
            <w:r w:rsidRPr="00031974">
              <w:rPr>
                <w:rFonts w:eastAsia="Calibri"/>
                <w:sz w:val="20"/>
              </w:rPr>
              <w:t>(Sharlow J.A.)</w:t>
            </w:r>
          </w:p>
          <w:p w:rsidR="002E225E" w:rsidRPr="00031974" w:rsidRDefault="002E225E" w:rsidP="00B243C4">
            <w:pPr>
              <w:jc w:val="both"/>
              <w:rPr>
                <w:rFonts w:eastAsia="Calibri"/>
                <w:sz w:val="20"/>
              </w:rPr>
            </w:pPr>
            <w:r w:rsidRPr="00031974">
              <w:rPr>
                <w:rFonts w:eastAsia="Calibri"/>
                <w:sz w:val="20"/>
              </w:rPr>
              <w:t>Docket No. A-228-13</w:t>
            </w:r>
          </w:p>
          <w:p w:rsidR="002E225E" w:rsidRPr="00031974" w:rsidRDefault="002E225E" w:rsidP="00B243C4">
            <w:pPr>
              <w:jc w:val="both"/>
              <w:rPr>
                <w:rFonts w:eastAsia="Calibri"/>
                <w:sz w:val="20"/>
              </w:rPr>
            </w:pPr>
          </w:p>
        </w:tc>
        <w:tc>
          <w:tcPr>
            <w:tcW w:w="243" w:type="pct"/>
          </w:tcPr>
          <w:p w:rsidR="002E225E" w:rsidRPr="00031974" w:rsidRDefault="002E225E" w:rsidP="00B243C4">
            <w:pPr>
              <w:jc w:val="both"/>
              <w:rPr>
                <w:rFonts w:eastAsia="Calibri"/>
                <w:sz w:val="20"/>
              </w:rPr>
            </w:pPr>
          </w:p>
        </w:tc>
        <w:tc>
          <w:tcPr>
            <w:tcW w:w="2330" w:type="pct"/>
          </w:tcPr>
          <w:p w:rsidR="002E225E" w:rsidRPr="00031974" w:rsidRDefault="002E225E" w:rsidP="00B243C4">
            <w:pPr>
              <w:jc w:val="both"/>
              <w:rPr>
                <w:rFonts w:eastAsia="Calibri"/>
                <w:sz w:val="20"/>
              </w:rPr>
            </w:pPr>
            <w:r w:rsidRPr="00031974">
              <w:rPr>
                <w:rFonts w:eastAsia="Calibri"/>
                <w:sz w:val="20"/>
              </w:rPr>
              <w:t>Applicant’s motion to have appeal proceed as an appeal as-of-right, dismissed; Registry ordered to return to the applicant any motion or correspondence in which he seeks to have appeal reconsidered.</w:t>
            </w:r>
          </w:p>
          <w:p w:rsidR="002E225E" w:rsidRPr="00031974" w:rsidRDefault="002E225E" w:rsidP="00B243C4">
            <w:pPr>
              <w:jc w:val="both"/>
              <w:rPr>
                <w:rFonts w:eastAsia="Calibri"/>
                <w:sz w:val="20"/>
              </w:rPr>
            </w:pPr>
          </w:p>
        </w:tc>
      </w:tr>
      <w:tr w:rsidR="002E225E" w:rsidRPr="00031974" w:rsidTr="00B243C4">
        <w:tc>
          <w:tcPr>
            <w:tcW w:w="2427" w:type="pct"/>
          </w:tcPr>
          <w:p w:rsidR="002E225E" w:rsidRPr="00031974" w:rsidRDefault="002E225E" w:rsidP="00B243C4">
            <w:pPr>
              <w:jc w:val="both"/>
              <w:rPr>
                <w:rFonts w:eastAsia="Calibri"/>
                <w:sz w:val="20"/>
              </w:rPr>
            </w:pPr>
            <w:r w:rsidRPr="00031974">
              <w:rPr>
                <w:rFonts w:eastAsia="Calibri"/>
                <w:sz w:val="20"/>
              </w:rPr>
              <w:t>November 6, 2014</w:t>
            </w:r>
          </w:p>
          <w:p w:rsidR="002E225E" w:rsidRPr="00031974" w:rsidRDefault="002E225E" w:rsidP="00B243C4">
            <w:pPr>
              <w:jc w:val="both"/>
              <w:rPr>
                <w:rFonts w:eastAsia="Calibri"/>
                <w:sz w:val="20"/>
              </w:rPr>
            </w:pPr>
            <w:r w:rsidRPr="00031974">
              <w:rPr>
                <w:rFonts w:eastAsia="Calibri"/>
                <w:sz w:val="20"/>
              </w:rPr>
              <w:t>Supreme Court of Canada</w:t>
            </w:r>
          </w:p>
        </w:tc>
        <w:tc>
          <w:tcPr>
            <w:tcW w:w="243" w:type="pct"/>
          </w:tcPr>
          <w:p w:rsidR="002E225E" w:rsidRPr="00031974" w:rsidRDefault="002E225E" w:rsidP="00B243C4">
            <w:pPr>
              <w:jc w:val="both"/>
              <w:rPr>
                <w:rFonts w:eastAsia="Calibri"/>
                <w:sz w:val="20"/>
              </w:rPr>
            </w:pPr>
          </w:p>
        </w:tc>
        <w:tc>
          <w:tcPr>
            <w:tcW w:w="2330" w:type="pct"/>
          </w:tcPr>
          <w:p w:rsidR="002E225E" w:rsidRPr="00031974" w:rsidRDefault="002E225E" w:rsidP="00B243C4">
            <w:pPr>
              <w:jc w:val="both"/>
              <w:rPr>
                <w:rFonts w:eastAsia="Calibri"/>
                <w:sz w:val="20"/>
              </w:rPr>
            </w:pPr>
            <w:r w:rsidRPr="00031974">
              <w:rPr>
                <w:rFonts w:eastAsia="Calibri"/>
                <w:sz w:val="20"/>
              </w:rPr>
              <w:t>Application for leave to appeal filed.</w:t>
            </w:r>
          </w:p>
          <w:p w:rsidR="002E225E" w:rsidRPr="00031974" w:rsidRDefault="002E225E" w:rsidP="00B243C4">
            <w:pPr>
              <w:jc w:val="both"/>
              <w:rPr>
                <w:rFonts w:eastAsia="Calibri"/>
                <w:sz w:val="20"/>
              </w:rPr>
            </w:pPr>
          </w:p>
        </w:tc>
      </w:tr>
    </w:tbl>
    <w:p w:rsidR="00233E21" w:rsidRDefault="00233E21" w:rsidP="00233E21">
      <w:pPr>
        <w:rPr>
          <w:sz w:val="20"/>
          <w:szCs w:val="20"/>
        </w:rPr>
      </w:pPr>
    </w:p>
    <w:p w:rsidR="00233E21" w:rsidRPr="00C50A5C" w:rsidRDefault="00790981" w:rsidP="00233E21">
      <w:pPr>
        <w:rPr>
          <w:sz w:val="20"/>
          <w:szCs w:val="20"/>
        </w:rPr>
      </w:pPr>
      <w:r>
        <w:rPr>
          <w:sz w:val="20"/>
          <w:szCs w:val="20"/>
          <w:lang w:val="fr-CA"/>
        </w:rPr>
        <w:pict>
          <v:rect id="_x0000_i1045" style="width:2in;height:1pt" o:hrpct="0" o:hralign="center" o:hrstd="t" o:hrnoshade="t" o:hr="t" fillcolor="black [3213]" stroked="f"/>
        </w:pict>
      </w:r>
    </w:p>
    <w:p w:rsidR="00233E21" w:rsidRDefault="00233E21" w:rsidP="00233E21">
      <w:pPr>
        <w:rPr>
          <w:sz w:val="20"/>
          <w:szCs w:val="20"/>
        </w:rPr>
      </w:pPr>
    </w:p>
    <w:p w:rsidR="00233E21" w:rsidRPr="001B157C" w:rsidRDefault="00233E21" w:rsidP="00233E21">
      <w:pPr>
        <w:rPr>
          <w:sz w:val="20"/>
          <w:szCs w:val="20"/>
          <w:u w:val="single"/>
          <w:lang w:val="fr-CA"/>
        </w:rPr>
      </w:pPr>
      <w:r w:rsidRPr="001B157C">
        <w:rPr>
          <w:sz w:val="20"/>
          <w:szCs w:val="20"/>
          <w:u w:val="single"/>
          <w:lang w:val="fr-CA"/>
        </w:rPr>
        <w:t>RÉSUMÉ DE L’AFFAIRE</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E225E" w:rsidRPr="002B2DB4" w:rsidTr="00B243C4">
        <w:tc>
          <w:tcPr>
            <w:tcW w:w="5000" w:type="pct"/>
            <w:gridSpan w:val="3"/>
          </w:tcPr>
          <w:p w:rsidR="002E225E" w:rsidRPr="00031974" w:rsidRDefault="002E225E" w:rsidP="00B243C4">
            <w:pPr>
              <w:jc w:val="both"/>
              <w:rPr>
                <w:rFonts w:eastAsia="Calibri"/>
                <w:sz w:val="20"/>
                <w:lang w:val="fr-CA"/>
              </w:rPr>
            </w:pPr>
            <w:r w:rsidRPr="00031974">
              <w:rPr>
                <w:rFonts w:eastAsia="Calibri"/>
                <w:sz w:val="20"/>
                <w:lang w:val="fr-CA"/>
              </w:rPr>
              <w:t xml:space="preserve">Procédure civile – Requêtes – L’intimée a présenté une requête en application de l’art. 40 de la </w:t>
            </w:r>
            <w:r w:rsidRPr="00031974">
              <w:rPr>
                <w:rFonts w:eastAsia="Calibri"/>
                <w:i/>
                <w:sz w:val="20"/>
                <w:lang w:val="fr-CA"/>
              </w:rPr>
              <w:t xml:space="preserve">Loi sur les Cours fédérales </w:t>
            </w:r>
            <w:r w:rsidRPr="00031974">
              <w:rPr>
                <w:rFonts w:eastAsia="Calibri"/>
                <w:sz w:val="20"/>
                <w:lang w:val="fr-CA"/>
              </w:rPr>
              <w:t>pour faire déclarer le demandeur plaideur quérulent – Requête accueillie – La Cour d’appel a rejeté l’appel – La Cour d’appel a-t-elle commis une erreur de droit en rejetant la requête déposée par le demandeur en Cour d’appel fédérale après que son appel a été définitivement tranché?</w:t>
            </w:r>
          </w:p>
        </w:tc>
      </w:tr>
      <w:tr w:rsidR="002E225E" w:rsidRPr="002B2DB4" w:rsidTr="00B243C4">
        <w:tc>
          <w:tcPr>
            <w:tcW w:w="5000" w:type="pct"/>
            <w:gridSpan w:val="3"/>
          </w:tcPr>
          <w:p w:rsidR="002E225E" w:rsidRPr="00031974" w:rsidRDefault="002E225E" w:rsidP="00B243C4">
            <w:pPr>
              <w:jc w:val="both"/>
              <w:rPr>
                <w:rFonts w:eastAsia="Calibri"/>
                <w:sz w:val="20"/>
                <w:lang w:val="fr-CA"/>
              </w:rPr>
            </w:pPr>
          </w:p>
        </w:tc>
      </w:tr>
      <w:tr w:rsidR="002E225E" w:rsidRPr="002B2DB4" w:rsidTr="00B243C4">
        <w:tc>
          <w:tcPr>
            <w:tcW w:w="5000" w:type="pct"/>
            <w:gridSpan w:val="3"/>
          </w:tcPr>
          <w:p w:rsidR="002E225E" w:rsidRPr="00031974" w:rsidRDefault="002E225E" w:rsidP="00B243C4">
            <w:pPr>
              <w:jc w:val="both"/>
              <w:rPr>
                <w:rFonts w:eastAsia="Calibri"/>
                <w:sz w:val="20"/>
                <w:lang w:val="fr-CA"/>
              </w:rPr>
            </w:pPr>
            <w:r w:rsidRPr="00031974">
              <w:rPr>
                <w:rFonts w:eastAsia="Calibri"/>
                <w:sz w:val="20"/>
                <w:lang w:val="fr-CA"/>
              </w:rPr>
              <w:t xml:space="preserve">Le fils du demandeur a été l’objet de mesures prises en application de la </w:t>
            </w:r>
            <w:r w:rsidRPr="00031974">
              <w:rPr>
                <w:rFonts w:eastAsia="Calibri"/>
                <w:i/>
                <w:sz w:val="20"/>
                <w:lang w:val="fr-CA"/>
              </w:rPr>
              <w:t>Loi sur l’immigration et la protection des réfugiés</w:t>
            </w:r>
            <w:r w:rsidRPr="00031974">
              <w:rPr>
                <w:rFonts w:eastAsia="Calibri"/>
                <w:sz w:val="20"/>
                <w:lang w:val="fr-CA"/>
              </w:rPr>
              <w:t xml:space="preserve">, L.C. 2001, ch. 27.  Le demandeur a intenté plusieurs actions en justice contre diverses parties qui avaient pris part, d’une manière ou d’une autre, à ces instances en immigration et appels subséquents.  L’un de ces intimés était Lawyers’ Professional Indemnity Company (LAWPRO), une compagnie d’assurances qui fournit de l’assurance responsabilité professionnelle aux avocats en Ontario. </w:t>
            </w:r>
          </w:p>
          <w:p w:rsidR="002E225E" w:rsidRPr="00031974" w:rsidRDefault="002E225E" w:rsidP="00B243C4">
            <w:pPr>
              <w:jc w:val="both"/>
              <w:rPr>
                <w:rFonts w:eastAsia="Calibri"/>
                <w:sz w:val="20"/>
                <w:lang w:val="fr-CA"/>
              </w:rPr>
            </w:pPr>
          </w:p>
          <w:p w:rsidR="002E225E" w:rsidRPr="00031974" w:rsidRDefault="002E225E" w:rsidP="00B243C4">
            <w:pPr>
              <w:jc w:val="both"/>
              <w:rPr>
                <w:rFonts w:eastAsia="Calibri"/>
                <w:sz w:val="20"/>
                <w:lang w:val="fr-CA"/>
              </w:rPr>
            </w:pPr>
            <w:r w:rsidRPr="00031974">
              <w:rPr>
                <w:rFonts w:eastAsia="Calibri"/>
                <w:sz w:val="20"/>
                <w:lang w:val="fr-CA"/>
              </w:rPr>
              <w:t xml:space="preserve">LAWPRO a déposé une requête pour faire déclarer le demandeur plaideur quérulent.  Le demandeur a répondu en déposant une requête soulevant des questions reliées à la </w:t>
            </w:r>
            <w:r w:rsidRPr="00031974">
              <w:rPr>
                <w:rFonts w:eastAsia="Calibri"/>
                <w:i/>
                <w:sz w:val="20"/>
                <w:lang w:val="fr-CA"/>
              </w:rPr>
              <w:t>Charte</w:t>
            </w:r>
            <w:r w:rsidRPr="00031974">
              <w:rPr>
                <w:rFonts w:eastAsia="Calibri"/>
                <w:sz w:val="20"/>
                <w:lang w:val="fr-CA"/>
              </w:rPr>
              <w:t xml:space="preserve"> et pour faire déclarer  LAWPRO plaideur quérulent.  Le demandeur a tenté de faire radier la requête de LAWPRO contre lui.  Il a échoué lorsqu’un protonotaire de la Cour fédérale a rejeté sa requête en radiation de la requête déposée par LAWPRO. </w:t>
            </w:r>
          </w:p>
          <w:p w:rsidR="002E225E" w:rsidRPr="00031974" w:rsidRDefault="002E225E" w:rsidP="00B243C4">
            <w:pPr>
              <w:jc w:val="both"/>
              <w:rPr>
                <w:rFonts w:eastAsia="Calibri"/>
                <w:sz w:val="20"/>
                <w:lang w:val="fr-CA"/>
              </w:rPr>
            </w:pPr>
          </w:p>
        </w:tc>
      </w:tr>
      <w:tr w:rsidR="002E225E" w:rsidRPr="002B2DB4" w:rsidTr="00B243C4">
        <w:tc>
          <w:tcPr>
            <w:tcW w:w="2427" w:type="pct"/>
          </w:tcPr>
          <w:p w:rsidR="002E225E" w:rsidRPr="00031974" w:rsidRDefault="002E225E" w:rsidP="00B243C4">
            <w:pPr>
              <w:jc w:val="both"/>
              <w:rPr>
                <w:rFonts w:eastAsia="Calibri"/>
                <w:sz w:val="20"/>
                <w:lang w:val="fr-CA"/>
              </w:rPr>
            </w:pPr>
            <w:r w:rsidRPr="00031974">
              <w:rPr>
                <w:rFonts w:eastAsia="Calibri"/>
                <w:sz w:val="20"/>
                <w:lang w:val="fr-CA"/>
              </w:rPr>
              <w:t>18 mars 2013</w:t>
            </w:r>
          </w:p>
          <w:p w:rsidR="002E225E" w:rsidRPr="00031974" w:rsidRDefault="002E225E" w:rsidP="00B243C4">
            <w:pPr>
              <w:jc w:val="both"/>
              <w:rPr>
                <w:rFonts w:eastAsia="Calibri"/>
                <w:sz w:val="20"/>
                <w:lang w:val="fr-CA"/>
              </w:rPr>
            </w:pPr>
            <w:r w:rsidRPr="00031974">
              <w:rPr>
                <w:rFonts w:eastAsia="Calibri"/>
                <w:sz w:val="20"/>
                <w:lang w:val="fr-CA"/>
              </w:rPr>
              <w:t>Cour fédérale</w:t>
            </w:r>
          </w:p>
          <w:p w:rsidR="002E225E" w:rsidRPr="00031974" w:rsidRDefault="002E225E" w:rsidP="00B243C4">
            <w:pPr>
              <w:jc w:val="both"/>
              <w:rPr>
                <w:rFonts w:eastAsia="Calibri"/>
                <w:sz w:val="20"/>
                <w:lang w:val="fr-CA"/>
              </w:rPr>
            </w:pPr>
            <w:r w:rsidRPr="00031974">
              <w:rPr>
                <w:rFonts w:eastAsia="Calibri"/>
                <w:sz w:val="20"/>
                <w:lang w:val="fr-CA"/>
              </w:rPr>
              <w:t>(Juge Manson)</w:t>
            </w:r>
          </w:p>
          <w:p w:rsidR="002E225E" w:rsidRPr="00031974" w:rsidRDefault="002E225E" w:rsidP="00B243C4">
            <w:pPr>
              <w:jc w:val="both"/>
              <w:rPr>
                <w:rFonts w:eastAsia="Calibri"/>
                <w:sz w:val="20"/>
                <w:lang w:val="fr-CA"/>
              </w:rPr>
            </w:pPr>
            <w:r w:rsidRPr="00031974">
              <w:rPr>
                <w:rFonts w:eastAsia="Calibri"/>
                <w:sz w:val="20"/>
                <w:lang w:val="fr-CA"/>
              </w:rPr>
              <w:t>N</w:t>
            </w:r>
            <w:r w:rsidRPr="00031974">
              <w:rPr>
                <w:rFonts w:eastAsia="Calibri"/>
                <w:sz w:val="20"/>
                <w:vertAlign w:val="superscript"/>
                <w:lang w:val="fr-CA"/>
              </w:rPr>
              <w:t>o</w:t>
            </w:r>
            <w:r w:rsidRPr="00031974">
              <w:rPr>
                <w:rFonts w:eastAsia="Calibri"/>
                <w:sz w:val="20"/>
                <w:lang w:val="fr-CA"/>
              </w:rPr>
              <w:t xml:space="preserve"> du greffe T-312-13</w:t>
            </w:r>
          </w:p>
        </w:tc>
        <w:tc>
          <w:tcPr>
            <w:tcW w:w="243" w:type="pct"/>
          </w:tcPr>
          <w:p w:rsidR="002E225E" w:rsidRPr="00031974" w:rsidRDefault="002E225E" w:rsidP="00B243C4">
            <w:pPr>
              <w:jc w:val="both"/>
              <w:rPr>
                <w:rFonts w:eastAsia="Calibri"/>
                <w:sz w:val="20"/>
                <w:lang w:val="fr-CA"/>
              </w:rPr>
            </w:pPr>
          </w:p>
        </w:tc>
        <w:tc>
          <w:tcPr>
            <w:tcW w:w="2330" w:type="pct"/>
          </w:tcPr>
          <w:p w:rsidR="002E225E" w:rsidRPr="00031974" w:rsidRDefault="002E225E" w:rsidP="00B243C4">
            <w:pPr>
              <w:jc w:val="both"/>
              <w:rPr>
                <w:rFonts w:eastAsia="Calibri"/>
                <w:sz w:val="20"/>
                <w:lang w:val="fr-CA"/>
              </w:rPr>
            </w:pPr>
            <w:r w:rsidRPr="00031974">
              <w:rPr>
                <w:rFonts w:eastAsia="Calibri"/>
                <w:sz w:val="20"/>
                <w:lang w:val="fr-CA"/>
              </w:rPr>
              <w:t>Rejet de la requête du demandeur en modification ou en annulation de l’ordonnance d’un protonotaire refusant d’annuler la requête de Professional Indemnity Company’s (LAWPRO) pour qu’il soit déclaré plaideur quérulent.</w:t>
            </w:r>
          </w:p>
          <w:p w:rsidR="002E225E" w:rsidRPr="00031974" w:rsidRDefault="002E225E" w:rsidP="00B243C4">
            <w:pPr>
              <w:jc w:val="both"/>
              <w:rPr>
                <w:rFonts w:eastAsia="Calibri"/>
                <w:sz w:val="20"/>
                <w:lang w:val="fr-CA"/>
              </w:rPr>
            </w:pPr>
          </w:p>
        </w:tc>
      </w:tr>
      <w:tr w:rsidR="002E225E" w:rsidRPr="002B2DB4" w:rsidTr="00021E85">
        <w:trPr>
          <w:cantSplit/>
        </w:trPr>
        <w:tc>
          <w:tcPr>
            <w:tcW w:w="2427" w:type="pct"/>
          </w:tcPr>
          <w:p w:rsidR="002E225E" w:rsidRPr="00031974" w:rsidRDefault="002E225E" w:rsidP="00B243C4">
            <w:pPr>
              <w:jc w:val="both"/>
              <w:rPr>
                <w:rFonts w:eastAsia="Calibri"/>
                <w:sz w:val="20"/>
                <w:lang w:val="fr-CA"/>
              </w:rPr>
            </w:pPr>
            <w:r w:rsidRPr="00031974">
              <w:rPr>
                <w:rFonts w:eastAsia="Calibri"/>
                <w:sz w:val="20"/>
                <w:lang w:val="fr-CA"/>
              </w:rPr>
              <w:lastRenderedPageBreak/>
              <w:t>11 avril 2013</w:t>
            </w:r>
          </w:p>
          <w:p w:rsidR="002E225E" w:rsidRPr="00031974" w:rsidRDefault="002E225E" w:rsidP="00B243C4">
            <w:pPr>
              <w:jc w:val="both"/>
              <w:rPr>
                <w:rFonts w:eastAsia="Calibri"/>
                <w:sz w:val="20"/>
                <w:lang w:val="fr-CA"/>
              </w:rPr>
            </w:pPr>
            <w:r w:rsidRPr="00031974">
              <w:rPr>
                <w:rFonts w:eastAsia="Calibri"/>
                <w:sz w:val="20"/>
                <w:lang w:val="fr-CA"/>
              </w:rPr>
              <w:t>Cour fédérale</w:t>
            </w:r>
          </w:p>
          <w:p w:rsidR="002E225E" w:rsidRPr="00031974" w:rsidRDefault="002E225E" w:rsidP="00B243C4">
            <w:pPr>
              <w:jc w:val="both"/>
              <w:rPr>
                <w:rFonts w:eastAsia="Calibri"/>
                <w:sz w:val="20"/>
                <w:lang w:val="fr-CA"/>
              </w:rPr>
            </w:pPr>
            <w:r w:rsidRPr="00031974">
              <w:rPr>
                <w:rFonts w:eastAsia="Calibri"/>
                <w:sz w:val="20"/>
                <w:lang w:val="fr-CA"/>
              </w:rPr>
              <w:t>(Juge Boivin)</w:t>
            </w:r>
          </w:p>
          <w:p w:rsidR="002E225E" w:rsidRPr="00031974" w:rsidRDefault="002E225E" w:rsidP="00B243C4">
            <w:pPr>
              <w:jc w:val="both"/>
              <w:rPr>
                <w:rFonts w:eastAsia="Calibri"/>
                <w:sz w:val="20"/>
                <w:lang w:val="fr-CA"/>
              </w:rPr>
            </w:pPr>
            <w:r w:rsidRPr="00031974">
              <w:rPr>
                <w:rFonts w:eastAsia="Calibri"/>
                <w:sz w:val="20"/>
                <w:lang w:val="fr-CA"/>
              </w:rPr>
              <w:t>N</w:t>
            </w:r>
            <w:r w:rsidRPr="00031974">
              <w:rPr>
                <w:rFonts w:eastAsia="Calibri"/>
                <w:sz w:val="20"/>
                <w:vertAlign w:val="superscript"/>
                <w:lang w:val="fr-CA"/>
              </w:rPr>
              <w:t>o</w:t>
            </w:r>
            <w:r w:rsidRPr="00031974">
              <w:rPr>
                <w:rFonts w:eastAsia="Calibri"/>
                <w:sz w:val="20"/>
                <w:lang w:val="fr-CA"/>
              </w:rPr>
              <w:t xml:space="preserve"> du greffe T-312-13</w:t>
            </w:r>
          </w:p>
        </w:tc>
        <w:tc>
          <w:tcPr>
            <w:tcW w:w="243" w:type="pct"/>
          </w:tcPr>
          <w:p w:rsidR="002E225E" w:rsidRPr="00031974" w:rsidRDefault="002E225E" w:rsidP="00B243C4">
            <w:pPr>
              <w:jc w:val="both"/>
              <w:rPr>
                <w:rFonts w:eastAsia="Calibri"/>
                <w:sz w:val="20"/>
                <w:lang w:val="fr-CA"/>
              </w:rPr>
            </w:pPr>
          </w:p>
        </w:tc>
        <w:tc>
          <w:tcPr>
            <w:tcW w:w="2330" w:type="pct"/>
          </w:tcPr>
          <w:p w:rsidR="002E225E" w:rsidRPr="00031974" w:rsidRDefault="002E225E" w:rsidP="00B243C4">
            <w:pPr>
              <w:jc w:val="both"/>
              <w:rPr>
                <w:rFonts w:eastAsia="Calibri"/>
                <w:sz w:val="20"/>
                <w:lang w:val="fr-CA"/>
              </w:rPr>
            </w:pPr>
            <w:r w:rsidRPr="00031974">
              <w:rPr>
                <w:rFonts w:eastAsia="Calibri"/>
                <w:sz w:val="20"/>
                <w:lang w:val="fr-CA"/>
              </w:rPr>
              <w:t>Ordonnance réunissant la requête de LAWPRO pour faire déclarer le demandeur plaideur quérulent et la requête du demandeur pour que LAWPRO soit déclaré plaideur quérulent et portant que ces requêtes doivent être réunies et instruites conjointement.</w:t>
            </w:r>
          </w:p>
          <w:p w:rsidR="002E225E" w:rsidRPr="00031974" w:rsidRDefault="002E225E" w:rsidP="00B243C4">
            <w:pPr>
              <w:jc w:val="both"/>
              <w:rPr>
                <w:rFonts w:eastAsia="Calibri"/>
                <w:sz w:val="20"/>
                <w:lang w:val="fr-CA"/>
              </w:rPr>
            </w:pPr>
          </w:p>
        </w:tc>
      </w:tr>
      <w:tr w:rsidR="002E225E" w:rsidRPr="002B2DB4" w:rsidTr="00021E85">
        <w:trPr>
          <w:cantSplit/>
        </w:trPr>
        <w:tc>
          <w:tcPr>
            <w:tcW w:w="2427" w:type="pct"/>
          </w:tcPr>
          <w:p w:rsidR="002E225E" w:rsidRPr="00031974" w:rsidRDefault="002E225E" w:rsidP="00B243C4">
            <w:pPr>
              <w:jc w:val="both"/>
              <w:rPr>
                <w:rFonts w:eastAsia="Calibri"/>
                <w:sz w:val="20"/>
                <w:lang w:val="fr-CA"/>
              </w:rPr>
            </w:pPr>
            <w:r w:rsidRPr="00031974">
              <w:rPr>
                <w:rFonts w:eastAsia="Calibri"/>
                <w:sz w:val="20"/>
                <w:lang w:val="fr-CA"/>
              </w:rPr>
              <w:t>13 juin 2013</w:t>
            </w:r>
          </w:p>
          <w:p w:rsidR="002E225E" w:rsidRPr="00031974" w:rsidRDefault="002E225E" w:rsidP="00B243C4">
            <w:pPr>
              <w:jc w:val="both"/>
              <w:rPr>
                <w:rFonts w:eastAsia="Calibri"/>
                <w:sz w:val="20"/>
                <w:lang w:val="fr-CA"/>
              </w:rPr>
            </w:pPr>
            <w:r w:rsidRPr="00031974">
              <w:rPr>
                <w:rFonts w:eastAsia="Calibri"/>
                <w:sz w:val="20"/>
                <w:lang w:val="fr-CA"/>
              </w:rPr>
              <w:t>Cour fédérale</w:t>
            </w:r>
          </w:p>
          <w:p w:rsidR="002E225E" w:rsidRPr="00031974" w:rsidRDefault="002E225E" w:rsidP="00B243C4">
            <w:pPr>
              <w:jc w:val="both"/>
              <w:rPr>
                <w:rFonts w:eastAsia="Calibri"/>
                <w:sz w:val="20"/>
                <w:lang w:val="fr-CA"/>
              </w:rPr>
            </w:pPr>
            <w:r w:rsidRPr="00031974">
              <w:rPr>
                <w:rFonts w:eastAsia="Calibri"/>
                <w:sz w:val="20"/>
                <w:lang w:val="fr-CA"/>
              </w:rPr>
              <w:t>(Juge Hughes)</w:t>
            </w:r>
          </w:p>
          <w:p w:rsidR="002E225E" w:rsidRPr="00031974" w:rsidRDefault="00790981" w:rsidP="00B243C4">
            <w:pPr>
              <w:jc w:val="both"/>
              <w:rPr>
                <w:rFonts w:eastAsia="Calibri"/>
                <w:sz w:val="20"/>
                <w:lang w:val="fr-CA"/>
              </w:rPr>
            </w:pPr>
            <w:hyperlink r:id="rId51" w:history="1">
              <w:r w:rsidR="002E225E" w:rsidRPr="00031974">
                <w:rPr>
                  <w:rFonts w:eastAsia="Calibri"/>
                  <w:color w:val="0000FF"/>
                  <w:sz w:val="20"/>
                  <w:u w:val="single"/>
                  <w:lang w:val="fr-CA"/>
                </w:rPr>
                <w:t>2013 FC 643</w:t>
              </w:r>
            </w:hyperlink>
          </w:p>
          <w:p w:rsidR="002E225E" w:rsidRPr="00031974" w:rsidRDefault="002E225E" w:rsidP="00B243C4">
            <w:pPr>
              <w:jc w:val="both"/>
              <w:rPr>
                <w:rFonts w:eastAsia="Calibri"/>
                <w:sz w:val="20"/>
                <w:lang w:val="fr-CA"/>
              </w:rPr>
            </w:pPr>
            <w:r w:rsidRPr="00031974">
              <w:rPr>
                <w:rFonts w:eastAsia="Calibri"/>
                <w:sz w:val="20"/>
                <w:lang w:val="fr-CA"/>
              </w:rPr>
              <w:t>N</w:t>
            </w:r>
            <w:r w:rsidRPr="00031974">
              <w:rPr>
                <w:rFonts w:eastAsia="Calibri"/>
                <w:sz w:val="20"/>
                <w:vertAlign w:val="superscript"/>
                <w:lang w:val="fr-CA"/>
              </w:rPr>
              <w:t>o</w:t>
            </w:r>
            <w:r w:rsidRPr="00031974">
              <w:rPr>
                <w:rFonts w:eastAsia="Calibri"/>
                <w:sz w:val="20"/>
                <w:lang w:val="fr-CA"/>
              </w:rPr>
              <w:t xml:space="preserve"> du greffe T-312-13</w:t>
            </w:r>
          </w:p>
          <w:p w:rsidR="002E225E" w:rsidRPr="00031974" w:rsidRDefault="002E225E" w:rsidP="00B243C4">
            <w:pPr>
              <w:jc w:val="both"/>
              <w:rPr>
                <w:rFonts w:eastAsia="Calibri"/>
                <w:sz w:val="20"/>
                <w:lang w:val="fr-CA"/>
              </w:rPr>
            </w:pPr>
          </w:p>
        </w:tc>
        <w:tc>
          <w:tcPr>
            <w:tcW w:w="243" w:type="pct"/>
          </w:tcPr>
          <w:p w:rsidR="002E225E" w:rsidRPr="00031974" w:rsidRDefault="002E225E" w:rsidP="00B243C4">
            <w:pPr>
              <w:jc w:val="both"/>
              <w:rPr>
                <w:rFonts w:eastAsia="Calibri"/>
                <w:sz w:val="20"/>
                <w:lang w:val="fr-CA"/>
              </w:rPr>
            </w:pPr>
          </w:p>
        </w:tc>
        <w:tc>
          <w:tcPr>
            <w:tcW w:w="2330" w:type="pct"/>
          </w:tcPr>
          <w:p w:rsidR="002E225E" w:rsidRPr="00031974" w:rsidRDefault="002E225E" w:rsidP="00B243C4">
            <w:pPr>
              <w:jc w:val="both"/>
              <w:rPr>
                <w:rFonts w:eastAsia="Calibri"/>
                <w:sz w:val="20"/>
                <w:lang w:val="fr-CA"/>
              </w:rPr>
            </w:pPr>
            <w:r w:rsidRPr="00031974">
              <w:rPr>
                <w:rFonts w:eastAsia="Calibri"/>
                <w:sz w:val="20"/>
                <w:lang w:val="fr-CA"/>
              </w:rPr>
              <w:t xml:space="preserve">Décision accueillant la requête de LAWPRO pour que le demandeur soit déclaré plaideur quérulent en application de l’art. 40 de la </w:t>
            </w:r>
            <w:r w:rsidRPr="00031974">
              <w:rPr>
                <w:rFonts w:eastAsia="Calibri"/>
                <w:i/>
                <w:sz w:val="20"/>
                <w:lang w:val="fr-CA"/>
              </w:rPr>
              <w:t>Loi sur les Cours fédérales</w:t>
            </w:r>
            <w:r w:rsidRPr="00031974">
              <w:rPr>
                <w:rFonts w:eastAsia="Calibri"/>
                <w:sz w:val="20"/>
                <w:lang w:val="fr-CA"/>
              </w:rPr>
              <w:t xml:space="preserve">, L.R.C. 1985, ch. F-7; rejet de la requête du demandeur pour obtenir une ordonnance déclarant LAWPRO plaideur quérulent; rejet de la requête du demandeur en modification ou en annulation des ordonnances des juges Manson et Boivin. </w:t>
            </w:r>
          </w:p>
          <w:p w:rsidR="002E225E" w:rsidRPr="00031974" w:rsidRDefault="002E225E" w:rsidP="00B243C4">
            <w:pPr>
              <w:jc w:val="both"/>
              <w:rPr>
                <w:rFonts w:eastAsia="Calibri"/>
                <w:sz w:val="20"/>
                <w:lang w:val="fr-CA"/>
              </w:rPr>
            </w:pPr>
          </w:p>
        </w:tc>
      </w:tr>
      <w:tr w:rsidR="002E225E" w:rsidRPr="00031974" w:rsidTr="00021E85">
        <w:trPr>
          <w:cantSplit/>
        </w:trPr>
        <w:tc>
          <w:tcPr>
            <w:tcW w:w="2427" w:type="pct"/>
          </w:tcPr>
          <w:p w:rsidR="002E225E" w:rsidRPr="00031974" w:rsidRDefault="002E225E" w:rsidP="00B243C4">
            <w:pPr>
              <w:jc w:val="both"/>
              <w:rPr>
                <w:rFonts w:eastAsia="Calibri"/>
                <w:sz w:val="20"/>
                <w:lang w:val="fr-CA"/>
              </w:rPr>
            </w:pPr>
            <w:r w:rsidRPr="00031974">
              <w:rPr>
                <w:rFonts w:eastAsia="Calibri"/>
                <w:sz w:val="20"/>
                <w:lang w:val="fr-CA"/>
              </w:rPr>
              <w:t>10 avril 2014</w:t>
            </w:r>
          </w:p>
          <w:p w:rsidR="002E225E" w:rsidRPr="00031974" w:rsidRDefault="002E225E" w:rsidP="00B243C4">
            <w:pPr>
              <w:jc w:val="both"/>
              <w:rPr>
                <w:rFonts w:eastAsia="Calibri"/>
                <w:sz w:val="20"/>
                <w:lang w:val="fr-CA"/>
              </w:rPr>
            </w:pPr>
            <w:r w:rsidRPr="00031974">
              <w:rPr>
                <w:rFonts w:eastAsia="Calibri"/>
                <w:sz w:val="20"/>
                <w:lang w:val="fr-CA"/>
              </w:rPr>
              <w:t>Cour d’appel fédérale</w:t>
            </w:r>
          </w:p>
          <w:p w:rsidR="002E225E" w:rsidRPr="00031974" w:rsidRDefault="002E225E" w:rsidP="00B243C4">
            <w:pPr>
              <w:jc w:val="both"/>
              <w:rPr>
                <w:rFonts w:eastAsia="Calibri"/>
                <w:sz w:val="20"/>
                <w:lang w:val="fr-CA"/>
              </w:rPr>
            </w:pPr>
            <w:r w:rsidRPr="00031974">
              <w:rPr>
                <w:rFonts w:eastAsia="Calibri"/>
                <w:sz w:val="20"/>
                <w:lang w:val="fr-CA"/>
              </w:rPr>
              <w:t>(Juges Pelletier, Gauthier et Near)</w:t>
            </w:r>
          </w:p>
          <w:p w:rsidR="002E225E" w:rsidRPr="00031974" w:rsidRDefault="00790981" w:rsidP="00B243C4">
            <w:pPr>
              <w:jc w:val="both"/>
              <w:rPr>
                <w:rFonts w:eastAsia="Calibri"/>
                <w:sz w:val="20"/>
              </w:rPr>
            </w:pPr>
            <w:hyperlink r:id="rId52" w:history="1">
              <w:r w:rsidR="002E225E" w:rsidRPr="00031974">
                <w:rPr>
                  <w:rFonts w:eastAsia="Calibri"/>
                  <w:color w:val="0000FF"/>
                  <w:sz w:val="20"/>
                  <w:u w:val="single"/>
                </w:rPr>
                <w:t>2014 FCA 98</w:t>
              </w:r>
            </w:hyperlink>
          </w:p>
          <w:p w:rsidR="002E225E" w:rsidRPr="00031974" w:rsidRDefault="002E225E" w:rsidP="00B243C4">
            <w:pPr>
              <w:jc w:val="both"/>
              <w:rPr>
                <w:rFonts w:eastAsia="Calibri"/>
                <w:sz w:val="20"/>
              </w:rPr>
            </w:pPr>
            <w:r w:rsidRPr="00031974">
              <w:rPr>
                <w:rFonts w:eastAsia="Calibri"/>
                <w:sz w:val="20"/>
              </w:rPr>
              <w:t>N</w:t>
            </w:r>
            <w:r w:rsidRPr="00031974">
              <w:rPr>
                <w:rFonts w:eastAsia="Calibri"/>
                <w:sz w:val="20"/>
                <w:vertAlign w:val="superscript"/>
              </w:rPr>
              <w:t>o</w:t>
            </w:r>
            <w:r w:rsidRPr="00031974">
              <w:rPr>
                <w:rFonts w:eastAsia="Calibri"/>
                <w:sz w:val="20"/>
              </w:rPr>
              <w:t xml:space="preserve"> du greffe A-228-13</w:t>
            </w:r>
          </w:p>
          <w:p w:rsidR="002E225E" w:rsidRPr="00031974" w:rsidRDefault="002E225E" w:rsidP="00B243C4">
            <w:pPr>
              <w:jc w:val="both"/>
              <w:rPr>
                <w:rFonts w:eastAsia="Calibri"/>
                <w:sz w:val="20"/>
              </w:rPr>
            </w:pPr>
          </w:p>
        </w:tc>
        <w:tc>
          <w:tcPr>
            <w:tcW w:w="243" w:type="pct"/>
          </w:tcPr>
          <w:p w:rsidR="002E225E" w:rsidRPr="00031974" w:rsidRDefault="002E225E" w:rsidP="00B243C4">
            <w:pPr>
              <w:jc w:val="both"/>
              <w:rPr>
                <w:rFonts w:eastAsia="Calibri"/>
                <w:sz w:val="20"/>
              </w:rPr>
            </w:pPr>
          </w:p>
        </w:tc>
        <w:tc>
          <w:tcPr>
            <w:tcW w:w="2330" w:type="pct"/>
          </w:tcPr>
          <w:p w:rsidR="002E225E" w:rsidRPr="00031974" w:rsidRDefault="002E225E" w:rsidP="00B243C4">
            <w:pPr>
              <w:jc w:val="both"/>
              <w:rPr>
                <w:rFonts w:eastAsia="Calibri"/>
                <w:sz w:val="20"/>
                <w:lang w:val="fr-CA"/>
              </w:rPr>
            </w:pPr>
            <w:r w:rsidRPr="00031974">
              <w:rPr>
                <w:rFonts w:eastAsia="Calibri"/>
                <w:sz w:val="20"/>
                <w:lang w:val="fr-CA"/>
              </w:rPr>
              <w:t>Rejet de l’appel.</w:t>
            </w:r>
          </w:p>
        </w:tc>
      </w:tr>
      <w:tr w:rsidR="002E225E" w:rsidRPr="002B2DB4" w:rsidTr="00021E85">
        <w:trPr>
          <w:cantSplit/>
        </w:trPr>
        <w:tc>
          <w:tcPr>
            <w:tcW w:w="2427" w:type="pct"/>
          </w:tcPr>
          <w:p w:rsidR="002E225E" w:rsidRPr="00031974" w:rsidRDefault="002E225E" w:rsidP="00B243C4">
            <w:pPr>
              <w:jc w:val="both"/>
              <w:rPr>
                <w:rFonts w:eastAsia="Calibri"/>
                <w:sz w:val="20"/>
                <w:lang w:val="fr-CA"/>
              </w:rPr>
            </w:pPr>
            <w:r w:rsidRPr="00031974">
              <w:rPr>
                <w:rFonts w:eastAsia="Calibri"/>
                <w:sz w:val="20"/>
                <w:lang w:val="fr-CA"/>
              </w:rPr>
              <w:t>8 septembre 2014</w:t>
            </w:r>
          </w:p>
          <w:p w:rsidR="002E225E" w:rsidRPr="00031974" w:rsidRDefault="002E225E" w:rsidP="00B243C4">
            <w:pPr>
              <w:jc w:val="both"/>
              <w:rPr>
                <w:rFonts w:eastAsia="Calibri"/>
                <w:sz w:val="20"/>
                <w:lang w:val="fr-CA"/>
              </w:rPr>
            </w:pPr>
            <w:r w:rsidRPr="00031974">
              <w:rPr>
                <w:rFonts w:eastAsia="Calibri"/>
                <w:sz w:val="20"/>
                <w:lang w:val="fr-CA"/>
              </w:rPr>
              <w:t>Cour d’appel fédérale</w:t>
            </w:r>
          </w:p>
          <w:p w:rsidR="002E225E" w:rsidRPr="00031974" w:rsidRDefault="002E225E" w:rsidP="00B243C4">
            <w:pPr>
              <w:jc w:val="both"/>
              <w:rPr>
                <w:rFonts w:eastAsia="Calibri"/>
                <w:sz w:val="20"/>
                <w:lang w:val="fr-CA"/>
              </w:rPr>
            </w:pPr>
            <w:r w:rsidRPr="00031974">
              <w:rPr>
                <w:rFonts w:eastAsia="Calibri"/>
                <w:sz w:val="20"/>
                <w:lang w:val="fr-CA"/>
              </w:rPr>
              <w:t>(Juge Sharlow)</w:t>
            </w:r>
          </w:p>
          <w:p w:rsidR="002E225E" w:rsidRPr="00031974" w:rsidRDefault="002E225E" w:rsidP="00B243C4">
            <w:pPr>
              <w:jc w:val="both"/>
              <w:rPr>
                <w:rFonts w:eastAsia="Calibri"/>
                <w:sz w:val="20"/>
                <w:lang w:val="fr-CA"/>
              </w:rPr>
            </w:pPr>
            <w:r w:rsidRPr="00031974">
              <w:rPr>
                <w:rFonts w:eastAsia="Calibri"/>
                <w:sz w:val="20"/>
                <w:lang w:val="fr-CA"/>
              </w:rPr>
              <w:t>N</w:t>
            </w:r>
            <w:r w:rsidRPr="00031974">
              <w:rPr>
                <w:rFonts w:eastAsia="Calibri"/>
                <w:sz w:val="20"/>
                <w:vertAlign w:val="superscript"/>
                <w:lang w:val="fr-CA"/>
              </w:rPr>
              <w:t>o</w:t>
            </w:r>
            <w:r w:rsidRPr="00031974">
              <w:rPr>
                <w:rFonts w:eastAsia="Calibri"/>
                <w:sz w:val="20"/>
                <w:lang w:val="fr-CA"/>
              </w:rPr>
              <w:t xml:space="preserve"> du greffe A-228-13</w:t>
            </w:r>
          </w:p>
          <w:p w:rsidR="002E225E" w:rsidRPr="00031974" w:rsidRDefault="002E225E" w:rsidP="00B243C4">
            <w:pPr>
              <w:jc w:val="both"/>
              <w:rPr>
                <w:rFonts w:eastAsia="Calibri"/>
                <w:sz w:val="20"/>
                <w:lang w:val="fr-CA"/>
              </w:rPr>
            </w:pPr>
          </w:p>
        </w:tc>
        <w:tc>
          <w:tcPr>
            <w:tcW w:w="243" w:type="pct"/>
          </w:tcPr>
          <w:p w:rsidR="002E225E" w:rsidRPr="00031974" w:rsidRDefault="002E225E" w:rsidP="00B243C4">
            <w:pPr>
              <w:jc w:val="both"/>
              <w:rPr>
                <w:rFonts w:eastAsia="Calibri"/>
                <w:sz w:val="20"/>
                <w:lang w:val="fr-CA"/>
              </w:rPr>
            </w:pPr>
          </w:p>
        </w:tc>
        <w:tc>
          <w:tcPr>
            <w:tcW w:w="2330" w:type="pct"/>
          </w:tcPr>
          <w:p w:rsidR="002E225E" w:rsidRPr="00031974" w:rsidRDefault="002E225E" w:rsidP="00B243C4">
            <w:pPr>
              <w:jc w:val="both"/>
              <w:rPr>
                <w:rFonts w:eastAsia="Calibri"/>
                <w:sz w:val="20"/>
                <w:lang w:val="fr-CA"/>
              </w:rPr>
            </w:pPr>
            <w:r w:rsidRPr="00031974">
              <w:rPr>
                <w:rFonts w:eastAsia="Calibri"/>
                <w:sz w:val="20"/>
                <w:lang w:val="fr-CA"/>
              </w:rPr>
              <w:t>Rejet de la requête du demandeur pour que l’appel soit instruit comme appel de plein droit; ordonnance enjoignant au greffe de retourner au demandeur toute requête ou correspondance dans laquelle il demande le réexamen de l’appel.</w:t>
            </w:r>
          </w:p>
          <w:p w:rsidR="002E225E" w:rsidRPr="00031974" w:rsidRDefault="002E225E" w:rsidP="00B243C4">
            <w:pPr>
              <w:jc w:val="both"/>
              <w:rPr>
                <w:rFonts w:eastAsia="Calibri"/>
                <w:sz w:val="20"/>
                <w:lang w:val="fr-CA"/>
              </w:rPr>
            </w:pPr>
          </w:p>
        </w:tc>
      </w:tr>
      <w:tr w:rsidR="002E225E" w:rsidRPr="002B2DB4" w:rsidTr="00021E85">
        <w:trPr>
          <w:cantSplit/>
        </w:trPr>
        <w:tc>
          <w:tcPr>
            <w:tcW w:w="2427" w:type="pct"/>
          </w:tcPr>
          <w:p w:rsidR="002E225E" w:rsidRPr="00031974" w:rsidRDefault="002E225E" w:rsidP="00B243C4">
            <w:pPr>
              <w:jc w:val="both"/>
              <w:rPr>
                <w:rFonts w:eastAsia="Calibri"/>
                <w:sz w:val="20"/>
                <w:lang w:val="fr-CA"/>
              </w:rPr>
            </w:pPr>
            <w:r w:rsidRPr="00031974">
              <w:rPr>
                <w:rFonts w:eastAsia="Calibri"/>
                <w:sz w:val="20"/>
                <w:lang w:val="fr-CA"/>
              </w:rPr>
              <w:t>6 novembre 2014</w:t>
            </w:r>
          </w:p>
          <w:p w:rsidR="002E225E" w:rsidRPr="00031974" w:rsidRDefault="002E225E" w:rsidP="00B243C4">
            <w:pPr>
              <w:jc w:val="both"/>
              <w:rPr>
                <w:rFonts w:eastAsia="Calibri"/>
                <w:sz w:val="20"/>
                <w:lang w:val="fr-CA"/>
              </w:rPr>
            </w:pPr>
            <w:r w:rsidRPr="00031974">
              <w:rPr>
                <w:rFonts w:eastAsia="Calibri"/>
                <w:sz w:val="20"/>
                <w:lang w:val="fr-CA"/>
              </w:rPr>
              <w:t>Cour suprême du Canada</w:t>
            </w:r>
          </w:p>
        </w:tc>
        <w:tc>
          <w:tcPr>
            <w:tcW w:w="243" w:type="pct"/>
          </w:tcPr>
          <w:p w:rsidR="002E225E" w:rsidRPr="00031974" w:rsidRDefault="002E225E" w:rsidP="00B243C4">
            <w:pPr>
              <w:jc w:val="both"/>
              <w:rPr>
                <w:rFonts w:eastAsia="Calibri"/>
                <w:sz w:val="20"/>
                <w:lang w:val="fr-CA"/>
              </w:rPr>
            </w:pPr>
          </w:p>
        </w:tc>
        <w:tc>
          <w:tcPr>
            <w:tcW w:w="2330" w:type="pct"/>
          </w:tcPr>
          <w:p w:rsidR="002E225E" w:rsidRPr="00031974" w:rsidRDefault="002E225E" w:rsidP="00B243C4">
            <w:pPr>
              <w:jc w:val="both"/>
              <w:rPr>
                <w:rFonts w:eastAsia="Calibri"/>
                <w:sz w:val="20"/>
                <w:lang w:val="fr-CA"/>
              </w:rPr>
            </w:pPr>
            <w:r w:rsidRPr="00031974">
              <w:rPr>
                <w:rFonts w:eastAsia="Calibri"/>
                <w:sz w:val="20"/>
                <w:lang w:val="fr-CA"/>
              </w:rPr>
              <w:t>Dépôt de la demande d’autorisation d’appel.</w:t>
            </w:r>
          </w:p>
          <w:p w:rsidR="002E225E" w:rsidRPr="00031974" w:rsidRDefault="002E225E" w:rsidP="00B243C4">
            <w:pPr>
              <w:jc w:val="both"/>
              <w:rPr>
                <w:rFonts w:eastAsia="Calibri"/>
                <w:sz w:val="20"/>
                <w:lang w:val="fr-CA"/>
              </w:rPr>
            </w:pPr>
          </w:p>
        </w:tc>
      </w:tr>
    </w:tbl>
    <w:p w:rsidR="00233E21" w:rsidRPr="002E225E" w:rsidRDefault="00233E21" w:rsidP="00233E21">
      <w:pPr>
        <w:rPr>
          <w:sz w:val="20"/>
          <w:szCs w:val="20"/>
          <w:lang w:val="fr-CA"/>
        </w:rPr>
      </w:pPr>
    </w:p>
    <w:p w:rsidR="00233E21" w:rsidRDefault="00790981" w:rsidP="00233E21">
      <w:pPr>
        <w:rPr>
          <w:sz w:val="20"/>
          <w:szCs w:val="20"/>
          <w:lang w:val="fr-CA"/>
        </w:rPr>
      </w:pPr>
      <w:r>
        <w:rPr>
          <w:sz w:val="20"/>
          <w:szCs w:val="20"/>
          <w:lang w:val="fr-CA"/>
        </w:rPr>
        <w:pict>
          <v:rect id="_x0000_i1046" style="width:2in;height:1pt" o:hrpct="0" o:hralign="center" o:hrstd="t" o:hrnoshade="t" o:hr="t" fillcolor="black [3213]" stroked="f"/>
        </w:pict>
      </w:r>
    </w:p>
    <w:p w:rsidR="00233E21" w:rsidRDefault="00233E21" w:rsidP="00233E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21E85" w:rsidRPr="00C417EA" w:rsidTr="00B243C4">
        <w:trPr>
          <w:cantSplit/>
        </w:trPr>
        <w:tc>
          <w:tcPr>
            <w:tcW w:w="1458" w:type="dxa"/>
          </w:tcPr>
          <w:p w:rsidR="00021E85" w:rsidRPr="00C417EA" w:rsidRDefault="00021E85" w:rsidP="00B243C4">
            <w:pPr>
              <w:rPr>
                <w:sz w:val="20"/>
                <w:szCs w:val="20"/>
              </w:rPr>
            </w:pPr>
            <w:r w:rsidRPr="00C417EA">
              <w:rPr>
                <w:rStyle w:val="SCCFileNumberChar"/>
                <w:sz w:val="20"/>
                <w:szCs w:val="20"/>
              </w:rPr>
              <w:t>36226</w:t>
            </w:r>
          </w:p>
          <w:p w:rsidR="00021E85" w:rsidRPr="00C417EA" w:rsidRDefault="00021E85" w:rsidP="00B243C4">
            <w:pPr>
              <w:rPr>
                <w:b/>
                <w:sz w:val="20"/>
                <w:szCs w:val="20"/>
                <w:lang w:val="fr-CA"/>
              </w:rPr>
            </w:pPr>
          </w:p>
        </w:tc>
        <w:tc>
          <w:tcPr>
            <w:tcW w:w="8118" w:type="dxa"/>
          </w:tcPr>
          <w:p w:rsidR="00021E85" w:rsidRPr="00C417EA" w:rsidRDefault="00021E85" w:rsidP="00B243C4">
            <w:pPr>
              <w:jc w:val="both"/>
              <w:rPr>
                <w:sz w:val="20"/>
                <w:szCs w:val="20"/>
              </w:rPr>
            </w:pPr>
            <w:r w:rsidRPr="00C417EA">
              <w:rPr>
                <w:rStyle w:val="SCCLsocChar"/>
                <w:sz w:val="20"/>
                <w:szCs w:val="20"/>
                <w:lang w:val="en-CA"/>
              </w:rPr>
              <w:t>Anthony Coote v. Lawyers</w:t>
            </w:r>
            <w:r w:rsidR="00C429BE">
              <w:rPr>
                <w:rStyle w:val="SCCLsocChar"/>
                <w:sz w:val="20"/>
                <w:szCs w:val="20"/>
                <w:lang w:val="en-CA"/>
              </w:rPr>
              <w:t>’</w:t>
            </w:r>
            <w:r w:rsidRPr="00C417EA">
              <w:rPr>
                <w:rStyle w:val="SCCLsocChar"/>
                <w:sz w:val="20"/>
                <w:szCs w:val="20"/>
                <w:lang w:val="en-CA"/>
              </w:rPr>
              <w:t xml:space="preserve"> Professional Indemnity Company (LAWPRO), et al.</w:t>
            </w:r>
            <w:r w:rsidRPr="00C417EA">
              <w:rPr>
                <w:sz w:val="20"/>
                <w:szCs w:val="20"/>
              </w:rPr>
              <w:t xml:space="preserve"> (F</w:t>
            </w:r>
            <w:r>
              <w:rPr>
                <w:szCs w:val="20"/>
              </w:rPr>
              <w:t>.</w:t>
            </w:r>
            <w:r w:rsidRPr="00C417EA">
              <w:rPr>
                <w:sz w:val="20"/>
                <w:szCs w:val="20"/>
              </w:rPr>
              <w:t>C</w:t>
            </w:r>
            <w:r>
              <w:rPr>
                <w:szCs w:val="20"/>
              </w:rPr>
              <w:t>.</w:t>
            </w:r>
            <w:r w:rsidRPr="00C417EA">
              <w:rPr>
                <w:sz w:val="20"/>
                <w:szCs w:val="20"/>
              </w:rPr>
              <w:t>) (Civil) (By Leave)</w:t>
            </w:r>
          </w:p>
          <w:p w:rsidR="00021E85" w:rsidRPr="00C417EA" w:rsidRDefault="00021E85" w:rsidP="00B243C4">
            <w:pPr>
              <w:jc w:val="both"/>
              <w:rPr>
                <w:sz w:val="20"/>
                <w:szCs w:val="20"/>
              </w:rPr>
            </w:pPr>
          </w:p>
        </w:tc>
      </w:tr>
      <w:tr w:rsidR="00021E85" w:rsidRPr="00C417EA" w:rsidTr="00B243C4">
        <w:trPr>
          <w:cantSplit/>
        </w:trPr>
        <w:tc>
          <w:tcPr>
            <w:tcW w:w="1458" w:type="dxa"/>
          </w:tcPr>
          <w:p w:rsidR="00021E85" w:rsidRPr="00C417EA" w:rsidRDefault="00021E85" w:rsidP="00B243C4">
            <w:pPr>
              <w:rPr>
                <w:sz w:val="20"/>
                <w:szCs w:val="20"/>
              </w:rPr>
            </w:pPr>
            <w:r w:rsidRPr="00C417EA">
              <w:rPr>
                <w:sz w:val="20"/>
                <w:szCs w:val="20"/>
              </w:rPr>
              <w:t>Coram :</w:t>
            </w:r>
          </w:p>
        </w:tc>
        <w:tc>
          <w:tcPr>
            <w:tcW w:w="8118" w:type="dxa"/>
          </w:tcPr>
          <w:p w:rsidR="00021E85" w:rsidRPr="00C417EA" w:rsidRDefault="00021E85" w:rsidP="00B243C4">
            <w:pPr>
              <w:rPr>
                <w:sz w:val="20"/>
                <w:szCs w:val="20"/>
              </w:rPr>
            </w:pPr>
            <w:r w:rsidRPr="00C417EA">
              <w:rPr>
                <w:rStyle w:val="SCCCoramChar"/>
                <w:sz w:val="20"/>
                <w:szCs w:val="20"/>
                <w:lang w:val="en-CA"/>
              </w:rPr>
              <w:t>Rothstein, Cromwell and Moldaver JJ.</w:t>
            </w:r>
          </w:p>
          <w:p w:rsidR="00021E85" w:rsidRPr="00C417EA" w:rsidRDefault="00021E85" w:rsidP="00B243C4">
            <w:pPr>
              <w:rPr>
                <w:sz w:val="20"/>
                <w:szCs w:val="20"/>
                <w:u w:val="single"/>
              </w:rPr>
            </w:pPr>
          </w:p>
        </w:tc>
      </w:tr>
      <w:tr w:rsidR="00021E85" w:rsidRPr="002B2DB4" w:rsidTr="00B243C4">
        <w:trPr>
          <w:cantSplit/>
        </w:trPr>
        <w:tc>
          <w:tcPr>
            <w:tcW w:w="9576" w:type="dxa"/>
            <w:gridSpan w:val="2"/>
          </w:tcPr>
          <w:p w:rsidR="00021E85" w:rsidRPr="00C417EA" w:rsidRDefault="00021E85" w:rsidP="00B243C4">
            <w:pPr>
              <w:pStyle w:val="SCCShortJudgment"/>
              <w:rPr>
                <w:szCs w:val="20"/>
              </w:rPr>
            </w:pPr>
            <w:r w:rsidRPr="00C417EA">
              <w:rPr>
                <w:szCs w:val="20"/>
              </w:rPr>
              <w:t>The application for leave to appeal from the judgment of the Federal Court of Appeal, Numbers A-104-13 and A-150-13, dated October 29, 2014, is dismissed with costs.</w:t>
            </w:r>
          </w:p>
          <w:p w:rsidR="00021E85" w:rsidRPr="00C417EA" w:rsidRDefault="00021E85" w:rsidP="00B243C4">
            <w:pPr>
              <w:pStyle w:val="SCCShortJudgment"/>
              <w:ind w:firstLine="0"/>
              <w:rPr>
                <w:szCs w:val="20"/>
              </w:rPr>
            </w:pPr>
          </w:p>
          <w:p w:rsidR="00021E85" w:rsidRPr="00C417EA" w:rsidRDefault="00021E85" w:rsidP="00B243C4">
            <w:pPr>
              <w:pStyle w:val="SCCShortJudgment"/>
              <w:rPr>
                <w:szCs w:val="20"/>
                <w:lang w:val="fr-CA"/>
              </w:rPr>
            </w:pPr>
            <w:r w:rsidRPr="00C417EA">
              <w:rPr>
                <w:szCs w:val="20"/>
                <w:lang w:val="fr-CA"/>
              </w:rPr>
              <w:t>La demande d’autorisation d’appel de l’arrêt de la Cour d’appel fédérale, numéros A-104-13 et A-150-13, daté du 29 octobre 2014, est rejetée avec dépens.</w:t>
            </w:r>
          </w:p>
        </w:tc>
      </w:tr>
    </w:tbl>
    <w:p w:rsidR="00233E21" w:rsidRPr="00021E85" w:rsidRDefault="00233E21" w:rsidP="00233E21">
      <w:pPr>
        <w:rPr>
          <w:sz w:val="20"/>
          <w:szCs w:val="20"/>
          <w:lang w:val="fr-CA"/>
        </w:rPr>
      </w:pPr>
    </w:p>
    <w:p w:rsidR="00233E21" w:rsidRPr="001B157C" w:rsidRDefault="00233E21" w:rsidP="00233E21">
      <w:pPr>
        <w:rPr>
          <w:sz w:val="20"/>
          <w:szCs w:val="20"/>
          <w:u w:val="single"/>
        </w:rPr>
      </w:pPr>
      <w:r w:rsidRPr="001B157C">
        <w:rPr>
          <w:sz w:val="20"/>
          <w:szCs w:val="20"/>
          <w:u w:val="single"/>
        </w:rPr>
        <w:t>CASE SUMMARY</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A78C4" w:rsidRPr="00031974" w:rsidTr="00B243C4">
        <w:tc>
          <w:tcPr>
            <w:tcW w:w="5000" w:type="pct"/>
            <w:gridSpan w:val="3"/>
          </w:tcPr>
          <w:p w:rsidR="009A78C4" w:rsidRPr="00031974" w:rsidRDefault="009A78C4" w:rsidP="00B243C4">
            <w:pPr>
              <w:jc w:val="both"/>
              <w:rPr>
                <w:rFonts w:eastAsia="Calibri"/>
                <w:smallCaps/>
                <w:sz w:val="20"/>
              </w:rPr>
            </w:pPr>
            <w:r w:rsidRPr="00031974">
              <w:rPr>
                <w:rFonts w:eastAsia="Calibri"/>
                <w:sz w:val="20"/>
              </w:rPr>
              <w:t>Civil procedure – Interlocutory orders – Applicant declared vexatious litigant while appeals from interlocutory orders pending – Applicant required to seek leave of court in order to continue legal proceedings – Applicant failing to serve and file proper and complete motion for leave – Whether Court of Appeal erred in denying applicant’s request for leave to continue appeal of interlocutory orders?</w:t>
            </w:r>
          </w:p>
        </w:tc>
      </w:tr>
      <w:tr w:rsidR="009A78C4" w:rsidRPr="00031974" w:rsidTr="00B243C4">
        <w:tc>
          <w:tcPr>
            <w:tcW w:w="5000" w:type="pct"/>
            <w:gridSpan w:val="3"/>
          </w:tcPr>
          <w:p w:rsidR="009A78C4" w:rsidRPr="00031974" w:rsidRDefault="009A78C4" w:rsidP="00B243C4">
            <w:pPr>
              <w:jc w:val="both"/>
              <w:rPr>
                <w:rFonts w:eastAsia="Calibri"/>
                <w:sz w:val="20"/>
              </w:rPr>
            </w:pPr>
          </w:p>
        </w:tc>
      </w:tr>
      <w:tr w:rsidR="009A78C4" w:rsidRPr="00031974" w:rsidTr="00B243C4">
        <w:tc>
          <w:tcPr>
            <w:tcW w:w="5000" w:type="pct"/>
            <w:gridSpan w:val="3"/>
          </w:tcPr>
          <w:p w:rsidR="009A78C4" w:rsidRPr="00031974" w:rsidRDefault="009A78C4" w:rsidP="00B243C4">
            <w:pPr>
              <w:jc w:val="both"/>
              <w:rPr>
                <w:rFonts w:eastAsia="Calibri"/>
                <w:sz w:val="20"/>
              </w:rPr>
            </w:pPr>
            <w:r w:rsidRPr="00031974">
              <w:rPr>
                <w:rFonts w:eastAsia="Calibri"/>
                <w:sz w:val="20"/>
              </w:rPr>
              <w:lastRenderedPageBreak/>
              <w:t xml:space="preserve">The applicant and the Lawyers’ Professional Indemnity Company (LAWPRO) were involved in a legal proceeding in which both parties had filed a motion seeking to have the other declared vexatious.  The applicant appealed two interlocutory orders issued by the Federal Court.  While those appeals were pending, the applicant was declared a vexatious litigant and was required to obtain leave of a judge in order to continue his appeal.  He filed a request for leave to continue his appeal but failed to file a notice of motion. </w:t>
            </w:r>
          </w:p>
          <w:p w:rsidR="009A78C4" w:rsidRPr="00031974" w:rsidRDefault="009A78C4" w:rsidP="00B243C4">
            <w:pPr>
              <w:jc w:val="both"/>
              <w:rPr>
                <w:rFonts w:eastAsia="Calibri"/>
                <w:sz w:val="20"/>
              </w:rPr>
            </w:pPr>
          </w:p>
        </w:tc>
      </w:tr>
      <w:tr w:rsidR="009A78C4" w:rsidRPr="00031974" w:rsidTr="00B243C4">
        <w:tc>
          <w:tcPr>
            <w:tcW w:w="2427" w:type="pct"/>
          </w:tcPr>
          <w:p w:rsidR="009A78C4" w:rsidRPr="00031974" w:rsidRDefault="009A78C4" w:rsidP="00B243C4">
            <w:pPr>
              <w:jc w:val="both"/>
              <w:rPr>
                <w:rFonts w:eastAsia="Calibri"/>
                <w:sz w:val="20"/>
              </w:rPr>
            </w:pPr>
            <w:r w:rsidRPr="00031974">
              <w:rPr>
                <w:rFonts w:eastAsia="Calibri"/>
                <w:sz w:val="20"/>
              </w:rPr>
              <w:t>March 18, 2013</w:t>
            </w:r>
          </w:p>
          <w:p w:rsidR="009A78C4" w:rsidRPr="00031974" w:rsidRDefault="009A78C4" w:rsidP="00B243C4">
            <w:pPr>
              <w:jc w:val="both"/>
              <w:rPr>
                <w:rFonts w:eastAsia="Calibri"/>
                <w:sz w:val="20"/>
              </w:rPr>
            </w:pPr>
            <w:r w:rsidRPr="00031974">
              <w:rPr>
                <w:rFonts w:eastAsia="Calibri"/>
                <w:sz w:val="20"/>
              </w:rPr>
              <w:t>Federal Court</w:t>
            </w:r>
          </w:p>
          <w:p w:rsidR="009A78C4" w:rsidRPr="00031974" w:rsidRDefault="009A78C4" w:rsidP="00B243C4">
            <w:pPr>
              <w:jc w:val="both"/>
              <w:rPr>
                <w:rFonts w:eastAsia="Calibri"/>
                <w:sz w:val="20"/>
              </w:rPr>
            </w:pPr>
            <w:r w:rsidRPr="00031974">
              <w:rPr>
                <w:rFonts w:eastAsia="Calibri"/>
                <w:sz w:val="20"/>
              </w:rPr>
              <w:t>(Manson J.)</w:t>
            </w:r>
          </w:p>
          <w:p w:rsidR="009A78C4" w:rsidRPr="00031974" w:rsidRDefault="009A78C4" w:rsidP="00B243C4">
            <w:pPr>
              <w:jc w:val="both"/>
              <w:rPr>
                <w:rFonts w:eastAsia="Calibri"/>
                <w:sz w:val="20"/>
              </w:rPr>
            </w:pPr>
            <w:r w:rsidRPr="00031974">
              <w:rPr>
                <w:rFonts w:eastAsia="Calibri"/>
                <w:sz w:val="20"/>
              </w:rPr>
              <w:t>Docket No. T-312-13</w:t>
            </w:r>
          </w:p>
          <w:p w:rsidR="009A78C4" w:rsidRPr="00031974" w:rsidRDefault="009A78C4" w:rsidP="00B243C4">
            <w:pPr>
              <w:jc w:val="both"/>
              <w:rPr>
                <w:rFonts w:eastAsia="Calibri"/>
                <w:sz w:val="20"/>
              </w:rPr>
            </w:pPr>
          </w:p>
        </w:tc>
        <w:tc>
          <w:tcPr>
            <w:tcW w:w="243" w:type="pct"/>
          </w:tcPr>
          <w:p w:rsidR="009A78C4" w:rsidRPr="00031974" w:rsidRDefault="009A78C4" w:rsidP="00B243C4">
            <w:pPr>
              <w:jc w:val="both"/>
              <w:rPr>
                <w:rFonts w:eastAsia="Calibri"/>
                <w:sz w:val="20"/>
              </w:rPr>
            </w:pPr>
          </w:p>
        </w:tc>
        <w:tc>
          <w:tcPr>
            <w:tcW w:w="2330" w:type="pct"/>
          </w:tcPr>
          <w:p w:rsidR="009A78C4" w:rsidRPr="00031974" w:rsidRDefault="009A78C4" w:rsidP="00B243C4">
            <w:pPr>
              <w:jc w:val="both"/>
              <w:rPr>
                <w:rFonts w:eastAsia="Calibri"/>
                <w:sz w:val="20"/>
              </w:rPr>
            </w:pPr>
            <w:r w:rsidRPr="00031974">
              <w:rPr>
                <w:rFonts w:eastAsia="Calibri"/>
                <w:sz w:val="20"/>
              </w:rPr>
              <w:t>Applicant’s motion to vary or set aside order of a prothonotary refusing to quash LAWPRO’s motion seeking to have him declared a vexatious litigant, dismissed.</w:t>
            </w:r>
          </w:p>
        </w:tc>
      </w:tr>
      <w:tr w:rsidR="009A78C4" w:rsidRPr="00031974" w:rsidTr="00B243C4">
        <w:tc>
          <w:tcPr>
            <w:tcW w:w="2427" w:type="pct"/>
          </w:tcPr>
          <w:p w:rsidR="009A78C4" w:rsidRPr="00031974" w:rsidRDefault="009A78C4" w:rsidP="00B243C4">
            <w:pPr>
              <w:jc w:val="both"/>
              <w:rPr>
                <w:rFonts w:eastAsia="Calibri"/>
                <w:sz w:val="20"/>
              </w:rPr>
            </w:pPr>
            <w:r w:rsidRPr="00031974">
              <w:rPr>
                <w:rFonts w:eastAsia="Calibri"/>
                <w:sz w:val="20"/>
              </w:rPr>
              <w:t>April 11, 2013</w:t>
            </w:r>
          </w:p>
          <w:p w:rsidR="009A78C4" w:rsidRPr="00031974" w:rsidRDefault="009A78C4" w:rsidP="00B243C4">
            <w:pPr>
              <w:jc w:val="both"/>
              <w:rPr>
                <w:rFonts w:eastAsia="Calibri"/>
                <w:sz w:val="20"/>
              </w:rPr>
            </w:pPr>
            <w:r w:rsidRPr="00031974">
              <w:rPr>
                <w:rFonts w:eastAsia="Calibri"/>
                <w:sz w:val="20"/>
              </w:rPr>
              <w:t>Federal Court</w:t>
            </w:r>
          </w:p>
          <w:p w:rsidR="009A78C4" w:rsidRPr="00031974" w:rsidRDefault="009A78C4" w:rsidP="00B243C4">
            <w:pPr>
              <w:jc w:val="both"/>
              <w:rPr>
                <w:rFonts w:eastAsia="Calibri"/>
                <w:sz w:val="20"/>
              </w:rPr>
            </w:pPr>
            <w:r w:rsidRPr="00031974">
              <w:rPr>
                <w:rFonts w:eastAsia="Calibri"/>
                <w:sz w:val="20"/>
              </w:rPr>
              <w:t>(Boivin J.)</w:t>
            </w:r>
          </w:p>
          <w:p w:rsidR="009A78C4" w:rsidRPr="00031974" w:rsidRDefault="009A78C4" w:rsidP="00B243C4">
            <w:pPr>
              <w:jc w:val="both"/>
              <w:rPr>
                <w:rFonts w:eastAsia="Calibri"/>
                <w:sz w:val="20"/>
              </w:rPr>
            </w:pPr>
            <w:r w:rsidRPr="00031974">
              <w:rPr>
                <w:rFonts w:eastAsia="Calibri"/>
                <w:sz w:val="20"/>
              </w:rPr>
              <w:t>Docket No. T-312-13</w:t>
            </w:r>
          </w:p>
        </w:tc>
        <w:tc>
          <w:tcPr>
            <w:tcW w:w="243" w:type="pct"/>
          </w:tcPr>
          <w:p w:rsidR="009A78C4" w:rsidRPr="00031974" w:rsidRDefault="009A78C4" w:rsidP="00B243C4">
            <w:pPr>
              <w:jc w:val="both"/>
              <w:rPr>
                <w:rFonts w:eastAsia="Calibri"/>
                <w:sz w:val="20"/>
              </w:rPr>
            </w:pPr>
          </w:p>
        </w:tc>
        <w:tc>
          <w:tcPr>
            <w:tcW w:w="2330" w:type="pct"/>
          </w:tcPr>
          <w:p w:rsidR="009A78C4" w:rsidRPr="00031974" w:rsidRDefault="009A78C4" w:rsidP="00B243C4">
            <w:pPr>
              <w:jc w:val="both"/>
              <w:rPr>
                <w:rFonts w:eastAsia="Calibri"/>
                <w:sz w:val="20"/>
              </w:rPr>
            </w:pPr>
            <w:r w:rsidRPr="00031974">
              <w:rPr>
                <w:rFonts w:eastAsia="Calibri"/>
                <w:sz w:val="20"/>
              </w:rPr>
              <w:t>Order consolidating LAWPRO’s motion to have the applicant declared a vexatious litigant and the applicant’s motion seeking to have LAWPRO declared a vexatious litigant, should be joined and heard together.</w:t>
            </w:r>
          </w:p>
          <w:p w:rsidR="009A78C4" w:rsidRPr="00031974" w:rsidRDefault="009A78C4" w:rsidP="00B243C4">
            <w:pPr>
              <w:jc w:val="both"/>
              <w:rPr>
                <w:rFonts w:eastAsia="Calibri"/>
                <w:sz w:val="20"/>
              </w:rPr>
            </w:pPr>
          </w:p>
        </w:tc>
      </w:tr>
      <w:tr w:rsidR="009A78C4" w:rsidRPr="00031974" w:rsidTr="00B243C4">
        <w:tc>
          <w:tcPr>
            <w:tcW w:w="2427" w:type="pct"/>
          </w:tcPr>
          <w:p w:rsidR="009A78C4" w:rsidRPr="00031974" w:rsidRDefault="009A78C4" w:rsidP="00B243C4">
            <w:pPr>
              <w:jc w:val="both"/>
              <w:rPr>
                <w:rFonts w:eastAsia="Calibri"/>
                <w:sz w:val="20"/>
              </w:rPr>
            </w:pPr>
            <w:r w:rsidRPr="00031974">
              <w:rPr>
                <w:rFonts w:eastAsia="Calibri"/>
                <w:sz w:val="20"/>
              </w:rPr>
              <w:t>June 30, 2014</w:t>
            </w:r>
          </w:p>
          <w:p w:rsidR="009A78C4" w:rsidRPr="00031974" w:rsidRDefault="009A78C4" w:rsidP="00B243C4">
            <w:pPr>
              <w:jc w:val="both"/>
              <w:rPr>
                <w:rFonts w:eastAsia="Calibri"/>
                <w:sz w:val="20"/>
              </w:rPr>
            </w:pPr>
            <w:r w:rsidRPr="00031974">
              <w:rPr>
                <w:rFonts w:eastAsia="Calibri"/>
                <w:sz w:val="20"/>
              </w:rPr>
              <w:t xml:space="preserve">Federal Court of Appeal </w:t>
            </w:r>
          </w:p>
          <w:p w:rsidR="009A78C4" w:rsidRPr="00031974" w:rsidRDefault="009A78C4" w:rsidP="00B243C4">
            <w:pPr>
              <w:jc w:val="both"/>
              <w:rPr>
                <w:rFonts w:eastAsia="Calibri"/>
                <w:sz w:val="20"/>
              </w:rPr>
            </w:pPr>
            <w:r w:rsidRPr="00031974">
              <w:rPr>
                <w:rFonts w:eastAsia="Calibri"/>
                <w:sz w:val="20"/>
              </w:rPr>
              <w:t>(Sharlow J.A.)</w:t>
            </w:r>
          </w:p>
          <w:p w:rsidR="009A78C4" w:rsidRPr="00031974" w:rsidRDefault="009A78C4" w:rsidP="00B243C4">
            <w:pPr>
              <w:jc w:val="both"/>
              <w:rPr>
                <w:rFonts w:eastAsia="Calibri"/>
                <w:sz w:val="20"/>
              </w:rPr>
            </w:pPr>
            <w:r w:rsidRPr="00031974">
              <w:rPr>
                <w:rFonts w:eastAsia="Calibri"/>
                <w:sz w:val="20"/>
              </w:rPr>
              <w:t>Docket Nos. A-104-13 and A-150-13</w:t>
            </w:r>
          </w:p>
        </w:tc>
        <w:tc>
          <w:tcPr>
            <w:tcW w:w="243" w:type="pct"/>
          </w:tcPr>
          <w:p w:rsidR="009A78C4" w:rsidRPr="00031974" w:rsidRDefault="009A78C4" w:rsidP="00B243C4">
            <w:pPr>
              <w:jc w:val="both"/>
              <w:rPr>
                <w:rFonts w:eastAsia="Calibri"/>
                <w:sz w:val="20"/>
              </w:rPr>
            </w:pPr>
          </w:p>
        </w:tc>
        <w:tc>
          <w:tcPr>
            <w:tcW w:w="2330" w:type="pct"/>
          </w:tcPr>
          <w:p w:rsidR="009A78C4" w:rsidRPr="00031974" w:rsidRDefault="009A78C4" w:rsidP="00B243C4">
            <w:pPr>
              <w:jc w:val="both"/>
              <w:rPr>
                <w:rFonts w:eastAsia="Calibri"/>
                <w:sz w:val="20"/>
              </w:rPr>
            </w:pPr>
            <w:r w:rsidRPr="00031974">
              <w:rPr>
                <w:rFonts w:eastAsia="Calibri"/>
                <w:sz w:val="20"/>
              </w:rPr>
              <w:t>Order requiring the applicant to serve and file – on or before September 30, 2014 – a motion record including a notice of motion for leave to continue his consolidated appeal of the decisions of Manson J. and Boivin J., if he wished to pursue that appeal.</w:t>
            </w:r>
          </w:p>
          <w:p w:rsidR="009A78C4" w:rsidRPr="00031974" w:rsidRDefault="009A78C4" w:rsidP="00B243C4">
            <w:pPr>
              <w:jc w:val="both"/>
              <w:rPr>
                <w:rFonts w:eastAsia="Calibri"/>
                <w:sz w:val="20"/>
              </w:rPr>
            </w:pPr>
          </w:p>
        </w:tc>
      </w:tr>
      <w:tr w:rsidR="009A78C4" w:rsidRPr="00031974" w:rsidTr="00B243C4">
        <w:tc>
          <w:tcPr>
            <w:tcW w:w="2427" w:type="pct"/>
          </w:tcPr>
          <w:p w:rsidR="009A78C4" w:rsidRPr="00031974" w:rsidRDefault="009A78C4" w:rsidP="00B243C4">
            <w:pPr>
              <w:jc w:val="both"/>
              <w:rPr>
                <w:rFonts w:eastAsia="Calibri"/>
                <w:sz w:val="20"/>
              </w:rPr>
            </w:pPr>
            <w:r w:rsidRPr="00031974">
              <w:rPr>
                <w:rFonts w:eastAsia="Calibri"/>
                <w:sz w:val="20"/>
              </w:rPr>
              <w:t>October 29, 2014</w:t>
            </w:r>
          </w:p>
          <w:p w:rsidR="009A78C4" w:rsidRPr="00031974" w:rsidRDefault="009A78C4" w:rsidP="00B243C4">
            <w:pPr>
              <w:jc w:val="both"/>
              <w:rPr>
                <w:rFonts w:eastAsia="Calibri"/>
                <w:sz w:val="20"/>
              </w:rPr>
            </w:pPr>
            <w:r w:rsidRPr="00031974">
              <w:rPr>
                <w:rFonts w:eastAsia="Calibri"/>
                <w:sz w:val="20"/>
              </w:rPr>
              <w:t>Federal Court of Appeal</w:t>
            </w:r>
          </w:p>
          <w:p w:rsidR="009A78C4" w:rsidRPr="00031974" w:rsidRDefault="009A78C4" w:rsidP="00B243C4">
            <w:pPr>
              <w:jc w:val="both"/>
              <w:rPr>
                <w:rFonts w:eastAsia="Calibri"/>
                <w:sz w:val="20"/>
              </w:rPr>
            </w:pPr>
            <w:r w:rsidRPr="00031974">
              <w:rPr>
                <w:rFonts w:eastAsia="Calibri"/>
                <w:sz w:val="20"/>
              </w:rPr>
              <w:t>(Noël C.J. and Gauthier and Dawson JJ.A.)</w:t>
            </w:r>
          </w:p>
          <w:p w:rsidR="009A78C4" w:rsidRPr="00031974" w:rsidRDefault="009A78C4" w:rsidP="00B243C4">
            <w:pPr>
              <w:jc w:val="both"/>
              <w:rPr>
                <w:rFonts w:eastAsia="Calibri"/>
                <w:sz w:val="20"/>
              </w:rPr>
            </w:pPr>
            <w:r w:rsidRPr="00031974">
              <w:rPr>
                <w:rFonts w:eastAsia="Calibri"/>
                <w:sz w:val="20"/>
              </w:rPr>
              <w:t>Docket Nos. A-104-13 and A-150-13</w:t>
            </w:r>
          </w:p>
          <w:p w:rsidR="009A78C4" w:rsidRPr="00031974" w:rsidRDefault="009A78C4" w:rsidP="00B243C4">
            <w:pPr>
              <w:jc w:val="both"/>
              <w:rPr>
                <w:rFonts w:eastAsia="Calibri"/>
                <w:sz w:val="20"/>
              </w:rPr>
            </w:pPr>
          </w:p>
        </w:tc>
        <w:tc>
          <w:tcPr>
            <w:tcW w:w="243" w:type="pct"/>
          </w:tcPr>
          <w:p w:rsidR="009A78C4" w:rsidRPr="00031974" w:rsidRDefault="009A78C4" w:rsidP="00B243C4">
            <w:pPr>
              <w:jc w:val="both"/>
              <w:rPr>
                <w:rFonts w:eastAsia="Calibri"/>
                <w:sz w:val="20"/>
              </w:rPr>
            </w:pPr>
          </w:p>
        </w:tc>
        <w:tc>
          <w:tcPr>
            <w:tcW w:w="2330" w:type="pct"/>
          </w:tcPr>
          <w:p w:rsidR="009A78C4" w:rsidRPr="00031974" w:rsidRDefault="009A78C4" w:rsidP="00B243C4">
            <w:pPr>
              <w:jc w:val="both"/>
              <w:rPr>
                <w:rFonts w:eastAsia="Calibri"/>
                <w:sz w:val="20"/>
              </w:rPr>
            </w:pPr>
            <w:r w:rsidRPr="00031974">
              <w:rPr>
                <w:rFonts w:eastAsia="Calibri"/>
                <w:sz w:val="20"/>
              </w:rPr>
              <w:t>Applicant’s request for leave to continue consolidated appeal denied; Consolidated appeal dismissed on the ground of mootness.</w:t>
            </w:r>
          </w:p>
        </w:tc>
      </w:tr>
      <w:tr w:rsidR="009A78C4" w:rsidRPr="00031974" w:rsidTr="00B243C4">
        <w:tc>
          <w:tcPr>
            <w:tcW w:w="2427" w:type="pct"/>
          </w:tcPr>
          <w:p w:rsidR="009A78C4" w:rsidRPr="00031974" w:rsidRDefault="009A78C4" w:rsidP="00B243C4">
            <w:pPr>
              <w:jc w:val="both"/>
              <w:rPr>
                <w:rFonts w:eastAsia="Calibri"/>
                <w:sz w:val="20"/>
              </w:rPr>
            </w:pPr>
            <w:r w:rsidRPr="00031974">
              <w:rPr>
                <w:rFonts w:eastAsia="Calibri"/>
                <w:sz w:val="20"/>
              </w:rPr>
              <w:t>December 22, 2014</w:t>
            </w:r>
          </w:p>
          <w:p w:rsidR="009A78C4" w:rsidRPr="00031974" w:rsidRDefault="009A78C4" w:rsidP="00B243C4">
            <w:pPr>
              <w:jc w:val="both"/>
              <w:rPr>
                <w:rFonts w:eastAsia="Calibri"/>
                <w:sz w:val="20"/>
              </w:rPr>
            </w:pPr>
            <w:r w:rsidRPr="00031974">
              <w:rPr>
                <w:rFonts w:eastAsia="Calibri"/>
                <w:sz w:val="20"/>
              </w:rPr>
              <w:t>Supreme Court of Canada</w:t>
            </w:r>
          </w:p>
        </w:tc>
        <w:tc>
          <w:tcPr>
            <w:tcW w:w="243" w:type="pct"/>
          </w:tcPr>
          <w:p w:rsidR="009A78C4" w:rsidRPr="00031974" w:rsidRDefault="009A78C4" w:rsidP="00B243C4">
            <w:pPr>
              <w:jc w:val="both"/>
              <w:rPr>
                <w:rFonts w:eastAsia="Calibri"/>
                <w:sz w:val="20"/>
              </w:rPr>
            </w:pPr>
          </w:p>
        </w:tc>
        <w:tc>
          <w:tcPr>
            <w:tcW w:w="2330" w:type="pct"/>
          </w:tcPr>
          <w:p w:rsidR="009A78C4" w:rsidRPr="00031974" w:rsidRDefault="009A78C4" w:rsidP="00B243C4">
            <w:pPr>
              <w:jc w:val="both"/>
              <w:rPr>
                <w:rFonts w:eastAsia="Calibri"/>
                <w:sz w:val="20"/>
              </w:rPr>
            </w:pPr>
            <w:r w:rsidRPr="00031974">
              <w:rPr>
                <w:rFonts w:eastAsia="Calibri"/>
                <w:sz w:val="20"/>
              </w:rPr>
              <w:t>Application for leave to appeal filed.</w:t>
            </w:r>
          </w:p>
        </w:tc>
      </w:tr>
    </w:tbl>
    <w:p w:rsidR="00233E21" w:rsidRDefault="00233E21" w:rsidP="00233E21">
      <w:pPr>
        <w:rPr>
          <w:sz w:val="20"/>
          <w:szCs w:val="20"/>
        </w:rPr>
      </w:pPr>
    </w:p>
    <w:p w:rsidR="00233E21" w:rsidRPr="00C50A5C" w:rsidRDefault="00790981" w:rsidP="00233E21">
      <w:pPr>
        <w:rPr>
          <w:sz w:val="20"/>
          <w:szCs w:val="20"/>
        </w:rPr>
      </w:pPr>
      <w:r>
        <w:rPr>
          <w:sz w:val="20"/>
          <w:szCs w:val="20"/>
          <w:lang w:val="fr-CA"/>
        </w:rPr>
        <w:pict>
          <v:rect id="_x0000_i1047" style="width:2in;height:1pt" o:hrpct="0" o:hralign="center" o:hrstd="t" o:hrnoshade="t" o:hr="t" fillcolor="black [3213]" stroked="f"/>
        </w:pict>
      </w:r>
    </w:p>
    <w:p w:rsidR="00233E21" w:rsidRDefault="00233E21" w:rsidP="00233E21">
      <w:pPr>
        <w:rPr>
          <w:sz w:val="20"/>
          <w:szCs w:val="20"/>
        </w:rPr>
      </w:pPr>
    </w:p>
    <w:p w:rsidR="00233E21" w:rsidRPr="001B157C" w:rsidRDefault="00233E21" w:rsidP="00233E21">
      <w:pPr>
        <w:rPr>
          <w:sz w:val="20"/>
          <w:szCs w:val="20"/>
          <w:u w:val="single"/>
          <w:lang w:val="fr-CA"/>
        </w:rPr>
      </w:pPr>
      <w:r w:rsidRPr="001B157C">
        <w:rPr>
          <w:sz w:val="20"/>
          <w:szCs w:val="20"/>
          <w:u w:val="single"/>
          <w:lang w:val="fr-CA"/>
        </w:rPr>
        <w:t>RÉSUMÉ DE L’AFFAIRE</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A78C4" w:rsidRPr="002B2DB4" w:rsidTr="00B243C4">
        <w:tc>
          <w:tcPr>
            <w:tcW w:w="5000" w:type="pct"/>
            <w:gridSpan w:val="3"/>
          </w:tcPr>
          <w:p w:rsidR="009A78C4" w:rsidRPr="00031974" w:rsidRDefault="009A78C4" w:rsidP="00B243C4">
            <w:pPr>
              <w:jc w:val="both"/>
              <w:rPr>
                <w:rFonts w:eastAsia="Calibri"/>
                <w:smallCaps/>
                <w:sz w:val="20"/>
                <w:lang w:val="fr-CA"/>
              </w:rPr>
            </w:pPr>
            <w:r w:rsidRPr="00031974">
              <w:rPr>
                <w:rFonts w:eastAsia="Calibri"/>
                <w:sz w:val="20"/>
                <w:lang w:val="fr-CA"/>
              </w:rPr>
              <w:t>Procédure civile – Ordonnances interlocutoires – Le demandeur a été déclaré plaideur quérulent pendant que les appels d’ordonnances interlocutoires étaient en instance – Le demandeur doit solliciter l’autorisation de la cour afin de continuer l’instance – Le demandeur n’a pas signifié et déposé une requête en autorisation en bonne et due forme – La Cour d’appel a-t-elle eu tort de rejeter la demande du demandeur en autorisation de continuer l’appel des ordonnances interlocutoires?</w:t>
            </w:r>
          </w:p>
        </w:tc>
      </w:tr>
      <w:tr w:rsidR="009A78C4" w:rsidRPr="002B2DB4" w:rsidTr="00B243C4">
        <w:tc>
          <w:tcPr>
            <w:tcW w:w="5000" w:type="pct"/>
            <w:gridSpan w:val="3"/>
          </w:tcPr>
          <w:p w:rsidR="009A78C4" w:rsidRPr="00031974" w:rsidRDefault="009A78C4" w:rsidP="00B243C4">
            <w:pPr>
              <w:jc w:val="both"/>
              <w:rPr>
                <w:rFonts w:eastAsia="Calibri"/>
                <w:sz w:val="20"/>
                <w:lang w:val="fr-CA"/>
              </w:rPr>
            </w:pPr>
          </w:p>
        </w:tc>
      </w:tr>
      <w:tr w:rsidR="009A78C4" w:rsidRPr="002B2DB4" w:rsidTr="00B243C4">
        <w:tc>
          <w:tcPr>
            <w:tcW w:w="5000" w:type="pct"/>
            <w:gridSpan w:val="3"/>
          </w:tcPr>
          <w:p w:rsidR="009A78C4" w:rsidRPr="00031974" w:rsidRDefault="009A78C4" w:rsidP="00B243C4">
            <w:pPr>
              <w:jc w:val="both"/>
              <w:rPr>
                <w:rFonts w:eastAsia="Calibri"/>
                <w:sz w:val="20"/>
                <w:lang w:val="fr-CA"/>
              </w:rPr>
            </w:pPr>
            <w:r w:rsidRPr="00031974">
              <w:rPr>
                <w:rFonts w:eastAsia="Calibri"/>
                <w:sz w:val="20"/>
                <w:lang w:val="fr-CA"/>
              </w:rPr>
              <w:t xml:space="preserve">Le demandeur et Lawyers’ Professional Indemnity Company (LAWPRO) étaient parties à une instance judiciaire dans laquelle les deux avaient déposé une requête pour que l’autre soit déclarée plaideur quérulent.  Le demandeur a interjeté appel de deux ordonnances interlocutoires prononcées par la Cour fédérale.  Pendant que ces appels étaient en instance, le demandeur a été déclaré plaideur quérulent et il devait obtenir l’autorisation d’un juge afin de continuer son appel.  Il a déposé une demande d’autorisation de continuer son appel, mais a omis de déposer un avis de requête. </w:t>
            </w:r>
          </w:p>
          <w:p w:rsidR="009A78C4" w:rsidRPr="00031974" w:rsidRDefault="009A78C4" w:rsidP="00B243C4">
            <w:pPr>
              <w:jc w:val="both"/>
              <w:rPr>
                <w:rFonts w:eastAsia="Calibri"/>
                <w:sz w:val="20"/>
                <w:lang w:val="fr-CA"/>
              </w:rPr>
            </w:pPr>
          </w:p>
        </w:tc>
      </w:tr>
      <w:tr w:rsidR="009A78C4" w:rsidRPr="002B2DB4" w:rsidTr="00021E85">
        <w:trPr>
          <w:cantSplit/>
        </w:trPr>
        <w:tc>
          <w:tcPr>
            <w:tcW w:w="2427" w:type="pct"/>
          </w:tcPr>
          <w:p w:rsidR="009A78C4" w:rsidRPr="00031974" w:rsidRDefault="009A78C4" w:rsidP="00B243C4">
            <w:pPr>
              <w:jc w:val="both"/>
              <w:rPr>
                <w:rFonts w:eastAsia="Calibri"/>
                <w:sz w:val="20"/>
                <w:lang w:val="fr-CA"/>
              </w:rPr>
            </w:pPr>
            <w:r w:rsidRPr="00031974">
              <w:rPr>
                <w:rFonts w:eastAsia="Calibri"/>
                <w:sz w:val="20"/>
                <w:lang w:val="fr-CA"/>
              </w:rPr>
              <w:lastRenderedPageBreak/>
              <w:t>18 mars 2013</w:t>
            </w:r>
          </w:p>
          <w:p w:rsidR="009A78C4" w:rsidRPr="00031974" w:rsidRDefault="009A78C4" w:rsidP="00B243C4">
            <w:pPr>
              <w:jc w:val="both"/>
              <w:rPr>
                <w:rFonts w:eastAsia="Calibri"/>
                <w:sz w:val="20"/>
                <w:lang w:val="fr-CA"/>
              </w:rPr>
            </w:pPr>
            <w:r w:rsidRPr="00031974">
              <w:rPr>
                <w:rFonts w:eastAsia="Calibri"/>
                <w:sz w:val="20"/>
                <w:lang w:val="fr-CA"/>
              </w:rPr>
              <w:t>Cour fédérale</w:t>
            </w:r>
          </w:p>
          <w:p w:rsidR="009A78C4" w:rsidRPr="00031974" w:rsidRDefault="009A78C4" w:rsidP="00B243C4">
            <w:pPr>
              <w:jc w:val="both"/>
              <w:rPr>
                <w:rFonts w:eastAsia="Calibri"/>
                <w:sz w:val="20"/>
                <w:lang w:val="fr-CA"/>
              </w:rPr>
            </w:pPr>
            <w:r w:rsidRPr="00031974">
              <w:rPr>
                <w:rFonts w:eastAsia="Calibri"/>
                <w:sz w:val="20"/>
                <w:lang w:val="fr-CA"/>
              </w:rPr>
              <w:t>(Juge Manson)</w:t>
            </w:r>
          </w:p>
          <w:p w:rsidR="009A78C4" w:rsidRPr="00031974" w:rsidRDefault="009A78C4" w:rsidP="00B243C4">
            <w:pPr>
              <w:jc w:val="both"/>
              <w:rPr>
                <w:rFonts w:eastAsia="Calibri"/>
                <w:sz w:val="20"/>
                <w:lang w:val="fr-CA"/>
              </w:rPr>
            </w:pPr>
            <w:r w:rsidRPr="00031974">
              <w:rPr>
                <w:rFonts w:eastAsia="Calibri"/>
                <w:sz w:val="20"/>
                <w:lang w:val="fr-CA"/>
              </w:rPr>
              <w:t>N</w:t>
            </w:r>
            <w:r w:rsidRPr="00031974">
              <w:rPr>
                <w:rFonts w:eastAsia="Calibri"/>
                <w:sz w:val="20"/>
                <w:vertAlign w:val="superscript"/>
                <w:lang w:val="fr-CA"/>
              </w:rPr>
              <w:t>o</w:t>
            </w:r>
            <w:r w:rsidRPr="00031974">
              <w:rPr>
                <w:rFonts w:eastAsia="Calibri"/>
                <w:sz w:val="20"/>
                <w:lang w:val="fr-CA"/>
              </w:rPr>
              <w:t xml:space="preserve"> du greffe T-312-13</w:t>
            </w:r>
          </w:p>
          <w:p w:rsidR="009A78C4" w:rsidRPr="00031974" w:rsidRDefault="009A78C4" w:rsidP="00B243C4">
            <w:pPr>
              <w:jc w:val="both"/>
              <w:rPr>
                <w:rFonts w:eastAsia="Calibri"/>
                <w:sz w:val="20"/>
                <w:lang w:val="fr-CA"/>
              </w:rPr>
            </w:pPr>
          </w:p>
        </w:tc>
        <w:tc>
          <w:tcPr>
            <w:tcW w:w="243" w:type="pct"/>
          </w:tcPr>
          <w:p w:rsidR="009A78C4" w:rsidRPr="00031974" w:rsidRDefault="009A78C4" w:rsidP="00B243C4">
            <w:pPr>
              <w:jc w:val="both"/>
              <w:rPr>
                <w:rFonts w:eastAsia="Calibri"/>
                <w:sz w:val="20"/>
                <w:lang w:val="fr-CA"/>
              </w:rPr>
            </w:pPr>
          </w:p>
        </w:tc>
        <w:tc>
          <w:tcPr>
            <w:tcW w:w="2330" w:type="pct"/>
          </w:tcPr>
          <w:p w:rsidR="009A78C4" w:rsidRPr="00031974" w:rsidRDefault="009A78C4" w:rsidP="00B243C4">
            <w:pPr>
              <w:jc w:val="both"/>
              <w:rPr>
                <w:rFonts w:eastAsia="Calibri"/>
                <w:sz w:val="20"/>
                <w:lang w:val="fr-CA"/>
              </w:rPr>
            </w:pPr>
            <w:r w:rsidRPr="00031974">
              <w:rPr>
                <w:rFonts w:eastAsia="Calibri"/>
                <w:sz w:val="20"/>
                <w:lang w:val="fr-CA"/>
              </w:rPr>
              <w:t>Rejet de la requête du demandeur en modification ou en annulation de l’ordonnance d’un protonotaire refusant d’annuler la requête de LAWPRO pour le faire déclarer plaideur quérulent.</w:t>
            </w:r>
          </w:p>
          <w:p w:rsidR="009A78C4" w:rsidRPr="00031974" w:rsidRDefault="009A78C4" w:rsidP="00B243C4">
            <w:pPr>
              <w:jc w:val="both"/>
              <w:rPr>
                <w:rFonts w:eastAsia="Calibri"/>
                <w:sz w:val="20"/>
                <w:lang w:val="fr-CA"/>
              </w:rPr>
            </w:pPr>
          </w:p>
        </w:tc>
      </w:tr>
      <w:tr w:rsidR="009A78C4" w:rsidRPr="002B2DB4" w:rsidTr="00021E85">
        <w:trPr>
          <w:cantSplit/>
        </w:trPr>
        <w:tc>
          <w:tcPr>
            <w:tcW w:w="2427" w:type="pct"/>
          </w:tcPr>
          <w:p w:rsidR="009A78C4" w:rsidRPr="00031974" w:rsidRDefault="009A78C4" w:rsidP="00B243C4">
            <w:pPr>
              <w:jc w:val="both"/>
              <w:rPr>
                <w:rFonts w:eastAsia="Calibri"/>
                <w:sz w:val="20"/>
                <w:lang w:val="fr-CA"/>
              </w:rPr>
            </w:pPr>
            <w:r w:rsidRPr="00031974">
              <w:rPr>
                <w:rFonts w:eastAsia="Calibri"/>
                <w:sz w:val="20"/>
                <w:lang w:val="fr-CA"/>
              </w:rPr>
              <w:t>11 avril 2013</w:t>
            </w:r>
          </w:p>
          <w:p w:rsidR="009A78C4" w:rsidRPr="00031974" w:rsidRDefault="009A78C4" w:rsidP="00B243C4">
            <w:pPr>
              <w:jc w:val="both"/>
              <w:rPr>
                <w:rFonts w:eastAsia="Calibri"/>
                <w:sz w:val="20"/>
                <w:lang w:val="fr-CA"/>
              </w:rPr>
            </w:pPr>
            <w:r w:rsidRPr="00031974">
              <w:rPr>
                <w:rFonts w:eastAsia="Calibri"/>
                <w:sz w:val="20"/>
                <w:lang w:val="fr-CA"/>
              </w:rPr>
              <w:t>Cour fédérale</w:t>
            </w:r>
          </w:p>
          <w:p w:rsidR="009A78C4" w:rsidRPr="00031974" w:rsidRDefault="009A78C4" w:rsidP="00B243C4">
            <w:pPr>
              <w:jc w:val="both"/>
              <w:rPr>
                <w:rFonts w:eastAsia="Calibri"/>
                <w:sz w:val="20"/>
                <w:lang w:val="fr-CA"/>
              </w:rPr>
            </w:pPr>
            <w:r w:rsidRPr="00031974">
              <w:rPr>
                <w:rFonts w:eastAsia="Calibri"/>
                <w:sz w:val="20"/>
                <w:lang w:val="fr-CA"/>
              </w:rPr>
              <w:t>(Juge Boivin)</w:t>
            </w:r>
          </w:p>
          <w:p w:rsidR="009A78C4" w:rsidRPr="00031974" w:rsidRDefault="009A78C4" w:rsidP="00B243C4">
            <w:pPr>
              <w:jc w:val="both"/>
              <w:rPr>
                <w:rFonts w:eastAsia="Calibri"/>
                <w:sz w:val="20"/>
                <w:lang w:val="fr-CA"/>
              </w:rPr>
            </w:pPr>
            <w:r w:rsidRPr="00031974">
              <w:rPr>
                <w:rFonts w:eastAsia="Calibri"/>
                <w:sz w:val="20"/>
                <w:lang w:val="fr-CA"/>
              </w:rPr>
              <w:t>N</w:t>
            </w:r>
            <w:r w:rsidRPr="00031974">
              <w:rPr>
                <w:rFonts w:eastAsia="Calibri"/>
                <w:sz w:val="20"/>
                <w:vertAlign w:val="superscript"/>
                <w:lang w:val="fr-CA"/>
              </w:rPr>
              <w:t>o</w:t>
            </w:r>
            <w:r w:rsidRPr="00031974">
              <w:rPr>
                <w:rFonts w:eastAsia="Calibri"/>
                <w:sz w:val="20"/>
                <w:lang w:val="fr-CA"/>
              </w:rPr>
              <w:t xml:space="preserve"> du greffe T-312-13</w:t>
            </w:r>
          </w:p>
        </w:tc>
        <w:tc>
          <w:tcPr>
            <w:tcW w:w="243" w:type="pct"/>
          </w:tcPr>
          <w:p w:rsidR="009A78C4" w:rsidRPr="00031974" w:rsidRDefault="009A78C4" w:rsidP="00B243C4">
            <w:pPr>
              <w:jc w:val="both"/>
              <w:rPr>
                <w:rFonts w:eastAsia="Calibri"/>
                <w:sz w:val="20"/>
                <w:lang w:val="fr-CA"/>
              </w:rPr>
            </w:pPr>
          </w:p>
        </w:tc>
        <w:tc>
          <w:tcPr>
            <w:tcW w:w="2330" w:type="pct"/>
          </w:tcPr>
          <w:p w:rsidR="009A78C4" w:rsidRPr="00031974" w:rsidRDefault="009A78C4" w:rsidP="00B243C4">
            <w:pPr>
              <w:jc w:val="both"/>
              <w:rPr>
                <w:rFonts w:eastAsia="Calibri"/>
                <w:sz w:val="20"/>
                <w:lang w:val="fr-CA"/>
              </w:rPr>
            </w:pPr>
            <w:r w:rsidRPr="00031974">
              <w:rPr>
                <w:rFonts w:eastAsia="Calibri"/>
                <w:sz w:val="20"/>
                <w:lang w:val="fr-CA"/>
              </w:rPr>
              <w:t>Ordonnance réunissant la requête de LAWPRO pour faire déclarer le demandeur plaideur quérulent et la requête du demandeur pour que LAWPRO soit déclarée plaideur quérulent et portant que ces requêtes doivent être réunies et instruites conjointement.</w:t>
            </w:r>
          </w:p>
          <w:p w:rsidR="009A78C4" w:rsidRPr="00031974" w:rsidRDefault="009A78C4" w:rsidP="00B243C4">
            <w:pPr>
              <w:jc w:val="both"/>
              <w:rPr>
                <w:rFonts w:eastAsia="Calibri"/>
                <w:sz w:val="20"/>
                <w:lang w:val="fr-CA"/>
              </w:rPr>
            </w:pPr>
          </w:p>
        </w:tc>
      </w:tr>
      <w:tr w:rsidR="009A78C4" w:rsidRPr="002B2DB4" w:rsidTr="00021E85">
        <w:trPr>
          <w:cantSplit/>
        </w:trPr>
        <w:tc>
          <w:tcPr>
            <w:tcW w:w="2427" w:type="pct"/>
          </w:tcPr>
          <w:p w:rsidR="009A78C4" w:rsidRPr="00031974" w:rsidRDefault="009A78C4" w:rsidP="00B243C4">
            <w:pPr>
              <w:jc w:val="both"/>
              <w:rPr>
                <w:rFonts w:eastAsia="Calibri"/>
                <w:sz w:val="20"/>
                <w:lang w:val="fr-CA"/>
              </w:rPr>
            </w:pPr>
            <w:r w:rsidRPr="00031974">
              <w:rPr>
                <w:rFonts w:eastAsia="Calibri"/>
                <w:sz w:val="20"/>
                <w:lang w:val="fr-CA"/>
              </w:rPr>
              <w:t>30 juin 2014</w:t>
            </w:r>
          </w:p>
          <w:p w:rsidR="009A78C4" w:rsidRPr="00031974" w:rsidRDefault="009A78C4" w:rsidP="00B243C4">
            <w:pPr>
              <w:jc w:val="both"/>
              <w:rPr>
                <w:rFonts w:eastAsia="Calibri"/>
                <w:sz w:val="20"/>
                <w:lang w:val="fr-CA"/>
              </w:rPr>
            </w:pPr>
            <w:r w:rsidRPr="00031974">
              <w:rPr>
                <w:rFonts w:eastAsia="Calibri"/>
                <w:sz w:val="20"/>
                <w:lang w:val="fr-CA"/>
              </w:rPr>
              <w:t>Cour d’appel fédérale</w:t>
            </w:r>
          </w:p>
          <w:p w:rsidR="009A78C4" w:rsidRPr="00031974" w:rsidRDefault="009A78C4" w:rsidP="00B243C4">
            <w:pPr>
              <w:jc w:val="both"/>
              <w:rPr>
                <w:rFonts w:eastAsia="Calibri"/>
                <w:sz w:val="20"/>
                <w:lang w:val="fr-CA"/>
              </w:rPr>
            </w:pPr>
            <w:r w:rsidRPr="00031974">
              <w:rPr>
                <w:rFonts w:eastAsia="Calibri"/>
                <w:sz w:val="20"/>
                <w:lang w:val="fr-CA"/>
              </w:rPr>
              <w:t>(Juge Sharlow)</w:t>
            </w:r>
          </w:p>
          <w:p w:rsidR="009A78C4" w:rsidRPr="00031974" w:rsidRDefault="009A78C4" w:rsidP="00B243C4">
            <w:pPr>
              <w:jc w:val="both"/>
              <w:rPr>
                <w:rFonts w:eastAsia="Calibri"/>
                <w:sz w:val="20"/>
                <w:lang w:val="fr-CA"/>
              </w:rPr>
            </w:pPr>
            <w:r w:rsidRPr="00031974">
              <w:rPr>
                <w:rFonts w:eastAsia="Calibri"/>
                <w:sz w:val="20"/>
                <w:lang w:val="fr-CA"/>
              </w:rPr>
              <w:t>N</w:t>
            </w:r>
            <w:r w:rsidRPr="00031974">
              <w:rPr>
                <w:rFonts w:eastAsia="Calibri"/>
                <w:sz w:val="20"/>
                <w:vertAlign w:val="superscript"/>
                <w:lang w:val="fr-CA"/>
              </w:rPr>
              <w:t>os</w:t>
            </w:r>
            <w:r w:rsidRPr="00031974">
              <w:rPr>
                <w:rFonts w:eastAsia="Calibri"/>
                <w:sz w:val="20"/>
                <w:lang w:val="fr-CA"/>
              </w:rPr>
              <w:t xml:space="preserve"> du greffe A-104-13 et A-150-13</w:t>
            </w:r>
          </w:p>
        </w:tc>
        <w:tc>
          <w:tcPr>
            <w:tcW w:w="243" w:type="pct"/>
          </w:tcPr>
          <w:p w:rsidR="009A78C4" w:rsidRPr="00031974" w:rsidRDefault="009A78C4" w:rsidP="00B243C4">
            <w:pPr>
              <w:jc w:val="both"/>
              <w:rPr>
                <w:rFonts w:eastAsia="Calibri"/>
                <w:sz w:val="20"/>
                <w:lang w:val="fr-CA"/>
              </w:rPr>
            </w:pPr>
          </w:p>
        </w:tc>
        <w:tc>
          <w:tcPr>
            <w:tcW w:w="2330" w:type="pct"/>
          </w:tcPr>
          <w:p w:rsidR="009A78C4" w:rsidRPr="00031974" w:rsidRDefault="009A78C4" w:rsidP="00B243C4">
            <w:pPr>
              <w:jc w:val="both"/>
              <w:rPr>
                <w:rFonts w:eastAsia="Calibri"/>
                <w:sz w:val="20"/>
                <w:lang w:val="fr-CA"/>
              </w:rPr>
            </w:pPr>
            <w:r w:rsidRPr="00031974">
              <w:rPr>
                <w:rFonts w:eastAsia="Calibri"/>
                <w:sz w:val="20"/>
                <w:lang w:val="fr-CA"/>
              </w:rPr>
              <w:t>Ordonnance enjoignant au demandeur de signifier et de déposer – au plus tard le 30 septembre 2014 – un dossier de requête comprenant un avis de requête en autorisation de continuer son appel réuni des décisions du juge Manson et du juge Boivin s’il voulait poursuivre cet appel.</w:t>
            </w:r>
          </w:p>
          <w:p w:rsidR="009A78C4" w:rsidRPr="00031974" w:rsidRDefault="009A78C4" w:rsidP="00B243C4">
            <w:pPr>
              <w:jc w:val="both"/>
              <w:rPr>
                <w:rFonts w:eastAsia="Calibri"/>
                <w:sz w:val="20"/>
                <w:lang w:val="fr-CA"/>
              </w:rPr>
            </w:pPr>
          </w:p>
        </w:tc>
      </w:tr>
      <w:tr w:rsidR="009A78C4" w:rsidRPr="002B2DB4" w:rsidTr="00021E85">
        <w:trPr>
          <w:cantSplit/>
        </w:trPr>
        <w:tc>
          <w:tcPr>
            <w:tcW w:w="2427" w:type="pct"/>
          </w:tcPr>
          <w:p w:rsidR="009A78C4" w:rsidRPr="00031974" w:rsidRDefault="009A78C4" w:rsidP="00B243C4">
            <w:pPr>
              <w:jc w:val="both"/>
              <w:rPr>
                <w:rFonts w:eastAsia="Calibri"/>
                <w:sz w:val="20"/>
                <w:lang w:val="fr-CA"/>
              </w:rPr>
            </w:pPr>
            <w:r w:rsidRPr="00031974">
              <w:rPr>
                <w:rFonts w:eastAsia="Calibri"/>
                <w:sz w:val="20"/>
                <w:lang w:val="fr-CA"/>
              </w:rPr>
              <w:t>29 octobre 2014</w:t>
            </w:r>
          </w:p>
          <w:p w:rsidR="009A78C4" w:rsidRPr="00031974" w:rsidRDefault="009A78C4" w:rsidP="00B243C4">
            <w:pPr>
              <w:jc w:val="both"/>
              <w:rPr>
                <w:rFonts w:eastAsia="Calibri"/>
                <w:sz w:val="20"/>
                <w:lang w:val="fr-CA"/>
              </w:rPr>
            </w:pPr>
            <w:r w:rsidRPr="00031974">
              <w:rPr>
                <w:rFonts w:eastAsia="Calibri"/>
                <w:sz w:val="20"/>
                <w:lang w:val="fr-CA"/>
              </w:rPr>
              <w:t>Cour d’appel fédérale</w:t>
            </w:r>
          </w:p>
          <w:p w:rsidR="009A78C4" w:rsidRPr="00031974" w:rsidRDefault="009A78C4" w:rsidP="00B243C4">
            <w:pPr>
              <w:jc w:val="both"/>
              <w:rPr>
                <w:rFonts w:eastAsia="Calibri"/>
                <w:sz w:val="20"/>
                <w:lang w:val="fr-CA"/>
              </w:rPr>
            </w:pPr>
            <w:r w:rsidRPr="00031974">
              <w:rPr>
                <w:rFonts w:eastAsia="Calibri"/>
                <w:sz w:val="20"/>
                <w:lang w:val="fr-CA"/>
              </w:rPr>
              <w:t>(Juge en chef Noël, juges Gauthier et Dawson)</w:t>
            </w:r>
          </w:p>
          <w:p w:rsidR="009A78C4" w:rsidRPr="00031974" w:rsidRDefault="009A78C4" w:rsidP="00B243C4">
            <w:pPr>
              <w:jc w:val="both"/>
              <w:rPr>
                <w:rFonts w:eastAsia="Calibri"/>
                <w:sz w:val="20"/>
                <w:lang w:val="fr-CA"/>
              </w:rPr>
            </w:pPr>
            <w:r w:rsidRPr="00031974">
              <w:rPr>
                <w:rFonts w:eastAsia="Calibri"/>
                <w:sz w:val="20"/>
                <w:lang w:val="fr-CA"/>
              </w:rPr>
              <w:t>N</w:t>
            </w:r>
            <w:r w:rsidRPr="00031974">
              <w:rPr>
                <w:rFonts w:eastAsia="Calibri"/>
                <w:sz w:val="20"/>
                <w:vertAlign w:val="superscript"/>
                <w:lang w:val="fr-CA"/>
              </w:rPr>
              <w:t>os</w:t>
            </w:r>
            <w:r w:rsidRPr="00031974">
              <w:rPr>
                <w:rFonts w:eastAsia="Calibri"/>
                <w:sz w:val="20"/>
                <w:lang w:val="fr-CA"/>
              </w:rPr>
              <w:t xml:space="preserve"> du greffe A-104-13 et A-150-13</w:t>
            </w:r>
          </w:p>
          <w:p w:rsidR="009A78C4" w:rsidRPr="00031974" w:rsidRDefault="009A78C4" w:rsidP="00B243C4">
            <w:pPr>
              <w:jc w:val="both"/>
              <w:rPr>
                <w:rFonts w:eastAsia="Calibri"/>
                <w:sz w:val="20"/>
                <w:lang w:val="fr-CA"/>
              </w:rPr>
            </w:pPr>
          </w:p>
        </w:tc>
        <w:tc>
          <w:tcPr>
            <w:tcW w:w="243" w:type="pct"/>
          </w:tcPr>
          <w:p w:rsidR="009A78C4" w:rsidRPr="00031974" w:rsidRDefault="009A78C4" w:rsidP="00B243C4">
            <w:pPr>
              <w:jc w:val="both"/>
              <w:rPr>
                <w:rFonts w:eastAsia="Calibri"/>
                <w:sz w:val="20"/>
                <w:lang w:val="fr-CA"/>
              </w:rPr>
            </w:pPr>
          </w:p>
        </w:tc>
        <w:tc>
          <w:tcPr>
            <w:tcW w:w="2330" w:type="pct"/>
          </w:tcPr>
          <w:p w:rsidR="009A78C4" w:rsidRPr="00031974" w:rsidRDefault="009A78C4" w:rsidP="00B243C4">
            <w:pPr>
              <w:jc w:val="both"/>
              <w:rPr>
                <w:rFonts w:eastAsia="Calibri"/>
                <w:sz w:val="20"/>
                <w:lang w:val="fr-CA"/>
              </w:rPr>
            </w:pPr>
            <w:r w:rsidRPr="00031974">
              <w:rPr>
                <w:rFonts w:eastAsia="Calibri"/>
                <w:sz w:val="20"/>
                <w:lang w:val="fr-CA"/>
              </w:rPr>
              <w:t>Rejet de a demande du demandeur en autorisation de continuer l’appel réuni; rejet de l’appel réuni en raison de son caractère théorique.</w:t>
            </w:r>
          </w:p>
        </w:tc>
      </w:tr>
      <w:tr w:rsidR="009A78C4" w:rsidRPr="002B2DB4" w:rsidTr="00021E85">
        <w:trPr>
          <w:cantSplit/>
        </w:trPr>
        <w:tc>
          <w:tcPr>
            <w:tcW w:w="2427" w:type="pct"/>
          </w:tcPr>
          <w:p w:rsidR="009A78C4" w:rsidRPr="00031974" w:rsidRDefault="009A78C4" w:rsidP="00B243C4">
            <w:pPr>
              <w:jc w:val="both"/>
              <w:rPr>
                <w:rFonts w:eastAsia="Calibri"/>
                <w:sz w:val="20"/>
                <w:lang w:val="fr-CA"/>
              </w:rPr>
            </w:pPr>
            <w:r w:rsidRPr="00031974">
              <w:rPr>
                <w:rFonts w:eastAsia="Calibri"/>
                <w:sz w:val="20"/>
                <w:lang w:val="fr-CA"/>
              </w:rPr>
              <w:t>22 décembre 2014</w:t>
            </w:r>
          </w:p>
          <w:p w:rsidR="009A78C4" w:rsidRPr="00031974" w:rsidRDefault="009A78C4" w:rsidP="00B243C4">
            <w:pPr>
              <w:jc w:val="both"/>
              <w:rPr>
                <w:rFonts w:eastAsia="Calibri"/>
                <w:sz w:val="20"/>
                <w:lang w:val="fr-CA"/>
              </w:rPr>
            </w:pPr>
            <w:r w:rsidRPr="00031974">
              <w:rPr>
                <w:rFonts w:eastAsia="Calibri"/>
                <w:sz w:val="20"/>
                <w:lang w:val="fr-CA"/>
              </w:rPr>
              <w:t>Cour suprême du Canada</w:t>
            </w:r>
          </w:p>
        </w:tc>
        <w:tc>
          <w:tcPr>
            <w:tcW w:w="243" w:type="pct"/>
          </w:tcPr>
          <w:p w:rsidR="009A78C4" w:rsidRPr="00031974" w:rsidRDefault="009A78C4" w:rsidP="00B243C4">
            <w:pPr>
              <w:jc w:val="both"/>
              <w:rPr>
                <w:rFonts w:eastAsia="Calibri"/>
                <w:sz w:val="20"/>
                <w:lang w:val="fr-CA"/>
              </w:rPr>
            </w:pPr>
          </w:p>
        </w:tc>
        <w:tc>
          <w:tcPr>
            <w:tcW w:w="2330" w:type="pct"/>
          </w:tcPr>
          <w:p w:rsidR="009A78C4" w:rsidRPr="00031974" w:rsidRDefault="009A78C4" w:rsidP="00B243C4">
            <w:pPr>
              <w:jc w:val="both"/>
              <w:rPr>
                <w:rFonts w:eastAsia="Calibri"/>
                <w:sz w:val="20"/>
                <w:lang w:val="fr-CA"/>
              </w:rPr>
            </w:pPr>
            <w:r w:rsidRPr="00031974">
              <w:rPr>
                <w:rFonts w:eastAsia="Calibri"/>
                <w:sz w:val="20"/>
                <w:lang w:val="fr-CA"/>
              </w:rPr>
              <w:t>Dépôt de la demande d’autorisation d’appel.</w:t>
            </w:r>
          </w:p>
        </w:tc>
      </w:tr>
    </w:tbl>
    <w:p w:rsidR="00233E21" w:rsidRPr="009A78C4" w:rsidRDefault="00233E21" w:rsidP="00233E21">
      <w:pPr>
        <w:rPr>
          <w:sz w:val="20"/>
          <w:szCs w:val="20"/>
          <w:lang w:val="fr-CA"/>
        </w:rPr>
      </w:pPr>
    </w:p>
    <w:p w:rsidR="00233E21" w:rsidRDefault="00790981" w:rsidP="00233E21">
      <w:pPr>
        <w:rPr>
          <w:sz w:val="20"/>
          <w:szCs w:val="20"/>
          <w:lang w:val="fr-CA"/>
        </w:rPr>
      </w:pPr>
      <w:r>
        <w:rPr>
          <w:sz w:val="20"/>
          <w:szCs w:val="20"/>
          <w:lang w:val="fr-CA"/>
        </w:rPr>
        <w:pict>
          <v:rect id="_x0000_i1048" style="width:2in;height:1pt" o:hrpct="0" o:hralign="center" o:hrstd="t" o:hrnoshade="t" o:hr="t" fillcolor="black [3213]" stroked="f"/>
        </w:pict>
      </w:r>
    </w:p>
    <w:p w:rsidR="00233E21" w:rsidRDefault="00233E21" w:rsidP="00233E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243C4" w:rsidRPr="002B2DB4" w:rsidTr="00B243C4">
        <w:trPr>
          <w:cantSplit/>
        </w:trPr>
        <w:tc>
          <w:tcPr>
            <w:tcW w:w="1458" w:type="dxa"/>
          </w:tcPr>
          <w:p w:rsidR="00B243C4" w:rsidRPr="00C417EA" w:rsidRDefault="00B243C4" w:rsidP="00B243C4">
            <w:pPr>
              <w:rPr>
                <w:sz w:val="20"/>
                <w:szCs w:val="20"/>
              </w:rPr>
            </w:pPr>
            <w:r w:rsidRPr="00C417EA">
              <w:rPr>
                <w:rStyle w:val="SCCFileNumberChar"/>
                <w:sz w:val="20"/>
                <w:szCs w:val="20"/>
              </w:rPr>
              <w:t>36245</w:t>
            </w:r>
          </w:p>
          <w:p w:rsidR="00B243C4" w:rsidRPr="00C417EA" w:rsidRDefault="00B243C4" w:rsidP="00B243C4">
            <w:pPr>
              <w:rPr>
                <w:b/>
                <w:sz w:val="20"/>
                <w:szCs w:val="20"/>
                <w:lang w:val="fr-CA"/>
              </w:rPr>
            </w:pPr>
          </w:p>
        </w:tc>
        <w:tc>
          <w:tcPr>
            <w:tcW w:w="8118" w:type="dxa"/>
          </w:tcPr>
          <w:p w:rsidR="00B243C4" w:rsidRPr="00C417EA" w:rsidRDefault="00B243C4" w:rsidP="00B243C4">
            <w:pPr>
              <w:rPr>
                <w:sz w:val="20"/>
                <w:szCs w:val="20"/>
                <w:lang w:val="fr-CA"/>
              </w:rPr>
            </w:pPr>
            <w:r w:rsidRPr="00C417EA">
              <w:rPr>
                <w:rStyle w:val="SCCLsocChar"/>
                <w:sz w:val="20"/>
                <w:szCs w:val="20"/>
              </w:rPr>
              <w:t>Roch Laflamme c. Brigitte Nicol</w:t>
            </w:r>
            <w:r w:rsidRPr="00C417EA">
              <w:rPr>
                <w:sz w:val="20"/>
                <w:szCs w:val="20"/>
                <w:lang w:val="fr-CA"/>
              </w:rPr>
              <w:t xml:space="preserve"> (Qc) (Civile) (Autorisation)</w:t>
            </w:r>
          </w:p>
          <w:p w:rsidR="00B243C4" w:rsidRPr="00C417EA" w:rsidRDefault="00B243C4" w:rsidP="00B243C4">
            <w:pPr>
              <w:rPr>
                <w:sz w:val="20"/>
                <w:szCs w:val="20"/>
                <w:lang w:val="fr-CA"/>
              </w:rPr>
            </w:pPr>
          </w:p>
        </w:tc>
      </w:tr>
      <w:tr w:rsidR="00B243C4" w:rsidRPr="002B2DB4" w:rsidTr="00B243C4">
        <w:trPr>
          <w:cantSplit/>
        </w:trPr>
        <w:tc>
          <w:tcPr>
            <w:tcW w:w="1458" w:type="dxa"/>
          </w:tcPr>
          <w:p w:rsidR="00B243C4" w:rsidRPr="00C417EA" w:rsidRDefault="00B243C4" w:rsidP="00B243C4">
            <w:pPr>
              <w:rPr>
                <w:sz w:val="20"/>
                <w:szCs w:val="20"/>
              </w:rPr>
            </w:pPr>
            <w:r w:rsidRPr="00C417EA">
              <w:rPr>
                <w:sz w:val="20"/>
                <w:szCs w:val="20"/>
              </w:rPr>
              <w:t>Coram :</w:t>
            </w:r>
          </w:p>
        </w:tc>
        <w:tc>
          <w:tcPr>
            <w:tcW w:w="8118" w:type="dxa"/>
          </w:tcPr>
          <w:p w:rsidR="00B243C4" w:rsidRPr="00C417EA" w:rsidRDefault="00B243C4" w:rsidP="00B243C4">
            <w:pPr>
              <w:rPr>
                <w:sz w:val="20"/>
                <w:szCs w:val="20"/>
                <w:lang w:val="fr-CA"/>
              </w:rPr>
            </w:pPr>
            <w:r w:rsidRPr="00C417EA">
              <w:rPr>
                <w:rStyle w:val="SCCCoramChar"/>
                <w:sz w:val="20"/>
                <w:szCs w:val="20"/>
              </w:rPr>
              <w:t>Les juges Abella, Karakatsanis et Côté</w:t>
            </w:r>
          </w:p>
          <w:p w:rsidR="00B243C4" w:rsidRPr="00C417EA" w:rsidRDefault="00B243C4" w:rsidP="00B243C4">
            <w:pPr>
              <w:rPr>
                <w:sz w:val="20"/>
                <w:szCs w:val="20"/>
                <w:u w:val="single"/>
                <w:lang w:val="fr-CA"/>
              </w:rPr>
            </w:pPr>
          </w:p>
        </w:tc>
      </w:tr>
      <w:tr w:rsidR="00B243C4" w:rsidRPr="00C417EA" w:rsidTr="00B243C4">
        <w:trPr>
          <w:cantSplit/>
        </w:trPr>
        <w:tc>
          <w:tcPr>
            <w:tcW w:w="9576" w:type="dxa"/>
            <w:gridSpan w:val="2"/>
          </w:tcPr>
          <w:p w:rsidR="00B243C4" w:rsidRPr="00C417EA" w:rsidRDefault="00B243C4" w:rsidP="00B243C4">
            <w:pPr>
              <w:pStyle w:val="SCCShortJudgment"/>
              <w:rPr>
                <w:szCs w:val="20"/>
                <w:lang w:val="fr-CA"/>
              </w:rPr>
            </w:pPr>
            <w:r w:rsidRPr="00C417EA">
              <w:rPr>
                <w:szCs w:val="20"/>
                <w:lang w:val="fr-CA"/>
              </w:rPr>
              <w:t>La demande d’autorisation d’appel de l’arrêt de la Cour d’appel du Québec (Québec), numéro 200-09-008275-148, 2014 QCCA 1498, daté du 6 août 2014, est rejetée.</w:t>
            </w:r>
          </w:p>
          <w:p w:rsidR="00B243C4" w:rsidRPr="00C417EA" w:rsidRDefault="00B243C4" w:rsidP="00B243C4">
            <w:pPr>
              <w:pStyle w:val="SCCShortJudgment"/>
              <w:ind w:firstLine="0"/>
              <w:rPr>
                <w:szCs w:val="20"/>
                <w:lang w:val="fr-CA"/>
              </w:rPr>
            </w:pPr>
          </w:p>
          <w:p w:rsidR="00B243C4" w:rsidRPr="00C417EA" w:rsidRDefault="00B243C4" w:rsidP="00B243C4">
            <w:pPr>
              <w:pStyle w:val="SCCShortJudgment"/>
              <w:rPr>
                <w:szCs w:val="20"/>
              </w:rPr>
            </w:pPr>
            <w:r w:rsidRPr="00C417EA">
              <w:rPr>
                <w:szCs w:val="20"/>
              </w:rPr>
              <w:t>The application for leave to appeal from the judgment of the Court of Appeal of Quebec (Québec), Number 200-09-008275-148, 2014 QCCA 1498, dated August 6, 2014, is dismissed.</w:t>
            </w:r>
          </w:p>
        </w:tc>
      </w:tr>
    </w:tbl>
    <w:p w:rsidR="00233E21" w:rsidRDefault="00233E21" w:rsidP="00233E21">
      <w:pPr>
        <w:rPr>
          <w:sz w:val="20"/>
          <w:szCs w:val="20"/>
        </w:rPr>
      </w:pPr>
    </w:p>
    <w:p w:rsidR="00233E21" w:rsidRPr="001B157C" w:rsidRDefault="00233E21" w:rsidP="00233E21">
      <w:pPr>
        <w:rPr>
          <w:sz w:val="20"/>
          <w:szCs w:val="20"/>
          <w:u w:val="single"/>
        </w:rPr>
      </w:pPr>
      <w:r w:rsidRPr="001B157C">
        <w:rPr>
          <w:sz w:val="20"/>
          <w:szCs w:val="20"/>
          <w:u w:val="single"/>
        </w:rPr>
        <w:t>CASE SUMMARY</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849AF" w:rsidRPr="00031974" w:rsidTr="00B243C4">
        <w:tc>
          <w:tcPr>
            <w:tcW w:w="5000" w:type="pct"/>
            <w:gridSpan w:val="3"/>
          </w:tcPr>
          <w:p w:rsidR="003849AF" w:rsidRPr="00031974" w:rsidRDefault="003849AF" w:rsidP="00B243C4">
            <w:pPr>
              <w:jc w:val="both"/>
              <w:rPr>
                <w:rFonts w:eastAsia="Calibri"/>
                <w:sz w:val="20"/>
              </w:rPr>
            </w:pPr>
            <w:r w:rsidRPr="00031974">
              <w:rPr>
                <w:rFonts w:eastAsia="Calibri"/>
                <w:sz w:val="20"/>
              </w:rPr>
              <w:t>Civil procedure – Appeal – Court of Appeal refusing leave to appeal – Whether courts infringed applicant’s right to counsel.</w:t>
            </w:r>
          </w:p>
        </w:tc>
      </w:tr>
      <w:tr w:rsidR="003849AF" w:rsidRPr="00031974" w:rsidTr="00B243C4">
        <w:tc>
          <w:tcPr>
            <w:tcW w:w="5000" w:type="pct"/>
            <w:gridSpan w:val="3"/>
          </w:tcPr>
          <w:p w:rsidR="003849AF" w:rsidRPr="00031974" w:rsidRDefault="003849AF" w:rsidP="00B243C4">
            <w:pPr>
              <w:jc w:val="both"/>
              <w:rPr>
                <w:rFonts w:eastAsia="Calibri"/>
                <w:sz w:val="20"/>
              </w:rPr>
            </w:pPr>
          </w:p>
        </w:tc>
      </w:tr>
      <w:tr w:rsidR="003849AF" w:rsidRPr="00031974" w:rsidTr="00B243C4">
        <w:tc>
          <w:tcPr>
            <w:tcW w:w="5000" w:type="pct"/>
            <w:gridSpan w:val="3"/>
          </w:tcPr>
          <w:p w:rsidR="003849AF" w:rsidRPr="00031974" w:rsidRDefault="003849AF" w:rsidP="00B243C4">
            <w:pPr>
              <w:jc w:val="both"/>
              <w:rPr>
                <w:rFonts w:eastAsia="Calibri"/>
                <w:sz w:val="20"/>
              </w:rPr>
            </w:pPr>
            <w:r w:rsidRPr="00031974">
              <w:rPr>
                <w:rFonts w:eastAsia="Calibri"/>
                <w:sz w:val="20"/>
              </w:rPr>
              <w:t>The applicant brought an action in damages against an employee of the municipality of St-Magloire.  The Superior Court dismissed the action at the preliminary stage on the ground that it was unfounded in law and that the proceeding was improper.  The Court of Appeal refused leave to appeal on the ground that the applicant had not raised any error of law or alleged anything that could justify the intervention of the Court of Appeal.</w:t>
            </w:r>
          </w:p>
          <w:p w:rsidR="003849AF" w:rsidRPr="00031974" w:rsidRDefault="003849AF" w:rsidP="00B243C4">
            <w:pPr>
              <w:jc w:val="both"/>
              <w:rPr>
                <w:rFonts w:eastAsia="Calibri"/>
                <w:sz w:val="20"/>
              </w:rPr>
            </w:pPr>
          </w:p>
        </w:tc>
      </w:tr>
      <w:tr w:rsidR="003849AF" w:rsidRPr="00031974" w:rsidTr="00B243C4">
        <w:trPr>
          <w:cantSplit/>
        </w:trPr>
        <w:tc>
          <w:tcPr>
            <w:tcW w:w="2427" w:type="pct"/>
          </w:tcPr>
          <w:p w:rsidR="003849AF" w:rsidRPr="00031974" w:rsidRDefault="003849AF" w:rsidP="00B243C4">
            <w:pPr>
              <w:jc w:val="both"/>
              <w:rPr>
                <w:rFonts w:eastAsia="Calibri"/>
                <w:sz w:val="20"/>
              </w:rPr>
            </w:pPr>
            <w:r w:rsidRPr="00031974">
              <w:rPr>
                <w:rFonts w:eastAsia="Calibri"/>
                <w:sz w:val="20"/>
              </w:rPr>
              <w:lastRenderedPageBreak/>
              <w:t>February 24, 2014</w:t>
            </w:r>
          </w:p>
          <w:p w:rsidR="003849AF" w:rsidRPr="00031974" w:rsidRDefault="003849AF" w:rsidP="00B243C4">
            <w:pPr>
              <w:jc w:val="both"/>
              <w:rPr>
                <w:rFonts w:eastAsia="Calibri"/>
                <w:sz w:val="20"/>
              </w:rPr>
            </w:pPr>
            <w:r w:rsidRPr="00031974">
              <w:rPr>
                <w:rFonts w:eastAsia="Calibri"/>
                <w:sz w:val="20"/>
              </w:rPr>
              <w:t>Quebec Superior Court</w:t>
            </w:r>
          </w:p>
          <w:p w:rsidR="003849AF" w:rsidRPr="00031974" w:rsidRDefault="003849AF" w:rsidP="00B243C4">
            <w:pPr>
              <w:jc w:val="both"/>
              <w:rPr>
                <w:rFonts w:eastAsia="Calibri"/>
                <w:sz w:val="20"/>
              </w:rPr>
            </w:pPr>
            <w:r w:rsidRPr="00031974">
              <w:rPr>
                <w:rFonts w:eastAsia="Calibri"/>
                <w:sz w:val="20"/>
              </w:rPr>
              <w:t>(Blanchard J.)</w:t>
            </w:r>
          </w:p>
          <w:p w:rsidR="003849AF" w:rsidRPr="00031974" w:rsidRDefault="003849AF" w:rsidP="00B243C4">
            <w:pPr>
              <w:jc w:val="both"/>
              <w:rPr>
                <w:rFonts w:eastAsia="Calibri"/>
                <w:sz w:val="20"/>
              </w:rPr>
            </w:pPr>
          </w:p>
        </w:tc>
        <w:tc>
          <w:tcPr>
            <w:tcW w:w="243"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Motion to dismiss motion to institute proceedings allowed; action dismissed</w:t>
            </w:r>
          </w:p>
        </w:tc>
      </w:tr>
      <w:tr w:rsidR="003849AF" w:rsidRPr="00031974" w:rsidTr="00B243C4">
        <w:trPr>
          <w:cantSplit/>
        </w:trPr>
        <w:tc>
          <w:tcPr>
            <w:tcW w:w="2427" w:type="pct"/>
          </w:tcPr>
          <w:p w:rsidR="003849AF" w:rsidRPr="00031974" w:rsidRDefault="003849AF" w:rsidP="00B243C4">
            <w:pPr>
              <w:jc w:val="both"/>
              <w:rPr>
                <w:rFonts w:eastAsia="Calibri"/>
                <w:sz w:val="20"/>
              </w:rPr>
            </w:pPr>
            <w:r w:rsidRPr="00031974">
              <w:rPr>
                <w:rFonts w:eastAsia="Calibri"/>
                <w:sz w:val="20"/>
              </w:rPr>
              <w:t>August 6, 2014</w:t>
            </w:r>
          </w:p>
          <w:p w:rsidR="003849AF" w:rsidRPr="00031974" w:rsidRDefault="003849AF" w:rsidP="00B243C4">
            <w:pPr>
              <w:jc w:val="both"/>
              <w:rPr>
                <w:rFonts w:eastAsia="Calibri"/>
                <w:sz w:val="20"/>
              </w:rPr>
            </w:pPr>
            <w:r w:rsidRPr="00031974">
              <w:rPr>
                <w:rFonts w:eastAsia="Calibri"/>
                <w:sz w:val="20"/>
              </w:rPr>
              <w:t>Quebec Court of Appeal (Québec)</w:t>
            </w:r>
          </w:p>
          <w:p w:rsidR="003849AF" w:rsidRPr="00031974" w:rsidRDefault="003849AF" w:rsidP="00B243C4">
            <w:pPr>
              <w:jc w:val="both"/>
              <w:rPr>
                <w:rFonts w:eastAsia="Calibri"/>
                <w:sz w:val="20"/>
                <w:lang w:val="fr-CA"/>
              </w:rPr>
            </w:pPr>
            <w:r w:rsidRPr="00031974">
              <w:rPr>
                <w:rFonts w:eastAsia="Calibri"/>
                <w:sz w:val="20"/>
                <w:lang w:val="fr-CA"/>
              </w:rPr>
              <w:t>(Gagnon, Bouchard and Gagnon JJ.A.)</w:t>
            </w:r>
          </w:p>
          <w:p w:rsidR="003849AF" w:rsidRPr="00031974" w:rsidRDefault="00790981" w:rsidP="00B243C4">
            <w:pPr>
              <w:jc w:val="both"/>
              <w:rPr>
                <w:rFonts w:eastAsia="Calibri"/>
                <w:sz w:val="20"/>
              </w:rPr>
            </w:pPr>
            <w:hyperlink r:id="rId53" w:history="1">
              <w:r w:rsidR="003849AF" w:rsidRPr="00031974">
                <w:rPr>
                  <w:rFonts w:eastAsia="Calibri"/>
                  <w:color w:val="0000FF"/>
                  <w:sz w:val="20"/>
                  <w:u w:val="single"/>
                </w:rPr>
                <w:t>2014 QCCA 1498</w:t>
              </w:r>
            </w:hyperlink>
            <w:r w:rsidR="003849AF" w:rsidRPr="00031974">
              <w:rPr>
                <w:rFonts w:eastAsia="Calibri"/>
                <w:sz w:val="20"/>
              </w:rPr>
              <w:t>; 200-09-008275-148</w:t>
            </w:r>
          </w:p>
          <w:p w:rsidR="003849AF" w:rsidRPr="00031974" w:rsidRDefault="003849AF" w:rsidP="00B243C4">
            <w:pPr>
              <w:jc w:val="both"/>
              <w:rPr>
                <w:rFonts w:eastAsia="Calibri"/>
                <w:sz w:val="20"/>
              </w:rPr>
            </w:pPr>
          </w:p>
        </w:tc>
        <w:tc>
          <w:tcPr>
            <w:tcW w:w="243"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Motion for leave to appeal dismissed</w:t>
            </w:r>
          </w:p>
        </w:tc>
      </w:tr>
      <w:tr w:rsidR="003849AF" w:rsidRPr="00031974" w:rsidTr="00B243C4">
        <w:trPr>
          <w:cantSplit/>
        </w:trPr>
        <w:tc>
          <w:tcPr>
            <w:tcW w:w="2427" w:type="pct"/>
          </w:tcPr>
          <w:p w:rsidR="003849AF" w:rsidRPr="00031974" w:rsidRDefault="003849AF" w:rsidP="00B243C4">
            <w:pPr>
              <w:jc w:val="both"/>
              <w:rPr>
                <w:rFonts w:eastAsia="Calibri"/>
                <w:sz w:val="20"/>
              </w:rPr>
            </w:pPr>
            <w:r w:rsidRPr="00031974">
              <w:rPr>
                <w:rFonts w:eastAsia="Calibri"/>
                <w:sz w:val="20"/>
              </w:rPr>
              <w:t>September 29, 2014</w:t>
            </w:r>
          </w:p>
          <w:p w:rsidR="003849AF" w:rsidRPr="00031974" w:rsidRDefault="003849AF" w:rsidP="00B243C4">
            <w:pPr>
              <w:jc w:val="both"/>
              <w:rPr>
                <w:rFonts w:eastAsia="Calibri"/>
                <w:sz w:val="20"/>
              </w:rPr>
            </w:pPr>
            <w:r w:rsidRPr="00031974">
              <w:rPr>
                <w:rFonts w:eastAsia="Calibri"/>
                <w:sz w:val="20"/>
              </w:rPr>
              <w:t>Supreme Court of Canada</w:t>
            </w:r>
          </w:p>
        </w:tc>
        <w:tc>
          <w:tcPr>
            <w:tcW w:w="243"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Application for leave to appeal filed</w:t>
            </w:r>
          </w:p>
          <w:p w:rsidR="003849AF" w:rsidRPr="00031974" w:rsidRDefault="003849AF" w:rsidP="00B243C4">
            <w:pPr>
              <w:jc w:val="both"/>
              <w:rPr>
                <w:rFonts w:eastAsia="Calibri"/>
                <w:sz w:val="20"/>
              </w:rPr>
            </w:pPr>
          </w:p>
        </w:tc>
      </w:tr>
    </w:tbl>
    <w:p w:rsidR="00233E21" w:rsidRDefault="00233E21" w:rsidP="00233E21">
      <w:pPr>
        <w:rPr>
          <w:sz w:val="20"/>
          <w:szCs w:val="20"/>
        </w:rPr>
      </w:pPr>
    </w:p>
    <w:p w:rsidR="00233E21" w:rsidRPr="00C50A5C" w:rsidRDefault="00790981" w:rsidP="00233E21">
      <w:pPr>
        <w:rPr>
          <w:sz w:val="20"/>
          <w:szCs w:val="20"/>
        </w:rPr>
      </w:pPr>
      <w:r>
        <w:rPr>
          <w:sz w:val="20"/>
          <w:szCs w:val="20"/>
          <w:lang w:val="fr-CA"/>
        </w:rPr>
        <w:pict>
          <v:rect id="_x0000_i1049" style="width:2in;height:1pt" o:hrpct="0" o:hralign="center" o:hrstd="t" o:hrnoshade="t" o:hr="t" fillcolor="black [3213]" stroked="f"/>
        </w:pict>
      </w:r>
    </w:p>
    <w:p w:rsidR="00233E21" w:rsidRDefault="00233E21" w:rsidP="00233E21">
      <w:pPr>
        <w:rPr>
          <w:sz w:val="20"/>
          <w:szCs w:val="20"/>
        </w:rPr>
      </w:pPr>
    </w:p>
    <w:p w:rsidR="00233E21" w:rsidRPr="001B157C" w:rsidRDefault="00233E21" w:rsidP="00233E21">
      <w:pPr>
        <w:rPr>
          <w:sz w:val="20"/>
          <w:szCs w:val="20"/>
          <w:u w:val="single"/>
          <w:lang w:val="fr-CA"/>
        </w:rPr>
      </w:pPr>
      <w:r w:rsidRPr="001B157C">
        <w:rPr>
          <w:sz w:val="20"/>
          <w:szCs w:val="20"/>
          <w:u w:val="single"/>
          <w:lang w:val="fr-CA"/>
        </w:rPr>
        <w:t>RÉSUMÉ DE L’AFFAIRE</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849AF" w:rsidRPr="002B2DB4" w:rsidTr="00B243C4">
        <w:tc>
          <w:tcPr>
            <w:tcW w:w="5000" w:type="pct"/>
            <w:gridSpan w:val="3"/>
          </w:tcPr>
          <w:p w:rsidR="003849AF" w:rsidRPr="00031974" w:rsidRDefault="003849AF" w:rsidP="00B243C4">
            <w:pPr>
              <w:jc w:val="both"/>
              <w:rPr>
                <w:rFonts w:eastAsia="Calibri"/>
                <w:sz w:val="20"/>
                <w:lang w:val="fr-CA"/>
              </w:rPr>
            </w:pPr>
            <w:r w:rsidRPr="00031974">
              <w:rPr>
                <w:rFonts w:eastAsia="Calibri"/>
                <w:sz w:val="20"/>
                <w:lang w:val="fr-CA"/>
              </w:rPr>
              <w:t>Procédure civile – Appel – Permission d’appel refusée par la Cour d’appel – Les tribunaux ont-ils porté atteinte au droit du demandeur à l’assistance d’un avocat?</w:t>
            </w:r>
          </w:p>
        </w:tc>
      </w:tr>
      <w:tr w:rsidR="003849AF" w:rsidRPr="002B2DB4" w:rsidTr="00B243C4">
        <w:tc>
          <w:tcPr>
            <w:tcW w:w="5000" w:type="pct"/>
            <w:gridSpan w:val="3"/>
          </w:tcPr>
          <w:p w:rsidR="003849AF" w:rsidRPr="00031974" w:rsidRDefault="003849AF" w:rsidP="00B243C4">
            <w:pPr>
              <w:jc w:val="both"/>
              <w:rPr>
                <w:rFonts w:eastAsia="Calibri"/>
                <w:sz w:val="20"/>
                <w:lang w:val="fr-CA"/>
              </w:rPr>
            </w:pPr>
          </w:p>
        </w:tc>
      </w:tr>
      <w:tr w:rsidR="003849AF" w:rsidRPr="002B2DB4" w:rsidTr="00B243C4">
        <w:tc>
          <w:tcPr>
            <w:tcW w:w="5000" w:type="pct"/>
            <w:gridSpan w:val="3"/>
          </w:tcPr>
          <w:p w:rsidR="003849AF" w:rsidRPr="00031974" w:rsidRDefault="003849AF" w:rsidP="00B243C4">
            <w:pPr>
              <w:jc w:val="both"/>
              <w:rPr>
                <w:rFonts w:eastAsia="Calibri"/>
                <w:sz w:val="20"/>
                <w:lang w:val="fr-CA"/>
              </w:rPr>
            </w:pPr>
            <w:r w:rsidRPr="00031974">
              <w:rPr>
                <w:rFonts w:eastAsia="Calibri"/>
                <w:sz w:val="20"/>
                <w:lang w:val="fr-CA"/>
              </w:rPr>
              <w:t>Le demandeur intente une poursuite en dommages-intérêts contre une employée de la Municipalité de St-Magloire.  La Cour supérieure rejette l’action au stade préliminaire, au motif que celle-ci n’est pas fondée en droit et parce que la procédure est abusive.  La Cour d’appel refuse la permission d’appel au motif que le demandeur n’invoque aucune erreur de droit ni ne présente d’éléments susceptibles de justifier l’intervention de la Cour d’appel.</w:t>
            </w:r>
          </w:p>
          <w:p w:rsidR="003849AF" w:rsidRPr="00031974" w:rsidRDefault="003849AF" w:rsidP="00B243C4">
            <w:pPr>
              <w:jc w:val="both"/>
              <w:rPr>
                <w:rFonts w:eastAsia="Calibri"/>
                <w:sz w:val="20"/>
                <w:lang w:val="fr-CA"/>
              </w:rPr>
            </w:pPr>
          </w:p>
        </w:tc>
      </w:tr>
      <w:tr w:rsidR="003849AF" w:rsidRPr="002B2DB4" w:rsidTr="00B243C4">
        <w:tc>
          <w:tcPr>
            <w:tcW w:w="2427" w:type="pct"/>
          </w:tcPr>
          <w:p w:rsidR="003849AF" w:rsidRPr="00031974" w:rsidRDefault="003849AF" w:rsidP="00B243C4">
            <w:pPr>
              <w:jc w:val="both"/>
              <w:rPr>
                <w:rFonts w:eastAsia="Calibri"/>
                <w:sz w:val="20"/>
                <w:lang w:val="fr-CA"/>
              </w:rPr>
            </w:pPr>
            <w:r w:rsidRPr="00031974">
              <w:rPr>
                <w:rFonts w:eastAsia="Calibri"/>
                <w:sz w:val="20"/>
                <w:lang w:val="fr-CA"/>
              </w:rPr>
              <w:t>Le 24 février 2014</w:t>
            </w:r>
          </w:p>
          <w:p w:rsidR="003849AF" w:rsidRPr="00031974" w:rsidRDefault="003849AF" w:rsidP="00B243C4">
            <w:pPr>
              <w:jc w:val="both"/>
              <w:rPr>
                <w:rFonts w:eastAsia="Calibri"/>
                <w:sz w:val="20"/>
                <w:lang w:val="fr-CA"/>
              </w:rPr>
            </w:pPr>
            <w:r w:rsidRPr="00031974">
              <w:rPr>
                <w:rFonts w:eastAsia="Calibri"/>
                <w:sz w:val="20"/>
                <w:lang w:val="fr-CA"/>
              </w:rPr>
              <w:t>Cour supérieure du Québec</w:t>
            </w:r>
          </w:p>
          <w:p w:rsidR="003849AF" w:rsidRPr="00031974" w:rsidRDefault="003849AF" w:rsidP="00B243C4">
            <w:pPr>
              <w:jc w:val="both"/>
              <w:rPr>
                <w:rFonts w:eastAsia="Calibri"/>
                <w:sz w:val="20"/>
                <w:lang w:val="fr-CA"/>
              </w:rPr>
            </w:pPr>
            <w:r w:rsidRPr="00031974">
              <w:rPr>
                <w:rFonts w:eastAsia="Calibri"/>
                <w:sz w:val="20"/>
                <w:lang w:val="fr-CA"/>
              </w:rPr>
              <w:t>(Le juge Blanchard)</w:t>
            </w:r>
          </w:p>
          <w:p w:rsidR="003849AF" w:rsidRPr="00031974" w:rsidRDefault="003849AF" w:rsidP="00B243C4">
            <w:pPr>
              <w:jc w:val="both"/>
              <w:rPr>
                <w:rFonts w:eastAsia="Calibri"/>
                <w:sz w:val="20"/>
                <w:lang w:val="fr-CA"/>
              </w:rPr>
            </w:pPr>
          </w:p>
        </w:tc>
        <w:tc>
          <w:tcPr>
            <w:tcW w:w="243"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Requête en rejet d’une requête introductive d’instance accueillie; recours rejeté</w:t>
            </w:r>
          </w:p>
        </w:tc>
      </w:tr>
      <w:tr w:rsidR="003849AF" w:rsidRPr="002B2DB4" w:rsidTr="00B243C4">
        <w:tc>
          <w:tcPr>
            <w:tcW w:w="2427" w:type="pct"/>
          </w:tcPr>
          <w:p w:rsidR="003849AF" w:rsidRPr="00031974" w:rsidRDefault="003849AF" w:rsidP="00B243C4">
            <w:pPr>
              <w:jc w:val="both"/>
              <w:rPr>
                <w:rFonts w:eastAsia="Calibri"/>
                <w:sz w:val="20"/>
                <w:lang w:val="fr-CA"/>
              </w:rPr>
            </w:pPr>
            <w:r w:rsidRPr="00031974">
              <w:rPr>
                <w:rFonts w:eastAsia="Calibri"/>
                <w:sz w:val="20"/>
                <w:lang w:val="fr-CA"/>
              </w:rPr>
              <w:t>Le 6 août 2014</w:t>
            </w:r>
          </w:p>
          <w:p w:rsidR="003849AF" w:rsidRPr="00031974" w:rsidRDefault="003849AF" w:rsidP="00B243C4">
            <w:pPr>
              <w:jc w:val="both"/>
              <w:rPr>
                <w:rFonts w:eastAsia="Calibri"/>
                <w:sz w:val="20"/>
                <w:lang w:val="fr-CA"/>
              </w:rPr>
            </w:pPr>
            <w:r w:rsidRPr="00031974">
              <w:rPr>
                <w:rFonts w:eastAsia="Calibri"/>
                <w:sz w:val="20"/>
                <w:lang w:val="fr-CA"/>
              </w:rPr>
              <w:t>Cour d’appel du Québec (Québec)</w:t>
            </w:r>
          </w:p>
          <w:p w:rsidR="003849AF" w:rsidRPr="00031974" w:rsidRDefault="003849AF" w:rsidP="00B243C4">
            <w:pPr>
              <w:jc w:val="both"/>
              <w:rPr>
                <w:rFonts w:eastAsia="Calibri"/>
                <w:sz w:val="20"/>
                <w:lang w:val="fr-CA"/>
              </w:rPr>
            </w:pPr>
            <w:r w:rsidRPr="00031974">
              <w:rPr>
                <w:rFonts w:eastAsia="Calibri"/>
                <w:sz w:val="20"/>
                <w:lang w:val="fr-CA"/>
              </w:rPr>
              <w:t>(Les juges Gagnon, Bouchard et Gagnon)</w:t>
            </w:r>
          </w:p>
          <w:p w:rsidR="003849AF" w:rsidRPr="00031974" w:rsidRDefault="00790981" w:rsidP="00B243C4">
            <w:pPr>
              <w:jc w:val="both"/>
              <w:rPr>
                <w:rFonts w:eastAsia="Calibri"/>
                <w:sz w:val="20"/>
                <w:lang w:val="fr-CA"/>
              </w:rPr>
            </w:pPr>
            <w:hyperlink r:id="rId54" w:history="1">
              <w:r w:rsidR="003849AF" w:rsidRPr="00031974">
                <w:rPr>
                  <w:rFonts w:eastAsia="Calibri"/>
                  <w:color w:val="0000FF"/>
                  <w:sz w:val="20"/>
                  <w:u w:val="single"/>
                  <w:lang w:val="fr-CA"/>
                </w:rPr>
                <w:t>2014 QCCA 1498</w:t>
              </w:r>
            </w:hyperlink>
            <w:r w:rsidR="003849AF" w:rsidRPr="00031974">
              <w:rPr>
                <w:rFonts w:eastAsia="Calibri"/>
                <w:sz w:val="20"/>
                <w:lang w:val="fr-CA"/>
              </w:rPr>
              <w:t>; 200-09-008275-148</w:t>
            </w:r>
          </w:p>
          <w:p w:rsidR="003849AF" w:rsidRPr="00031974" w:rsidRDefault="003849AF" w:rsidP="00B243C4">
            <w:pPr>
              <w:jc w:val="both"/>
              <w:rPr>
                <w:rFonts w:eastAsia="Calibri"/>
                <w:sz w:val="20"/>
                <w:lang w:val="fr-CA"/>
              </w:rPr>
            </w:pPr>
          </w:p>
        </w:tc>
        <w:tc>
          <w:tcPr>
            <w:tcW w:w="243"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Requête pour permission d’appeler rejetée</w:t>
            </w:r>
          </w:p>
        </w:tc>
      </w:tr>
      <w:tr w:rsidR="003849AF" w:rsidRPr="00031974" w:rsidTr="00B243C4">
        <w:tc>
          <w:tcPr>
            <w:tcW w:w="2427" w:type="pct"/>
          </w:tcPr>
          <w:p w:rsidR="003849AF" w:rsidRPr="00031974" w:rsidRDefault="003849AF" w:rsidP="00B243C4">
            <w:pPr>
              <w:jc w:val="both"/>
              <w:rPr>
                <w:rFonts w:eastAsia="Calibri"/>
                <w:sz w:val="20"/>
                <w:lang w:val="fr-CA"/>
              </w:rPr>
            </w:pPr>
            <w:r w:rsidRPr="00031974">
              <w:rPr>
                <w:rFonts w:eastAsia="Calibri"/>
                <w:sz w:val="20"/>
                <w:lang w:val="fr-CA"/>
              </w:rPr>
              <w:t>Le 29 septembre 2014</w:t>
            </w:r>
          </w:p>
          <w:p w:rsidR="003849AF" w:rsidRPr="00031974" w:rsidRDefault="003849AF" w:rsidP="00B243C4">
            <w:pPr>
              <w:jc w:val="both"/>
              <w:rPr>
                <w:rFonts w:eastAsia="Calibri"/>
                <w:sz w:val="20"/>
                <w:lang w:val="fr-CA"/>
              </w:rPr>
            </w:pPr>
            <w:r w:rsidRPr="00031974">
              <w:rPr>
                <w:rFonts w:eastAsia="Calibri"/>
                <w:sz w:val="20"/>
                <w:lang w:val="fr-CA"/>
              </w:rPr>
              <w:t>Cour suprême du Canada</w:t>
            </w:r>
          </w:p>
        </w:tc>
        <w:tc>
          <w:tcPr>
            <w:tcW w:w="243"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Demande d'autorisation d'appel déposée</w:t>
            </w:r>
          </w:p>
          <w:p w:rsidR="003849AF" w:rsidRPr="00031974" w:rsidRDefault="003849AF" w:rsidP="00B243C4">
            <w:pPr>
              <w:jc w:val="both"/>
              <w:rPr>
                <w:rFonts w:eastAsia="Calibri"/>
                <w:sz w:val="20"/>
                <w:lang w:val="fr-CA"/>
              </w:rPr>
            </w:pPr>
          </w:p>
        </w:tc>
      </w:tr>
    </w:tbl>
    <w:p w:rsidR="00233E21" w:rsidRDefault="00233E21" w:rsidP="00233E21">
      <w:pPr>
        <w:rPr>
          <w:sz w:val="20"/>
          <w:szCs w:val="20"/>
        </w:rPr>
      </w:pPr>
    </w:p>
    <w:p w:rsidR="00233E21" w:rsidRDefault="00790981" w:rsidP="00233E21">
      <w:pPr>
        <w:rPr>
          <w:sz w:val="20"/>
          <w:szCs w:val="20"/>
          <w:lang w:val="fr-CA"/>
        </w:rPr>
      </w:pPr>
      <w:r>
        <w:rPr>
          <w:sz w:val="20"/>
          <w:szCs w:val="20"/>
          <w:lang w:val="fr-CA"/>
        </w:rPr>
        <w:pict>
          <v:rect id="_x0000_i1050" style="width:2in;height:1pt" o:hrpct="0" o:hralign="center" o:hrstd="t" o:hrnoshade="t" o:hr="t" fillcolor="black [3213]" stroked="f"/>
        </w:pict>
      </w:r>
    </w:p>
    <w:p w:rsidR="00233E21" w:rsidRDefault="00233E21" w:rsidP="00233E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243C4" w:rsidRPr="002B2DB4" w:rsidTr="00B243C4">
        <w:trPr>
          <w:cantSplit/>
        </w:trPr>
        <w:tc>
          <w:tcPr>
            <w:tcW w:w="1458" w:type="dxa"/>
          </w:tcPr>
          <w:p w:rsidR="00B243C4" w:rsidRPr="00C417EA" w:rsidRDefault="00B243C4" w:rsidP="00B243C4">
            <w:pPr>
              <w:rPr>
                <w:sz w:val="20"/>
                <w:szCs w:val="20"/>
              </w:rPr>
            </w:pPr>
            <w:r w:rsidRPr="00C417EA">
              <w:rPr>
                <w:rStyle w:val="SCCFileNumberChar"/>
                <w:sz w:val="20"/>
                <w:szCs w:val="20"/>
              </w:rPr>
              <w:t>36246</w:t>
            </w:r>
          </w:p>
          <w:p w:rsidR="00B243C4" w:rsidRPr="00C417EA" w:rsidRDefault="00B243C4" w:rsidP="00B243C4">
            <w:pPr>
              <w:rPr>
                <w:b/>
                <w:sz w:val="20"/>
                <w:szCs w:val="20"/>
                <w:lang w:val="fr-CA"/>
              </w:rPr>
            </w:pPr>
          </w:p>
        </w:tc>
        <w:tc>
          <w:tcPr>
            <w:tcW w:w="8118" w:type="dxa"/>
          </w:tcPr>
          <w:p w:rsidR="00B243C4" w:rsidRPr="00C417EA" w:rsidRDefault="00B243C4" w:rsidP="00B243C4">
            <w:pPr>
              <w:rPr>
                <w:sz w:val="20"/>
                <w:szCs w:val="20"/>
                <w:lang w:val="fr-CA"/>
              </w:rPr>
            </w:pPr>
            <w:r w:rsidRPr="00C417EA">
              <w:rPr>
                <w:rStyle w:val="SCCLsocChar"/>
                <w:sz w:val="20"/>
                <w:szCs w:val="20"/>
              </w:rPr>
              <w:t>Roch Laflamme c. Municipalité de St-Magloire</w:t>
            </w:r>
            <w:r w:rsidRPr="00C417EA">
              <w:rPr>
                <w:sz w:val="20"/>
                <w:szCs w:val="20"/>
                <w:lang w:val="fr-CA"/>
              </w:rPr>
              <w:t xml:space="preserve"> (Qc) (Civile) (Autorisation)</w:t>
            </w:r>
          </w:p>
          <w:p w:rsidR="00B243C4" w:rsidRPr="00C417EA" w:rsidRDefault="00B243C4" w:rsidP="00B243C4">
            <w:pPr>
              <w:rPr>
                <w:sz w:val="20"/>
                <w:szCs w:val="20"/>
                <w:lang w:val="fr-CA"/>
              </w:rPr>
            </w:pPr>
          </w:p>
        </w:tc>
      </w:tr>
      <w:tr w:rsidR="00B243C4" w:rsidRPr="002B2DB4" w:rsidTr="00B243C4">
        <w:trPr>
          <w:cantSplit/>
        </w:trPr>
        <w:tc>
          <w:tcPr>
            <w:tcW w:w="1458" w:type="dxa"/>
          </w:tcPr>
          <w:p w:rsidR="00B243C4" w:rsidRPr="00C417EA" w:rsidRDefault="00B243C4" w:rsidP="00B243C4">
            <w:pPr>
              <w:rPr>
                <w:sz w:val="20"/>
                <w:szCs w:val="20"/>
              </w:rPr>
            </w:pPr>
            <w:r w:rsidRPr="00C417EA">
              <w:rPr>
                <w:sz w:val="20"/>
                <w:szCs w:val="20"/>
              </w:rPr>
              <w:t>Coram :</w:t>
            </w:r>
          </w:p>
        </w:tc>
        <w:tc>
          <w:tcPr>
            <w:tcW w:w="8118" w:type="dxa"/>
          </w:tcPr>
          <w:p w:rsidR="00B243C4" w:rsidRPr="00C417EA" w:rsidRDefault="00B243C4" w:rsidP="00B243C4">
            <w:pPr>
              <w:rPr>
                <w:sz w:val="20"/>
                <w:szCs w:val="20"/>
                <w:lang w:val="fr-CA"/>
              </w:rPr>
            </w:pPr>
            <w:r w:rsidRPr="00C417EA">
              <w:rPr>
                <w:rStyle w:val="SCCCoramChar"/>
                <w:sz w:val="20"/>
                <w:szCs w:val="20"/>
              </w:rPr>
              <w:t>Les juges Abella, Karakatsanis et Côté</w:t>
            </w:r>
          </w:p>
          <w:p w:rsidR="00B243C4" w:rsidRPr="00C417EA" w:rsidRDefault="00B243C4" w:rsidP="00B243C4">
            <w:pPr>
              <w:rPr>
                <w:sz w:val="20"/>
                <w:szCs w:val="20"/>
                <w:u w:val="single"/>
                <w:lang w:val="fr-CA"/>
              </w:rPr>
            </w:pPr>
          </w:p>
        </w:tc>
      </w:tr>
      <w:tr w:rsidR="00B243C4" w:rsidRPr="00C417EA" w:rsidTr="00B243C4">
        <w:trPr>
          <w:cantSplit/>
        </w:trPr>
        <w:tc>
          <w:tcPr>
            <w:tcW w:w="9576" w:type="dxa"/>
            <w:gridSpan w:val="2"/>
          </w:tcPr>
          <w:p w:rsidR="00B243C4" w:rsidRPr="00C417EA" w:rsidRDefault="00B243C4" w:rsidP="00B243C4">
            <w:pPr>
              <w:pStyle w:val="SCCShortJudgment"/>
              <w:rPr>
                <w:szCs w:val="20"/>
                <w:lang w:val="fr-CA"/>
              </w:rPr>
            </w:pPr>
            <w:r w:rsidRPr="00C417EA">
              <w:rPr>
                <w:szCs w:val="20"/>
                <w:lang w:val="fr-CA"/>
              </w:rPr>
              <w:t>La demande d’autorisation d’appel de l’arrêt de la Cour d’appel du Québec (Québec), numéro 200-09-008106-137, 2014 QCCA 1500, daté du 6 août 2014, est rejetée.</w:t>
            </w:r>
          </w:p>
          <w:p w:rsidR="00B243C4" w:rsidRPr="00C417EA" w:rsidRDefault="00B243C4" w:rsidP="00B243C4">
            <w:pPr>
              <w:pStyle w:val="SCCShortJudgment"/>
              <w:ind w:firstLine="0"/>
              <w:rPr>
                <w:szCs w:val="20"/>
                <w:lang w:val="fr-CA"/>
              </w:rPr>
            </w:pPr>
          </w:p>
          <w:p w:rsidR="00B243C4" w:rsidRPr="00C417EA" w:rsidRDefault="00B243C4" w:rsidP="00B243C4">
            <w:pPr>
              <w:pStyle w:val="SCCShortJudgment"/>
              <w:rPr>
                <w:szCs w:val="20"/>
              </w:rPr>
            </w:pPr>
            <w:r w:rsidRPr="00C417EA">
              <w:rPr>
                <w:szCs w:val="20"/>
              </w:rPr>
              <w:t>The application for leave to appeal from the judgment of the Court of Appeal of Quebec (Québec), Number 200-09-008106-137, 2014 QCCA 1500, dated August 6, 2014, is dismissed.</w:t>
            </w:r>
          </w:p>
        </w:tc>
      </w:tr>
    </w:tbl>
    <w:p w:rsidR="00B243C4" w:rsidRDefault="00B243C4" w:rsidP="00233E21">
      <w:pPr>
        <w:rPr>
          <w:sz w:val="20"/>
          <w:szCs w:val="20"/>
        </w:rPr>
      </w:pPr>
    </w:p>
    <w:p w:rsidR="00B243C4" w:rsidRDefault="00B243C4">
      <w:pPr>
        <w:rPr>
          <w:sz w:val="20"/>
          <w:szCs w:val="20"/>
        </w:rPr>
      </w:pPr>
      <w:r>
        <w:rPr>
          <w:sz w:val="20"/>
          <w:szCs w:val="20"/>
        </w:rPr>
        <w:br w:type="page"/>
      </w:r>
    </w:p>
    <w:p w:rsidR="00233E21" w:rsidRPr="001B157C" w:rsidRDefault="00233E21" w:rsidP="00233E21">
      <w:pPr>
        <w:rPr>
          <w:sz w:val="20"/>
          <w:szCs w:val="20"/>
          <w:u w:val="single"/>
        </w:rPr>
      </w:pPr>
      <w:r w:rsidRPr="001B157C">
        <w:rPr>
          <w:sz w:val="20"/>
          <w:szCs w:val="20"/>
          <w:u w:val="single"/>
        </w:rPr>
        <w:lastRenderedPageBreak/>
        <w:t>CASE SUMMARY</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849AF" w:rsidRPr="00031974" w:rsidTr="00B243C4">
        <w:tc>
          <w:tcPr>
            <w:tcW w:w="5000" w:type="pct"/>
            <w:gridSpan w:val="3"/>
          </w:tcPr>
          <w:p w:rsidR="003849AF" w:rsidRPr="00031974" w:rsidRDefault="003849AF" w:rsidP="00B243C4">
            <w:pPr>
              <w:jc w:val="both"/>
              <w:rPr>
                <w:rFonts w:eastAsia="Calibri"/>
                <w:sz w:val="20"/>
              </w:rPr>
            </w:pPr>
            <w:r w:rsidRPr="00031974">
              <w:rPr>
                <w:rFonts w:eastAsia="Calibri"/>
                <w:sz w:val="20"/>
              </w:rPr>
              <w:t>Civil procedure – Appeal – Court of Appeal refusing leave to appeal – Whether courts infringed applicant’s right to counsel.</w:t>
            </w:r>
          </w:p>
        </w:tc>
      </w:tr>
      <w:tr w:rsidR="003849AF" w:rsidRPr="00031974" w:rsidTr="00B243C4">
        <w:tc>
          <w:tcPr>
            <w:tcW w:w="5000" w:type="pct"/>
            <w:gridSpan w:val="3"/>
          </w:tcPr>
          <w:p w:rsidR="003849AF" w:rsidRPr="00031974" w:rsidRDefault="003849AF" w:rsidP="00B243C4">
            <w:pPr>
              <w:jc w:val="both"/>
              <w:rPr>
                <w:rFonts w:eastAsia="Calibri"/>
                <w:sz w:val="20"/>
              </w:rPr>
            </w:pPr>
          </w:p>
        </w:tc>
      </w:tr>
      <w:tr w:rsidR="003849AF" w:rsidRPr="00031974" w:rsidTr="00B243C4">
        <w:tc>
          <w:tcPr>
            <w:tcW w:w="5000" w:type="pct"/>
            <w:gridSpan w:val="3"/>
          </w:tcPr>
          <w:p w:rsidR="003849AF" w:rsidRPr="00031974" w:rsidRDefault="003849AF" w:rsidP="00B243C4">
            <w:pPr>
              <w:jc w:val="both"/>
              <w:rPr>
                <w:rFonts w:eastAsia="Calibri"/>
                <w:sz w:val="20"/>
              </w:rPr>
            </w:pPr>
            <w:r w:rsidRPr="00031974">
              <w:rPr>
                <w:rFonts w:eastAsia="Calibri"/>
                <w:sz w:val="20"/>
              </w:rPr>
              <w:t>The municipality of St</w:t>
            </w:r>
            <w:r w:rsidRPr="00031974">
              <w:rPr>
                <w:rFonts w:eastAsia="Calibri"/>
                <w:sz w:val="20"/>
              </w:rPr>
              <w:noBreakHyphen/>
              <w:t xml:space="preserve">Magloire brought an action under ss. 227 </w:t>
            </w:r>
            <w:r w:rsidRPr="00031974">
              <w:rPr>
                <w:rFonts w:eastAsia="Calibri"/>
                <w:i/>
                <w:sz w:val="20"/>
              </w:rPr>
              <w:t>et seq.</w:t>
            </w:r>
            <w:r w:rsidRPr="00031974">
              <w:rPr>
                <w:rFonts w:eastAsia="Calibri"/>
                <w:sz w:val="20"/>
              </w:rPr>
              <w:t xml:space="preserve"> of the </w:t>
            </w:r>
            <w:r w:rsidRPr="00031974">
              <w:rPr>
                <w:rFonts w:eastAsia="Calibri"/>
                <w:i/>
                <w:sz w:val="20"/>
              </w:rPr>
              <w:t>Act respecting land use planning and development</w:t>
            </w:r>
            <w:r w:rsidRPr="00031974">
              <w:rPr>
                <w:rFonts w:eastAsia="Calibri"/>
                <w:sz w:val="20"/>
              </w:rPr>
              <w:t>, CQLR, c. A-19.1, seeking the cessation of non-conforming renovation and enlargement work on the applicant’s property and an order for the demolition of part of the work.  The Superior Court allowed the action, and the Court of Appeal refused leave to appeal on the ground that the case did not raise any question of principle or other matter that ought to be submitted to the Court of Appeal.  In its opinion, the applicant was essentially challenging the assessment of the evidence.  As well, the applicant’s allegations [</w:t>
            </w:r>
            <w:r w:rsidRPr="00031974">
              <w:rPr>
                <w:rFonts w:eastAsia="Calibri"/>
                <w:smallCaps/>
                <w:sz w:val="20"/>
              </w:rPr>
              <w:t>translation</w:t>
            </w:r>
            <w:r w:rsidRPr="00031974">
              <w:rPr>
                <w:rFonts w:eastAsia="Calibri"/>
                <w:sz w:val="20"/>
              </w:rPr>
              <w:t>] “are incomplete in several respects and do not support the validity of the conclusions sought” (para. 5).</w:t>
            </w:r>
          </w:p>
          <w:p w:rsidR="003849AF" w:rsidRPr="00031974" w:rsidRDefault="003849AF" w:rsidP="00B243C4">
            <w:pPr>
              <w:jc w:val="both"/>
              <w:rPr>
                <w:rFonts w:eastAsia="Calibri"/>
                <w:sz w:val="20"/>
              </w:rPr>
            </w:pPr>
          </w:p>
        </w:tc>
      </w:tr>
      <w:tr w:rsidR="003849AF" w:rsidRPr="00031974" w:rsidTr="00B243C4">
        <w:tc>
          <w:tcPr>
            <w:tcW w:w="2427" w:type="pct"/>
          </w:tcPr>
          <w:p w:rsidR="003849AF" w:rsidRPr="00031974" w:rsidRDefault="003849AF" w:rsidP="00B243C4">
            <w:pPr>
              <w:jc w:val="both"/>
              <w:rPr>
                <w:rFonts w:eastAsia="Calibri"/>
                <w:sz w:val="20"/>
              </w:rPr>
            </w:pPr>
            <w:r w:rsidRPr="00031974">
              <w:rPr>
                <w:rFonts w:eastAsia="Calibri"/>
                <w:sz w:val="20"/>
              </w:rPr>
              <w:t>July 9, 2013</w:t>
            </w:r>
          </w:p>
          <w:p w:rsidR="003849AF" w:rsidRPr="00031974" w:rsidRDefault="003849AF" w:rsidP="00B243C4">
            <w:pPr>
              <w:jc w:val="both"/>
              <w:rPr>
                <w:rFonts w:eastAsia="Calibri"/>
                <w:sz w:val="20"/>
              </w:rPr>
            </w:pPr>
            <w:r w:rsidRPr="00031974">
              <w:rPr>
                <w:rFonts w:eastAsia="Calibri"/>
                <w:sz w:val="20"/>
              </w:rPr>
              <w:t>Quebec Superior Court</w:t>
            </w:r>
          </w:p>
          <w:p w:rsidR="003849AF" w:rsidRPr="00031974" w:rsidRDefault="003849AF" w:rsidP="00B243C4">
            <w:pPr>
              <w:jc w:val="both"/>
              <w:rPr>
                <w:rFonts w:eastAsia="Calibri"/>
                <w:sz w:val="20"/>
              </w:rPr>
            </w:pPr>
            <w:r w:rsidRPr="00031974">
              <w:rPr>
                <w:rFonts w:eastAsia="Calibri"/>
                <w:sz w:val="20"/>
              </w:rPr>
              <w:t>(La Rosa J.)</w:t>
            </w:r>
          </w:p>
          <w:p w:rsidR="003849AF" w:rsidRPr="00031974" w:rsidRDefault="00790981" w:rsidP="00B243C4">
            <w:pPr>
              <w:jc w:val="both"/>
              <w:rPr>
                <w:rFonts w:eastAsia="Calibri"/>
                <w:sz w:val="20"/>
              </w:rPr>
            </w:pPr>
            <w:hyperlink r:id="rId55" w:history="1">
              <w:r w:rsidR="003849AF" w:rsidRPr="00031974">
                <w:rPr>
                  <w:rFonts w:eastAsia="Calibri"/>
                  <w:color w:val="0000FF"/>
                  <w:sz w:val="20"/>
                  <w:u w:val="single"/>
                </w:rPr>
                <w:t>2013 QCCS 5037</w:t>
              </w:r>
            </w:hyperlink>
          </w:p>
          <w:p w:rsidR="003849AF" w:rsidRPr="00031974" w:rsidRDefault="003849AF" w:rsidP="00B243C4">
            <w:pPr>
              <w:jc w:val="both"/>
              <w:rPr>
                <w:rFonts w:eastAsia="Calibri"/>
                <w:sz w:val="20"/>
              </w:rPr>
            </w:pPr>
          </w:p>
        </w:tc>
        <w:tc>
          <w:tcPr>
            <w:tcW w:w="243"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 xml:space="preserve">Action under </w:t>
            </w:r>
            <w:r w:rsidRPr="00031974">
              <w:rPr>
                <w:rFonts w:eastAsia="Calibri"/>
                <w:i/>
                <w:sz w:val="20"/>
              </w:rPr>
              <w:t>Act respecting land use planning and development</w:t>
            </w:r>
            <w:r w:rsidRPr="00031974">
              <w:rPr>
                <w:rFonts w:eastAsia="Calibri"/>
                <w:sz w:val="20"/>
              </w:rPr>
              <w:t xml:space="preserve"> allowed</w:t>
            </w:r>
          </w:p>
          <w:p w:rsidR="003849AF" w:rsidRPr="00031974" w:rsidRDefault="003849AF" w:rsidP="00B243C4">
            <w:pPr>
              <w:jc w:val="both"/>
              <w:rPr>
                <w:rFonts w:eastAsia="Calibri"/>
                <w:sz w:val="20"/>
              </w:rPr>
            </w:pPr>
          </w:p>
        </w:tc>
      </w:tr>
      <w:tr w:rsidR="003849AF" w:rsidRPr="00031974" w:rsidTr="00B243C4">
        <w:tc>
          <w:tcPr>
            <w:tcW w:w="2427" w:type="pct"/>
          </w:tcPr>
          <w:p w:rsidR="003849AF" w:rsidRPr="00031974" w:rsidRDefault="003849AF" w:rsidP="00B243C4">
            <w:pPr>
              <w:jc w:val="both"/>
              <w:rPr>
                <w:rFonts w:eastAsia="Calibri"/>
                <w:sz w:val="20"/>
              </w:rPr>
            </w:pPr>
            <w:r w:rsidRPr="00031974">
              <w:rPr>
                <w:rFonts w:eastAsia="Calibri"/>
                <w:sz w:val="20"/>
              </w:rPr>
              <w:t>August 6, 2014</w:t>
            </w:r>
          </w:p>
          <w:p w:rsidR="003849AF" w:rsidRPr="00031974" w:rsidRDefault="003849AF" w:rsidP="00B243C4">
            <w:pPr>
              <w:jc w:val="both"/>
              <w:rPr>
                <w:rFonts w:eastAsia="Calibri"/>
                <w:sz w:val="20"/>
              </w:rPr>
            </w:pPr>
            <w:r w:rsidRPr="00031974">
              <w:rPr>
                <w:rFonts w:eastAsia="Calibri"/>
                <w:sz w:val="20"/>
              </w:rPr>
              <w:t>Quebec Court of Appeal (Québec)</w:t>
            </w:r>
          </w:p>
          <w:p w:rsidR="003849AF" w:rsidRPr="00031974" w:rsidRDefault="003849AF" w:rsidP="00B243C4">
            <w:pPr>
              <w:jc w:val="both"/>
              <w:rPr>
                <w:rFonts w:eastAsia="Calibri"/>
                <w:sz w:val="20"/>
                <w:lang w:val="fr-CA"/>
              </w:rPr>
            </w:pPr>
            <w:r w:rsidRPr="00031974">
              <w:rPr>
                <w:rFonts w:eastAsia="Calibri"/>
                <w:sz w:val="20"/>
                <w:lang w:val="fr-CA"/>
              </w:rPr>
              <w:t>(Gagnon, Bouchard and Gagnon JJ.A.)</w:t>
            </w:r>
          </w:p>
          <w:p w:rsidR="003849AF" w:rsidRPr="00031974" w:rsidRDefault="00790981" w:rsidP="00B243C4">
            <w:pPr>
              <w:jc w:val="both"/>
              <w:rPr>
                <w:rFonts w:eastAsia="Calibri"/>
                <w:sz w:val="20"/>
              </w:rPr>
            </w:pPr>
            <w:hyperlink r:id="rId56" w:history="1">
              <w:r w:rsidR="003849AF" w:rsidRPr="00031974">
                <w:rPr>
                  <w:rFonts w:eastAsia="Calibri"/>
                  <w:color w:val="0000FF"/>
                  <w:sz w:val="20"/>
                  <w:u w:val="single"/>
                </w:rPr>
                <w:t>2014 QCCA 1500</w:t>
              </w:r>
            </w:hyperlink>
            <w:r w:rsidR="003849AF" w:rsidRPr="00031974">
              <w:rPr>
                <w:rFonts w:eastAsia="Calibri"/>
                <w:sz w:val="20"/>
              </w:rPr>
              <w:t>; 200-09-008106-137</w:t>
            </w:r>
          </w:p>
          <w:p w:rsidR="003849AF" w:rsidRPr="00031974" w:rsidRDefault="003849AF" w:rsidP="00B243C4">
            <w:pPr>
              <w:jc w:val="both"/>
              <w:rPr>
                <w:rFonts w:eastAsia="Calibri"/>
                <w:sz w:val="20"/>
              </w:rPr>
            </w:pPr>
          </w:p>
        </w:tc>
        <w:tc>
          <w:tcPr>
            <w:tcW w:w="243"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Motion for leave to appeal dismissed</w:t>
            </w:r>
          </w:p>
        </w:tc>
      </w:tr>
      <w:tr w:rsidR="003849AF" w:rsidRPr="00031974" w:rsidTr="00B243C4">
        <w:tc>
          <w:tcPr>
            <w:tcW w:w="2427" w:type="pct"/>
          </w:tcPr>
          <w:p w:rsidR="003849AF" w:rsidRPr="00031974" w:rsidRDefault="003849AF" w:rsidP="00B243C4">
            <w:pPr>
              <w:jc w:val="both"/>
              <w:rPr>
                <w:rFonts w:eastAsia="Calibri"/>
                <w:sz w:val="20"/>
              </w:rPr>
            </w:pPr>
            <w:r w:rsidRPr="00031974">
              <w:rPr>
                <w:rFonts w:eastAsia="Calibri"/>
                <w:sz w:val="20"/>
              </w:rPr>
              <w:t>September 29, 2014</w:t>
            </w:r>
          </w:p>
          <w:p w:rsidR="003849AF" w:rsidRPr="00031974" w:rsidRDefault="003849AF" w:rsidP="00B243C4">
            <w:pPr>
              <w:jc w:val="both"/>
              <w:rPr>
                <w:rFonts w:eastAsia="Calibri"/>
                <w:sz w:val="20"/>
              </w:rPr>
            </w:pPr>
            <w:r w:rsidRPr="00031974">
              <w:rPr>
                <w:rFonts w:eastAsia="Calibri"/>
                <w:sz w:val="20"/>
              </w:rPr>
              <w:t>Supreme Court of Canada</w:t>
            </w:r>
          </w:p>
        </w:tc>
        <w:tc>
          <w:tcPr>
            <w:tcW w:w="243"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Application for leave to appeal filed</w:t>
            </w:r>
          </w:p>
          <w:p w:rsidR="003849AF" w:rsidRPr="00031974" w:rsidRDefault="003849AF" w:rsidP="00B243C4">
            <w:pPr>
              <w:jc w:val="both"/>
              <w:rPr>
                <w:rFonts w:eastAsia="Calibri"/>
                <w:sz w:val="20"/>
              </w:rPr>
            </w:pPr>
          </w:p>
        </w:tc>
      </w:tr>
    </w:tbl>
    <w:p w:rsidR="00233E21" w:rsidRDefault="00233E21" w:rsidP="00233E21">
      <w:pPr>
        <w:rPr>
          <w:sz w:val="20"/>
          <w:szCs w:val="20"/>
        </w:rPr>
      </w:pPr>
    </w:p>
    <w:p w:rsidR="00233E21" w:rsidRPr="00C50A5C" w:rsidRDefault="00790981" w:rsidP="00233E21">
      <w:pPr>
        <w:rPr>
          <w:sz w:val="20"/>
          <w:szCs w:val="20"/>
        </w:rPr>
      </w:pPr>
      <w:r>
        <w:rPr>
          <w:sz w:val="20"/>
          <w:szCs w:val="20"/>
          <w:lang w:val="fr-CA"/>
        </w:rPr>
        <w:pict>
          <v:rect id="_x0000_i1051" style="width:2in;height:1pt" o:hrpct="0" o:hralign="center" o:hrstd="t" o:hrnoshade="t" o:hr="t" fillcolor="black [3213]" stroked="f"/>
        </w:pict>
      </w:r>
    </w:p>
    <w:p w:rsidR="00233E21" w:rsidRDefault="00233E21" w:rsidP="00233E21">
      <w:pPr>
        <w:rPr>
          <w:sz w:val="20"/>
          <w:szCs w:val="20"/>
        </w:rPr>
      </w:pPr>
    </w:p>
    <w:p w:rsidR="00233E21" w:rsidRPr="001B157C" w:rsidRDefault="00233E21" w:rsidP="00233E21">
      <w:pPr>
        <w:rPr>
          <w:sz w:val="20"/>
          <w:szCs w:val="20"/>
          <w:u w:val="single"/>
          <w:lang w:val="fr-CA"/>
        </w:rPr>
      </w:pPr>
      <w:r w:rsidRPr="001B157C">
        <w:rPr>
          <w:sz w:val="20"/>
          <w:szCs w:val="20"/>
          <w:u w:val="single"/>
          <w:lang w:val="fr-CA"/>
        </w:rPr>
        <w:t>RÉSUMÉ DE L’AFFAIRE</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849AF" w:rsidRPr="002B2DB4" w:rsidTr="00B243C4">
        <w:tc>
          <w:tcPr>
            <w:tcW w:w="5000" w:type="pct"/>
            <w:gridSpan w:val="3"/>
          </w:tcPr>
          <w:p w:rsidR="003849AF" w:rsidRPr="00031974" w:rsidRDefault="003849AF" w:rsidP="00B243C4">
            <w:pPr>
              <w:jc w:val="both"/>
              <w:rPr>
                <w:rFonts w:eastAsia="Calibri"/>
                <w:sz w:val="20"/>
                <w:lang w:val="fr-CA"/>
              </w:rPr>
            </w:pPr>
            <w:r w:rsidRPr="00031974">
              <w:rPr>
                <w:rFonts w:eastAsia="Calibri"/>
                <w:sz w:val="20"/>
                <w:lang w:val="fr-CA"/>
              </w:rPr>
              <w:t>Procédure civile – Appel – Permission d’appel refusée par la Cour d’appel – Les tribunaux ont-ils porté atteinte au droit du demandeur à l’assistance d’un avocat?</w:t>
            </w:r>
          </w:p>
        </w:tc>
      </w:tr>
      <w:tr w:rsidR="003849AF" w:rsidRPr="002B2DB4" w:rsidTr="00B243C4">
        <w:tc>
          <w:tcPr>
            <w:tcW w:w="5000" w:type="pct"/>
            <w:gridSpan w:val="3"/>
          </w:tcPr>
          <w:p w:rsidR="003849AF" w:rsidRPr="00031974" w:rsidRDefault="003849AF" w:rsidP="00B243C4">
            <w:pPr>
              <w:jc w:val="both"/>
              <w:rPr>
                <w:rFonts w:eastAsia="Calibri"/>
                <w:sz w:val="20"/>
                <w:lang w:val="fr-CA"/>
              </w:rPr>
            </w:pPr>
          </w:p>
        </w:tc>
      </w:tr>
      <w:tr w:rsidR="003849AF" w:rsidRPr="002B2DB4" w:rsidTr="00B243C4">
        <w:tc>
          <w:tcPr>
            <w:tcW w:w="5000" w:type="pct"/>
            <w:gridSpan w:val="3"/>
          </w:tcPr>
          <w:p w:rsidR="003849AF" w:rsidRPr="00031974" w:rsidRDefault="003849AF" w:rsidP="00B243C4">
            <w:pPr>
              <w:jc w:val="both"/>
              <w:rPr>
                <w:rFonts w:eastAsia="Calibri"/>
                <w:sz w:val="20"/>
                <w:lang w:val="fr-CA"/>
              </w:rPr>
            </w:pPr>
            <w:r w:rsidRPr="00031974">
              <w:rPr>
                <w:rFonts w:eastAsia="Calibri"/>
                <w:sz w:val="20"/>
                <w:lang w:val="fr-CA"/>
              </w:rPr>
              <w:t xml:space="preserve">La municipalité de St-Magloire intente une poursuite en vertu des art. 227 et suivants de la </w:t>
            </w:r>
            <w:r w:rsidRPr="00031974">
              <w:rPr>
                <w:rFonts w:eastAsia="Calibri"/>
                <w:i/>
                <w:sz w:val="20"/>
                <w:lang w:val="fr-CA"/>
              </w:rPr>
              <w:t>Loi sur l’aménagement et l’urbanisme</w:t>
            </w:r>
            <w:r w:rsidRPr="00031974">
              <w:rPr>
                <w:rFonts w:eastAsia="Calibri"/>
                <w:sz w:val="20"/>
                <w:lang w:val="fr-CA"/>
              </w:rPr>
              <w:t>, RLRQ, c. A-19.1, pour faire cesser des travaux de rénovation et d’agrandissement dérogatoires et ordonner la démolition d’une partie de ceux-ci, sur la propriété du demandeur.  La Cour supérieure accueille le recours et la Cour d’appel refuse la permission d’appeler, au motif que l’affaire ne soulève aucune question de principe ou autre devant être soumise à la Cour d’appel.  Selon elle, le demandeur s’en prend pour l’essentiel à l’appréciation de la preuve.  En outre, les allégations du demandeur « sont lacunaires à plusieurs égards et ne soutiennent pas le bien-fondé des conclusions recherchées » (par. 5).</w:t>
            </w:r>
          </w:p>
          <w:p w:rsidR="003849AF" w:rsidRPr="00031974" w:rsidRDefault="003849AF" w:rsidP="00B243C4">
            <w:pPr>
              <w:jc w:val="both"/>
              <w:rPr>
                <w:rFonts w:eastAsia="Calibri"/>
                <w:sz w:val="20"/>
                <w:lang w:val="fr-CA"/>
              </w:rPr>
            </w:pPr>
          </w:p>
        </w:tc>
      </w:tr>
      <w:tr w:rsidR="003849AF" w:rsidRPr="002B2DB4" w:rsidTr="00B243C4">
        <w:tc>
          <w:tcPr>
            <w:tcW w:w="2427" w:type="pct"/>
          </w:tcPr>
          <w:p w:rsidR="003849AF" w:rsidRPr="00031974" w:rsidRDefault="003849AF" w:rsidP="00B243C4">
            <w:pPr>
              <w:jc w:val="both"/>
              <w:rPr>
                <w:rFonts w:eastAsia="Calibri"/>
                <w:sz w:val="20"/>
                <w:lang w:val="fr-CA"/>
              </w:rPr>
            </w:pPr>
            <w:r w:rsidRPr="00031974">
              <w:rPr>
                <w:rFonts w:eastAsia="Calibri"/>
                <w:sz w:val="20"/>
                <w:lang w:val="fr-CA"/>
              </w:rPr>
              <w:t>Le 9 juillet 2013</w:t>
            </w:r>
          </w:p>
          <w:p w:rsidR="003849AF" w:rsidRPr="00031974" w:rsidRDefault="003849AF" w:rsidP="00B243C4">
            <w:pPr>
              <w:jc w:val="both"/>
              <w:rPr>
                <w:rFonts w:eastAsia="Calibri"/>
                <w:sz w:val="20"/>
                <w:lang w:val="fr-CA"/>
              </w:rPr>
            </w:pPr>
            <w:r w:rsidRPr="00031974">
              <w:rPr>
                <w:rFonts w:eastAsia="Calibri"/>
                <w:sz w:val="20"/>
                <w:lang w:val="fr-CA"/>
              </w:rPr>
              <w:t>Cour supérieure du Québec</w:t>
            </w:r>
          </w:p>
          <w:p w:rsidR="003849AF" w:rsidRPr="00031974" w:rsidRDefault="003849AF" w:rsidP="00B243C4">
            <w:pPr>
              <w:jc w:val="both"/>
              <w:rPr>
                <w:rFonts w:eastAsia="Calibri"/>
                <w:sz w:val="20"/>
                <w:lang w:val="fr-CA"/>
              </w:rPr>
            </w:pPr>
            <w:r w:rsidRPr="00031974">
              <w:rPr>
                <w:rFonts w:eastAsia="Calibri"/>
                <w:sz w:val="20"/>
                <w:lang w:val="fr-CA"/>
              </w:rPr>
              <w:t>(La juge La Rosa)</w:t>
            </w:r>
          </w:p>
          <w:p w:rsidR="003849AF" w:rsidRPr="00031974" w:rsidRDefault="00790981" w:rsidP="00B243C4">
            <w:pPr>
              <w:jc w:val="both"/>
              <w:rPr>
                <w:rFonts w:eastAsia="Calibri"/>
                <w:sz w:val="20"/>
                <w:lang w:val="fr-CA"/>
              </w:rPr>
            </w:pPr>
            <w:hyperlink r:id="rId57" w:history="1">
              <w:r w:rsidR="003849AF" w:rsidRPr="00031974">
                <w:rPr>
                  <w:rFonts w:eastAsia="Calibri"/>
                  <w:color w:val="0000FF"/>
                  <w:sz w:val="20"/>
                  <w:u w:val="single"/>
                  <w:lang w:val="fr-FR"/>
                </w:rPr>
                <w:t>2013 QCCS 5037</w:t>
              </w:r>
            </w:hyperlink>
          </w:p>
          <w:p w:rsidR="003849AF" w:rsidRPr="00031974" w:rsidRDefault="003849AF" w:rsidP="00B243C4">
            <w:pPr>
              <w:jc w:val="both"/>
              <w:rPr>
                <w:rFonts w:eastAsia="Calibri"/>
                <w:sz w:val="20"/>
                <w:lang w:val="fr-CA"/>
              </w:rPr>
            </w:pPr>
          </w:p>
        </w:tc>
        <w:tc>
          <w:tcPr>
            <w:tcW w:w="243"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 xml:space="preserve">Recours en vertu de la </w:t>
            </w:r>
            <w:r w:rsidRPr="00031974">
              <w:rPr>
                <w:rFonts w:eastAsia="Calibri"/>
                <w:i/>
                <w:sz w:val="20"/>
                <w:lang w:val="fr-CA"/>
              </w:rPr>
              <w:t>Loi sur l’aménagement et l’urbanisme</w:t>
            </w:r>
            <w:r w:rsidRPr="00031974">
              <w:rPr>
                <w:rFonts w:eastAsia="Calibri"/>
                <w:sz w:val="20"/>
                <w:lang w:val="fr-CA"/>
              </w:rPr>
              <w:t xml:space="preserve"> accueilli</w:t>
            </w:r>
          </w:p>
          <w:p w:rsidR="003849AF" w:rsidRPr="00031974" w:rsidRDefault="003849AF" w:rsidP="00B243C4">
            <w:pPr>
              <w:jc w:val="both"/>
              <w:rPr>
                <w:rFonts w:eastAsia="Calibri"/>
                <w:sz w:val="20"/>
                <w:lang w:val="fr-CA"/>
              </w:rPr>
            </w:pPr>
          </w:p>
        </w:tc>
      </w:tr>
      <w:tr w:rsidR="003849AF" w:rsidRPr="002B2DB4" w:rsidTr="00B243C4">
        <w:tc>
          <w:tcPr>
            <w:tcW w:w="2427" w:type="pct"/>
          </w:tcPr>
          <w:p w:rsidR="003849AF" w:rsidRPr="00031974" w:rsidRDefault="003849AF" w:rsidP="00B243C4">
            <w:pPr>
              <w:jc w:val="both"/>
              <w:rPr>
                <w:rFonts w:eastAsia="Calibri"/>
                <w:sz w:val="20"/>
                <w:lang w:val="fr-CA"/>
              </w:rPr>
            </w:pPr>
            <w:r w:rsidRPr="00031974">
              <w:rPr>
                <w:rFonts w:eastAsia="Calibri"/>
                <w:sz w:val="20"/>
                <w:lang w:val="fr-CA"/>
              </w:rPr>
              <w:t>Le 6 août 2014</w:t>
            </w:r>
          </w:p>
          <w:p w:rsidR="003849AF" w:rsidRPr="00031974" w:rsidRDefault="003849AF" w:rsidP="00B243C4">
            <w:pPr>
              <w:jc w:val="both"/>
              <w:rPr>
                <w:rFonts w:eastAsia="Calibri"/>
                <w:sz w:val="20"/>
                <w:lang w:val="fr-CA"/>
              </w:rPr>
            </w:pPr>
            <w:r w:rsidRPr="00031974">
              <w:rPr>
                <w:rFonts w:eastAsia="Calibri"/>
                <w:sz w:val="20"/>
                <w:lang w:val="fr-CA"/>
              </w:rPr>
              <w:t>Cour d’appel du Québec (Québec)</w:t>
            </w:r>
          </w:p>
          <w:p w:rsidR="003849AF" w:rsidRPr="00031974" w:rsidRDefault="003849AF" w:rsidP="00B243C4">
            <w:pPr>
              <w:jc w:val="both"/>
              <w:rPr>
                <w:rFonts w:eastAsia="Calibri"/>
                <w:sz w:val="20"/>
                <w:lang w:val="fr-CA"/>
              </w:rPr>
            </w:pPr>
            <w:r w:rsidRPr="00031974">
              <w:rPr>
                <w:rFonts w:eastAsia="Calibri"/>
                <w:sz w:val="20"/>
                <w:lang w:val="fr-CA"/>
              </w:rPr>
              <w:t>(Les juges Gagnon, Bouchard et Gagnon)</w:t>
            </w:r>
          </w:p>
          <w:p w:rsidR="003849AF" w:rsidRPr="00031974" w:rsidRDefault="00790981" w:rsidP="00B243C4">
            <w:pPr>
              <w:jc w:val="both"/>
              <w:rPr>
                <w:rFonts w:eastAsia="Calibri"/>
                <w:sz w:val="20"/>
                <w:lang w:val="fr-CA"/>
              </w:rPr>
            </w:pPr>
            <w:hyperlink r:id="rId58" w:history="1">
              <w:r w:rsidR="003849AF" w:rsidRPr="00031974">
                <w:rPr>
                  <w:rFonts w:eastAsia="Calibri"/>
                  <w:color w:val="0000FF"/>
                  <w:sz w:val="20"/>
                  <w:u w:val="single"/>
                  <w:lang w:val="fr-FR"/>
                </w:rPr>
                <w:t>2014 QCCA 1500</w:t>
              </w:r>
            </w:hyperlink>
            <w:r w:rsidR="003849AF" w:rsidRPr="00031974">
              <w:rPr>
                <w:rFonts w:eastAsia="Calibri"/>
                <w:sz w:val="20"/>
                <w:lang w:val="fr-CA"/>
              </w:rPr>
              <w:t>; 200-09-008106-137</w:t>
            </w:r>
          </w:p>
          <w:p w:rsidR="003849AF" w:rsidRPr="00031974" w:rsidRDefault="003849AF" w:rsidP="00B243C4">
            <w:pPr>
              <w:jc w:val="both"/>
              <w:rPr>
                <w:rFonts w:eastAsia="Calibri"/>
                <w:sz w:val="20"/>
                <w:lang w:val="fr-CA"/>
              </w:rPr>
            </w:pPr>
          </w:p>
        </w:tc>
        <w:tc>
          <w:tcPr>
            <w:tcW w:w="243"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Requête pour permission d’appeler rejetée</w:t>
            </w:r>
          </w:p>
        </w:tc>
      </w:tr>
      <w:tr w:rsidR="003849AF" w:rsidRPr="00031974" w:rsidTr="00B243C4">
        <w:tc>
          <w:tcPr>
            <w:tcW w:w="2427" w:type="pct"/>
          </w:tcPr>
          <w:p w:rsidR="003849AF" w:rsidRPr="00031974" w:rsidRDefault="003849AF" w:rsidP="00B243C4">
            <w:pPr>
              <w:jc w:val="both"/>
              <w:rPr>
                <w:rFonts w:eastAsia="Calibri"/>
                <w:sz w:val="20"/>
                <w:lang w:val="fr-CA"/>
              </w:rPr>
            </w:pPr>
            <w:r w:rsidRPr="00031974">
              <w:rPr>
                <w:rFonts w:eastAsia="Calibri"/>
                <w:sz w:val="20"/>
                <w:lang w:val="fr-CA"/>
              </w:rPr>
              <w:lastRenderedPageBreak/>
              <w:t>Le 29 septembre 2014</w:t>
            </w:r>
          </w:p>
          <w:p w:rsidR="003849AF" w:rsidRPr="00031974" w:rsidRDefault="003849AF" w:rsidP="00B243C4">
            <w:pPr>
              <w:jc w:val="both"/>
              <w:rPr>
                <w:rFonts w:eastAsia="Calibri"/>
                <w:sz w:val="20"/>
                <w:lang w:val="fr-CA"/>
              </w:rPr>
            </w:pPr>
            <w:r w:rsidRPr="00031974">
              <w:rPr>
                <w:rFonts w:eastAsia="Calibri"/>
                <w:sz w:val="20"/>
                <w:lang w:val="fr-CA"/>
              </w:rPr>
              <w:t>Cour suprême du Canada</w:t>
            </w:r>
          </w:p>
        </w:tc>
        <w:tc>
          <w:tcPr>
            <w:tcW w:w="243"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Demande d'autorisation d'appel déposée</w:t>
            </w:r>
          </w:p>
          <w:p w:rsidR="003849AF" w:rsidRPr="00031974" w:rsidRDefault="003849AF" w:rsidP="00B243C4">
            <w:pPr>
              <w:jc w:val="both"/>
              <w:rPr>
                <w:rFonts w:eastAsia="Calibri"/>
                <w:sz w:val="20"/>
                <w:lang w:val="fr-CA"/>
              </w:rPr>
            </w:pPr>
          </w:p>
        </w:tc>
      </w:tr>
    </w:tbl>
    <w:p w:rsidR="00233E21" w:rsidRDefault="00233E21" w:rsidP="00233E21">
      <w:pPr>
        <w:rPr>
          <w:sz w:val="20"/>
          <w:szCs w:val="20"/>
        </w:rPr>
      </w:pPr>
    </w:p>
    <w:p w:rsidR="00233E21" w:rsidRDefault="00790981" w:rsidP="00233E21">
      <w:pPr>
        <w:rPr>
          <w:sz w:val="20"/>
          <w:szCs w:val="20"/>
          <w:lang w:val="fr-CA"/>
        </w:rPr>
      </w:pPr>
      <w:r>
        <w:rPr>
          <w:sz w:val="20"/>
          <w:szCs w:val="20"/>
          <w:lang w:val="fr-CA"/>
        </w:rPr>
        <w:pict>
          <v:rect id="_x0000_i1052" style="width:2in;height:1pt" o:hrpct="0" o:hralign="center" o:hrstd="t" o:hrnoshade="t" o:hr="t" fillcolor="black [3213]" stroked="f"/>
        </w:pict>
      </w:r>
    </w:p>
    <w:p w:rsidR="00233E21" w:rsidRDefault="00233E21" w:rsidP="00233E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2F08" w:rsidRPr="002B2DB4" w:rsidTr="002F3DF0">
        <w:trPr>
          <w:cantSplit/>
        </w:trPr>
        <w:tc>
          <w:tcPr>
            <w:tcW w:w="1458" w:type="dxa"/>
          </w:tcPr>
          <w:p w:rsidR="00BD2F08" w:rsidRPr="00C417EA" w:rsidRDefault="00BD2F08" w:rsidP="002F3DF0">
            <w:pPr>
              <w:rPr>
                <w:sz w:val="20"/>
                <w:szCs w:val="20"/>
              </w:rPr>
            </w:pPr>
            <w:r w:rsidRPr="00C417EA">
              <w:rPr>
                <w:rStyle w:val="SCCFileNumberChar"/>
                <w:sz w:val="20"/>
                <w:szCs w:val="20"/>
              </w:rPr>
              <w:t>36247</w:t>
            </w:r>
          </w:p>
          <w:p w:rsidR="00BD2F08" w:rsidRPr="00C417EA" w:rsidRDefault="00BD2F08" w:rsidP="002F3DF0">
            <w:pPr>
              <w:rPr>
                <w:b/>
                <w:sz w:val="20"/>
                <w:szCs w:val="20"/>
                <w:lang w:val="fr-CA"/>
              </w:rPr>
            </w:pPr>
          </w:p>
        </w:tc>
        <w:tc>
          <w:tcPr>
            <w:tcW w:w="8118" w:type="dxa"/>
          </w:tcPr>
          <w:p w:rsidR="00BD2F08" w:rsidRPr="00C417EA" w:rsidRDefault="00BD2F08" w:rsidP="002F3DF0">
            <w:pPr>
              <w:rPr>
                <w:sz w:val="20"/>
                <w:szCs w:val="20"/>
                <w:lang w:val="fr-CA"/>
              </w:rPr>
            </w:pPr>
            <w:r w:rsidRPr="00C417EA">
              <w:rPr>
                <w:rStyle w:val="SCCLsocChar"/>
                <w:sz w:val="20"/>
                <w:szCs w:val="20"/>
              </w:rPr>
              <w:t>Roch Laflamme c. Municipalité de St-Magloire</w:t>
            </w:r>
            <w:r w:rsidRPr="00C417EA">
              <w:rPr>
                <w:sz w:val="20"/>
                <w:szCs w:val="20"/>
                <w:lang w:val="fr-CA"/>
              </w:rPr>
              <w:t xml:space="preserve"> (Qc) (Civile) (Autorisation)</w:t>
            </w:r>
          </w:p>
          <w:p w:rsidR="00BD2F08" w:rsidRPr="00C417EA" w:rsidRDefault="00BD2F08" w:rsidP="002F3DF0">
            <w:pPr>
              <w:rPr>
                <w:sz w:val="20"/>
                <w:szCs w:val="20"/>
                <w:lang w:val="fr-CA"/>
              </w:rPr>
            </w:pPr>
          </w:p>
        </w:tc>
      </w:tr>
      <w:tr w:rsidR="00BD2F08" w:rsidRPr="002B2DB4" w:rsidTr="002F3DF0">
        <w:trPr>
          <w:cantSplit/>
        </w:trPr>
        <w:tc>
          <w:tcPr>
            <w:tcW w:w="1458" w:type="dxa"/>
          </w:tcPr>
          <w:p w:rsidR="00BD2F08" w:rsidRPr="00C417EA" w:rsidRDefault="00BD2F08" w:rsidP="002F3DF0">
            <w:pPr>
              <w:rPr>
                <w:sz w:val="20"/>
                <w:szCs w:val="20"/>
              </w:rPr>
            </w:pPr>
            <w:r w:rsidRPr="00C417EA">
              <w:rPr>
                <w:sz w:val="20"/>
                <w:szCs w:val="20"/>
              </w:rPr>
              <w:t>Coram :</w:t>
            </w:r>
          </w:p>
        </w:tc>
        <w:tc>
          <w:tcPr>
            <w:tcW w:w="8118" w:type="dxa"/>
          </w:tcPr>
          <w:p w:rsidR="00BD2F08" w:rsidRPr="00C417EA" w:rsidRDefault="00BD2F08" w:rsidP="002F3DF0">
            <w:pPr>
              <w:rPr>
                <w:sz w:val="20"/>
                <w:szCs w:val="20"/>
                <w:lang w:val="fr-CA"/>
              </w:rPr>
            </w:pPr>
            <w:r w:rsidRPr="00C417EA">
              <w:rPr>
                <w:rStyle w:val="SCCCoramChar"/>
                <w:sz w:val="20"/>
                <w:szCs w:val="20"/>
              </w:rPr>
              <w:t>Les juges Abella, Karakatsanis et Côté</w:t>
            </w:r>
          </w:p>
          <w:p w:rsidR="00BD2F08" w:rsidRPr="00C417EA" w:rsidRDefault="00BD2F08" w:rsidP="002F3DF0">
            <w:pPr>
              <w:rPr>
                <w:sz w:val="20"/>
                <w:szCs w:val="20"/>
                <w:u w:val="single"/>
                <w:lang w:val="fr-CA"/>
              </w:rPr>
            </w:pPr>
          </w:p>
        </w:tc>
      </w:tr>
      <w:tr w:rsidR="00BD2F08" w:rsidRPr="00C417EA" w:rsidTr="002F3DF0">
        <w:trPr>
          <w:cantSplit/>
        </w:trPr>
        <w:tc>
          <w:tcPr>
            <w:tcW w:w="9576" w:type="dxa"/>
            <w:gridSpan w:val="2"/>
          </w:tcPr>
          <w:p w:rsidR="00BD2F08" w:rsidRPr="00C417EA" w:rsidRDefault="00BD2F08" w:rsidP="002F3DF0">
            <w:pPr>
              <w:pStyle w:val="SCCShortJudgment"/>
              <w:rPr>
                <w:szCs w:val="20"/>
                <w:lang w:val="fr-CA"/>
              </w:rPr>
            </w:pPr>
            <w:r w:rsidRPr="00C417EA">
              <w:rPr>
                <w:szCs w:val="20"/>
                <w:lang w:val="fr-CA"/>
              </w:rPr>
              <w:t>La demande d’autorisation d’appel de l’arrêt de la Cour d’appel du Québec (Québec), numéro 200-09-008701-143, 2014 QCCA 1499, daté du 6 août 2014, est rejetée.</w:t>
            </w:r>
          </w:p>
          <w:p w:rsidR="00BD2F08" w:rsidRPr="00C417EA" w:rsidRDefault="00BD2F08" w:rsidP="002F3DF0">
            <w:pPr>
              <w:pStyle w:val="SCCShortJudgment"/>
              <w:ind w:firstLine="0"/>
              <w:rPr>
                <w:szCs w:val="20"/>
                <w:lang w:val="fr-CA"/>
              </w:rPr>
            </w:pPr>
          </w:p>
          <w:p w:rsidR="00BD2F08" w:rsidRPr="00C417EA" w:rsidRDefault="00BD2F08" w:rsidP="002F3DF0">
            <w:pPr>
              <w:pStyle w:val="SCCShortJudgment"/>
              <w:rPr>
                <w:szCs w:val="20"/>
              </w:rPr>
            </w:pPr>
            <w:r w:rsidRPr="00C417EA">
              <w:rPr>
                <w:szCs w:val="20"/>
              </w:rPr>
              <w:t>The application for leave to appeal from the judgment of the Court of Appeal of Quebec (Québec), Number 200-09-008701-143, 2014 QCCA 1499, dated August 6, 2014, is dismissed.</w:t>
            </w:r>
          </w:p>
        </w:tc>
      </w:tr>
    </w:tbl>
    <w:p w:rsidR="00233E21" w:rsidRDefault="00233E21" w:rsidP="00233E21">
      <w:pPr>
        <w:rPr>
          <w:sz w:val="20"/>
          <w:szCs w:val="20"/>
        </w:rPr>
      </w:pPr>
    </w:p>
    <w:p w:rsidR="00233E21" w:rsidRPr="001B157C" w:rsidRDefault="00233E21" w:rsidP="00233E21">
      <w:pPr>
        <w:rPr>
          <w:sz w:val="20"/>
          <w:szCs w:val="20"/>
          <w:u w:val="single"/>
        </w:rPr>
      </w:pPr>
      <w:r w:rsidRPr="001B157C">
        <w:rPr>
          <w:sz w:val="20"/>
          <w:szCs w:val="20"/>
          <w:u w:val="single"/>
        </w:rPr>
        <w:t>CASE SUMMARY</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849AF" w:rsidRPr="00031974" w:rsidTr="00B243C4">
        <w:tc>
          <w:tcPr>
            <w:tcW w:w="5000" w:type="pct"/>
            <w:gridSpan w:val="3"/>
          </w:tcPr>
          <w:p w:rsidR="003849AF" w:rsidRPr="00031974" w:rsidRDefault="003849AF" w:rsidP="00B243C4">
            <w:pPr>
              <w:jc w:val="both"/>
              <w:rPr>
                <w:rFonts w:eastAsia="Calibri"/>
                <w:sz w:val="20"/>
              </w:rPr>
            </w:pPr>
            <w:r w:rsidRPr="00031974">
              <w:rPr>
                <w:rFonts w:eastAsia="Calibri"/>
                <w:sz w:val="20"/>
              </w:rPr>
              <w:t>Civil procedure – Appeal – Court of Appeal refusing leave to appeal – Whether courts infringed applicant’s right to counsel.</w:t>
            </w:r>
          </w:p>
        </w:tc>
      </w:tr>
      <w:tr w:rsidR="003849AF" w:rsidRPr="00031974" w:rsidTr="00B243C4">
        <w:tc>
          <w:tcPr>
            <w:tcW w:w="5000" w:type="pct"/>
            <w:gridSpan w:val="3"/>
          </w:tcPr>
          <w:p w:rsidR="003849AF" w:rsidRPr="00031974" w:rsidRDefault="003849AF" w:rsidP="00B243C4">
            <w:pPr>
              <w:jc w:val="both"/>
              <w:rPr>
                <w:rFonts w:eastAsia="Calibri"/>
                <w:sz w:val="20"/>
              </w:rPr>
            </w:pPr>
          </w:p>
        </w:tc>
      </w:tr>
      <w:tr w:rsidR="003849AF" w:rsidRPr="00031974" w:rsidTr="00B243C4">
        <w:tc>
          <w:tcPr>
            <w:tcW w:w="5000" w:type="pct"/>
            <w:gridSpan w:val="3"/>
          </w:tcPr>
          <w:p w:rsidR="003849AF" w:rsidRPr="00031974" w:rsidRDefault="003849AF" w:rsidP="00B243C4">
            <w:pPr>
              <w:jc w:val="both"/>
              <w:rPr>
                <w:rFonts w:eastAsia="Calibri"/>
                <w:sz w:val="20"/>
              </w:rPr>
            </w:pPr>
            <w:r w:rsidRPr="00031974">
              <w:rPr>
                <w:rFonts w:eastAsia="Calibri"/>
                <w:sz w:val="20"/>
              </w:rPr>
              <w:t>Through a motion, the municipality of St-Magloire had the applicant and his spouse declared to be quarrelsome litigants.  The Court of Appeal dismissed the motion for leave to appeal, finding that it raised no arguments against the declaration of quarrelsome conduct.  The applicant alleged nothing that raised a specific ground of appeal and [</w:t>
            </w:r>
            <w:r w:rsidRPr="00031974">
              <w:rPr>
                <w:rFonts w:eastAsia="Calibri"/>
                <w:smallCaps/>
                <w:sz w:val="20"/>
              </w:rPr>
              <w:t>translation</w:t>
            </w:r>
            <w:r w:rsidRPr="00031974">
              <w:rPr>
                <w:rFonts w:eastAsia="Calibri"/>
                <w:sz w:val="20"/>
              </w:rPr>
              <w:t>] “is not alleging any palpable and overriding error that could justify the Court’s intervention” (para. 3).</w:t>
            </w:r>
          </w:p>
          <w:p w:rsidR="003849AF" w:rsidRPr="00031974" w:rsidRDefault="003849AF" w:rsidP="00B243C4">
            <w:pPr>
              <w:jc w:val="both"/>
              <w:rPr>
                <w:rFonts w:eastAsia="Calibri"/>
                <w:sz w:val="20"/>
              </w:rPr>
            </w:pPr>
          </w:p>
        </w:tc>
      </w:tr>
      <w:tr w:rsidR="003849AF" w:rsidRPr="00031974" w:rsidTr="00B243C4">
        <w:tc>
          <w:tcPr>
            <w:tcW w:w="2427" w:type="pct"/>
          </w:tcPr>
          <w:p w:rsidR="003849AF" w:rsidRPr="00031974" w:rsidRDefault="003849AF" w:rsidP="00B243C4">
            <w:pPr>
              <w:jc w:val="both"/>
              <w:rPr>
                <w:rFonts w:eastAsia="Calibri"/>
                <w:sz w:val="20"/>
              </w:rPr>
            </w:pPr>
            <w:r w:rsidRPr="00031974">
              <w:rPr>
                <w:rFonts w:eastAsia="Calibri"/>
                <w:sz w:val="20"/>
              </w:rPr>
              <w:t>June 3, 2014</w:t>
            </w:r>
          </w:p>
          <w:p w:rsidR="003849AF" w:rsidRPr="00031974" w:rsidRDefault="003849AF" w:rsidP="00B243C4">
            <w:pPr>
              <w:jc w:val="both"/>
              <w:rPr>
                <w:rFonts w:eastAsia="Calibri"/>
                <w:sz w:val="20"/>
              </w:rPr>
            </w:pPr>
            <w:r w:rsidRPr="00031974">
              <w:rPr>
                <w:rFonts w:eastAsia="Calibri"/>
                <w:sz w:val="20"/>
              </w:rPr>
              <w:t>Quebec Superior Court</w:t>
            </w:r>
          </w:p>
          <w:p w:rsidR="003849AF" w:rsidRPr="00031974" w:rsidRDefault="003849AF" w:rsidP="00B243C4">
            <w:pPr>
              <w:jc w:val="both"/>
              <w:rPr>
                <w:rFonts w:eastAsia="Calibri"/>
                <w:sz w:val="20"/>
              </w:rPr>
            </w:pPr>
            <w:r w:rsidRPr="00031974">
              <w:rPr>
                <w:rFonts w:eastAsia="Calibri"/>
                <w:sz w:val="20"/>
              </w:rPr>
              <w:t>(Dufresne J.)</w:t>
            </w:r>
          </w:p>
          <w:p w:rsidR="003849AF" w:rsidRPr="00031974" w:rsidRDefault="00790981" w:rsidP="00B243C4">
            <w:pPr>
              <w:jc w:val="both"/>
              <w:rPr>
                <w:rFonts w:eastAsia="Calibri"/>
                <w:sz w:val="20"/>
              </w:rPr>
            </w:pPr>
            <w:hyperlink r:id="rId59" w:history="1">
              <w:r w:rsidR="003849AF" w:rsidRPr="00031974">
                <w:rPr>
                  <w:rFonts w:eastAsia="Calibri"/>
                  <w:color w:val="0000FF"/>
                  <w:sz w:val="20"/>
                  <w:u w:val="single"/>
                </w:rPr>
                <w:t>2014 QCCS 3403</w:t>
              </w:r>
            </w:hyperlink>
          </w:p>
          <w:p w:rsidR="003849AF" w:rsidRPr="00031974" w:rsidRDefault="003849AF" w:rsidP="00B243C4">
            <w:pPr>
              <w:tabs>
                <w:tab w:val="left" w:pos="1335"/>
              </w:tabs>
              <w:jc w:val="both"/>
              <w:rPr>
                <w:rFonts w:eastAsia="Calibri"/>
                <w:sz w:val="20"/>
              </w:rPr>
            </w:pPr>
          </w:p>
        </w:tc>
        <w:tc>
          <w:tcPr>
            <w:tcW w:w="243"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Motion to have applicant declared quarrelsome allowed</w:t>
            </w:r>
          </w:p>
        </w:tc>
      </w:tr>
      <w:tr w:rsidR="003849AF" w:rsidRPr="00031974" w:rsidTr="00B243C4">
        <w:tc>
          <w:tcPr>
            <w:tcW w:w="2427" w:type="pct"/>
          </w:tcPr>
          <w:p w:rsidR="003849AF" w:rsidRPr="00031974" w:rsidRDefault="003849AF" w:rsidP="00B243C4">
            <w:pPr>
              <w:jc w:val="both"/>
              <w:rPr>
                <w:rFonts w:eastAsia="Calibri"/>
                <w:sz w:val="20"/>
              </w:rPr>
            </w:pPr>
            <w:r w:rsidRPr="00031974">
              <w:rPr>
                <w:rFonts w:eastAsia="Calibri"/>
                <w:sz w:val="20"/>
              </w:rPr>
              <w:t>August 6, 2014</w:t>
            </w:r>
          </w:p>
          <w:p w:rsidR="003849AF" w:rsidRPr="00031974" w:rsidRDefault="003849AF" w:rsidP="00B243C4">
            <w:pPr>
              <w:jc w:val="both"/>
              <w:rPr>
                <w:rFonts w:eastAsia="Calibri"/>
                <w:sz w:val="20"/>
              </w:rPr>
            </w:pPr>
            <w:r w:rsidRPr="00031974">
              <w:rPr>
                <w:rFonts w:eastAsia="Calibri"/>
                <w:sz w:val="20"/>
              </w:rPr>
              <w:t>Quebec Court of Appeal (Québec)</w:t>
            </w:r>
          </w:p>
          <w:p w:rsidR="003849AF" w:rsidRPr="00031974" w:rsidRDefault="003849AF" w:rsidP="00B243C4">
            <w:pPr>
              <w:jc w:val="both"/>
              <w:rPr>
                <w:rFonts w:eastAsia="Calibri"/>
                <w:sz w:val="20"/>
                <w:lang w:val="fr-CA"/>
              </w:rPr>
            </w:pPr>
            <w:r w:rsidRPr="00031974">
              <w:rPr>
                <w:rFonts w:eastAsia="Calibri"/>
                <w:sz w:val="20"/>
                <w:lang w:val="fr-CA"/>
              </w:rPr>
              <w:t>(Gagnon, Bouchard and Gagnon JJ.A.)</w:t>
            </w:r>
          </w:p>
          <w:p w:rsidR="003849AF" w:rsidRPr="00031974" w:rsidRDefault="00790981" w:rsidP="00B243C4">
            <w:pPr>
              <w:jc w:val="both"/>
              <w:rPr>
                <w:rFonts w:eastAsia="Calibri"/>
                <w:sz w:val="20"/>
              </w:rPr>
            </w:pPr>
            <w:hyperlink r:id="rId60" w:history="1">
              <w:r w:rsidR="003849AF" w:rsidRPr="00031974">
                <w:rPr>
                  <w:rFonts w:eastAsia="Calibri"/>
                  <w:color w:val="0000FF"/>
                  <w:sz w:val="20"/>
                  <w:u w:val="single"/>
                </w:rPr>
                <w:t>2014 QCCA 1499</w:t>
              </w:r>
            </w:hyperlink>
            <w:r w:rsidR="003849AF" w:rsidRPr="00031974">
              <w:rPr>
                <w:rFonts w:eastAsia="Calibri"/>
                <w:sz w:val="20"/>
              </w:rPr>
              <w:t>; 200-09-008701-143</w:t>
            </w:r>
          </w:p>
          <w:p w:rsidR="003849AF" w:rsidRPr="00031974" w:rsidRDefault="003849AF" w:rsidP="00B243C4">
            <w:pPr>
              <w:jc w:val="both"/>
              <w:rPr>
                <w:rFonts w:eastAsia="Calibri"/>
                <w:sz w:val="20"/>
              </w:rPr>
            </w:pPr>
          </w:p>
        </w:tc>
        <w:tc>
          <w:tcPr>
            <w:tcW w:w="243"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Motion for leave to appeal dismissed</w:t>
            </w:r>
          </w:p>
          <w:p w:rsidR="003849AF" w:rsidRPr="00031974" w:rsidRDefault="003849AF" w:rsidP="00B243C4">
            <w:pPr>
              <w:jc w:val="both"/>
              <w:rPr>
                <w:rFonts w:eastAsia="Calibri"/>
                <w:sz w:val="20"/>
              </w:rPr>
            </w:pPr>
          </w:p>
        </w:tc>
      </w:tr>
      <w:tr w:rsidR="003849AF" w:rsidRPr="00031974" w:rsidTr="00B243C4">
        <w:tc>
          <w:tcPr>
            <w:tcW w:w="2427" w:type="pct"/>
          </w:tcPr>
          <w:p w:rsidR="003849AF" w:rsidRPr="00031974" w:rsidRDefault="003849AF" w:rsidP="00B243C4">
            <w:pPr>
              <w:jc w:val="both"/>
              <w:rPr>
                <w:rFonts w:eastAsia="Calibri"/>
                <w:sz w:val="20"/>
              </w:rPr>
            </w:pPr>
            <w:r w:rsidRPr="00031974">
              <w:rPr>
                <w:rFonts w:eastAsia="Calibri"/>
                <w:sz w:val="20"/>
              </w:rPr>
              <w:t>September 29, 2014</w:t>
            </w:r>
          </w:p>
          <w:p w:rsidR="003849AF" w:rsidRPr="00031974" w:rsidRDefault="003849AF" w:rsidP="00B243C4">
            <w:pPr>
              <w:jc w:val="both"/>
              <w:rPr>
                <w:rFonts w:eastAsia="Calibri"/>
                <w:sz w:val="20"/>
              </w:rPr>
            </w:pPr>
            <w:r w:rsidRPr="00031974">
              <w:rPr>
                <w:rFonts w:eastAsia="Calibri"/>
                <w:sz w:val="20"/>
              </w:rPr>
              <w:t>Supreme Court of Canada</w:t>
            </w:r>
          </w:p>
        </w:tc>
        <w:tc>
          <w:tcPr>
            <w:tcW w:w="243"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Application for leave to appeal filed</w:t>
            </w:r>
          </w:p>
          <w:p w:rsidR="003849AF" w:rsidRPr="00031974" w:rsidRDefault="003849AF" w:rsidP="00B243C4">
            <w:pPr>
              <w:jc w:val="both"/>
              <w:rPr>
                <w:rFonts w:eastAsia="Calibri"/>
                <w:sz w:val="20"/>
              </w:rPr>
            </w:pPr>
          </w:p>
        </w:tc>
      </w:tr>
    </w:tbl>
    <w:p w:rsidR="00233E21" w:rsidRDefault="00233E21" w:rsidP="00233E21">
      <w:pPr>
        <w:rPr>
          <w:sz w:val="20"/>
          <w:szCs w:val="20"/>
        </w:rPr>
      </w:pPr>
    </w:p>
    <w:p w:rsidR="00233E21" w:rsidRPr="00C50A5C" w:rsidRDefault="00790981" w:rsidP="00233E21">
      <w:pPr>
        <w:rPr>
          <w:sz w:val="20"/>
          <w:szCs w:val="20"/>
        </w:rPr>
      </w:pPr>
      <w:r>
        <w:rPr>
          <w:sz w:val="20"/>
          <w:szCs w:val="20"/>
          <w:lang w:val="fr-CA"/>
        </w:rPr>
        <w:pict>
          <v:rect id="_x0000_i1053" style="width:2in;height:1pt" o:hrpct="0" o:hralign="center" o:hrstd="t" o:hrnoshade="t" o:hr="t" fillcolor="black [3213]" stroked="f"/>
        </w:pict>
      </w:r>
    </w:p>
    <w:p w:rsidR="00233E21" w:rsidRDefault="00233E21" w:rsidP="00233E21">
      <w:pPr>
        <w:rPr>
          <w:sz w:val="20"/>
          <w:szCs w:val="20"/>
        </w:rPr>
      </w:pPr>
    </w:p>
    <w:p w:rsidR="00233E21" w:rsidRPr="001B157C" w:rsidRDefault="00233E21" w:rsidP="00233E21">
      <w:pPr>
        <w:rPr>
          <w:sz w:val="20"/>
          <w:szCs w:val="20"/>
          <w:u w:val="single"/>
          <w:lang w:val="fr-CA"/>
        </w:rPr>
      </w:pPr>
      <w:r w:rsidRPr="001B157C">
        <w:rPr>
          <w:sz w:val="20"/>
          <w:szCs w:val="20"/>
          <w:u w:val="single"/>
          <w:lang w:val="fr-CA"/>
        </w:rPr>
        <w:t>RÉSUMÉ DE L’AFFAIRE</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849AF" w:rsidRPr="002B2DB4" w:rsidTr="00B243C4">
        <w:tc>
          <w:tcPr>
            <w:tcW w:w="5000" w:type="pct"/>
            <w:gridSpan w:val="3"/>
          </w:tcPr>
          <w:p w:rsidR="003849AF" w:rsidRPr="00031974" w:rsidRDefault="003849AF" w:rsidP="00B243C4">
            <w:pPr>
              <w:jc w:val="both"/>
              <w:rPr>
                <w:rFonts w:eastAsia="Calibri"/>
                <w:sz w:val="20"/>
                <w:lang w:val="fr-CA"/>
              </w:rPr>
            </w:pPr>
            <w:r w:rsidRPr="00031974">
              <w:rPr>
                <w:rFonts w:eastAsia="Calibri"/>
                <w:sz w:val="20"/>
                <w:lang w:val="fr-CA"/>
              </w:rPr>
              <w:t>Procédure civile – Appel – Permission d’appel refusée par la Cour d’appel – Les tribunaux ont-ils porté atteinte au droit du demandeur à l’assistance d’un avocat?</w:t>
            </w:r>
          </w:p>
        </w:tc>
      </w:tr>
      <w:tr w:rsidR="003849AF" w:rsidRPr="002B2DB4" w:rsidTr="00B243C4">
        <w:tc>
          <w:tcPr>
            <w:tcW w:w="5000" w:type="pct"/>
            <w:gridSpan w:val="3"/>
          </w:tcPr>
          <w:p w:rsidR="003849AF" w:rsidRPr="00031974" w:rsidRDefault="003849AF" w:rsidP="00B243C4">
            <w:pPr>
              <w:jc w:val="both"/>
              <w:rPr>
                <w:rFonts w:eastAsia="Calibri"/>
                <w:sz w:val="20"/>
                <w:lang w:val="fr-CA"/>
              </w:rPr>
            </w:pPr>
          </w:p>
        </w:tc>
      </w:tr>
      <w:tr w:rsidR="003849AF" w:rsidRPr="002B2DB4" w:rsidTr="00B243C4">
        <w:tc>
          <w:tcPr>
            <w:tcW w:w="5000" w:type="pct"/>
            <w:gridSpan w:val="3"/>
          </w:tcPr>
          <w:p w:rsidR="003849AF" w:rsidRPr="00031974" w:rsidRDefault="003849AF" w:rsidP="00B243C4">
            <w:pPr>
              <w:jc w:val="both"/>
              <w:rPr>
                <w:rFonts w:eastAsia="Calibri"/>
                <w:sz w:val="20"/>
                <w:lang w:val="fr-CA"/>
              </w:rPr>
            </w:pPr>
            <w:r w:rsidRPr="00031974">
              <w:rPr>
                <w:rFonts w:eastAsia="Calibri"/>
                <w:sz w:val="20"/>
                <w:lang w:val="fr-CA"/>
              </w:rPr>
              <w:t xml:space="preserve">Au moyen d’une requête, la Municipalité de St-Magloire fait déclarer le demandeur et sa conjointe plaideurs quérulents.  La Cour d’appel rejette la requête pour permission d’appeler, étant d’avis que la requête n’avance aucun </w:t>
            </w:r>
            <w:r w:rsidRPr="00031974">
              <w:rPr>
                <w:rFonts w:eastAsia="Calibri"/>
                <w:sz w:val="20"/>
                <w:lang w:val="fr-CA"/>
              </w:rPr>
              <w:lastRenderedPageBreak/>
              <w:t>argument à l’encontre de la déclaration de quérulence.  Le demandeur n’allègue rien qui soulève un motif d’appel précis et « n’avance aucune erreur manifeste et dominante susceptible de justifier l’intervention de la Cour » (par. 3).</w:t>
            </w:r>
          </w:p>
          <w:p w:rsidR="003849AF" w:rsidRPr="00031974" w:rsidRDefault="003849AF" w:rsidP="00B243C4">
            <w:pPr>
              <w:jc w:val="both"/>
              <w:rPr>
                <w:rFonts w:eastAsia="Calibri"/>
                <w:sz w:val="20"/>
                <w:lang w:val="fr-CA"/>
              </w:rPr>
            </w:pPr>
          </w:p>
        </w:tc>
      </w:tr>
      <w:tr w:rsidR="003849AF" w:rsidRPr="002B2DB4" w:rsidTr="00B243C4">
        <w:tc>
          <w:tcPr>
            <w:tcW w:w="2427" w:type="pct"/>
          </w:tcPr>
          <w:p w:rsidR="003849AF" w:rsidRPr="00031974" w:rsidRDefault="003849AF" w:rsidP="00B243C4">
            <w:pPr>
              <w:jc w:val="both"/>
              <w:rPr>
                <w:rFonts w:eastAsia="Calibri"/>
                <w:sz w:val="20"/>
                <w:lang w:val="fr-CA"/>
              </w:rPr>
            </w:pPr>
            <w:r w:rsidRPr="00031974">
              <w:rPr>
                <w:rFonts w:eastAsia="Calibri"/>
                <w:sz w:val="20"/>
                <w:lang w:val="fr-CA"/>
              </w:rPr>
              <w:lastRenderedPageBreak/>
              <w:t>Le 3 juin 2014</w:t>
            </w:r>
          </w:p>
          <w:p w:rsidR="003849AF" w:rsidRPr="00031974" w:rsidRDefault="003849AF" w:rsidP="00B243C4">
            <w:pPr>
              <w:jc w:val="both"/>
              <w:rPr>
                <w:rFonts w:eastAsia="Calibri"/>
                <w:sz w:val="20"/>
                <w:lang w:val="fr-CA"/>
              </w:rPr>
            </w:pPr>
            <w:r w:rsidRPr="00031974">
              <w:rPr>
                <w:rFonts w:eastAsia="Calibri"/>
                <w:sz w:val="20"/>
                <w:lang w:val="fr-CA"/>
              </w:rPr>
              <w:t>Cour supérieure du Québec</w:t>
            </w:r>
          </w:p>
          <w:p w:rsidR="003849AF" w:rsidRPr="00031974" w:rsidRDefault="003849AF" w:rsidP="00B243C4">
            <w:pPr>
              <w:jc w:val="both"/>
              <w:rPr>
                <w:rFonts w:eastAsia="Calibri"/>
                <w:sz w:val="20"/>
                <w:lang w:val="fr-CA"/>
              </w:rPr>
            </w:pPr>
            <w:r w:rsidRPr="00031974">
              <w:rPr>
                <w:rFonts w:eastAsia="Calibri"/>
                <w:sz w:val="20"/>
                <w:lang w:val="fr-CA"/>
              </w:rPr>
              <w:t>(Le juge Dufresne)</w:t>
            </w:r>
          </w:p>
          <w:p w:rsidR="003849AF" w:rsidRPr="00031974" w:rsidRDefault="00790981" w:rsidP="00B243C4">
            <w:pPr>
              <w:jc w:val="both"/>
              <w:rPr>
                <w:rFonts w:eastAsia="Calibri"/>
                <w:sz w:val="20"/>
                <w:lang w:val="fr-CA"/>
              </w:rPr>
            </w:pPr>
            <w:hyperlink r:id="rId61" w:history="1">
              <w:r w:rsidR="003849AF" w:rsidRPr="00031974">
                <w:rPr>
                  <w:rFonts w:eastAsia="Calibri"/>
                  <w:color w:val="0000FF"/>
                  <w:sz w:val="20"/>
                  <w:u w:val="single"/>
                  <w:lang w:val="fr-FR"/>
                </w:rPr>
                <w:t>2014 QCCS 3403</w:t>
              </w:r>
            </w:hyperlink>
          </w:p>
          <w:p w:rsidR="003849AF" w:rsidRPr="00031974" w:rsidRDefault="003849AF" w:rsidP="00B243C4">
            <w:pPr>
              <w:tabs>
                <w:tab w:val="left" w:pos="1335"/>
              </w:tabs>
              <w:jc w:val="both"/>
              <w:rPr>
                <w:rFonts w:eastAsia="Calibri"/>
                <w:sz w:val="20"/>
                <w:lang w:val="fr-CA"/>
              </w:rPr>
            </w:pPr>
          </w:p>
        </w:tc>
        <w:tc>
          <w:tcPr>
            <w:tcW w:w="243"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Requête visant à faire déclarer le demandeur quérulent accueillie</w:t>
            </w:r>
          </w:p>
        </w:tc>
      </w:tr>
      <w:tr w:rsidR="003849AF" w:rsidRPr="00031974" w:rsidTr="00B243C4">
        <w:tc>
          <w:tcPr>
            <w:tcW w:w="2427" w:type="pct"/>
          </w:tcPr>
          <w:p w:rsidR="003849AF" w:rsidRPr="00031974" w:rsidRDefault="003849AF" w:rsidP="00B243C4">
            <w:pPr>
              <w:jc w:val="both"/>
              <w:rPr>
                <w:rFonts w:eastAsia="Calibri"/>
                <w:sz w:val="20"/>
                <w:lang w:val="fr-CA"/>
              </w:rPr>
            </w:pPr>
            <w:r w:rsidRPr="00031974">
              <w:rPr>
                <w:rFonts w:eastAsia="Calibri"/>
                <w:sz w:val="20"/>
                <w:lang w:val="fr-CA"/>
              </w:rPr>
              <w:t>Le 6 août 2014</w:t>
            </w:r>
          </w:p>
          <w:p w:rsidR="003849AF" w:rsidRPr="00031974" w:rsidRDefault="003849AF" w:rsidP="00B243C4">
            <w:pPr>
              <w:jc w:val="both"/>
              <w:rPr>
                <w:rFonts w:eastAsia="Calibri"/>
                <w:sz w:val="20"/>
                <w:lang w:val="fr-CA"/>
              </w:rPr>
            </w:pPr>
            <w:r w:rsidRPr="00031974">
              <w:rPr>
                <w:rFonts w:eastAsia="Calibri"/>
                <w:sz w:val="20"/>
                <w:lang w:val="fr-CA"/>
              </w:rPr>
              <w:t>Cour d’appel du Québec (Québec)</w:t>
            </w:r>
          </w:p>
          <w:p w:rsidR="003849AF" w:rsidRPr="00031974" w:rsidRDefault="003849AF" w:rsidP="00B243C4">
            <w:pPr>
              <w:jc w:val="both"/>
              <w:rPr>
                <w:rFonts w:eastAsia="Calibri"/>
                <w:sz w:val="20"/>
                <w:lang w:val="fr-CA"/>
              </w:rPr>
            </w:pPr>
            <w:r w:rsidRPr="00031974">
              <w:rPr>
                <w:rFonts w:eastAsia="Calibri"/>
                <w:sz w:val="20"/>
                <w:lang w:val="fr-CA"/>
              </w:rPr>
              <w:t>(Les juges Gagnon, Bouchard et Gagnon)</w:t>
            </w:r>
          </w:p>
          <w:p w:rsidR="003849AF" w:rsidRPr="00031974" w:rsidRDefault="00790981" w:rsidP="00B243C4">
            <w:pPr>
              <w:jc w:val="both"/>
              <w:rPr>
                <w:rFonts w:eastAsia="Calibri"/>
                <w:sz w:val="20"/>
                <w:lang w:val="fr-CA"/>
              </w:rPr>
            </w:pPr>
            <w:hyperlink r:id="rId62" w:history="1">
              <w:r w:rsidR="003849AF" w:rsidRPr="00031974">
                <w:rPr>
                  <w:rFonts w:eastAsia="Calibri"/>
                  <w:color w:val="0000FF"/>
                  <w:sz w:val="20"/>
                  <w:u w:val="single"/>
                  <w:lang w:val="fr-FR"/>
                </w:rPr>
                <w:t>2014 QCCA 1499</w:t>
              </w:r>
            </w:hyperlink>
            <w:r w:rsidR="003849AF" w:rsidRPr="00031974">
              <w:rPr>
                <w:rFonts w:eastAsia="Calibri"/>
                <w:sz w:val="20"/>
                <w:lang w:val="fr-CA"/>
              </w:rPr>
              <w:t>; 200-09-008701-143</w:t>
            </w:r>
          </w:p>
          <w:p w:rsidR="003849AF" w:rsidRPr="00031974" w:rsidRDefault="003849AF" w:rsidP="00B243C4">
            <w:pPr>
              <w:jc w:val="both"/>
              <w:rPr>
                <w:rFonts w:eastAsia="Calibri"/>
                <w:sz w:val="20"/>
                <w:lang w:val="fr-CA"/>
              </w:rPr>
            </w:pPr>
          </w:p>
        </w:tc>
        <w:tc>
          <w:tcPr>
            <w:tcW w:w="243"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Requête pour permission d’appeler rejetée</w:t>
            </w:r>
          </w:p>
          <w:p w:rsidR="003849AF" w:rsidRPr="00031974" w:rsidRDefault="003849AF" w:rsidP="00B243C4">
            <w:pPr>
              <w:jc w:val="both"/>
              <w:rPr>
                <w:rFonts w:eastAsia="Calibri"/>
                <w:sz w:val="20"/>
                <w:lang w:val="fr-CA"/>
              </w:rPr>
            </w:pPr>
          </w:p>
        </w:tc>
      </w:tr>
      <w:tr w:rsidR="003849AF" w:rsidRPr="00031974" w:rsidTr="00B243C4">
        <w:tc>
          <w:tcPr>
            <w:tcW w:w="2427" w:type="pct"/>
          </w:tcPr>
          <w:p w:rsidR="003849AF" w:rsidRPr="00031974" w:rsidRDefault="003849AF" w:rsidP="00B243C4">
            <w:pPr>
              <w:jc w:val="both"/>
              <w:rPr>
                <w:rFonts w:eastAsia="Calibri"/>
                <w:sz w:val="20"/>
                <w:lang w:val="fr-CA"/>
              </w:rPr>
            </w:pPr>
            <w:r w:rsidRPr="00031974">
              <w:rPr>
                <w:rFonts w:eastAsia="Calibri"/>
                <w:sz w:val="20"/>
                <w:lang w:val="fr-CA"/>
              </w:rPr>
              <w:t>Le 29 septembre 2014</w:t>
            </w:r>
          </w:p>
          <w:p w:rsidR="003849AF" w:rsidRPr="00031974" w:rsidRDefault="003849AF" w:rsidP="00B243C4">
            <w:pPr>
              <w:jc w:val="both"/>
              <w:rPr>
                <w:rFonts w:eastAsia="Calibri"/>
                <w:sz w:val="20"/>
                <w:lang w:val="fr-CA"/>
              </w:rPr>
            </w:pPr>
            <w:r w:rsidRPr="00031974">
              <w:rPr>
                <w:rFonts w:eastAsia="Calibri"/>
                <w:sz w:val="20"/>
                <w:lang w:val="fr-CA"/>
              </w:rPr>
              <w:t>Cour suprême du Canada</w:t>
            </w:r>
          </w:p>
        </w:tc>
        <w:tc>
          <w:tcPr>
            <w:tcW w:w="243"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Demande d'autorisation d'appel déposée</w:t>
            </w:r>
          </w:p>
          <w:p w:rsidR="003849AF" w:rsidRPr="00031974" w:rsidRDefault="003849AF" w:rsidP="00B243C4">
            <w:pPr>
              <w:jc w:val="both"/>
              <w:rPr>
                <w:rFonts w:eastAsia="Calibri"/>
                <w:sz w:val="20"/>
                <w:lang w:val="fr-CA"/>
              </w:rPr>
            </w:pPr>
          </w:p>
        </w:tc>
      </w:tr>
    </w:tbl>
    <w:p w:rsidR="00233E21" w:rsidRDefault="00233E21" w:rsidP="00233E21">
      <w:pPr>
        <w:rPr>
          <w:sz w:val="20"/>
          <w:szCs w:val="20"/>
        </w:rPr>
      </w:pPr>
    </w:p>
    <w:p w:rsidR="00233E21" w:rsidRDefault="00790981" w:rsidP="00233E21">
      <w:pPr>
        <w:rPr>
          <w:sz w:val="20"/>
          <w:szCs w:val="20"/>
          <w:lang w:val="fr-CA"/>
        </w:rPr>
      </w:pPr>
      <w:r>
        <w:rPr>
          <w:sz w:val="20"/>
          <w:szCs w:val="20"/>
          <w:lang w:val="fr-CA"/>
        </w:rPr>
        <w:pict>
          <v:rect id="_x0000_i1054" style="width:2in;height:1pt" o:hrpct="0" o:hralign="center" o:hrstd="t" o:hrnoshade="t" o:hr="t" fillcolor="black [3213]" stroked="f"/>
        </w:pict>
      </w:r>
    </w:p>
    <w:p w:rsidR="00233E21" w:rsidRDefault="00233E21" w:rsidP="00233E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2F08" w:rsidRPr="00C417EA" w:rsidTr="002F3DF0">
        <w:trPr>
          <w:cantSplit/>
        </w:trPr>
        <w:tc>
          <w:tcPr>
            <w:tcW w:w="1458" w:type="dxa"/>
          </w:tcPr>
          <w:p w:rsidR="00BD2F08" w:rsidRPr="00C417EA" w:rsidRDefault="00BD2F08" w:rsidP="002F3DF0">
            <w:pPr>
              <w:rPr>
                <w:sz w:val="20"/>
                <w:szCs w:val="20"/>
              </w:rPr>
            </w:pPr>
            <w:r w:rsidRPr="00C417EA">
              <w:rPr>
                <w:rStyle w:val="SCCFileNumberChar"/>
                <w:sz w:val="20"/>
                <w:szCs w:val="20"/>
              </w:rPr>
              <w:t>36249</w:t>
            </w:r>
          </w:p>
          <w:p w:rsidR="00BD2F08" w:rsidRPr="00C417EA" w:rsidRDefault="00BD2F08" w:rsidP="002F3DF0">
            <w:pPr>
              <w:rPr>
                <w:b/>
                <w:sz w:val="20"/>
                <w:szCs w:val="20"/>
                <w:lang w:val="fr-CA"/>
              </w:rPr>
            </w:pPr>
          </w:p>
        </w:tc>
        <w:tc>
          <w:tcPr>
            <w:tcW w:w="8118" w:type="dxa"/>
          </w:tcPr>
          <w:p w:rsidR="00BD2F08" w:rsidRPr="00C417EA" w:rsidRDefault="00BD2F08" w:rsidP="002F3DF0">
            <w:pPr>
              <w:jc w:val="both"/>
              <w:rPr>
                <w:sz w:val="20"/>
                <w:szCs w:val="20"/>
              </w:rPr>
            </w:pPr>
            <w:r w:rsidRPr="00C417EA">
              <w:rPr>
                <w:rStyle w:val="SCCLsocChar"/>
                <w:sz w:val="20"/>
                <w:szCs w:val="20"/>
                <w:lang w:val="en-CA"/>
              </w:rPr>
              <w:t>Anthony Coote v. Sandra Theroulde, Hugette Thomson, Pauline Labelle, John Kromkamp, Kim Willis, Carol Dipiero, Kathy Barrett, Marilyn Gamble</w:t>
            </w:r>
            <w:r w:rsidR="003A2557">
              <w:rPr>
                <w:rStyle w:val="SCCLsocChar"/>
                <w:sz w:val="20"/>
                <w:szCs w:val="20"/>
                <w:lang w:val="en-CA"/>
              </w:rPr>
              <w:t xml:space="preserve"> and</w:t>
            </w:r>
            <w:r w:rsidRPr="00C417EA">
              <w:rPr>
                <w:rStyle w:val="SCCLsocChar"/>
                <w:sz w:val="20"/>
                <w:szCs w:val="20"/>
                <w:lang w:val="en-CA"/>
              </w:rPr>
              <w:t xml:space="preserve"> Jeremy Glick AND BETWEEN Anthony Coote v. Roger Bilodeau Q.C., Nadia Loreti, Micheline Alam, Barbara Kincaid, Mary McFadyen</w:t>
            </w:r>
            <w:r w:rsidR="003A2557">
              <w:rPr>
                <w:rStyle w:val="SCCLsocChar"/>
                <w:sz w:val="20"/>
                <w:szCs w:val="20"/>
                <w:lang w:val="en-CA"/>
              </w:rPr>
              <w:t xml:space="preserve"> and</w:t>
            </w:r>
            <w:r w:rsidRPr="00C417EA">
              <w:rPr>
                <w:rStyle w:val="SCCLsocChar"/>
                <w:sz w:val="20"/>
                <w:szCs w:val="20"/>
                <w:lang w:val="en-CA"/>
              </w:rPr>
              <w:t xml:space="preserve"> Janice E. Cheney AND BETWEEN Anthony Coote v. Lawyers</w:t>
            </w:r>
            <w:r w:rsidR="003A2557">
              <w:rPr>
                <w:rStyle w:val="SCCLsocChar"/>
                <w:sz w:val="20"/>
                <w:szCs w:val="20"/>
                <w:lang w:val="en-CA"/>
              </w:rPr>
              <w:t>’</w:t>
            </w:r>
            <w:r w:rsidRPr="00C417EA">
              <w:rPr>
                <w:rStyle w:val="SCCLsocChar"/>
                <w:sz w:val="20"/>
                <w:szCs w:val="20"/>
                <w:lang w:val="en-CA"/>
              </w:rPr>
              <w:t xml:space="preserve"> Professional Indemnity Company (LAWPRO)</w:t>
            </w:r>
            <w:r w:rsidR="003A2557">
              <w:rPr>
                <w:rStyle w:val="SCCLsocChar"/>
                <w:sz w:val="20"/>
                <w:szCs w:val="20"/>
                <w:lang w:val="en-CA"/>
              </w:rPr>
              <w:t>,</w:t>
            </w:r>
            <w:r w:rsidRPr="00C417EA">
              <w:rPr>
                <w:rStyle w:val="SCCLsocChar"/>
                <w:sz w:val="20"/>
                <w:szCs w:val="20"/>
                <w:lang w:val="en-CA"/>
              </w:rPr>
              <w:t xml:space="preserve"> et al.</w:t>
            </w:r>
            <w:r w:rsidRPr="00C417EA">
              <w:rPr>
                <w:sz w:val="20"/>
                <w:szCs w:val="20"/>
              </w:rPr>
              <w:t xml:space="preserve"> (F</w:t>
            </w:r>
            <w:r>
              <w:rPr>
                <w:szCs w:val="20"/>
              </w:rPr>
              <w:t>.</w:t>
            </w:r>
            <w:r w:rsidRPr="00C417EA">
              <w:rPr>
                <w:sz w:val="20"/>
                <w:szCs w:val="20"/>
              </w:rPr>
              <w:t>C</w:t>
            </w:r>
            <w:r>
              <w:rPr>
                <w:szCs w:val="20"/>
              </w:rPr>
              <w:t>.</w:t>
            </w:r>
            <w:r w:rsidRPr="00C417EA">
              <w:rPr>
                <w:sz w:val="20"/>
                <w:szCs w:val="20"/>
              </w:rPr>
              <w:t>) (Civil) (By Leave)</w:t>
            </w:r>
          </w:p>
          <w:p w:rsidR="00BD2F08" w:rsidRPr="00C417EA" w:rsidRDefault="00BD2F08" w:rsidP="002F3DF0">
            <w:pPr>
              <w:jc w:val="both"/>
              <w:rPr>
                <w:sz w:val="20"/>
                <w:szCs w:val="20"/>
              </w:rPr>
            </w:pPr>
          </w:p>
        </w:tc>
      </w:tr>
      <w:tr w:rsidR="00BD2F08" w:rsidRPr="00C417EA" w:rsidTr="002F3DF0">
        <w:trPr>
          <w:cantSplit/>
        </w:trPr>
        <w:tc>
          <w:tcPr>
            <w:tcW w:w="1458" w:type="dxa"/>
          </w:tcPr>
          <w:p w:rsidR="00BD2F08" w:rsidRPr="00C417EA" w:rsidRDefault="00BD2F08" w:rsidP="002F3DF0">
            <w:pPr>
              <w:rPr>
                <w:sz w:val="20"/>
                <w:szCs w:val="20"/>
              </w:rPr>
            </w:pPr>
            <w:r w:rsidRPr="00C417EA">
              <w:rPr>
                <w:sz w:val="20"/>
                <w:szCs w:val="20"/>
              </w:rPr>
              <w:t>Coram :</w:t>
            </w:r>
          </w:p>
        </w:tc>
        <w:tc>
          <w:tcPr>
            <w:tcW w:w="8118" w:type="dxa"/>
          </w:tcPr>
          <w:p w:rsidR="00BD2F08" w:rsidRPr="00C417EA" w:rsidRDefault="00BD2F08" w:rsidP="002F3DF0">
            <w:pPr>
              <w:rPr>
                <w:sz w:val="20"/>
                <w:szCs w:val="20"/>
              </w:rPr>
            </w:pPr>
            <w:r w:rsidRPr="00C417EA">
              <w:rPr>
                <w:rStyle w:val="SCCCoramChar"/>
                <w:sz w:val="20"/>
                <w:szCs w:val="20"/>
                <w:lang w:val="en-CA"/>
              </w:rPr>
              <w:t>Rothstein, Cromwell and Moldaver JJ.</w:t>
            </w:r>
          </w:p>
          <w:p w:rsidR="00BD2F08" w:rsidRPr="00C417EA" w:rsidRDefault="00BD2F08" w:rsidP="002F3DF0">
            <w:pPr>
              <w:rPr>
                <w:sz w:val="20"/>
                <w:szCs w:val="20"/>
                <w:u w:val="single"/>
              </w:rPr>
            </w:pPr>
          </w:p>
        </w:tc>
      </w:tr>
      <w:tr w:rsidR="00BD2F08" w:rsidRPr="002B2DB4" w:rsidTr="002F3DF0">
        <w:trPr>
          <w:cantSplit/>
        </w:trPr>
        <w:tc>
          <w:tcPr>
            <w:tcW w:w="9576" w:type="dxa"/>
            <w:gridSpan w:val="2"/>
          </w:tcPr>
          <w:p w:rsidR="00BD2F08" w:rsidRPr="00C417EA" w:rsidRDefault="00BD2F08" w:rsidP="002F3DF0">
            <w:pPr>
              <w:pStyle w:val="SCCShortJudgment"/>
              <w:rPr>
                <w:szCs w:val="20"/>
              </w:rPr>
            </w:pPr>
            <w:r w:rsidRPr="00C417EA">
              <w:rPr>
                <w:szCs w:val="20"/>
              </w:rPr>
              <w:t>The application for leave to appeal from the judgment of the Federal Court of Appeal, Numbers A-465-12, A-466-12 and A-467-12, dated October 29, 2014, is dismissed with costs to the respondents Lawyers’ Professional Indemnity Company (LAWPRO), Sandra Theroulde, Huguette Thomson, Pauline Labelle, John Kromkamp, Kim Willis, Carol Dipiero, Kathy Barrett, Marilyn Gamble and Jeremy Glick.</w:t>
            </w:r>
          </w:p>
          <w:p w:rsidR="00BD2F08" w:rsidRPr="00C417EA" w:rsidRDefault="00BD2F08" w:rsidP="002F3DF0">
            <w:pPr>
              <w:pStyle w:val="SCCShortJudgment"/>
              <w:ind w:firstLine="0"/>
              <w:rPr>
                <w:szCs w:val="20"/>
              </w:rPr>
            </w:pPr>
          </w:p>
          <w:p w:rsidR="00BD2F08" w:rsidRPr="00C417EA" w:rsidRDefault="00BD2F08" w:rsidP="002F3DF0">
            <w:pPr>
              <w:pStyle w:val="SCCShortJudgment"/>
              <w:rPr>
                <w:szCs w:val="20"/>
                <w:lang w:val="fr-CA"/>
              </w:rPr>
            </w:pPr>
            <w:r w:rsidRPr="00C417EA">
              <w:rPr>
                <w:szCs w:val="20"/>
                <w:lang w:val="fr-CA"/>
              </w:rPr>
              <w:t>La demande d’autorisation d’appel de l’arrêt de la Cour d’appel fédérale, numéros A-465-12, A-466-12 et A-467-12, daté du 29 octobre 2014, est rejetée avec dépens aux intimés Assurance LAWPRO, Sandra Theroulde, Huguette Thomson, Pauline Labelle, John Kromkamp, Kim Willis, Carol Dipiero, Kathy Barrett, Marilyn Gamble et Jeremy Glick.</w:t>
            </w:r>
          </w:p>
        </w:tc>
      </w:tr>
    </w:tbl>
    <w:p w:rsidR="00233E21" w:rsidRPr="00BD2F08" w:rsidRDefault="00233E21" w:rsidP="00233E21">
      <w:pPr>
        <w:rPr>
          <w:sz w:val="20"/>
          <w:szCs w:val="20"/>
          <w:lang w:val="fr-CA"/>
        </w:rPr>
      </w:pPr>
    </w:p>
    <w:p w:rsidR="00233E21" w:rsidRPr="001B157C" w:rsidRDefault="00233E21" w:rsidP="00233E21">
      <w:pPr>
        <w:rPr>
          <w:sz w:val="20"/>
          <w:szCs w:val="20"/>
          <w:u w:val="single"/>
        </w:rPr>
      </w:pPr>
      <w:r w:rsidRPr="001B157C">
        <w:rPr>
          <w:sz w:val="20"/>
          <w:szCs w:val="20"/>
          <w:u w:val="single"/>
        </w:rPr>
        <w:t>CASE SUMMARY</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807"/>
        <w:gridCol w:w="280"/>
        <w:gridCol w:w="4440"/>
      </w:tblGrid>
      <w:tr w:rsidR="003849AF" w:rsidRPr="00031974" w:rsidTr="00B243C4">
        <w:tc>
          <w:tcPr>
            <w:tcW w:w="5000" w:type="pct"/>
            <w:gridSpan w:val="3"/>
          </w:tcPr>
          <w:p w:rsidR="003849AF" w:rsidRPr="00031974" w:rsidRDefault="003849AF" w:rsidP="00B243C4">
            <w:pPr>
              <w:jc w:val="both"/>
              <w:rPr>
                <w:rFonts w:eastAsia="Calibri"/>
                <w:sz w:val="20"/>
              </w:rPr>
            </w:pPr>
            <w:r w:rsidRPr="00031974">
              <w:rPr>
                <w:rFonts w:eastAsia="Calibri"/>
                <w:sz w:val="20"/>
              </w:rPr>
              <w:t>Civil procedure – Motion to strike applicant’s statement of claim – Applicant declared vexatious litigant while appeal pending – Applicant required to seek leave of court in order to continue legal proceedings – Court of Appeal holding that applicant had failed to demonstrate reasonable grounds for which appeal should be allowed to proceed – Whether Court of Appeal erred in law in denying applicant’s request to continue appeal?</w:t>
            </w:r>
          </w:p>
        </w:tc>
      </w:tr>
      <w:tr w:rsidR="003849AF" w:rsidRPr="00031974" w:rsidTr="00B243C4">
        <w:tc>
          <w:tcPr>
            <w:tcW w:w="5000" w:type="pct"/>
            <w:gridSpan w:val="3"/>
          </w:tcPr>
          <w:p w:rsidR="003849AF" w:rsidRPr="00031974" w:rsidRDefault="003849AF" w:rsidP="00B243C4">
            <w:pPr>
              <w:jc w:val="both"/>
              <w:rPr>
                <w:rFonts w:eastAsia="Calibri"/>
                <w:sz w:val="20"/>
              </w:rPr>
            </w:pPr>
          </w:p>
        </w:tc>
      </w:tr>
      <w:tr w:rsidR="003849AF" w:rsidRPr="00031974" w:rsidTr="00B243C4">
        <w:tc>
          <w:tcPr>
            <w:tcW w:w="5000" w:type="pct"/>
            <w:gridSpan w:val="3"/>
          </w:tcPr>
          <w:p w:rsidR="003849AF" w:rsidRPr="00031974" w:rsidRDefault="003849AF" w:rsidP="00B243C4">
            <w:pPr>
              <w:jc w:val="both"/>
              <w:rPr>
                <w:rFonts w:eastAsia="Calibri"/>
                <w:sz w:val="20"/>
              </w:rPr>
            </w:pPr>
            <w:r w:rsidRPr="00031974">
              <w:rPr>
                <w:rFonts w:eastAsia="Calibri"/>
                <w:sz w:val="20"/>
              </w:rPr>
              <w:t xml:space="preserve">The applicant’s son was the subject of proceedings taken under the </w:t>
            </w:r>
            <w:r w:rsidRPr="00031974">
              <w:rPr>
                <w:rFonts w:eastAsia="Calibri"/>
                <w:i/>
                <w:sz w:val="20"/>
              </w:rPr>
              <w:t>Immigration and Refugee Protection Act</w:t>
            </w:r>
            <w:r w:rsidRPr="00031974">
              <w:rPr>
                <w:rFonts w:eastAsia="Calibri"/>
                <w:sz w:val="20"/>
              </w:rPr>
              <w:t xml:space="preserve">, S.C. 2001, c. 27.  Several legal proceedings were brought by the applicant against various parties who were involved, in one manner or another, in those immigration proceedings and subsequent appeals. The respondents included the Lawyers’ Professional Indemnity Company (LAWPRO), as well as counsel, registrars, and various other employees of the Court of Appeal for Ontario, the Ontario Superior Court of Justice and the Supreme Court of Canada. </w:t>
            </w:r>
          </w:p>
          <w:p w:rsidR="003849AF" w:rsidRPr="00031974" w:rsidRDefault="003849AF" w:rsidP="00B243C4">
            <w:pPr>
              <w:jc w:val="both"/>
              <w:rPr>
                <w:rFonts w:eastAsia="Calibri"/>
                <w:sz w:val="20"/>
              </w:rPr>
            </w:pPr>
          </w:p>
          <w:p w:rsidR="003849AF" w:rsidRPr="00031974" w:rsidRDefault="003849AF" w:rsidP="00B243C4">
            <w:pPr>
              <w:jc w:val="both"/>
              <w:rPr>
                <w:rFonts w:eastAsia="Calibri"/>
                <w:sz w:val="20"/>
              </w:rPr>
            </w:pPr>
            <w:r w:rsidRPr="00031974">
              <w:rPr>
                <w:rFonts w:eastAsia="Calibri"/>
                <w:sz w:val="20"/>
              </w:rPr>
              <w:t xml:space="preserve">The various respondents sought to have the statements of claim filed against them struck out.  They were successful.  </w:t>
            </w:r>
            <w:r w:rsidRPr="00031974">
              <w:rPr>
                <w:rFonts w:eastAsia="Calibri"/>
                <w:sz w:val="20"/>
              </w:rPr>
              <w:lastRenderedPageBreak/>
              <w:t>While the applicant’s appeal was pending, he was declared a vexatious litigant by the Federal Court and was prohibited from continuing his appeal without obtaining leave to do so.</w:t>
            </w:r>
          </w:p>
          <w:p w:rsidR="003849AF" w:rsidRPr="00031974" w:rsidRDefault="003849AF" w:rsidP="00B243C4">
            <w:pPr>
              <w:jc w:val="both"/>
              <w:rPr>
                <w:rFonts w:eastAsia="Calibri"/>
                <w:sz w:val="20"/>
              </w:rPr>
            </w:pPr>
          </w:p>
        </w:tc>
      </w:tr>
      <w:tr w:rsidR="003849AF" w:rsidRPr="00031974" w:rsidTr="00B243C4">
        <w:tc>
          <w:tcPr>
            <w:tcW w:w="2523" w:type="pct"/>
          </w:tcPr>
          <w:p w:rsidR="003849AF" w:rsidRPr="00031974" w:rsidRDefault="003849AF" w:rsidP="00B243C4">
            <w:pPr>
              <w:jc w:val="both"/>
              <w:rPr>
                <w:rFonts w:eastAsia="Calibri"/>
                <w:sz w:val="20"/>
              </w:rPr>
            </w:pPr>
            <w:r w:rsidRPr="00031974">
              <w:rPr>
                <w:rFonts w:eastAsia="Calibri"/>
                <w:sz w:val="20"/>
              </w:rPr>
              <w:lastRenderedPageBreak/>
              <w:t>August 21, 2012</w:t>
            </w:r>
          </w:p>
          <w:p w:rsidR="003849AF" w:rsidRPr="00031974" w:rsidRDefault="003849AF" w:rsidP="00B243C4">
            <w:pPr>
              <w:jc w:val="both"/>
              <w:rPr>
                <w:rFonts w:eastAsia="Calibri"/>
                <w:sz w:val="20"/>
              </w:rPr>
            </w:pPr>
            <w:r w:rsidRPr="00031974">
              <w:rPr>
                <w:rFonts w:eastAsia="Calibri"/>
                <w:sz w:val="20"/>
              </w:rPr>
              <w:t>Federal Court</w:t>
            </w:r>
          </w:p>
          <w:p w:rsidR="003849AF" w:rsidRPr="00031974" w:rsidRDefault="003849AF" w:rsidP="00B243C4">
            <w:pPr>
              <w:jc w:val="both"/>
              <w:rPr>
                <w:rFonts w:eastAsia="Calibri"/>
                <w:sz w:val="20"/>
              </w:rPr>
            </w:pPr>
            <w:r w:rsidRPr="00031974">
              <w:rPr>
                <w:rFonts w:eastAsia="Calibri"/>
                <w:sz w:val="20"/>
              </w:rPr>
              <w:t>(Gagné J.)</w:t>
            </w:r>
          </w:p>
          <w:p w:rsidR="003849AF" w:rsidRPr="00031974" w:rsidRDefault="003849AF" w:rsidP="00B243C4">
            <w:pPr>
              <w:jc w:val="both"/>
              <w:rPr>
                <w:rFonts w:eastAsia="Calibri"/>
                <w:sz w:val="20"/>
              </w:rPr>
            </w:pPr>
            <w:r w:rsidRPr="00031974">
              <w:rPr>
                <w:rFonts w:eastAsia="Calibri"/>
                <w:sz w:val="20"/>
              </w:rPr>
              <w:t>Docket No. T-1083-12</w:t>
            </w:r>
          </w:p>
          <w:p w:rsidR="003849AF" w:rsidRPr="00031974" w:rsidRDefault="003849AF" w:rsidP="00B243C4">
            <w:pPr>
              <w:jc w:val="both"/>
              <w:rPr>
                <w:rFonts w:eastAsia="Calibri"/>
                <w:sz w:val="20"/>
              </w:rPr>
            </w:pPr>
          </w:p>
        </w:tc>
        <w:tc>
          <w:tcPr>
            <w:tcW w:w="147"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Orders striking out applicant’s statement of claim against (i) LAWPRO, (ii) Sandra Theroulde, Hugette Thomson, Pauline Labelle, John Kromkamp, Kim Willis, Carol DiPiero, Kathy Barrett, Marilyn Gamble and Jeremy Glick, and (iii) Roger Bilodeau Q.C., Nadia Loreti, Micheline Alam, Barbara Kincaid, Mary McFadyen and Janice E. Cheney, without leave to amend.</w:t>
            </w:r>
          </w:p>
          <w:p w:rsidR="003849AF" w:rsidRPr="00031974" w:rsidRDefault="003849AF" w:rsidP="00B243C4">
            <w:pPr>
              <w:jc w:val="both"/>
              <w:rPr>
                <w:rFonts w:eastAsia="Calibri"/>
                <w:sz w:val="20"/>
              </w:rPr>
            </w:pPr>
          </w:p>
        </w:tc>
      </w:tr>
      <w:tr w:rsidR="003849AF" w:rsidRPr="00031974" w:rsidTr="00B243C4">
        <w:tc>
          <w:tcPr>
            <w:tcW w:w="2523" w:type="pct"/>
          </w:tcPr>
          <w:p w:rsidR="003849AF" w:rsidRPr="00031974" w:rsidRDefault="003849AF" w:rsidP="00B243C4">
            <w:pPr>
              <w:jc w:val="both"/>
              <w:rPr>
                <w:rFonts w:eastAsia="Calibri"/>
                <w:sz w:val="20"/>
              </w:rPr>
            </w:pPr>
            <w:r w:rsidRPr="00031974">
              <w:rPr>
                <w:rFonts w:eastAsia="Calibri"/>
                <w:sz w:val="20"/>
              </w:rPr>
              <w:t>October 30, 2012</w:t>
            </w:r>
          </w:p>
          <w:p w:rsidR="003849AF" w:rsidRPr="00031974" w:rsidRDefault="003849AF" w:rsidP="00B243C4">
            <w:pPr>
              <w:jc w:val="both"/>
              <w:rPr>
                <w:rFonts w:eastAsia="Calibri"/>
                <w:sz w:val="20"/>
              </w:rPr>
            </w:pPr>
            <w:r w:rsidRPr="00031974">
              <w:rPr>
                <w:rFonts w:eastAsia="Calibri"/>
                <w:sz w:val="20"/>
              </w:rPr>
              <w:t xml:space="preserve">Federal Court </w:t>
            </w:r>
          </w:p>
          <w:p w:rsidR="003849AF" w:rsidRPr="00031974" w:rsidRDefault="003849AF" w:rsidP="00B243C4">
            <w:pPr>
              <w:jc w:val="both"/>
              <w:rPr>
                <w:rFonts w:eastAsia="Calibri"/>
                <w:sz w:val="20"/>
              </w:rPr>
            </w:pPr>
            <w:r w:rsidRPr="00031974">
              <w:rPr>
                <w:rFonts w:eastAsia="Calibri"/>
                <w:sz w:val="20"/>
              </w:rPr>
              <w:t>(Gagné J.)</w:t>
            </w:r>
          </w:p>
          <w:p w:rsidR="003849AF" w:rsidRPr="00031974" w:rsidRDefault="003849AF" w:rsidP="00B243C4">
            <w:pPr>
              <w:jc w:val="both"/>
              <w:rPr>
                <w:rFonts w:eastAsia="Calibri"/>
                <w:sz w:val="20"/>
              </w:rPr>
            </w:pPr>
            <w:r w:rsidRPr="00031974">
              <w:rPr>
                <w:rFonts w:eastAsia="Calibri"/>
                <w:sz w:val="20"/>
              </w:rPr>
              <w:t>Docket No. T-1083-12</w:t>
            </w:r>
          </w:p>
          <w:p w:rsidR="003849AF" w:rsidRPr="00031974" w:rsidRDefault="003849AF" w:rsidP="00B243C4">
            <w:pPr>
              <w:jc w:val="both"/>
              <w:rPr>
                <w:rFonts w:eastAsia="Calibri"/>
                <w:sz w:val="20"/>
              </w:rPr>
            </w:pPr>
          </w:p>
        </w:tc>
        <w:tc>
          <w:tcPr>
            <w:tcW w:w="147"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Motion for reconsideration dismissed.</w:t>
            </w:r>
          </w:p>
        </w:tc>
      </w:tr>
      <w:tr w:rsidR="003849AF" w:rsidRPr="00031974" w:rsidTr="00B243C4">
        <w:tc>
          <w:tcPr>
            <w:tcW w:w="2523" w:type="pct"/>
          </w:tcPr>
          <w:p w:rsidR="003849AF" w:rsidRPr="00031974" w:rsidRDefault="003849AF" w:rsidP="00B243C4">
            <w:pPr>
              <w:jc w:val="both"/>
              <w:rPr>
                <w:rFonts w:eastAsia="Calibri"/>
                <w:sz w:val="20"/>
              </w:rPr>
            </w:pPr>
            <w:r w:rsidRPr="00031974">
              <w:rPr>
                <w:rFonts w:eastAsia="Calibri"/>
                <w:sz w:val="20"/>
              </w:rPr>
              <w:t>June 30, 2014</w:t>
            </w:r>
          </w:p>
          <w:p w:rsidR="003849AF" w:rsidRPr="00031974" w:rsidRDefault="003849AF" w:rsidP="00B243C4">
            <w:pPr>
              <w:jc w:val="both"/>
              <w:rPr>
                <w:rFonts w:eastAsia="Calibri"/>
                <w:sz w:val="20"/>
              </w:rPr>
            </w:pPr>
            <w:r w:rsidRPr="00031974">
              <w:rPr>
                <w:rFonts w:eastAsia="Calibri"/>
                <w:sz w:val="20"/>
              </w:rPr>
              <w:t>Federal Court of Appeal</w:t>
            </w:r>
          </w:p>
          <w:p w:rsidR="003849AF" w:rsidRPr="00031974" w:rsidRDefault="003849AF" w:rsidP="00B243C4">
            <w:pPr>
              <w:jc w:val="both"/>
              <w:rPr>
                <w:rFonts w:eastAsia="Calibri"/>
                <w:sz w:val="20"/>
              </w:rPr>
            </w:pPr>
            <w:r w:rsidRPr="00031974">
              <w:rPr>
                <w:rFonts w:eastAsia="Calibri"/>
                <w:sz w:val="20"/>
              </w:rPr>
              <w:t xml:space="preserve">(Sharlow J.A.) </w:t>
            </w:r>
          </w:p>
          <w:p w:rsidR="003849AF" w:rsidRPr="00031974" w:rsidRDefault="003849AF" w:rsidP="00B243C4">
            <w:pPr>
              <w:jc w:val="both"/>
              <w:rPr>
                <w:rFonts w:eastAsia="Calibri"/>
                <w:sz w:val="20"/>
              </w:rPr>
            </w:pPr>
            <w:r w:rsidRPr="00031974">
              <w:rPr>
                <w:rFonts w:eastAsia="Calibri"/>
                <w:sz w:val="20"/>
              </w:rPr>
              <w:t>Docket Nos. A-465-12, A-466-12 and A-467-12</w:t>
            </w:r>
          </w:p>
        </w:tc>
        <w:tc>
          <w:tcPr>
            <w:tcW w:w="147"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 xml:space="preserve">Order requiring the applicant to serve and file a motion record including a notice of motion for leave to continue his consolidated appeal from the August 2012 and October 2012 orders of Gagné J. </w:t>
            </w:r>
          </w:p>
          <w:p w:rsidR="003849AF" w:rsidRPr="00031974" w:rsidRDefault="003849AF" w:rsidP="00B243C4">
            <w:pPr>
              <w:jc w:val="both"/>
              <w:rPr>
                <w:rFonts w:eastAsia="Calibri"/>
                <w:sz w:val="20"/>
              </w:rPr>
            </w:pPr>
          </w:p>
        </w:tc>
      </w:tr>
      <w:tr w:rsidR="003849AF" w:rsidRPr="00031974" w:rsidTr="00B243C4">
        <w:trPr>
          <w:trHeight w:val="80"/>
        </w:trPr>
        <w:tc>
          <w:tcPr>
            <w:tcW w:w="2523" w:type="pct"/>
          </w:tcPr>
          <w:p w:rsidR="003849AF" w:rsidRPr="00031974" w:rsidRDefault="003849AF" w:rsidP="00B243C4">
            <w:pPr>
              <w:jc w:val="both"/>
              <w:rPr>
                <w:rFonts w:eastAsia="Calibri"/>
                <w:sz w:val="20"/>
              </w:rPr>
            </w:pPr>
            <w:r w:rsidRPr="00031974">
              <w:rPr>
                <w:rFonts w:eastAsia="Calibri"/>
                <w:sz w:val="20"/>
              </w:rPr>
              <w:t>October 29, 2014</w:t>
            </w:r>
          </w:p>
          <w:p w:rsidR="003849AF" w:rsidRPr="00031974" w:rsidRDefault="003849AF" w:rsidP="00B243C4">
            <w:pPr>
              <w:jc w:val="both"/>
              <w:rPr>
                <w:rFonts w:eastAsia="Calibri"/>
                <w:sz w:val="20"/>
              </w:rPr>
            </w:pPr>
            <w:r w:rsidRPr="00031974">
              <w:rPr>
                <w:rFonts w:eastAsia="Calibri"/>
                <w:sz w:val="20"/>
              </w:rPr>
              <w:t>Federal Court of Appeal</w:t>
            </w:r>
          </w:p>
          <w:p w:rsidR="003849AF" w:rsidRPr="00031974" w:rsidRDefault="003849AF" w:rsidP="00B243C4">
            <w:pPr>
              <w:jc w:val="both"/>
              <w:rPr>
                <w:rFonts w:eastAsia="Calibri"/>
                <w:sz w:val="20"/>
              </w:rPr>
            </w:pPr>
            <w:r w:rsidRPr="00031974">
              <w:rPr>
                <w:rFonts w:eastAsia="Calibri"/>
                <w:sz w:val="20"/>
              </w:rPr>
              <w:t>(Noël C.J. and Dawson and Gauthier JJ.A.)</w:t>
            </w:r>
          </w:p>
          <w:p w:rsidR="003849AF" w:rsidRPr="00031974" w:rsidRDefault="003849AF" w:rsidP="00B243C4">
            <w:pPr>
              <w:jc w:val="both"/>
              <w:rPr>
                <w:rFonts w:eastAsia="Calibri"/>
                <w:sz w:val="20"/>
              </w:rPr>
            </w:pPr>
            <w:r w:rsidRPr="00031974">
              <w:rPr>
                <w:rFonts w:eastAsia="Calibri"/>
                <w:sz w:val="20"/>
              </w:rPr>
              <w:t>Docket Nos. A-465-12, A-466-12 and A-467-12</w:t>
            </w:r>
          </w:p>
          <w:p w:rsidR="003849AF" w:rsidRPr="00031974" w:rsidRDefault="003849AF" w:rsidP="00B243C4">
            <w:pPr>
              <w:jc w:val="both"/>
              <w:rPr>
                <w:rFonts w:eastAsia="Calibri"/>
                <w:sz w:val="20"/>
              </w:rPr>
            </w:pPr>
          </w:p>
        </w:tc>
        <w:tc>
          <w:tcPr>
            <w:tcW w:w="147"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Applicant’s request to continue consolidated appeal, denied; Appeal dismissed for delay.</w:t>
            </w:r>
          </w:p>
        </w:tc>
      </w:tr>
      <w:tr w:rsidR="003849AF" w:rsidRPr="00031974" w:rsidTr="00B243C4">
        <w:tc>
          <w:tcPr>
            <w:tcW w:w="2523" w:type="pct"/>
          </w:tcPr>
          <w:p w:rsidR="003849AF" w:rsidRPr="00031974" w:rsidRDefault="003849AF" w:rsidP="00B243C4">
            <w:pPr>
              <w:jc w:val="both"/>
              <w:rPr>
                <w:rFonts w:eastAsia="Calibri"/>
                <w:sz w:val="20"/>
              </w:rPr>
            </w:pPr>
            <w:r w:rsidRPr="00031974">
              <w:rPr>
                <w:rFonts w:eastAsia="Calibri"/>
                <w:sz w:val="20"/>
              </w:rPr>
              <w:t>December 29, 2014</w:t>
            </w:r>
          </w:p>
          <w:p w:rsidR="003849AF" w:rsidRPr="00031974" w:rsidRDefault="003849AF" w:rsidP="00B243C4">
            <w:pPr>
              <w:jc w:val="both"/>
              <w:rPr>
                <w:rFonts w:eastAsia="Calibri"/>
                <w:sz w:val="20"/>
              </w:rPr>
            </w:pPr>
            <w:r w:rsidRPr="00031974">
              <w:rPr>
                <w:rFonts w:eastAsia="Calibri"/>
                <w:sz w:val="20"/>
              </w:rPr>
              <w:t>Supreme Court of Canada</w:t>
            </w:r>
          </w:p>
        </w:tc>
        <w:tc>
          <w:tcPr>
            <w:tcW w:w="147"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Application for leave to appeal filed.</w:t>
            </w:r>
          </w:p>
          <w:p w:rsidR="003849AF" w:rsidRPr="00031974" w:rsidRDefault="003849AF" w:rsidP="00B243C4">
            <w:pPr>
              <w:jc w:val="both"/>
              <w:rPr>
                <w:rFonts w:eastAsia="Calibri"/>
                <w:sz w:val="20"/>
              </w:rPr>
            </w:pPr>
          </w:p>
        </w:tc>
      </w:tr>
    </w:tbl>
    <w:p w:rsidR="00233E21" w:rsidRDefault="00233E21" w:rsidP="00233E21">
      <w:pPr>
        <w:rPr>
          <w:sz w:val="20"/>
          <w:szCs w:val="20"/>
        </w:rPr>
      </w:pPr>
    </w:p>
    <w:p w:rsidR="00233E21" w:rsidRPr="00C50A5C" w:rsidRDefault="00790981" w:rsidP="00233E21">
      <w:pPr>
        <w:rPr>
          <w:sz w:val="20"/>
          <w:szCs w:val="20"/>
        </w:rPr>
      </w:pPr>
      <w:r>
        <w:rPr>
          <w:sz w:val="20"/>
          <w:szCs w:val="20"/>
          <w:lang w:val="fr-CA"/>
        </w:rPr>
        <w:pict>
          <v:rect id="_x0000_i1055" style="width:2in;height:1pt" o:hrpct="0" o:hralign="center" o:hrstd="t" o:hrnoshade="t" o:hr="t" fillcolor="black [3213]" stroked="f"/>
        </w:pict>
      </w:r>
    </w:p>
    <w:p w:rsidR="00233E21" w:rsidRDefault="00233E21" w:rsidP="00233E21">
      <w:pPr>
        <w:rPr>
          <w:sz w:val="20"/>
          <w:szCs w:val="20"/>
        </w:rPr>
      </w:pPr>
    </w:p>
    <w:p w:rsidR="00233E21" w:rsidRPr="001B157C" w:rsidRDefault="00233E21" w:rsidP="00233E21">
      <w:pPr>
        <w:rPr>
          <w:sz w:val="20"/>
          <w:szCs w:val="20"/>
          <w:u w:val="single"/>
          <w:lang w:val="fr-CA"/>
        </w:rPr>
      </w:pPr>
      <w:r w:rsidRPr="001B157C">
        <w:rPr>
          <w:sz w:val="20"/>
          <w:szCs w:val="20"/>
          <w:u w:val="single"/>
          <w:lang w:val="fr-CA"/>
        </w:rPr>
        <w:t>RÉSUMÉ DE L’AFFAIRE</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807"/>
        <w:gridCol w:w="280"/>
        <w:gridCol w:w="4440"/>
      </w:tblGrid>
      <w:tr w:rsidR="003849AF" w:rsidRPr="002B2DB4" w:rsidTr="00B243C4">
        <w:tc>
          <w:tcPr>
            <w:tcW w:w="5000" w:type="pct"/>
            <w:gridSpan w:val="3"/>
          </w:tcPr>
          <w:p w:rsidR="003849AF" w:rsidRPr="00031974" w:rsidRDefault="003849AF" w:rsidP="00B243C4">
            <w:pPr>
              <w:jc w:val="both"/>
              <w:rPr>
                <w:rFonts w:eastAsia="Calibri"/>
                <w:sz w:val="20"/>
                <w:lang w:val="fr-CA"/>
              </w:rPr>
            </w:pPr>
            <w:r w:rsidRPr="00031974">
              <w:rPr>
                <w:rFonts w:eastAsia="Calibri"/>
                <w:sz w:val="20"/>
                <w:lang w:val="fr-CA"/>
              </w:rPr>
              <w:t>Procédure civile – Requête en radiation de la déclaration du demandeur – Le demandeur a été déclaré plaideur quérulent pendant que l’appel était en instance – Le demandeur doit solliciter l’autorisation de la cour afin de continuer l’instance – La Cour d’appel a statué que le demandeur n’avait pas établi l’existence de motifs raisonnables qui justifieraient la continuation de l’appel – La Cour d’appel a-t-elle commis une erreur de droit en rejetant la requête du demandeur en continuation de l’appel?</w:t>
            </w:r>
          </w:p>
        </w:tc>
      </w:tr>
      <w:tr w:rsidR="003849AF" w:rsidRPr="002B2DB4" w:rsidTr="00B243C4">
        <w:tc>
          <w:tcPr>
            <w:tcW w:w="5000" w:type="pct"/>
            <w:gridSpan w:val="3"/>
          </w:tcPr>
          <w:p w:rsidR="003849AF" w:rsidRPr="00031974" w:rsidRDefault="003849AF" w:rsidP="00B243C4">
            <w:pPr>
              <w:jc w:val="both"/>
              <w:rPr>
                <w:rFonts w:eastAsia="Calibri"/>
                <w:sz w:val="20"/>
                <w:lang w:val="fr-CA"/>
              </w:rPr>
            </w:pPr>
          </w:p>
        </w:tc>
      </w:tr>
      <w:tr w:rsidR="003849AF" w:rsidRPr="002B2DB4" w:rsidTr="00B243C4">
        <w:tc>
          <w:tcPr>
            <w:tcW w:w="5000" w:type="pct"/>
            <w:gridSpan w:val="3"/>
          </w:tcPr>
          <w:p w:rsidR="003849AF" w:rsidRPr="00031974" w:rsidRDefault="003849AF" w:rsidP="00B243C4">
            <w:pPr>
              <w:jc w:val="both"/>
              <w:rPr>
                <w:rFonts w:eastAsia="Calibri"/>
                <w:sz w:val="20"/>
                <w:lang w:val="fr-CA"/>
              </w:rPr>
            </w:pPr>
            <w:r w:rsidRPr="00031974">
              <w:rPr>
                <w:rFonts w:eastAsia="Calibri"/>
                <w:sz w:val="20"/>
                <w:lang w:val="fr-CA"/>
              </w:rPr>
              <w:t xml:space="preserve">Le fils du demandeur a été l’objet de mesures prises en application de la </w:t>
            </w:r>
            <w:r w:rsidRPr="00031974">
              <w:rPr>
                <w:rFonts w:eastAsia="Calibri"/>
                <w:i/>
                <w:sz w:val="20"/>
                <w:lang w:val="fr-CA"/>
              </w:rPr>
              <w:t>Loi sur l’immigration et la protection des réfugiés</w:t>
            </w:r>
            <w:r w:rsidRPr="00031974">
              <w:rPr>
                <w:rFonts w:eastAsia="Calibri"/>
                <w:sz w:val="20"/>
                <w:lang w:val="fr-CA"/>
              </w:rPr>
              <w:t xml:space="preserve">, L.C. 2001, ch. 27.  Le demandeur a intenté plusieurs actions en justice contre diverses parties qui avaient pris part, d’une manière ou d’une autre, à ces instances en immigration et appels subséquents.  Les intimés comprenaient Lawyers’ Professional Indemnity Company (LAWPRO), ainsi que des avocats, des greffiers, le registraire et divers employés de la Cour d’appel de l’Ontario, de la Cour supérieure de justice de l’Ontario et de la Cour suprême du Canada. </w:t>
            </w:r>
          </w:p>
          <w:p w:rsidR="003849AF" w:rsidRPr="00031974" w:rsidRDefault="003849AF" w:rsidP="00B243C4">
            <w:pPr>
              <w:jc w:val="both"/>
              <w:rPr>
                <w:rFonts w:eastAsia="Calibri"/>
                <w:sz w:val="20"/>
                <w:lang w:val="fr-CA"/>
              </w:rPr>
            </w:pPr>
          </w:p>
          <w:p w:rsidR="003849AF" w:rsidRPr="00031974" w:rsidRDefault="003849AF" w:rsidP="00B243C4">
            <w:pPr>
              <w:jc w:val="both"/>
              <w:rPr>
                <w:rFonts w:eastAsia="Calibri"/>
                <w:sz w:val="20"/>
                <w:lang w:val="fr-CA"/>
              </w:rPr>
            </w:pPr>
            <w:r w:rsidRPr="00031974">
              <w:rPr>
                <w:rFonts w:eastAsia="Calibri"/>
                <w:sz w:val="20"/>
                <w:lang w:val="fr-CA"/>
              </w:rPr>
              <w:t>Les divers intimés ont demandé la radiation des déclarations déposées contre eux.  Ils ont eu gain de cause.  Pendant que l’appel du demandeur était en instance, la Cour fédérale l’a déclaré plaideur quérulent et lui a interdit de continuer son appel sans avoir obtenu l’autorisation de le faire.</w:t>
            </w:r>
          </w:p>
          <w:p w:rsidR="003849AF" w:rsidRPr="00031974" w:rsidRDefault="003849AF" w:rsidP="00B243C4">
            <w:pPr>
              <w:jc w:val="both"/>
              <w:rPr>
                <w:rFonts w:eastAsia="Calibri"/>
                <w:sz w:val="20"/>
                <w:lang w:val="fr-CA"/>
              </w:rPr>
            </w:pPr>
          </w:p>
        </w:tc>
      </w:tr>
      <w:tr w:rsidR="003849AF" w:rsidRPr="002B2DB4" w:rsidTr="00B243C4">
        <w:tc>
          <w:tcPr>
            <w:tcW w:w="2523" w:type="pct"/>
          </w:tcPr>
          <w:p w:rsidR="003849AF" w:rsidRPr="00031974" w:rsidRDefault="003849AF" w:rsidP="00B243C4">
            <w:pPr>
              <w:jc w:val="both"/>
              <w:rPr>
                <w:rFonts w:eastAsia="Calibri"/>
                <w:sz w:val="20"/>
                <w:lang w:val="fr-CA"/>
              </w:rPr>
            </w:pPr>
            <w:r w:rsidRPr="00031974">
              <w:rPr>
                <w:rFonts w:eastAsia="Calibri"/>
                <w:sz w:val="20"/>
                <w:lang w:val="fr-CA"/>
              </w:rPr>
              <w:lastRenderedPageBreak/>
              <w:t>21 août 2012</w:t>
            </w:r>
          </w:p>
          <w:p w:rsidR="003849AF" w:rsidRPr="00031974" w:rsidRDefault="003849AF" w:rsidP="00B243C4">
            <w:pPr>
              <w:jc w:val="both"/>
              <w:rPr>
                <w:rFonts w:eastAsia="Calibri"/>
                <w:sz w:val="20"/>
                <w:lang w:val="fr-CA"/>
              </w:rPr>
            </w:pPr>
            <w:r w:rsidRPr="00031974">
              <w:rPr>
                <w:rFonts w:eastAsia="Calibri"/>
                <w:sz w:val="20"/>
                <w:lang w:val="fr-CA"/>
              </w:rPr>
              <w:t>Cour fédérale</w:t>
            </w:r>
          </w:p>
          <w:p w:rsidR="003849AF" w:rsidRPr="00031974" w:rsidRDefault="003849AF" w:rsidP="00B243C4">
            <w:pPr>
              <w:jc w:val="both"/>
              <w:rPr>
                <w:rFonts w:eastAsia="Calibri"/>
                <w:sz w:val="20"/>
                <w:lang w:val="fr-CA"/>
              </w:rPr>
            </w:pPr>
            <w:r w:rsidRPr="00031974">
              <w:rPr>
                <w:rFonts w:eastAsia="Calibri"/>
                <w:sz w:val="20"/>
                <w:lang w:val="fr-CA"/>
              </w:rPr>
              <w:t>(Juge Gagné)</w:t>
            </w:r>
          </w:p>
          <w:p w:rsidR="003849AF" w:rsidRPr="00031974" w:rsidRDefault="003849AF" w:rsidP="00B243C4">
            <w:pPr>
              <w:jc w:val="both"/>
              <w:rPr>
                <w:rFonts w:eastAsia="Calibri"/>
                <w:sz w:val="20"/>
                <w:lang w:val="fr-CA"/>
              </w:rPr>
            </w:pPr>
            <w:r w:rsidRPr="00031974">
              <w:rPr>
                <w:rFonts w:eastAsia="Calibri"/>
                <w:sz w:val="20"/>
                <w:lang w:val="fr-CA"/>
              </w:rPr>
              <w:t>N</w:t>
            </w:r>
            <w:r w:rsidRPr="00031974">
              <w:rPr>
                <w:rFonts w:eastAsia="Calibri"/>
                <w:sz w:val="20"/>
                <w:vertAlign w:val="superscript"/>
                <w:lang w:val="fr-CA"/>
              </w:rPr>
              <w:t>o</w:t>
            </w:r>
            <w:r w:rsidRPr="00031974">
              <w:rPr>
                <w:rFonts w:eastAsia="Calibri"/>
                <w:sz w:val="20"/>
                <w:lang w:val="fr-CA"/>
              </w:rPr>
              <w:t xml:space="preserve"> du greffe T-1083-12</w:t>
            </w:r>
          </w:p>
          <w:p w:rsidR="003849AF" w:rsidRPr="00031974" w:rsidRDefault="003849AF" w:rsidP="00B243C4">
            <w:pPr>
              <w:jc w:val="both"/>
              <w:rPr>
                <w:rFonts w:eastAsia="Calibri"/>
                <w:sz w:val="20"/>
                <w:lang w:val="fr-CA"/>
              </w:rPr>
            </w:pPr>
          </w:p>
        </w:tc>
        <w:tc>
          <w:tcPr>
            <w:tcW w:w="147"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Ordonnances annulant la déclaration du demandeur contre (i) LAWPRO, (ii) Sandra Theroulde, Hugette Thomson, Pauline Labelle, John Kromkamp, Kim Willis, Carol DiPiero, Kathy Barrett, Marilyn Gamble et Jeremy Glick, et (iii) Roger Bilodeau c.r., Nadia Loreti, Micheline Alam, Barbara Kincaid, Mary McFadyen et Janice E. Cheney, sans autorisation de modifier.</w:t>
            </w:r>
          </w:p>
          <w:p w:rsidR="003849AF" w:rsidRPr="00031974" w:rsidRDefault="003849AF" w:rsidP="00B243C4">
            <w:pPr>
              <w:jc w:val="both"/>
              <w:rPr>
                <w:rFonts w:eastAsia="Calibri"/>
                <w:sz w:val="20"/>
                <w:lang w:val="fr-CA"/>
              </w:rPr>
            </w:pPr>
          </w:p>
        </w:tc>
      </w:tr>
      <w:tr w:rsidR="003849AF" w:rsidRPr="002B2DB4" w:rsidTr="00B243C4">
        <w:tc>
          <w:tcPr>
            <w:tcW w:w="2523" w:type="pct"/>
          </w:tcPr>
          <w:p w:rsidR="003849AF" w:rsidRPr="00031974" w:rsidRDefault="003849AF" w:rsidP="00B243C4">
            <w:pPr>
              <w:jc w:val="both"/>
              <w:rPr>
                <w:rFonts w:eastAsia="Calibri"/>
                <w:sz w:val="20"/>
                <w:lang w:val="fr-CA"/>
              </w:rPr>
            </w:pPr>
            <w:r w:rsidRPr="00031974">
              <w:rPr>
                <w:rFonts w:eastAsia="Calibri"/>
                <w:sz w:val="20"/>
                <w:lang w:val="fr-CA"/>
              </w:rPr>
              <w:t>30 octobre 2012</w:t>
            </w:r>
          </w:p>
          <w:p w:rsidR="003849AF" w:rsidRPr="00031974" w:rsidRDefault="003849AF" w:rsidP="00B243C4">
            <w:pPr>
              <w:jc w:val="both"/>
              <w:rPr>
                <w:rFonts w:eastAsia="Calibri"/>
                <w:sz w:val="20"/>
                <w:lang w:val="fr-CA"/>
              </w:rPr>
            </w:pPr>
            <w:r w:rsidRPr="00031974">
              <w:rPr>
                <w:rFonts w:eastAsia="Calibri"/>
                <w:sz w:val="20"/>
                <w:lang w:val="fr-CA"/>
              </w:rPr>
              <w:t>Cour fédérale</w:t>
            </w:r>
          </w:p>
          <w:p w:rsidR="003849AF" w:rsidRPr="00031974" w:rsidRDefault="003849AF" w:rsidP="00B243C4">
            <w:pPr>
              <w:jc w:val="both"/>
              <w:rPr>
                <w:rFonts w:eastAsia="Calibri"/>
                <w:sz w:val="20"/>
                <w:lang w:val="fr-CA"/>
              </w:rPr>
            </w:pPr>
            <w:r w:rsidRPr="00031974">
              <w:rPr>
                <w:rFonts w:eastAsia="Calibri"/>
                <w:sz w:val="20"/>
                <w:lang w:val="fr-CA"/>
              </w:rPr>
              <w:t>(Juge Gagné)</w:t>
            </w:r>
          </w:p>
          <w:p w:rsidR="003849AF" w:rsidRPr="00031974" w:rsidRDefault="003849AF" w:rsidP="00B243C4">
            <w:pPr>
              <w:jc w:val="both"/>
              <w:rPr>
                <w:rFonts w:eastAsia="Calibri"/>
                <w:sz w:val="20"/>
                <w:lang w:val="fr-CA"/>
              </w:rPr>
            </w:pPr>
            <w:r w:rsidRPr="00031974">
              <w:rPr>
                <w:rFonts w:eastAsia="Calibri"/>
                <w:sz w:val="20"/>
                <w:lang w:val="fr-CA"/>
              </w:rPr>
              <w:t>N</w:t>
            </w:r>
            <w:r w:rsidRPr="00031974">
              <w:rPr>
                <w:rFonts w:eastAsia="Calibri"/>
                <w:sz w:val="20"/>
                <w:vertAlign w:val="superscript"/>
                <w:lang w:val="fr-CA"/>
              </w:rPr>
              <w:t>o</w:t>
            </w:r>
            <w:r w:rsidRPr="00031974">
              <w:rPr>
                <w:rFonts w:eastAsia="Calibri"/>
                <w:sz w:val="20"/>
                <w:lang w:val="fr-CA"/>
              </w:rPr>
              <w:t xml:space="preserve"> du greffe T-1083-12</w:t>
            </w:r>
          </w:p>
          <w:p w:rsidR="003849AF" w:rsidRPr="00031974" w:rsidRDefault="003849AF" w:rsidP="00B243C4">
            <w:pPr>
              <w:jc w:val="both"/>
              <w:rPr>
                <w:rFonts w:eastAsia="Calibri"/>
                <w:sz w:val="20"/>
                <w:lang w:val="fr-CA"/>
              </w:rPr>
            </w:pPr>
          </w:p>
        </w:tc>
        <w:tc>
          <w:tcPr>
            <w:tcW w:w="147"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Rejet de la requête en réexamen.</w:t>
            </w:r>
          </w:p>
        </w:tc>
      </w:tr>
      <w:tr w:rsidR="003849AF" w:rsidRPr="002B2DB4" w:rsidTr="00B243C4">
        <w:tc>
          <w:tcPr>
            <w:tcW w:w="2523" w:type="pct"/>
          </w:tcPr>
          <w:p w:rsidR="003849AF" w:rsidRPr="00031974" w:rsidRDefault="003849AF" w:rsidP="00B243C4">
            <w:pPr>
              <w:jc w:val="both"/>
              <w:rPr>
                <w:rFonts w:eastAsia="Calibri"/>
                <w:sz w:val="20"/>
                <w:lang w:val="fr-CA"/>
              </w:rPr>
            </w:pPr>
            <w:r w:rsidRPr="00031974">
              <w:rPr>
                <w:rFonts w:eastAsia="Calibri"/>
                <w:sz w:val="20"/>
                <w:lang w:val="fr-CA"/>
              </w:rPr>
              <w:t>30 juin 2014</w:t>
            </w:r>
          </w:p>
          <w:p w:rsidR="003849AF" w:rsidRPr="00031974" w:rsidRDefault="003849AF" w:rsidP="00B243C4">
            <w:pPr>
              <w:jc w:val="both"/>
              <w:rPr>
                <w:rFonts w:eastAsia="Calibri"/>
                <w:sz w:val="20"/>
                <w:lang w:val="fr-CA"/>
              </w:rPr>
            </w:pPr>
            <w:r w:rsidRPr="00031974">
              <w:rPr>
                <w:rFonts w:eastAsia="Calibri"/>
                <w:sz w:val="20"/>
                <w:lang w:val="fr-CA"/>
              </w:rPr>
              <w:t>Cour d’appel fédérale</w:t>
            </w:r>
          </w:p>
          <w:p w:rsidR="003849AF" w:rsidRPr="00031974" w:rsidRDefault="003849AF" w:rsidP="00B243C4">
            <w:pPr>
              <w:jc w:val="both"/>
              <w:rPr>
                <w:rFonts w:eastAsia="Calibri"/>
                <w:sz w:val="20"/>
                <w:lang w:val="fr-CA"/>
              </w:rPr>
            </w:pPr>
            <w:r w:rsidRPr="00031974">
              <w:rPr>
                <w:rFonts w:eastAsia="Calibri"/>
                <w:sz w:val="20"/>
                <w:lang w:val="fr-CA"/>
              </w:rPr>
              <w:t xml:space="preserve">(Juge Sharlow) </w:t>
            </w:r>
          </w:p>
          <w:p w:rsidR="003849AF" w:rsidRPr="00031974" w:rsidRDefault="003849AF" w:rsidP="00B243C4">
            <w:pPr>
              <w:jc w:val="both"/>
              <w:rPr>
                <w:rFonts w:eastAsia="Calibri"/>
                <w:sz w:val="20"/>
                <w:lang w:val="fr-CA"/>
              </w:rPr>
            </w:pPr>
            <w:r w:rsidRPr="00031974">
              <w:rPr>
                <w:rFonts w:eastAsia="Calibri"/>
                <w:sz w:val="20"/>
                <w:lang w:val="fr-CA"/>
              </w:rPr>
              <w:t>N</w:t>
            </w:r>
            <w:r w:rsidRPr="00031974">
              <w:rPr>
                <w:rFonts w:eastAsia="Calibri"/>
                <w:sz w:val="20"/>
                <w:vertAlign w:val="superscript"/>
                <w:lang w:val="fr-CA"/>
              </w:rPr>
              <w:t>os</w:t>
            </w:r>
            <w:r w:rsidRPr="00031974">
              <w:rPr>
                <w:rFonts w:eastAsia="Calibri"/>
                <w:sz w:val="20"/>
                <w:lang w:val="fr-CA"/>
              </w:rPr>
              <w:t xml:space="preserve"> du greffe A-465-12, A-466-12 et A-467-12</w:t>
            </w:r>
          </w:p>
        </w:tc>
        <w:tc>
          <w:tcPr>
            <w:tcW w:w="147"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 xml:space="preserve">Ordonnance obligeant le demandeur à signifier et à déposer un dossier de requête comprenant un avis de requête en autorisation de poursuivre son appel réuni des ordonnances rendues par le juge Gagné en août 2012 et en octobre 2012. </w:t>
            </w:r>
          </w:p>
          <w:p w:rsidR="003849AF" w:rsidRPr="00031974" w:rsidRDefault="003849AF" w:rsidP="00B243C4">
            <w:pPr>
              <w:jc w:val="both"/>
              <w:rPr>
                <w:rFonts w:eastAsia="Calibri"/>
                <w:sz w:val="20"/>
                <w:lang w:val="fr-CA"/>
              </w:rPr>
            </w:pPr>
          </w:p>
        </w:tc>
      </w:tr>
      <w:tr w:rsidR="003849AF" w:rsidRPr="002B2DB4" w:rsidTr="00B243C4">
        <w:trPr>
          <w:trHeight w:val="80"/>
        </w:trPr>
        <w:tc>
          <w:tcPr>
            <w:tcW w:w="2523" w:type="pct"/>
          </w:tcPr>
          <w:p w:rsidR="003849AF" w:rsidRPr="00031974" w:rsidRDefault="003849AF" w:rsidP="00B243C4">
            <w:pPr>
              <w:jc w:val="both"/>
              <w:rPr>
                <w:rFonts w:eastAsia="Calibri"/>
                <w:sz w:val="20"/>
                <w:lang w:val="fr-CA"/>
              </w:rPr>
            </w:pPr>
            <w:r w:rsidRPr="00031974">
              <w:rPr>
                <w:rFonts w:eastAsia="Calibri"/>
                <w:sz w:val="20"/>
                <w:lang w:val="fr-CA"/>
              </w:rPr>
              <w:t>29 octobre 2014</w:t>
            </w:r>
          </w:p>
          <w:p w:rsidR="003849AF" w:rsidRPr="00031974" w:rsidRDefault="003849AF" w:rsidP="00B243C4">
            <w:pPr>
              <w:jc w:val="both"/>
              <w:rPr>
                <w:rFonts w:eastAsia="Calibri"/>
                <w:sz w:val="20"/>
                <w:lang w:val="fr-CA"/>
              </w:rPr>
            </w:pPr>
            <w:r w:rsidRPr="00031974">
              <w:rPr>
                <w:rFonts w:eastAsia="Calibri"/>
                <w:sz w:val="20"/>
                <w:lang w:val="fr-CA"/>
              </w:rPr>
              <w:t>Cour d’appel fédérale</w:t>
            </w:r>
          </w:p>
          <w:p w:rsidR="003849AF" w:rsidRPr="00031974" w:rsidRDefault="003849AF" w:rsidP="00B243C4">
            <w:pPr>
              <w:jc w:val="both"/>
              <w:rPr>
                <w:rFonts w:eastAsia="Calibri"/>
                <w:sz w:val="20"/>
                <w:lang w:val="fr-CA"/>
              </w:rPr>
            </w:pPr>
            <w:r w:rsidRPr="00031974">
              <w:rPr>
                <w:rFonts w:eastAsia="Calibri"/>
                <w:sz w:val="20"/>
                <w:lang w:val="fr-CA"/>
              </w:rPr>
              <w:t>(Juge en chef Noël, juges Dawson et Gauthier)</w:t>
            </w:r>
          </w:p>
          <w:p w:rsidR="003849AF" w:rsidRPr="00031974" w:rsidRDefault="003849AF" w:rsidP="00B243C4">
            <w:pPr>
              <w:jc w:val="both"/>
              <w:rPr>
                <w:rFonts w:eastAsia="Calibri"/>
                <w:sz w:val="20"/>
                <w:lang w:val="fr-CA"/>
              </w:rPr>
            </w:pPr>
            <w:r w:rsidRPr="00031974">
              <w:rPr>
                <w:rFonts w:eastAsia="Calibri"/>
                <w:sz w:val="20"/>
                <w:lang w:val="fr-CA"/>
              </w:rPr>
              <w:t>N</w:t>
            </w:r>
            <w:r w:rsidRPr="00031974">
              <w:rPr>
                <w:rFonts w:eastAsia="Calibri"/>
                <w:sz w:val="20"/>
                <w:vertAlign w:val="superscript"/>
                <w:lang w:val="fr-CA"/>
              </w:rPr>
              <w:t>os</w:t>
            </w:r>
            <w:r w:rsidRPr="00031974">
              <w:rPr>
                <w:rFonts w:eastAsia="Calibri"/>
                <w:sz w:val="20"/>
                <w:lang w:val="fr-CA"/>
              </w:rPr>
              <w:t xml:space="preserve"> du greffe A-465-12, A-466-12 et A-467-12</w:t>
            </w:r>
          </w:p>
          <w:p w:rsidR="003849AF" w:rsidRPr="00031974" w:rsidRDefault="003849AF" w:rsidP="00B243C4">
            <w:pPr>
              <w:jc w:val="both"/>
              <w:rPr>
                <w:rFonts w:eastAsia="Calibri"/>
                <w:sz w:val="20"/>
                <w:lang w:val="fr-CA"/>
              </w:rPr>
            </w:pPr>
          </w:p>
        </w:tc>
        <w:tc>
          <w:tcPr>
            <w:tcW w:w="147"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Rejet de la requête du demandeur en continuation de l’appel réuni; rejet de l’appel pour cause de retard.</w:t>
            </w:r>
          </w:p>
        </w:tc>
      </w:tr>
      <w:tr w:rsidR="003849AF" w:rsidRPr="002B2DB4" w:rsidTr="00B243C4">
        <w:tc>
          <w:tcPr>
            <w:tcW w:w="2523" w:type="pct"/>
          </w:tcPr>
          <w:p w:rsidR="003849AF" w:rsidRPr="00031974" w:rsidRDefault="003849AF" w:rsidP="00B243C4">
            <w:pPr>
              <w:jc w:val="both"/>
              <w:rPr>
                <w:rFonts w:eastAsia="Calibri"/>
                <w:sz w:val="20"/>
                <w:lang w:val="fr-CA"/>
              </w:rPr>
            </w:pPr>
            <w:r w:rsidRPr="00031974">
              <w:rPr>
                <w:rFonts w:eastAsia="Calibri"/>
                <w:sz w:val="20"/>
                <w:lang w:val="fr-CA"/>
              </w:rPr>
              <w:t>29 décembre 2014</w:t>
            </w:r>
          </w:p>
          <w:p w:rsidR="003849AF" w:rsidRPr="00031974" w:rsidRDefault="003849AF" w:rsidP="00B243C4">
            <w:pPr>
              <w:jc w:val="both"/>
              <w:rPr>
                <w:rFonts w:eastAsia="Calibri"/>
                <w:sz w:val="20"/>
                <w:lang w:val="fr-CA"/>
              </w:rPr>
            </w:pPr>
            <w:r w:rsidRPr="00031974">
              <w:rPr>
                <w:rFonts w:eastAsia="Calibri"/>
                <w:sz w:val="20"/>
                <w:lang w:val="fr-CA"/>
              </w:rPr>
              <w:t>Cour suprême du Canada</w:t>
            </w:r>
          </w:p>
        </w:tc>
        <w:tc>
          <w:tcPr>
            <w:tcW w:w="147"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Dépôt de la demande d’autorisation d’appel.</w:t>
            </w:r>
          </w:p>
          <w:p w:rsidR="003849AF" w:rsidRPr="00031974" w:rsidRDefault="003849AF" w:rsidP="00B243C4">
            <w:pPr>
              <w:jc w:val="both"/>
              <w:rPr>
                <w:rFonts w:eastAsia="Calibri"/>
                <w:sz w:val="20"/>
                <w:lang w:val="fr-CA"/>
              </w:rPr>
            </w:pPr>
          </w:p>
        </w:tc>
      </w:tr>
    </w:tbl>
    <w:p w:rsidR="00233E21" w:rsidRPr="003849AF" w:rsidRDefault="00233E21" w:rsidP="00233E21">
      <w:pPr>
        <w:rPr>
          <w:sz w:val="20"/>
          <w:szCs w:val="20"/>
          <w:lang w:val="fr-CA"/>
        </w:rPr>
      </w:pPr>
    </w:p>
    <w:p w:rsidR="00233E21" w:rsidRDefault="00790981" w:rsidP="00233E21">
      <w:pPr>
        <w:rPr>
          <w:sz w:val="20"/>
          <w:szCs w:val="20"/>
          <w:lang w:val="fr-CA"/>
        </w:rPr>
      </w:pPr>
      <w:r>
        <w:rPr>
          <w:sz w:val="20"/>
          <w:szCs w:val="20"/>
          <w:lang w:val="fr-CA"/>
        </w:rPr>
        <w:pict>
          <v:rect id="_x0000_i1056" style="width:2in;height:1pt" o:hrpct="0" o:hralign="center" o:hrstd="t" o:hrnoshade="t" o:hr="t" fillcolor="black [3213]" stroked="f"/>
        </w:pict>
      </w:r>
    </w:p>
    <w:p w:rsidR="00233E21" w:rsidRDefault="00233E21" w:rsidP="00233E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2F08" w:rsidRPr="00C417EA" w:rsidTr="002F3DF0">
        <w:trPr>
          <w:cantSplit/>
        </w:trPr>
        <w:tc>
          <w:tcPr>
            <w:tcW w:w="1458" w:type="dxa"/>
          </w:tcPr>
          <w:p w:rsidR="00BD2F08" w:rsidRPr="00C417EA" w:rsidRDefault="00BD2F08" w:rsidP="002F3DF0">
            <w:pPr>
              <w:rPr>
                <w:sz w:val="20"/>
                <w:szCs w:val="20"/>
              </w:rPr>
            </w:pPr>
            <w:r w:rsidRPr="00C417EA">
              <w:rPr>
                <w:rStyle w:val="SCCFileNumberChar"/>
                <w:sz w:val="20"/>
                <w:szCs w:val="20"/>
              </w:rPr>
              <w:t>36251</w:t>
            </w:r>
          </w:p>
          <w:p w:rsidR="00BD2F08" w:rsidRPr="00C417EA" w:rsidRDefault="00BD2F08" w:rsidP="002F3DF0">
            <w:pPr>
              <w:rPr>
                <w:b/>
                <w:sz w:val="20"/>
                <w:szCs w:val="20"/>
                <w:lang w:val="fr-CA"/>
              </w:rPr>
            </w:pPr>
          </w:p>
        </w:tc>
        <w:tc>
          <w:tcPr>
            <w:tcW w:w="8118" w:type="dxa"/>
          </w:tcPr>
          <w:p w:rsidR="00BD2F08" w:rsidRPr="00C417EA" w:rsidRDefault="00BD2F08" w:rsidP="002F3DF0">
            <w:pPr>
              <w:jc w:val="both"/>
              <w:rPr>
                <w:sz w:val="20"/>
                <w:szCs w:val="20"/>
                <w:lang w:val="fr-CA"/>
              </w:rPr>
            </w:pPr>
            <w:r w:rsidRPr="00C417EA">
              <w:rPr>
                <w:rStyle w:val="SCCLsocChar"/>
                <w:sz w:val="20"/>
                <w:szCs w:val="20"/>
              </w:rPr>
              <w:t>Michelle Landry</w:t>
            </w:r>
            <w:r w:rsidR="003B01A3">
              <w:rPr>
                <w:rStyle w:val="SCCLsocChar"/>
                <w:sz w:val="20"/>
                <w:szCs w:val="20"/>
              </w:rPr>
              <w:t xml:space="preserve"> et</w:t>
            </w:r>
            <w:r w:rsidRPr="00C417EA">
              <w:rPr>
                <w:rStyle w:val="SCCLsocChar"/>
                <w:sz w:val="20"/>
                <w:szCs w:val="20"/>
              </w:rPr>
              <w:t xml:space="preserve"> Jean-Paul Landry en leur qualité personnelle et en qualité de représentant des M</w:t>
            </w:r>
            <w:r w:rsidR="003B01A3">
              <w:rPr>
                <w:rStyle w:val="SCCLsocChar"/>
                <w:sz w:val="20"/>
                <w:szCs w:val="20"/>
              </w:rPr>
              <w:t>embres</w:t>
            </w:r>
            <w:r w:rsidRPr="00C417EA">
              <w:rPr>
                <w:rStyle w:val="SCCLsocChar"/>
                <w:sz w:val="20"/>
                <w:szCs w:val="20"/>
              </w:rPr>
              <w:t xml:space="preserve"> D</w:t>
            </w:r>
            <w:r w:rsidR="003B01A3">
              <w:rPr>
                <w:rStyle w:val="SCCLsocChar"/>
                <w:sz w:val="20"/>
                <w:szCs w:val="20"/>
              </w:rPr>
              <w:t>u</w:t>
            </w:r>
            <w:r w:rsidRPr="00C417EA">
              <w:rPr>
                <w:rStyle w:val="SCCLsocChar"/>
                <w:sz w:val="20"/>
                <w:szCs w:val="20"/>
              </w:rPr>
              <w:t xml:space="preserve"> C</w:t>
            </w:r>
            <w:r w:rsidR="003B01A3">
              <w:rPr>
                <w:rStyle w:val="SCCLsocChar"/>
                <w:sz w:val="20"/>
                <w:szCs w:val="20"/>
              </w:rPr>
              <w:t>onseil</w:t>
            </w:r>
            <w:r w:rsidRPr="00C417EA">
              <w:rPr>
                <w:rStyle w:val="SCCLsocChar"/>
                <w:sz w:val="20"/>
                <w:szCs w:val="20"/>
              </w:rPr>
              <w:t xml:space="preserve"> A</w:t>
            </w:r>
            <w:r w:rsidR="003B01A3">
              <w:rPr>
                <w:rStyle w:val="SCCLsocChar"/>
                <w:sz w:val="20"/>
                <w:szCs w:val="20"/>
              </w:rPr>
              <w:t>utochtone</w:t>
            </w:r>
            <w:r w:rsidRPr="00C417EA">
              <w:rPr>
                <w:rStyle w:val="SCCLsocChar"/>
                <w:sz w:val="20"/>
                <w:szCs w:val="20"/>
              </w:rPr>
              <w:t xml:space="preserve"> </w:t>
            </w:r>
            <w:r w:rsidR="003B01A3">
              <w:rPr>
                <w:rStyle w:val="SCCLsocChar"/>
                <w:sz w:val="20"/>
                <w:szCs w:val="20"/>
              </w:rPr>
              <w:t>de</w:t>
            </w:r>
            <w:r w:rsidRPr="00C417EA">
              <w:rPr>
                <w:rStyle w:val="SCCLsocChar"/>
                <w:sz w:val="20"/>
                <w:szCs w:val="20"/>
              </w:rPr>
              <w:t xml:space="preserve"> </w:t>
            </w:r>
            <w:r w:rsidR="003B01A3">
              <w:rPr>
                <w:rStyle w:val="SCCLsocChar"/>
                <w:sz w:val="20"/>
                <w:szCs w:val="20"/>
              </w:rPr>
              <w:t>la</w:t>
            </w:r>
            <w:r w:rsidRPr="00C417EA">
              <w:rPr>
                <w:rStyle w:val="SCCLsocChar"/>
                <w:sz w:val="20"/>
                <w:szCs w:val="20"/>
              </w:rPr>
              <w:t xml:space="preserve"> C</w:t>
            </w:r>
            <w:r w:rsidR="003B01A3">
              <w:rPr>
                <w:rStyle w:val="SCCLsocChar"/>
                <w:sz w:val="20"/>
                <w:szCs w:val="20"/>
              </w:rPr>
              <w:t>ôte</w:t>
            </w:r>
            <w:r w:rsidRPr="00C417EA">
              <w:rPr>
                <w:rStyle w:val="SCCLsocChar"/>
                <w:sz w:val="20"/>
                <w:szCs w:val="20"/>
              </w:rPr>
              <w:t>-E</w:t>
            </w:r>
            <w:r w:rsidR="003B01A3">
              <w:rPr>
                <w:rStyle w:val="SCCLsocChar"/>
                <w:sz w:val="20"/>
                <w:szCs w:val="20"/>
              </w:rPr>
              <w:t>st</w:t>
            </w:r>
            <w:r w:rsidRPr="00C417EA">
              <w:rPr>
                <w:rStyle w:val="SCCLsocChar"/>
                <w:sz w:val="20"/>
                <w:szCs w:val="20"/>
              </w:rPr>
              <w:t xml:space="preserve"> c. Procureur général du Canada</w:t>
            </w:r>
            <w:r w:rsidRPr="00C417EA">
              <w:rPr>
                <w:sz w:val="20"/>
                <w:szCs w:val="20"/>
                <w:lang w:val="fr-CA"/>
              </w:rPr>
              <w:t xml:space="preserve"> (C</w:t>
            </w:r>
            <w:r>
              <w:rPr>
                <w:szCs w:val="20"/>
                <w:lang w:val="fr-CA"/>
              </w:rPr>
              <w:t>.</w:t>
            </w:r>
            <w:r w:rsidRPr="00C417EA">
              <w:rPr>
                <w:sz w:val="20"/>
                <w:szCs w:val="20"/>
                <w:lang w:val="fr-CA"/>
              </w:rPr>
              <w:t>F</w:t>
            </w:r>
            <w:r>
              <w:rPr>
                <w:szCs w:val="20"/>
                <w:lang w:val="fr-CA"/>
              </w:rPr>
              <w:t>.</w:t>
            </w:r>
            <w:r w:rsidRPr="00C417EA">
              <w:rPr>
                <w:sz w:val="20"/>
                <w:szCs w:val="20"/>
                <w:lang w:val="fr-CA"/>
              </w:rPr>
              <w:t>) (Civile) (Autorisation)</w:t>
            </w:r>
          </w:p>
          <w:p w:rsidR="00BD2F08" w:rsidRPr="00C417EA" w:rsidRDefault="00BD2F08" w:rsidP="002F3DF0">
            <w:pPr>
              <w:jc w:val="both"/>
              <w:rPr>
                <w:sz w:val="20"/>
                <w:szCs w:val="20"/>
                <w:lang w:val="fr-CA"/>
              </w:rPr>
            </w:pPr>
          </w:p>
        </w:tc>
      </w:tr>
      <w:tr w:rsidR="00BD2F08" w:rsidRPr="002B2DB4" w:rsidTr="002F3DF0">
        <w:trPr>
          <w:cantSplit/>
        </w:trPr>
        <w:tc>
          <w:tcPr>
            <w:tcW w:w="1458" w:type="dxa"/>
          </w:tcPr>
          <w:p w:rsidR="00BD2F08" w:rsidRPr="00C417EA" w:rsidRDefault="00BD2F08" w:rsidP="002F3DF0">
            <w:pPr>
              <w:rPr>
                <w:sz w:val="20"/>
                <w:szCs w:val="20"/>
                <w:lang w:val="fr-CA"/>
              </w:rPr>
            </w:pPr>
            <w:r w:rsidRPr="00C417EA">
              <w:rPr>
                <w:sz w:val="20"/>
                <w:szCs w:val="20"/>
                <w:lang w:val="fr-CA"/>
              </w:rPr>
              <w:t>Coram :</w:t>
            </w:r>
          </w:p>
        </w:tc>
        <w:tc>
          <w:tcPr>
            <w:tcW w:w="8118" w:type="dxa"/>
          </w:tcPr>
          <w:p w:rsidR="00BD2F08" w:rsidRPr="00C417EA" w:rsidRDefault="00BD2F08" w:rsidP="002F3DF0">
            <w:pPr>
              <w:rPr>
                <w:sz w:val="20"/>
                <w:szCs w:val="20"/>
                <w:lang w:val="fr-CA"/>
              </w:rPr>
            </w:pPr>
            <w:r w:rsidRPr="00C417EA">
              <w:rPr>
                <w:rStyle w:val="SCCCoramChar"/>
                <w:sz w:val="20"/>
                <w:szCs w:val="20"/>
              </w:rPr>
              <w:t>Les juges Abella, Karakatsanis et Côté</w:t>
            </w:r>
          </w:p>
          <w:p w:rsidR="00BD2F08" w:rsidRPr="00C417EA" w:rsidRDefault="00BD2F08" w:rsidP="002F3DF0">
            <w:pPr>
              <w:rPr>
                <w:sz w:val="20"/>
                <w:szCs w:val="20"/>
                <w:u w:val="single"/>
                <w:lang w:val="fr-CA"/>
              </w:rPr>
            </w:pPr>
          </w:p>
        </w:tc>
      </w:tr>
      <w:tr w:rsidR="00BD2F08" w:rsidRPr="00C417EA" w:rsidTr="002F3DF0">
        <w:trPr>
          <w:cantSplit/>
        </w:trPr>
        <w:tc>
          <w:tcPr>
            <w:tcW w:w="9576" w:type="dxa"/>
            <w:gridSpan w:val="2"/>
          </w:tcPr>
          <w:p w:rsidR="00BD2F08" w:rsidRPr="00C417EA" w:rsidRDefault="00BD2F08" w:rsidP="002F3DF0">
            <w:pPr>
              <w:pStyle w:val="SCCShortJudgment"/>
              <w:rPr>
                <w:szCs w:val="20"/>
                <w:lang w:val="fr-CA"/>
              </w:rPr>
            </w:pPr>
            <w:r w:rsidRPr="00C417EA">
              <w:rPr>
                <w:szCs w:val="20"/>
                <w:lang w:val="fr-CA"/>
              </w:rPr>
              <w:t>La demande d’autorisation d’appel de l’arrêt de la Cour d’appel fédérale, numéro 14-A-66, daté du 5 décembre 2014, est rejetée avec dépens.</w:t>
            </w:r>
          </w:p>
          <w:p w:rsidR="00BD2F08" w:rsidRPr="00C417EA" w:rsidRDefault="00BD2F08" w:rsidP="002F3DF0">
            <w:pPr>
              <w:pStyle w:val="SCCShortJudgment"/>
              <w:ind w:firstLine="0"/>
              <w:rPr>
                <w:szCs w:val="20"/>
                <w:lang w:val="fr-CA"/>
              </w:rPr>
            </w:pPr>
          </w:p>
          <w:p w:rsidR="00BD2F08" w:rsidRPr="00C417EA" w:rsidRDefault="00BD2F08" w:rsidP="002F3DF0">
            <w:pPr>
              <w:pStyle w:val="SCCShortJudgment"/>
              <w:rPr>
                <w:szCs w:val="20"/>
              </w:rPr>
            </w:pPr>
            <w:r w:rsidRPr="00C417EA">
              <w:rPr>
                <w:szCs w:val="20"/>
              </w:rPr>
              <w:t>The application for leave to appeal from the judgment of the Federal Court of Appeal, Number 14-A-66, dated December 5, 2014, is dismissed with costs.</w:t>
            </w:r>
          </w:p>
        </w:tc>
      </w:tr>
    </w:tbl>
    <w:p w:rsidR="00233E21" w:rsidRDefault="00233E21" w:rsidP="00233E21">
      <w:pPr>
        <w:rPr>
          <w:sz w:val="20"/>
          <w:szCs w:val="20"/>
        </w:rPr>
      </w:pPr>
    </w:p>
    <w:p w:rsidR="00233E21" w:rsidRPr="001B157C" w:rsidRDefault="00233E21" w:rsidP="00233E21">
      <w:pPr>
        <w:rPr>
          <w:sz w:val="20"/>
          <w:szCs w:val="20"/>
          <w:u w:val="single"/>
        </w:rPr>
      </w:pPr>
      <w:r w:rsidRPr="001B157C">
        <w:rPr>
          <w:sz w:val="20"/>
          <w:szCs w:val="20"/>
          <w:u w:val="single"/>
        </w:rPr>
        <w:t>CASE SUMMARY</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371"/>
        <w:gridCol w:w="292"/>
        <w:gridCol w:w="4864"/>
      </w:tblGrid>
      <w:tr w:rsidR="003849AF" w:rsidRPr="00031974" w:rsidTr="00B243C4">
        <w:tc>
          <w:tcPr>
            <w:tcW w:w="5000" w:type="pct"/>
            <w:gridSpan w:val="3"/>
          </w:tcPr>
          <w:p w:rsidR="003849AF" w:rsidRPr="00031974" w:rsidRDefault="003849AF" w:rsidP="00B243C4">
            <w:pPr>
              <w:jc w:val="both"/>
              <w:rPr>
                <w:rFonts w:eastAsia="Calibri"/>
                <w:sz w:val="20"/>
              </w:rPr>
            </w:pPr>
            <w:r w:rsidRPr="00031974">
              <w:rPr>
                <w:rFonts w:eastAsia="Calibri"/>
                <w:sz w:val="20"/>
              </w:rPr>
              <w:t>Appeal – Civil procedure – Standard of review applicable to decision of appeal judges – Whether facts, taken as whole, disclose valid cause of action – Whether Supreme Court of Canada has jurisdiction over present action.</w:t>
            </w:r>
          </w:p>
        </w:tc>
      </w:tr>
      <w:tr w:rsidR="003849AF" w:rsidRPr="00031974" w:rsidTr="00B243C4">
        <w:tc>
          <w:tcPr>
            <w:tcW w:w="5000" w:type="pct"/>
            <w:gridSpan w:val="3"/>
          </w:tcPr>
          <w:p w:rsidR="003849AF" w:rsidRPr="00031974" w:rsidRDefault="003849AF" w:rsidP="00B243C4">
            <w:pPr>
              <w:jc w:val="both"/>
              <w:rPr>
                <w:rFonts w:eastAsia="Calibri"/>
                <w:sz w:val="20"/>
              </w:rPr>
            </w:pPr>
          </w:p>
        </w:tc>
      </w:tr>
      <w:tr w:rsidR="003849AF" w:rsidRPr="00031974" w:rsidTr="00B243C4">
        <w:tc>
          <w:tcPr>
            <w:tcW w:w="5000" w:type="pct"/>
            <w:gridSpan w:val="3"/>
          </w:tcPr>
          <w:p w:rsidR="003849AF" w:rsidRPr="00031974" w:rsidRDefault="003849AF" w:rsidP="00B243C4">
            <w:pPr>
              <w:jc w:val="both"/>
              <w:rPr>
                <w:rFonts w:eastAsia="Calibri"/>
                <w:sz w:val="20"/>
              </w:rPr>
            </w:pPr>
            <w:r w:rsidRPr="00031974">
              <w:rPr>
                <w:rFonts w:eastAsia="Calibri"/>
                <w:sz w:val="20"/>
              </w:rPr>
              <w:t>On February 24, 2012, the applicants filed their first statement of claim in the Federal Court (</w:t>
            </w:r>
            <w:r w:rsidRPr="00031974">
              <w:rPr>
                <w:rFonts w:eastAsia="Calibri"/>
                <w:b/>
                <w:sz w:val="20"/>
              </w:rPr>
              <w:t>docket T-420-12, “T-</w:t>
            </w:r>
            <w:r w:rsidRPr="00031974">
              <w:rPr>
                <w:rFonts w:eastAsia="Calibri"/>
                <w:b/>
                <w:sz w:val="20"/>
              </w:rPr>
              <w:lastRenderedPageBreak/>
              <w:t>420”</w:t>
            </w:r>
            <w:r w:rsidRPr="00031974">
              <w:rPr>
                <w:rFonts w:eastAsia="Calibri"/>
                <w:sz w:val="20"/>
              </w:rPr>
              <w:t>), in which they sought a declaratory order recognizing that they are non-status Indians who are members of a distinct Mi’kmaq community and holders of treaty and Aboriginal rights and Aboriginal title in lands spread across New Brunswick, Nova Scotia, Prince Edward Island and Quebec. They filed a second statement of claim on September 13, 2012 (</w:t>
            </w:r>
            <w:r w:rsidRPr="00031974">
              <w:rPr>
                <w:rFonts w:eastAsia="Calibri"/>
                <w:b/>
                <w:sz w:val="20"/>
              </w:rPr>
              <w:t>docket T-1692-12, “T-1692”</w:t>
            </w:r>
            <w:r w:rsidRPr="00031974">
              <w:rPr>
                <w:rFonts w:eastAsia="Calibri"/>
                <w:sz w:val="20"/>
              </w:rPr>
              <w:t xml:space="preserve">), containing the same facts and claims and adding some additional facts. </w:t>
            </w:r>
          </w:p>
          <w:p w:rsidR="003849AF" w:rsidRPr="00031974" w:rsidRDefault="003849AF" w:rsidP="00B243C4">
            <w:pPr>
              <w:jc w:val="both"/>
              <w:rPr>
                <w:rFonts w:eastAsia="Calibri"/>
                <w:sz w:val="20"/>
              </w:rPr>
            </w:pPr>
          </w:p>
        </w:tc>
      </w:tr>
      <w:tr w:rsidR="003849AF" w:rsidRPr="00031974" w:rsidTr="00B243C4">
        <w:tc>
          <w:tcPr>
            <w:tcW w:w="2294" w:type="pct"/>
          </w:tcPr>
          <w:p w:rsidR="003849AF" w:rsidRPr="00031974" w:rsidRDefault="003849AF" w:rsidP="00B243C4">
            <w:pPr>
              <w:jc w:val="both"/>
              <w:rPr>
                <w:rFonts w:eastAsia="Calibri"/>
                <w:sz w:val="20"/>
              </w:rPr>
            </w:pPr>
            <w:r w:rsidRPr="00031974">
              <w:rPr>
                <w:rFonts w:eastAsia="Calibri"/>
                <w:sz w:val="20"/>
              </w:rPr>
              <w:lastRenderedPageBreak/>
              <w:t>February 22, 2013</w:t>
            </w:r>
          </w:p>
          <w:p w:rsidR="003849AF" w:rsidRPr="00031974" w:rsidRDefault="003849AF" w:rsidP="00B243C4">
            <w:pPr>
              <w:jc w:val="both"/>
              <w:rPr>
                <w:rFonts w:eastAsia="Calibri"/>
                <w:sz w:val="20"/>
              </w:rPr>
            </w:pPr>
            <w:r w:rsidRPr="00031974">
              <w:rPr>
                <w:rFonts w:eastAsia="Calibri"/>
                <w:sz w:val="20"/>
              </w:rPr>
              <w:t>Federal Court</w:t>
            </w:r>
          </w:p>
          <w:p w:rsidR="003849AF" w:rsidRPr="00031974" w:rsidRDefault="003849AF" w:rsidP="00B243C4">
            <w:pPr>
              <w:jc w:val="both"/>
              <w:rPr>
                <w:rFonts w:eastAsia="Calibri"/>
                <w:sz w:val="20"/>
              </w:rPr>
            </w:pPr>
            <w:r w:rsidRPr="00031974">
              <w:rPr>
                <w:rFonts w:eastAsia="Calibri"/>
                <w:sz w:val="20"/>
              </w:rPr>
              <w:t>(Boivin J.)</w:t>
            </w:r>
          </w:p>
        </w:tc>
        <w:tc>
          <w:tcPr>
            <w:tcW w:w="153" w:type="pct"/>
          </w:tcPr>
          <w:p w:rsidR="003849AF" w:rsidRPr="00031974" w:rsidRDefault="003849AF" w:rsidP="00B243C4">
            <w:pPr>
              <w:jc w:val="both"/>
              <w:rPr>
                <w:rFonts w:eastAsia="Calibri"/>
                <w:sz w:val="20"/>
              </w:rPr>
            </w:pPr>
          </w:p>
        </w:tc>
        <w:tc>
          <w:tcPr>
            <w:tcW w:w="2553" w:type="pct"/>
          </w:tcPr>
          <w:p w:rsidR="003849AF" w:rsidRPr="00031974" w:rsidRDefault="003849AF" w:rsidP="00B243C4">
            <w:pPr>
              <w:jc w:val="both"/>
              <w:rPr>
                <w:rFonts w:eastAsia="Calibri"/>
                <w:sz w:val="20"/>
              </w:rPr>
            </w:pPr>
            <w:r w:rsidRPr="00031974">
              <w:rPr>
                <w:rFonts w:eastAsia="Calibri"/>
                <w:sz w:val="20"/>
              </w:rPr>
              <w:t>Applicants’ motion to quash decision of prothonotary dated November 9, 2012 (docket </w:t>
            </w:r>
            <w:r w:rsidRPr="00031974">
              <w:rPr>
                <w:rFonts w:eastAsia="Calibri"/>
                <w:b/>
                <w:sz w:val="20"/>
              </w:rPr>
              <w:t>T-1692</w:t>
            </w:r>
            <w:r w:rsidRPr="00031974">
              <w:rPr>
                <w:rFonts w:eastAsia="Calibri"/>
                <w:sz w:val="20"/>
              </w:rPr>
              <w:t>), allowing motion to strike and striking statement of claim without possibility of amendment, dismissed</w:t>
            </w:r>
          </w:p>
          <w:p w:rsidR="003849AF" w:rsidRPr="00031974" w:rsidRDefault="003849AF" w:rsidP="00B243C4">
            <w:pPr>
              <w:jc w:val="both"/>
              <w:rPr>
                <w:rFonts w:eastAsia="Calibri"/>
                <w:sz w:val="20"/>
              </w:rPr>
            </w:pPr>
          </w:p>
        </w:tc>
      </w:tr>
      <w:tr w:rsidR="003849AF" w:rsidRPr="00031974" w:rsidTr="00B243C4">
        <w:tc>
          <w:tcPr>
            <w:tcW w:w="2294" w:type="pct"/>
          </w:tcPr>
          <w:p w:rsidR="003849AF" w:rsidRPr="00031974" w:rsidRDefault="003849AF" w:rsidP="00B243C4">
            <w:pPr>
              <w:jc w:val="both"/>
              <w:rPr>
                <w:rFonts w:eastAsia="Calibri"/>
                <w:sz w:val="20"/>
              </w:rPr>
            </w:pPr>
            <w:r w:rsidRPr="00031974">
              <w:rPr>
                <w:rFonts w:eastAsia="Calibri"/>
                <w:sz w:val="20"/>
              </w:rPr>
              <w:t>April 9, 2013</w:t>
            </w:r>
          </w:p>
          <w:p w:rsidR="003849AF" w:rsidRPr="00031974" w:rsidRDefault="003849AF" w:rsidP="00B243C4">
            <w:pPr>
              <w:jc w:val="both"/>
              <w:rPr>
                <w:rFonts w:eastAsia="Calibri"/>
                <w:sz w:val="20"/>
              </w:rPr>
            </w:pPr>
            <w:r w:rsidRPr="00031974">
              <w:rPr>
                <w:rFonts w:eastAsia="Calibri"/>
                <w:sz w:val="20"/>
              </w:rPr>
              <w:t>Federal Court</w:t>
            </w:r>
          </w:p>
          <w:p w:rsidR="003849AF" w:rsidRPr="00031974" w:rsidRDefault="003849AF" w:rsidP="00B243C4">
            <w:pPr>
              <w:jc w:val="both"/>
              <w:rPr>
                <w:rFonts w:eastAsia="Calibri"/>
                <w:sz w:val="20"/>
              </w:rPr>
            </w:pPr>
            <w:r w:rsidRPr="00031974">
              <w:rPr>
                <w:rFonts w:eastAsia="Calibri"/>
                <w:sz w:val="20"/>
              </w:rPr>
              <w:t>(Martineau J.)</w:t>
            </w:r>
          </w:p>
        </w:tc>
        <w:tc>
          <w:tcPr>
            <w:tcW w:w="153" w:type="pct"/>
          </w:tcPr>
          <w:p w:rsidR="003849AF" w:rsidRPr="00031974" w:rsidRDefault="003849AF" w:rsidP="00B243C4">
            <w:pPr>
              <w:jc w:val="both"/>
              <w:rPr>
                <w:rFonts w:eastAsia="Calibri"/>
                <w:sz w:val="20"/>
              </w:rPr>
            </w:pPr>
          </w:p>
        </w:tc>
        <w:tc>
          <w:tcPr>
            <w:tcW w:w="2553" w:type="pct"/>
          </w:tcPr>
          <w:p w:rsidR="003849AF" w:rsidRPr="00031974" w:rsidRDefault="003849AF" w:rsidP="00B243C4">
            <w:pPr>
              <w:jc w:val="both"/>
              <w:rPr>
                <w:rFonts w:eastAsia="Calibri"/>
                <w:sz w:val="20"/>
              </w:rPr>
            </w:pPr>
            <w:r w:rsidRPr="00031974">
              <w:rPr>
                <w:rFonts w:eastAsia="Calibri"/>
                <w:sz w:val="20"/>
              </w:rPr>
              <w:t>Motion for extension of time to appeal decision of prothonotary dated July 17, 2012 (docket </w:t>
            </w:r>
            <w:r w:rsidRPr="00031974">
              <w:rPr>
                <w:rFonts w:eastAsia="Calibri"/>
                <w:b/>
                <w:sz w:val="20"/>
              </w:rPr>
              <w:t>T-420),</w:t>
            </w:r>
            <w:r w:rsidRPr="00031974">
              <w:rPr>
                <w:rFonts w:eastAsia="Calibri"/>
                <w:sz w:val="20"/>
              </w:rPr>
              <w:t xml:space="preserve"> allowing respondent’s motion to strike applicants’ amended statement of claim allowed in part; notice of appeal and appeal book to be served and filed within 30 days</w:t>
            </w:r>
          </w:p>
          <w:p w:rsidR="003849AF" w:rsidRPr="00031974" w:rsidRDefault="003849AF" w:rsidP="00B243C4">
            <w:pPr>
              <w:jc w:val="both"/>
              <w:rPr>
                <w:rFonts w:eastAsia="Calibri"/>
                <w:sz w:val="20"/>
              </w:rPr>
            </w:pPr>
          </w:p>
        </w:tc>
      </w:tr>
      <w:tr w:rsidR="003849AF" w:rsidRPr="00031974" w:rsidTr="00B243C4">
        <w:tc>
          <w:tcPr>
            <w:tcW w:w="2294" w:type="pct"/>
          </w:tcPr>
          <w:p w:rsidR="003849AF" w:rsidRPr="00031974" w:rsidRDefault="003849AF" w:rsidP="00B243C4">
            <w:pPr>
              <w:jc w:val="both"/>
              <w:rPr>
                <w:rFonts w:eastAsia="Calibri"/>
                <w:sz w:val="20"/>
              </w:rPr>
            </w:pPr>
            <w:r w:rsidRPr="00031974">
              <w:rPr>
                <w:rFonts w:eastAsia="Calibri"/>
                <w:sz w:val="20"/>
              </w:rPr>
              <w:t>August 1, 2013</w:t>
            </w:r>
          </w:p>
          <w:p w:rsidR="003849AF" w:rsidRPr="00031974" w:rsidRDefault="003849AF" w:rsidP="00B243C4">
            <w:pPr>
              <w:jc w:val="both"/>
              <w:rPr>
                <w:rFonts w:eastAsia="Calibri"/>
                <w:sz w:val="20"/>
              </w:rPr>
            </w:pPr>
            <w:r w:rsidRPr="00031974">
              <w:rPr>
                <w:rFonts w:eastAsia="Calibri"/>
                <w:sz w:val="20"/>
              </w:rPr>
              <w:t>Federal Court</w:t>
            </w:r>
          </w:p>
          <w:p w:rsidR="003849AF" w:rsidRPr="00031974" w:rsidRDefault="003849AF" w:rsidP="00B243C4">
            <w:pPr>
              <w:jc w:val="both"/>
              <w:rPr>
                <w:rFonts w:eastAsia="Calibri"/>
                <w:sz w:val="20"/>
              </w:rPr>
            </w:pPr>
            <w:r w:rsidRPr="00031974">
              <w:rPr>
                <w:rFonts w:eastAsia="Calibri"/>
                <w:sz w:val="20"/>
              </w:rPr>
              <w:t>(Gagné J.)</w:t>
            </w:r>
          </w:p>
        </w:tc>
        <w:tc>
          <w:tcPr>
            <w:tcW w:w="153" w:type="pct"/>
          </w:tcPr>
          <w:p w:rsidR="003849AF" w:rsidRPr="00031974" w:rsidRDefault="003849AF" w:rsidP="00B243C4">
            <w:pPr>
              <w:jc w:val="both"/>
              <w:rPr>
                <w:rFonts w:eastAsia="Calibri"/>
                <w:sz w:val="20"/>
              </w:rPr>
            </w:pPr>
          </w:p>
        </w:tc>
        <w:tc>
          <w:tcPr>
            <w:tcW w:w="2553" w:type="pct"/>
          </w:tcPr>
          <w:p w:rsidR="003849AF" w:rsidRPr="00031974" w:rsidRDefault="003849AF" w:rsidP="00B243C4">
            <w:pPr>
              <w:jc w:val="both"/>
              <w:rPr>
                <w:rFonts w:eastAsia="Calibri"/>
                <w:sz w:val="20"/>
              </w:rPr>
            </w:pPr>
            <w:r w:rsidRPr="00031974">
              <w:rPr>
                <w:rFonts w:eastAsia="Calibri"/>
                <w:sz w:val="20"/>
              </w:rPr>
              <w:t>Applicants’ motion in appeal from decision of prothonotary dated July 17, 2012 (docket </w:t>
            </w:r>
            <w:r w:rsidRPr="00031974">
              <w:rPr>
                <w:rFonts w:eastAsia="Calibri"/>
                <w:b/>
                <w:sz w:val="20"/>
              </w:rPr>
              <w:t>T-420),</w:t>
            </w:r>
            <w:r w:rsidRPr="00031974">
              <w:rPr>
                <w:rFonts w:eastAsia="Calibri"/>
                <w:sz w:val="20"/>
              </w:rPr>
              <w:t xml:space="preserve"> allowing respondent’s motion to strike their amended statement of claim dismissed </w:t>
            </w:r>
          </w:p>
          <w:p w:rsidR="003849AF" w:rsidRPr="00031974" w:rsidRDefault="003849AF" w:rsidP="00B243C4">
            <w:pPr>
              <w:jc w:val="both"/>
              <w:rPr>
                <w:rFonts w:eastAsia="Calibri"/>
                <w:sz w:val="20"/>
              </w:rPr>
            </w:pPr>
          </w:p>
        </w:tc>
      </w:tr>
      <w:tr w:rsidR="003849AF" w:rsidRPr="00031974" w:rsidTr="00B243C4">
        <w:tc>
          <w:tcPr>
            <w:tcW w:w="2294" w:type="pct"/>
          </w:tcPr>
          <w:p w:rsidR="003849AF" w:rsidRPr="00031974" w:rsidRDefault="003849AF" w:rsidP="00B243C4">
            <w:pPr>
              <w:jc w:val="both"/>
              <w:rPr>
                <w:rFonts w:eastAsia="Calibri"/>
                <w:sz w:val="20"/>
              </w:rPr>
            </w:pPr>
            <w:r w:rsidRPr="00031974">
              <w:rPr>
                <w:rFonts w:eastAsia="Calibri"/>
                <w:sz w:val="20"/>
              </w:rPr>
              <w:t>September 10, 2014</w:t>
            </w:r>
          </w:p>
          <w:p w:rsidR="003849AF" w:rsidRPr="00031974" w:rsidRDefault="003849AF" w:rsidP="00B243C4">
            <w:pPr>
              <w:jc w:val="both"/>
              <w:rPr>
                <w:rFonts w:eastAsia="Calibri"/>
                <w:sz w:val="20"/>
              </w:rPr>
            </w:pPr>
            <w:r w:rsidRPr="00031974">
              <w:rPr>
                <w:rFonts w:eastAsia="Calibri"/>
                <w:sz w:val="20"/>
              </w:rPr>
              <w:t>Federal Court of Appeal</w:t>
            </w:r>
          </w:p>
          <w:p w:rsidR="003849AF" w:rsidRPr="00031974" w:rsidRDefault="003849AF" w:rsidP="00B243C4">
            <w:pPr>
              <w:jc w:val="both"/>
              <w:rPr>
                <w:rFonts w:eastAsia="Calibri"/>
                <w:sz w:val="20"/>
              </w:rPr>
            </w:pPr>
            <w:r w:rsidRPr="00031974">
              <w:rPr>
                <w:rFonts w:eastAsia="Calibri"/>
                <w:sz w:val="20"/>
              </w:rPr>
              <w:t>(Nadon, Trudel and Scott JJ.A.)</w:t>
            </w:r>
          </w:p>
          <w:p w:rsidR="003849AF" w:rsidRPr="00031974" w:rsidRDefault="003849AF" w:rsidP="00B243C4">
            <w:pPr>
              <w:jc w:val="both"/>
              <w:rPr>
                <w:rFonts w:eastAsia="Calibri"/>
                <w:sz w:val="20"/>
              </w:rPr>
            </w:pPr>
          </w:p>
        </w:tc>
        <w:tc>
          <w:tcPr>
            <w:tcW w:w="153" w:type="pct"/>
          </w:tcPr>
          <w:p w:rsidR="003849AF" w:rsidRPr="00031974" w:rsidRDefault="003849AF" w:rsidP="00B243C4">
            <w:pPr>
              <w:jc w:val="both"/>
              <w:rPr>
                <w:rFonts w:eastAsia="Calibri"/>
                <w:sz w:val="20"/>
              </w:rPr>
            </w:pPr>
          </w:p>
        </w:tc>
        <w:tc>
          <w:tcPr>
            <w:tcW w:w="2553" w:type="pct"/>
          </w:tcPr>
          <w:p w:rsidR="003849AF" w:rsidRPr="00031974" w:rsidRDefault="003849AF" w:rsidP="00B243C4">
            <w:pPr>
              <w:jc w:val="both"/>
              <w:rPr>
                <w:rFonts w:eastAsia="Calibri"/>
                <w:color w:val="000000"/>
                <w:sz w:val="20"/>
              </w:rPr>
            </w:pPr>
            <w:r w:rsidRPr="00031974">
              <w:rPr>
                <w:rFonts w:eastAsia="Calibri"/>
                <w:color w:val="000000"/>
                <w:sz w:val="20"/>
              </w:rPr>
              <w:t>Appeal allowed: decision of Federal Court dated August 1, 2013 (docket No. </w:t>
            </w:r>
            <w:r w:rsidRPr="00031974">
              <w:rPr>
                <w:rFonts w:eastAsia="Calibri"/>
                <w:b/>
                <w:color w:val="000000"/>
                <w:sz w:val="20"/>
              </w:rPr>
              <w:t>T-420</w:t>
            </w:r>
            <w:r w:rsidRPr="00031974">
              <w:rPr>
                <w:rFonts w:eastAsia="Calibri"/>
                <w:color w:val="000000"/>
                <w:sz w:val="20"/>
              </w:rPr>
              <w:t>), reversed and decision of prothonotary dated July 17, 2012, restored</w:t>
            </w:r>
          </w:p>
          <w:p w:rsidR="003849AF" w:rsidRPr="00031974" w:rsidRDefault="003849AF" w:rsidP="00B243C4">
            <w:pPr>
              <w:jc w:val="both"/>
              <w:rPr>
                <w:rFonts w:eastAsia="Calibri"/>
                <w:sz w:val="20"/>
              </w:rPr>
            </w:pPr>
          </w:p>
        </w:tc>
      </w:tr>
      <w:tr w:rsidR="003849AF" w:rsidRPr="00031974" w:rsidTr="00B243C4">
        <w:tc>
          <w:tcPr>
            <w:tcW w:w="2294" w:type="pct"/>
          </w:tcPr>
          <w:p w:rsidR="003849AF" w:rsidRPr="00031974" w:rsidRDefault="003849AF" w:rsidP="00B243C4">
            <w:pPr>
              <w:jc w:val="both"/>
              <w:rPr>
                <w:rFonts w:eastAsia="Calibri"/>
                <w:sz w:val="20"/>
              </w:rPr>
            </w:pPr>
            <w:r w:rsidRPr="00031974">
              <w:rPr>
                <w:rFonts w:eastAsia="Calibri"/>
                <w:sz w:val="20"/>
              </w:rPr>
              <w:t>December 5, 2014</w:t>
            </w:r>
          </w:p>
          <w:p w:rsidR="003849AF" w:rsidRPr="00031974" w:rsidRDefault="003849AF" w:rsidP="00B243C4">
            <w:pPr>
              <w:jc w:val="both"/>
              <w:rPr>
                <w:rFonts w:eastAsia="Calibri"/>
                <w:sz w:val="20"/>
              </w:rPr>
            </w:pPr>
            <w:r w:rsidRPr="00031974">
              <w:rPr>
                <w:rFonts w:eastAsia="Calibri"/>
                <w:sz w:val="20"/>
              </w:rPr>
              <w:t xml:space="preserve">Federal Court of Appeal </w:t>
            </w:r>
          </w:p>
          <w:p w:rsidR="003849AF" w:rsidRPr="00031974" w:rsidRDefault="003849AF" w:rsidP="00B243C4">
            <w:pPr>
              <w:jc w:val="both"/>
              <w:rPr>
                <w:rFonts w:eastAsia="Calibri"/>
                <w:sz w:val="20"/>
              </w:rPr>
            </w:pPr>
            <w:r w:rsidRPr="00031974">
              <w:rPr>
                <w:rFonts w:eastAsia="Calibri"/>
                <w:sz w:val="20"/>
              </w:rPr>
              <w:t>(Nadon J.A.)</w:t>
            </w:r>
          </w:p>
          <w:p w:rsidR="003849AF" w:rsidRPr="00031974" w:rsidRDefault="003849AF" w:rsidP="00B243C4">
            <w:pPr>
              <w:jc w:val="both"/>
              <w:rPr>
                <w:rFonts w:eastAsia="Calibri"/>
                <w:sz w:val="20"/>
              </w:rPr>
            </w:pPr>
          </w:p>
        </w:tc>
        <w:tc>
          <w:tcPr>
            <w:tcW w:w="153" w:type="pct"/>
          </w:tcPr>
          <w:p w:rsidR="003849AF" w:rsidRPr="00031974" w:rsidRDefault="003849AF" w:rsidP="00B243C4">
            <w:pPr>
              <w:jc w:val="both"/>
              <w:rPr>
                <w:rFonts w:eastAsia="Calibri"/>
                <w:sz w:val="20"/>
              </w:rPr>
            </w:pPr>
          </w:p>
        </w:tc>
        <w:tc>
          <w:tcPr>
            <w:tcW w:w="2553" w:type="pct"/>
          </w:tcPr>
          <w:p w:rsidR="003849AF" w:rsidRPr="00031974" w:rsidRDefault="003849AF" w:rsidP="00B243C4">
            <w:pPr>
              <w:jc w:val="both"/>
              <w:rPr>
                <w:rFonts w:eastAsia="Calibri"/>
                <w:sz w:val="20"/>
              </w:rPr>
            </w:pPr>
            <w:r w:rsidRPr="00031974">
              <w:rPr>
                <w:rFonts w:eastAsia="Calibri"/>
                <w:sz w:val="20"/>
              </w:rPr>
              <w:t>Motion for extension of time to appeal from order to strike of Boivin J. (docket No. </w:t>
            </w:r>
            <w:r w:rsidRPr="00031974">
              <w:rPr>
                <w:rFonts w:eastAsia="Calibri"/>
                <w:b/>
                <w:sz w:val="20"/>
              </w:rPr>
              <w:t>T-1692</w:t>
            </w:r>
            <w:r w:rsidRPr="00031974">
              <w:rPr>
                <w:rFonts w:eastAsia="Calibri"/>
                <w:sz w:val="20"/>
              </w:rPr>
              <w:t>) dismissed</w:t>
            </w:r>
          </w:p>
          <w:p w:rsidR="003849AF" w:rsidRPr="00031974" w:rsidRDefault="003849AF" w:rsidP="00B243C4">
            <w:pPr>
              <w:jc w:val="both"/>
              <w:rPr>
                <w:rFonts w:eastAsia="Calibri"/>
                <w:sz w:val="20"/>
              </w:rPr>
            </w:pPr>
          </w:p>
        </w:tc>
      </w:tr>
      <w:tr w:rsidR="003849AF" w:rsidRPr="00031974" w:rsidTr="00B243C4">
        <w:tc>
          <w:tcPr>
            <w:tcW w:w="2294" w:type="pct"/>
          </w:tcPr>
          <w:p w:rsidR="003849AF" w:rsidRPr="00031974" w:rsidRDefault="003849AF" w:rsidP="00B243C4">
            <w:pPr>
              <w:jc w:val="both"/>
              <w:rPr>
                <w:rFonts w:eastAsia="Calibri"/>
                <w:sz w:val="20"/>
              </w:rPr>
            </w:pPr>
            <w:r w:rsidRPr="00031974">
              <w:rPr>
                <w:rFonts w:eastAsia="Calibri"/>
                <w:sz w:val="20"/>
              </w:rPr>
              <w:t>December 31, 2014</w:t>
            </w:r>
          </w:p>
          <w:p w:rsidR="003849AF" w:rsidRPr="00031974" w:rsidRDefault="003849AF" w:rsidP="00B243C4">
            <w:pPr>
              <w:jc w:val="both"/>
              <w:rPr>
                <w:rFonts w:eastAsia="Calibri"/>
                <w:sz w:val="20"/>
              </w:rPr>
            </w:pPr>
            <w:r w:rsidRPr="00031974">
              <w:rPr>
                <w:rFonts w:eastAsia="Calibri"/>
                <w:sz w:val="20"/>
              </w:rPr>
              <w:t>Supreme Court of Canada</w:t>
            </w:r>
          </w:p>
        </w:tc>
        <w:tc>
          <w:tcPr>
            <w:tcW w:w="153" w:type="pct"/>
          </w:tcPr>
          <w:p w:rsidR="003849AF" w:rsidRPr="00031974" w:rsidRDefault="003849AF" w:rsidP="00B243C4">
            <w:pPr>
              <w:jc w:val="both"/>
              <w:rPr>
                <w:rFonts w:eastAsia="Calibri"/>
                <w:sz w:val="20"/>
              </w:rPr>
            </w:pPr>
          </w:p>
        </w:tc>
        <w:tc>
          <w:tcPr>
            <w:tcW w:w="2553" w:type="pct"/>
          </w:tcPr>
          <w:p w:rsidR="003849AF" w:rsidRPr="00031974" w:rsidRDefault="003849AF" w:rsidP="00B243C4">
            <w:pPr>
              <w:jc w:val="both"/>
              <w:rPr>
                <w:rFonts w:eastAsia="Calibri"/>
                <w:b/>
                <w:sz w:val="20"/>
              </w:rPr>
            </w:pPr>
            <w:r w:rsidRPr="00031974">
              <w:rPr>
                <w:rFonts w:eastAsia="Calibri"/>
                <w:sz w:val="20"/>
              </w:rPr>
              <w:t>Extension of time to serve and file application for leave and amended application for leave filed (docket </w:t>
            </w:r>
            <w:r w:rsidRPr="00031974">
              <w:rPr>
                <w:rFonts w:eastAsia="Calibri"/>
                <w:b/>
                <w:sz w:val="20"/>
              </w:rPr>
              <w:t>T-1692)</w:t>
            </w:r>
          </w:p>
          <w:p w:rsidR="003849AF" w:rsidRPr="00031974" w:rsidRDefault="003849AF" w:rsidP="00B243C4">
            <w:pPr>
              <w:jc w:val="both"/>
              <w:rPr>
                <w:rFonts w:eastAsia="Calibri"/>
                <w:sz w:val="20"/>
              </w:rPr>
            </w:pPr>
          </w:p>
        </w:tc>
      </w:tr>
      <w:tr w:rsidR="003849AF" w:rsidRPr="00031974" w:rsidTr="00B243C4">
        <w:tc>
          <w:tcPr>
            <w:tcW w:w="2294" w:type="pct"/>
          </w:tcPr>
          <w:p w:rsidR="003849AF" w:rsidRPr="00031974" w:rsidRDefault="003849AF" w:rsidP="00B243C4">
            <w:pPr>
              <w:jc w:val="both"/>
              <w:rPr>
                <w:rFonts w:eastAsia="Calibri"/>
                <w:sz w:val="20"/>
              </w:rPr>
            </w:pPr>
            <w:r w:rsidRPr="00031974">
              <w:rPr>
                <w:rFonts w:eastAsia="Calibri"/>
                <w:sz w:val="20"/>
              </w:rPr>
              <w:t>January 12, 2015</w:t>
            </w:r>
          </w:p>
          <w:p w:rsidR="003849AF" w:rsidRPr="00031974" w:rsidRDefault="003849AF" w:rsidP="00B243C4">
            <w:pPr>
              <w:jc w:val="both"/>
              <w:rPr>
                <w:rFonts w:eastAsia="Calibri"/>
                <w:sz w:val="20"/>
              </w:rPr>
            </w:pPr>
            <w:r w:rsidRPr="00031974">
              <w:rPr>
                <w:rFonts w:eastAsia="Calibri"/>
                <w:sz w:val="20"/>
              </w:rPr>
              <w:t>Supreme Court of Canada</w:t>
            </w:r>
          </w:p>
        </w:tc>
        <w:tc>
          <w:tcPr>
            <w:tcW w:w="153" w:type="pct"/>
          </w:tcPr>
          <w:p w:rsidR="003849AF" w:rsidRPr="00031974" w:rsidRDefault="003849AF" w:rsidP="00B243C4">
            <w:pPr>
              <w:jc w:val="both"/>
              <w:rPr>
                <w:rFonts w:eastAsia="Calibri"/>
                <w:sz w:val="20"/>
              </w:rPr>
            </w:pPr>
          </w:p>
        </w:tc>
        <w:tc>
          <w:tcPr>
            <w:tcW w:w="2553" w:type="pct"/>
          </w:tcPr>
          <w:p w:rsidR="003849AF" w:rsidRPr="00031974" w:rsidRDefault="003849AF" w:rsidP="00B243C4">
            <w:pPr>
              <w:jc w:val="both"/>
              <w:rPr>
                <w:rFonts w:eastAsia="Calibri"/>
                <w:sz w:val="20"/>
              </w:rPr>
            </w:pPr>
            <w:r w:rsidRPr="00031974">
              <w:rPr>
                <w:rFonts w:eastAsia="Calibri"/>
                <w:sz w:val="20"/>
              </w:rPr>
              <w:t>Extension of time to serve and file application for leave and amended application for leave filed  (docket </w:t>
            </w:r>
            <w:r w:rsidRPr="00031974">
              <w:rPr>
                <w:rFonts w:eastAsia="Calibri"/>
                <w:b/>
                <w:sz w:val="20"/>
              </w:rPr>
              <w:t>T-1692)</w:t>
            </w:r>
          </w:p>
        </w:tc>
      </w:tr>
    </w:tbl>
    <w:p w:rsidR="00233E21" w:rsidRDefault="00233E21" w:rsidP="00233E21">
      <w:pPr>
        <w:rPr>
          <w:sz w:val="20"/>
          <w:szCs w:val="20"/>
        </w:rPr>
      </w:pPr>
    </w:p>
    <w:p w:rsidR="00233E21" w:rsidRPr="00C50A5C" w:rsidRDefault="00790981" w:rsidP="00233E21">
      <w:pPr>
        <w:rPr>
          <w:sz w:val="20"/>
          <w:szCs w:val="20"/>
        </w:rPr>
      </w:pPr>
      <w:r>
        <w:rPr>
          <w:sz w:val="20"/>
          <w:szCs w:val="20"/>
          <w:lang w:val="fr-CA"/>
        </w:rPr>
        <w:pict>
          <v:rect id="_x0000_i1057" style="width:2in;height:1pt" o:hrpct="0" o:hralign="center" o:hrstd="t" o:hrnoshade="t" o:hr="t" fillcolor="black [3213]" stroked="f"/>
        </w:pict>
      </w:r>
    </w:p>
    <w:p w:rsidR="00233E21" w:rsidRDefault="00233E21" w:rsidP="00233E21">
      <w:pPr>
        <w:rPr>
          <w:sz w:val="20"/>
          <w:szCs w:val="20"/>
        </w:rPr>
      </w:pPr>
    </w:p>
    <w:p w:rsidR="00233E21" w:rsidRPr="001B157C" w:rsidRDefault="00233E21" w:rsidP="00233E21">
      <w:pPr>
        <w:rPr>
          <w:sz w:val="20"/>
          <w:szCs w:val="20"/>
          <w:u w:val="single"/>
          <w:lang w:val="fr-CA"/>
        </w:rPr>
      </w:pPr>
      <w:r w:rsidRPr="001B157C">
        <w:rPr>
          <w:sz w:val="20"/>
          <w:szCs w:val="20"/>
          <w:u w:val="single"/>
          <w:lang w:val="fr-CA"/>
        </w:rPr>
        <w:t>RÉSUMÉ DE L’AFFAIRE</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371"/>
        <w:gridCol w:w="292"/>
        <w:gridCol w:w="4864"/>
      </w:tblGrid>
      <w:tr w:rsidR="003849AF" w:rsidRPr="002B2DB4" w:rsidTr="00B243C4">
        <w:tc>
          <w:tcPr>
            <w:tcW w:w="5000" w:type="pct"/>
            <w:gridSpan w:val="3"/>
          </w:tcPr>
          <w:p w:rsidR="003849AF" w:rsidRPr="00031974" w:rsidRDefault="003849AF" w:rsidP="00B243C4">
            <w:pPr>
              <w:jc w:val="both"/>
              <w:rPr>
                <w:sz w:val="20"/>
                <w:lang w:val="fr-CA"/>
              </w:rPr>
            </w:pPr>
            <w:r w:rsidRPr="00031974">
              <w:rPr>
                <w:sz w:val="20"/>
                <w:lang w:val="fr-CA"/>
              </w:rPr>
              <w:t>Appel – Procédure civile – Quelle est la norme de contrôle applicable à la décision des juges de l’appel? – Les faits, pris dans leur ensemble, révèlent-ils une cause d’action valable? – La Cour suprême du Canada a-t-elle compétence sur la présente action?</w:t>
            </w:r>
          </w:p>
        </w:tc>
      </w:tr>
      <w:tr w:rsidR="003849AF" w:rsidRPr="002B2DB4" w:rsidTr="00B243C4">
        <w:tc>
          <w:tcPr>
            <w:tcW w:w="5000" w:type="pct"/>
            <w:gridSpan w:val="3"/>
          </w:tcPr>
          <w:p w:rsidR="003849AF" w:rsidRPr="00031974" w:rsidRDefault="003849AF" w:rsidP="00B243C4">
            <w:pPr>
              <w:jc w:val="both"/>
              <w:rPr>
                <w:sz w:val="20"/>
                <w:lang w:val="fr-CA"/>
              </w:rPr>
            </w:pPr>
          </w:p>
        </w:tc>
      </w:tr>
      <w:tr w:rsidR="003849AF" w:rsidRPr="002B2DB4" w:rsidTr="00B243C4">
        <w:tc>
          <w:tcPr>
            <w:tcW w:w="5000" w:type="pct"/>
            <w:gridSpan w:val="3"/>
          </w:tcPr>
          <w:p w:rsidR="003849AF" w:rsidRPr="00031974" w:rsidRDefault="003849AF" w:rsidP="00B243C4">
            <w:pPr>
              <w:jc w:val="both"/>
              <w:rPr>
                <w:sz w:val="20"/>
                <w:lang w:val="fr-CA"/>
              </w:rPr>
            </w:pPr>
            <w:r w:rsidRPr="00031974">
              <w:rPr>
                <w:sz w:val="20"/>
                <w:lang w:val="fr-CA"/>
              </w:rPr>
              <w:t>Le 24 février 2012, les demandeurs déposent une première déclaration à la Cour fédérale (</w:t>
            </w:r>
            <w:r w:rsidRPr="00031974">
              <w:rPr>
                <w:b/>
                <w:sz w:val="20"/>
                <w:lang w:val="fr-CA"/>
              </w:rPr>
              <w:t>dossier T-420-12 « T-420 »</w:t>
            </w:r>
            <w:r w:rsidRPr="00031974">
              <w:rPr>
                <w:sz w:val="20"/>
                <w:lang w:val="fr-CA"/>
              </w:rPr>
              <w:t>) dans lequel ils recherchent une ordonnance déclaratoire reconnaissant qu’ils sont des indiens non-inscrits, membres d’une communauté Mi`kmaq distincte, et titulaires de droits de traités, ancestraux, et de titres partagés sur le territoire du Nouveau-Brunswick, de la Nouvelle-Écosse, de l’Île-du-Prince-Édouard et du Québec.  Une deuxième déclaration est déposée le 13 septembre 2012 (</w:t>
            </w:r>
            <w:r w:rsidRPr="00031974">
              <w:rPr>
                <w:b/>
                <w:sz w:val="20"/>
                <w:lang w:val="fr-CA"/>
              </w:rPr>
              <w:t>dossier T-1692-12 « T-1692 »</w:t>
            </w:r>
            <w:r w:rsidRPr="00031974">
              <w:rPr>
                <w:sz w:val="20"/>
                <w:lang w:val="fr-CA"/>
              </w:rPr>
              <w:t>), contenant les mêmes faits et revendications et en ajoutant des faits supplémentaires.</w:t>
            </w:r>
          </w:p>
          <w:p w:rsidR="003849AF" w:rsidRPr="00031974" w:rsidRDefault="003849AF" w:rsidP="00B243C4">
            <w:pPr>
              <w:jc w:val="both"/>
              <w:rPr>
                <w:sz w:val="20"/>
                <w:lang w:val="fr-CA"/>
              </w:rPr>
            </w:pPr>
          </w:p>
        </w:tc>
      </w:tr>
      <w:tr w:rsidR="003849AF" w:rsidRPr="002B2DB4" w:rsidTr="00B243C4">
        <w:tc>
          <w:tcPr>
            <w:tcW w:w="2294" w:type="pct"/>
          </w:tcPr>
          <w:p w:rsidR="003849AF" w:rsidRPr="00031974" w:rsidRDefault="003849AF" w:rsidP="00B243C4">
            <w:pPr>
              <w:jc w:val="both"/>
              <w:rPr>
                <w:sz w:val="20"/>
                <w:lang w:val="fr-CA"/>
              </w:rPr>
            </w:pPr>
            <w:r w:rsidRPr="00031974">
              <w:rPr>
                <w:sz w:val="20"/>
                <w:lang w:val="fr-CA"/>
              </w:rPr>
              <w:lastRenderedPageBreak/>
              <w:t>Le 22 février 2013</w:t>
            </w:r>
          </w:p>
          <w:p w:rsidR="003849AF" w:rsidRPr="00031974" w:rsidRDefault="003849AF" w:rsidP="00B243C4">
            <w:pPr>
              <w:jc w:val="both"/>
              <w:rPr>
                <w:sz w:val="20"/>
                <w:lang w:val="fr-CA"/>
              </w:rPr>
            </w:pPr>
            <w:r w:rsidRPr="00031974">
              <w:rPr>
                <w:sz w:val="20"/>
                <w:lang w:val="fr-CA"/>
              </w:rPr>
              <w:t>Cour fédérale</w:t>
            </w:r>
          </w:p>
          <w:p w:rsidR="003849AF" w:rsidRPr="00031974" w:rsidRDefault="003849AF" w:rsidP="00B243C4">
            <w:pPr>
              <w:jc w:val="both"/>
              <w:rPr>
                <w:sz w:val="20"/>
                <w:lang w:val="fr-CA"/>
              </w:rPr>
            </w:pPr>
            <w:r w:rsidRPr="00031974">
              <w:rPr>
                <w:sz w:val="20"/>
                <w:lang w:val="fr-CA"/>
              </w:rPr>
              <w:t>(Le juge Boivin)</w:t>
            </w:r>
          </w:p>
        </w:tc>
        <w:tc>
          <w:tcPr>
            <w:tcW w:w="153" w:type="pct"/>
          </w:tcPr>
          <w:p w:rsidR="003849AF" w:rsidRPr="00031974" w:rsidRDefault="003849AF" w:rsidP="00B243C4">
            <w:pPr>
              <w:rPr>
                <w:sz w:val="20"/>
                <w:lang w:val="fr-CA"/>
              </w:rPr>
            </w:pPr>
          </w:p>
        </w:tc>
        <w:tc>
          <w:tcPr>
            <w:tcW w:w="2553" w:type="pct"/>
          </w:tcPr>
          <w:p w:rsidR="003849AF" w:rsidRPr="00031974" w:rsidRDefault="003849AF" w:rsidP="00B243C4">
            <w:pPr>
              <w:jc w:val="both"/>
              <w:rPr>
                <w:sz w:val="20"/>
                <w:lang w:val="fr-CA"/>
              </w:rPr>
            </w:pPr>
            <w:r w:rsidRPr="00031974">
              <w:rPr>
                <w:sz w:val="20"/>
                <w:lang w:val="fr-CA"/>
              </w:rPr>
              <w:t xml:space="preserve">Requête des demandeurs pour annuler décision du protonotaire daté du 9 novembre 2012 (dossier </w:t>
            </w:r>
            <w:r w:rsidRPr="00031974">
              <w:rPr>
                <w:b/>
                <w:sz w:val="20"/>
                <w:lang w:val="fr-CA"/>
              </w:rPr>
              <w:t>T-1692</w:t>
            </w:r>
            <w:r w:rsidRPr="00031974">
              <w:rPr>
                <w:sz w:val="20"/>
                <w:lang w:val="fr-CA"/>
              </w:rPr>
              <w:t>) accueillant requête en radiation et radiant déclaration sans possibilité d’amendement, rejetée</w:t>
            </w:r>
          </w:p>
          <w:p w:rsidR="003849AF" w:rsidRPr="00031974" w:rsidRDefault="003849AF" w:rsidP="00B243C4">
            <w:pPr>
              <w:jc w:val="both"/>
              <w:rPr>
                <w:sz w:val="20"/>
                <w:lang w:val="fr-CA"/>
              </w:rPr>
            </w:pPr>
          </w:p>
        </w:tc>
      </w:tr>
      <w:tr w:rsidR="003849AF" w:rsidRPr="002B2DB4" w:rsidTr="00B243C4">
        <w:tc>
          <w:tcPr>
            <w:tcW w:w="2294" w:type="pct"/>
          </w:tcPr>
          <w:p w:rsidR="003849AF" w:rsidRPr="00031974" w:rsidRDefault="003849AF" w:rsidP="00B243C4">
            <w:pPr>
              <w:jc w:val="both"/>
              <w:rPr>
                <w:sz w:val="20"/>
                <w:lang w:val="fr-CA"/>
              </w:rPr>
            </w:pPr>
            <w:r w:rsidRPr="00031974">
              <w:rPr>
                <w:sz w:val="20"/>
                <w:lang w:val="fr-CA"/>
              </w:rPr>
              <w:t>Le 9 avril 2013</w:t>
            </w:r>
          </w:p>
          <w:p w:rsidR="003849AF" w:rsidRPr="00031974" w:rsidRDefault="003849AF" w:rsidP="00B243C4">
            <w:pPr>
              <w:jc w:val="both"/>
              <w:rPr>
                <w:sz w:val="20"/>
                <w:lang w:val="fr-CA"/>
              </w:rPr>
            </w:pPr>
            <w:r w:rsidRPr="00031974">
              <w:rPr>
                <w:sz w:val="20"/>
                <w:lang w:val="fr-CA"/>
              </w:rPr>
              <w:t>Cour fédérale</w:t>
            </w:r>
          </w:p>
          <w:p w:rsidR="003849AF" w:rsidRPr="00031974" w:rsidRDefault="003849AF" w:rsidP="00B243C4">
            <w:pPr>
              <w:jc w:val="both"/>
              <w:rPr>
                <w:sz w:val="20"/>
                <w:lang w:val="fr-CA"/>
              </w:rPr>
            </w:pPr>
            <w:r w:rsidRPr="00031974">
              <w:rPr>
                <w:sz w:val="20"/>
                <w:lang w:val="fr-CA"/>
              </w:rPr>
              <w:t>(Le juge Martineau)</w:t>
            </w:r>
          </w:p>
        </w:tc>
        <w:tc>
          <w:tcPr>
            <w:tcW w:w="153" w:type="pct"/>
          </w:tcPr>
          <w:p w:rsidR="003849AF" w:rsidRPr="00031974" w:rsidRDefault="003849AF" w:rsidP="00B243C4">
            <w:pPr>
              <w:rPr>
                <w:sz w:val="20"/>
                <w:lang w:val="fr-CA"/>
              </w:rPr>
            </w:pPr>
          </w:p>
        </w:tc>
        <w:tc>
          <w:tcPr>
            <w:tcW w:w="2553" w:type="pct"/>
          </w:tcPr>
          <w:p w:rsidR="003849AF" w:rsidRPr="00031974" w:rsidRDefault="003849AF" w:rsidP="00B243C4">
            <w:pPr>
              <w:jc w:val="both"/>
              <w:rPr>
                <w:sz w:val="20"/>
                <w:lang w:val="fr-CA"/>
              </w:rPr>
            </w:pPr>
            <w:r w:rsidRPr="00031974">
              <w:rPr>
                <w:sz w:val="20"/>
                <w:lang w:val="fr-CA"/>
              </w:rPr>
              <w:t xml:space="preserve">Requête pour proroger délai d’appel pour porter en appel décision du protonotaire datée 17 juillet 2012 (dossier </w:t>
            </w:r>
            <w:r w:rsidRPr="00031974">
              <w:rPr>
                <w:b/>
                <w:sz w:val="20"/>
                <w:lang w:val="fr-CA"/>
              </w:rPr>
              <w:t>T-420)</w:t>
            </w:r>
            <w:r w:rsidRPr="00031974">
              <w:rPr>
                <w:sz w:val="20"/>
                <w:lang w:val="fr-CA"/>
              </w:rPr>
              <w:t xml:space="preserve"> accueillant requête de l’intimé en radiation de leur déclaration amendée accueillie en partie; avis d’appel et dossier d’appel devant être signifiés et produits dans les 30 jours</w:t>
            </w:r>
          </w:p>
          <w:p w:rsidR="003849AF" w:rsidRPr="00031974" w:rsidRDefault="003849AF" w:rsidP="00B243C4">
            <w:pPr>
              <w:jc w:val="both"/>
              <w:rPr>
                <w:sz w:val="20"/>
                <w:lang w:val="fr-CA"/>
              </w:rPr>
            </w:pPr>
          </w:p>
        </w:tc>
      </w:tr>
      <w:tr w:rsidR="003849AF" w:rsidRPr="002B2DB4" w:rsidTr="00B243C4">
        <w:tc>
          <w:tcPr>
            <w:tcW w:w="2294" w:type="pct"/>
          </w:tcPr>
          <w:p w:rsidR="003849AF" w:rsidRPr="00031974" w:rsidRDefault="003849AF" w:rsidP="00B243C4">
            <w:pPr>
              <w:jc w:val="both"/>
              <w:rPr>
                <w:sz w:val="20"/>
                <w:lang w:val="fr-CA"/>
              </w:rPr>
            </w:pPr>
            <w:r w:rsidRPr="00031974">
              <w:rPr>
                <w:sz w:val="20"/>
                <w:lang w:val="fr-CA"/>
              </w:rPr>
              <w:t>Le 1</w:t>
            </w:r>
            <w:r w:rsidR="00422F28" w:rsidRPr="00422F28">
              <w:rPr>
                <w:sz w:val="20"/>
                <w:vertAlign w:val="superscript"/>
                <w:lang w:val="fr-CA"/>
              </w:rPr>
              <w:t>er</w:t>
            </w:r>
            <w:r w:rsidRPr="00031974">
              <w:rPr>
                <w:sz w:val="20"/>
                <w:lang w:val="fr-CA"/>
              </w:rPr>
              <w:t xml:space="preserve"> août 2013</w:t>
            </w:r>
          </w:p>
          <w:p w:rsidR="003849AF" w:rsidRPr="00031974" w:rsidRDefault="003849AF" w:rsidP="00B243C4">
            <w:pPr>
              <w:jc w:val="both"/>
              <w:rPr>
                <w:sz w:val="20"/>
                <w:lang w:val="fr-CA"/>
              </w:rPr>
            </w:pPr>
            <w:r w:rsidRPr="00031974">
              <w:rPr>
                <w:sz w:val="20"/>
                <w:lang w:val="fr-CA"/>
              </w:rPr>
              <w:t>Cour fédérale</w:t>
            </w:r>
          </w:p>
          <w:p w:rsidR="003849AF" w:rsidRPr="00031974" w:rsidRDefault="003849AF" w:rsidP="00B243C4">
            <w:pPr>
              <w:jc w:val="both"/>
              <w:rPr>
                <w:sz w:val="20"/>
                <w:lang w:val="fr-CA"/>
              </w:rPr>
            </w:pPr>
            <w:r w:rsidRPr="00031974">
              <w:rPr>
                <w:sz w:val="20"/>
                <w:lang w:val="fr-CA"/>
              </w:rPr>
              <w:t>(La juge Gagné)</w:t>
            </w:r>
          </w:p>
        </w:tc>
        <w:tc>
          <w:tcPr>
            <w:tcW w:w="153" w:type="pct"/>
          </w:tcPr>
          <w:p w:rsidR="003849AF" w:rsidRPr="00031974" w:rsidRDefault="003849AF" w:rsidP="00B243C4">
            <w:pPr>
              <w:rPr>
                <w:sz w:val="20"/>
                <w:lang w:val="fr-CA"/>
              </w:rPr>
            </w:pPr>
          </w:p>
        </w:tc>
        <w:tc>
          <w:tcPr>
            <w:tcW w:w="2553" w:type="pct"/>
          </w:tcPr>
          <w:p w:rsidR="003849AF" w:rsidRPr="00031974" w:rsidRDefault="003849AF" w:rsidP="00B243C4">
            <w:pPr>
              <w:jc w:val="both"/>
              <w:rPr>
                <w:sz w:val="20"/>
                <w:lang w:val="fr-CA"/>
              </w:rPr>
            </w:pPr>
            <w:r w:rsidRPr="00031974">
              <w:rPr>
                <w:sz w:val="20"/>
                <w:lang w:val="fr-CA"/>
              </w:rPr>
              <w:t xml:space="preserve">Requête des demandeurs en appel de décision du protonotaire datée 17 juillet 2012 (dossier </w:t>
            </w:r>
            <w:r w:rsidRPr="00031974">
              <w:rPr>
                <w:b/>
                <w:sz w:val="20"/>
                <w:lang w:val="fr-CA"/>
              </w:rPr>
              <w:t>T-420)</w:t>
            </w:r>
            <w:r w:rsidRPr="00031974">
              <w:rPr>
                <w:sz w:val="20"/>
                <w:lang w:val="fr-CA"/>
              </w:rPr>
              <w:t xml:space="preserve"> accueillant requête de l’intimé en radiation de leur déclaration amendée annulée</w:t>
            </w:r>
          </w:p>
          <w:p w:rsidR="003849AF" w:rsidRPr="00031974" w:rsidRDefault="003849AF" w:rsidP="00B243C4">
            <w:pPr>
              <w:jc w:val="both"/>
              <w:rPr>
                <w:sz w:val="20"/>
                <w:lang w:val="fr-CA"/>
              </w:rPr>
            </w:pPr>
          </w:p>
        </w:tc>
      </w:tr>
      <w:tr w:rsidR="003849AF" w:rsidRPr="002B2DB4" w:rsidTr="00B243C4">
        <w:tc>
          <w:tcPr>
            <w:tcW w:w="2294" w:type="pct"/>
          </w:tcPr>
          <w:p w:rsidR="003849AF" w:rsidRPr="00031974" w:rsidRDefault="003849AF" w:rsidP="00B243C4">
            <w:pPr>
              <w:jc w:val="both"/>
              <w:rPr>
                <w:sz w:val="20"/>
                <w:lang w:val="fr-CA"/>
              </w:rPr>
            </w:pPr>
            <w:r w:rsidRPr="00031974">
              <w:rPr>
                <w:sz w:val="20"/>
                <w:lang w:val="fr-CA"/>
              </w:rPr>
              <w:t>Le 10 septembre 2014</w:t>
            </w:r>
          </w:p>
          <w:p w:rsidR="003849AF" w:rsidRPr="00031974" w:rsidRDefault="003849AF" w:rsidP="00B243C4">
            <w:pPr>
              <w:jc w:val="both"/>
              <w:rPr>
                <w:sz w:val="20"/>
                <w:lang w:val="fr-CA"/>
              </w:rPr>
            </w:pPr>
            <w:r w:rsidRPr="00031974">
              <w:rPr>
                <w:sz w:val="20"/>
                <w:lang w:val="fr-CA"/>
              </w:rPr>
              <w:t>Cour d’appel fédérale</w:t>
            </w:r>
          </w:p>
          <w:p w:rsidR="003849AF" w:rsidRPr="00031974" w:rsidRDefault="003849AF" w:rsidP="00B243C4">
            <w:pPr>
              <w:jc w:val="both"/>
              <w:rPr>
                <w:sz w:val="20"/>
                <w:lang w:val="fr-CA"/>
              </w:rPr>
            </w:pPr>
            <w:r w:rsidRPr="00031974">
              <w:rPr>
                <w:sz w:val="20"/>
                <w:lang w:val="fr-CA"/>
              </w:rPr>
              <w:t>(Les juges Nadon, Trudel et Scott)</w:t>
            </w:r>
          </w:p>
          <w:p w:rsidR="003849AF" w:rsidRPr="00031974" w:rsidRDefault="003849AF" w:rsidP="00B243C4">
            <w:pPr>
              <w:jc w:val="both"/>
              <w:rPr>
                <w:sz w:val="20"/>
                <w:lang w:val="fr-CA"/>
              </w:rPr>
            </w:pPr>
          </w:p>
        </w:tc>
        <w:tc>
          <w:tcPr>
            <w:tcW w:w="153" w:type="pct"/>
          </w:tcPr>
          <w:p w:rsidR="003849AF" w:rsidRPr="00031974" w:rsidRDefault="003849AF" w:rsidP="00B243C4">
            <w:pPr>
              <w:rPr>
                <w:sz w:val="20"/>
                <w:lang w:val="fr-CA"/>
              </w:rPr>
            </w:pPr>
          </w:p>
        </w:tc>
        <w:tc>
          <w:tcPr>
            <w:tcW w:w="2553" w:type="pct"/>
          </w:tcPr>
          <w:p w:rsidR="003849AF" w:rsidRPr="00031974" w:rsidRDefault="003849AF" w:rsidP="00B243C4">
            <w:pPr>
              <w:jc w:val="both"/>
              <w:rPr>
                <w:color w:val="000000"/>
                <w:sz w:val="20"/>
                <w:lang w:val="fr-CA"/>
              </w:rPr>
            </w:pPr>
            <w:r w:rsidRPr="00031974">
              <w:rPr>
                <w:color w:val="000000"/>
                <w:sz w:val="20"/>
                <w:lang w:val="fr-CA"/>
              </w:rPr>
              <w:t xml:space="preserve">Appel accueilli: décision de la Cour fédérale datée 1er août 2013 (dossier </w:t>
            </w:r>
            <w:r w:rsidRPr="00031974">
              <w:rPr>
                <w:b/>
                <w:color w:val="000000"/>
                <w:sz w:val="20"/>
                <w:lang w:val="fr-CA"/>
              </w:rPr>
              <w:t>T-420</w:t>
            </w:r>
            <w:r w:rsidRPr="00031974">
              <w:rPr>
                <w:color w:val="000000"/>
                <w:sz w:val="20"/>
                <w:lang w:val="fr-CA"/>
              </w:rPr>
              <w:t>) infirmée et décision du protonotaire datée 17 juillet 2012 rétablie</w:t>
            </w:r>
          </w:p>
          <w:p w:rsidR="003849AF" w:rsidRPr="00031974" w:rsidRDefault="003849AF" w:rsidP="00B243C4">
            <w:pPr>
              <w:jc w:val="both"/>
              <w:rPr>
                <w:sz w:val="20"/>
                <w:lang w:val="fr-CA"/>
              </w:rPr>
            </w:pPr>
          </w:p>
        </w:tc>
      </w:tr>
      <w:tr w:rsidR="003849AF" w:rsidRPr="002B2DB4" w:rsidTr="00B243C4">
        <w:tc>
          <w:tcPr>
            <w:tcW w:w="2294" w:type="pct"/>
          </w:tcPr>
          <w:p w:rsidR="003849AF" w:rsidRPr="00031974" w:rsidRDefault="003849AF" w:rsidP="00B243C4">
            <w:pPr>
              <w:jc w:val="both"/>
              <w:rPr>
                <w:sz w:val="20"/>
                <w:lang w:val="fr-CA"/>
              </w:rPr>
            </w:pPr>
            <w:r w:rsidRPr="00031974">
              <w:rPr>
                <w:sz w:val="20"/>
                <w:lang w:val="fr-CA"/>
              </w:rPr>
              <w:t>Le 5 décembre 2014</w:t>
            </w:r>
          </w:p>
          <w:p w:rsidR="003849AF" w:rsidRPr="00031974" w:rsidRDefault="003849AF" w:rsidP="00B243C4">
            <w:pPr>
              <w:jc w:val="both"/>
              <w:rPr>
                <w:sz w:val="20"/>
                <w:lang w:val="fr-CA"/>
              </w:rPr>
            </w:pPr>
            <w:r w:rsidRPr="00031974">
              <w:rPr>
                <w:sz w:val="20"/>
                <w:lang w:val="fr-CA"/>
              </w:rPr>
              <w:t>Cour d’appel fédérale</w:t>
            </w:r>
          </w:p>
          <w:p w:rsidR="003849AF" w:rsidRPr="00031974" w:rsidRDefault="003849AF" w:rsidP="00B243C4">
            <w:pPr>
              <w:jc w:val="both"/>
              <w:rPr>
                <w:sz w:val="20"/>
                <w:lang w:val="fr-CA"/>
              </w:rPr>
            </w:pPr>
            <w:r w:rsidRPr="00031974">
              <w:rPr>
                <w:sz w:val="20"/>
                <w:lang w:val="fr-CA"/>
              </w:rPr>
              <w:t>(Le juge Nadon)</w:t>
            </w:r>
          </w:p>
          <w:p w:rsidR="003849AF" w:rsidRPr="00031974" w:rsidRDefault="003849AF" w:rsidP="00B243C4">
            <w:pPr>
              <w:jc w:val="both"/>
              <w:rPr>
                <w:sz w:val="20"/>
                <w:lang w:val="fr-CA"/>
              </w:rPr>
            </w:pPr>
          </w:p>
        </w:tc>
        <w:tc>
          <w:tcPr>
            <w:tcW w:w="153" w:type="pct"/>
          </w:tcPr>
          <w:p w:rsidR="003849AF" w:rsidRPr="00031974" w:rsidRDefault="003849AF" w:rsidP="00B243C4">
            <w:pPr>
              <w:rPr>
                <w:sz w:val="20"/>
                <w:lang w:val="fr-CA"/>
              </w:rPr>
            </w:pPr>
          </w:p>
        </w:tc>
        <w:tc>
          <w:tcPr>
            <w:tcW w:w="2553" w:type="pct"/>
          </w:tcPr>
          <w:p w:rsidR="003849AF" w:rsidRPr="00031974" w:rsidRDefault="003849AF" w:rsidP="00B243C4">
            <w:pPr>
              <w:jc w:val="both"/>
              <w:rPr>
                <w:sz w:val="20"/>
                <w:lang w:val="fr-CA"/>
              </w:rPr>
            </w:pPr>
            <w:r w:rsidRPr="00031974">
              <w:rPr>
                <w:sz w:val="20"/>
                <w:lang w:val="fr-CA"/>
              </w:rPr>
              <w:t xml:space="preserve">Requête pour proroger délai pour faire appel d’ordonnance de radiation du juge Boivin (dossier </w:t>
            </w:r>
            <w:r w:rsidRPr="00031974">
              <w:rPr>
                <w:b/>
                <w:sz w:val="20"/>
                <w:lang w:val="fr-CA"/>
              </w:rPr>
              <w:t>T-1692</w:t>
            </w:r>
            <w:r w:rsidRPr="00031974">
              <w:rPr>
                <w:sz w:val="20"/>
                <w:lang w:val="fr-CA"/>
              </w:rPr>
              <w:t>), rejetée</w:t>
            </w:r>
          </w:p>
          <w:p w:rsidR="003849AF" w:rsidRPr="00031974" w:rsidRDefault="003849AF" w:rsidP="00B243C4">
            <w:pPr>
              <w:jc w:val="both"/>
              <w:rPr>
                <w:sz w:val="20"/>
                <w:lang w:val="fr-CA"/>
              </w:rPr>
            </w:pPr>
          </w:p>
        </w:tc>
      </w:tr>
      <w:tr w:rsidR="003849AF" w:rsidRPr="002B2DB4" w:rsidTr="00B243C4">
        <w:tc>
          <w:tcPr>
            <w:tcW w:w="2294" w:type="pct"/>
          </w:tcPr>
          <w:p w:rsidR="003849AF" w:rsidRPr="00031974" w:rsidRDefault="003849AF" w:rsidP="00B243C4">
            <w:pPr>
              <w:jc w:val="both"/>
              <w:rPr>
                <w:sz w:val="20"/>
                <w:lang w:val="fr-CA"/>
              </w:rPr>
            </w:pPr>
            <w:r w:rsidRPr="00031974">
              <w:rPr>
                <w:sz w:val="20"/>
                <w:lang w:val="fr-CA"/>
              </w:rPr>
              <w:t>Le 31 décembre 2014</w:t>
            </w:r>
          </w:p>
          <w:p w:rsidR="003849AF" w:rsidRPr="00031974" w:rsidRDefault="003849AF" w:rsidP="00B243C4">
            <w:pPr>
              <w:jc w:val="both"/>
              <w:rPr>
                <w:sz w:val="20"/>
                <w:lang w:val="fr-CA"/>
              </w:rPr>
            </w:pPr>
            <w:r w:rsidRPr="00031974">
              <w:rPr>
                <w:sz w:val="20"/>
                <w:lang w:val="fr-CA"/>
              </w:rPr>
              <w:t>Cour suprême du Canada</w:t>
            </w:r>
          </w:p>
        </w:tc>
        <w:tc>
          <w:tcPr>
            <w:tcW w:w="153" w:type="pct"/>
          </w:tcPr>
          <w:p w:rsidR="003849AF" w:rsidRPr="00031974" w:rsidRDefault="003849AF" w:rsidP="00B243C4">
            <w:pPr>
              <w:rPr>
                <w:sz w:val="20"/>
                <w:lang w:val="fr-CA"/>
              </w:rPr>
            </w:pPr>
          </w:p>
        </w:tc>
        <w:tc>
          <w:tcPr>
            <w:tcW w:w="2553" w:type="pct"/>
          </w:tcPr>
          <w:p w:rsidR="003849AF" w:rsidRPr="00031974" w:rsidRDefault="003849AF" w:rsidP="00B243C4">
            <w:pPr>
              <w:jc w:val="both"/>
              <w:rPr>
                <w:b/>
                <w:sz w:val="20"/>
                <w:lang w:val="fr-CA"/>
              </w:rPr>
            </w:pPr>
            <w:r w:rsidRPr="00031974">
              <w:rPr>
                <w:sz w:val="20"/>
                <w:lang w:val="fr-CA"/>
              </w:rPr>
              <w:t xml:space="preserve">Prorogation de délai pour signifier de déposer demande d’autorisation et demande d’autorisation amendée déposées (dossier </w:t>
            </w:r>
            <w:r w:rsidRPr="00031974">
              <w:rPr>
                <w:b/>
                <w:sz w:val="20"/>
                <w:lang w:val="fr-CA"/>
              </w:rPr>
              <w:t>T-1692)</w:t>
            </w:r>
          </w:p>
          <w:p w:rsidR="003849AF" w:rsidRPr="00031974" w:rsidRDefault="003849AF" w:rsidP="00B243C4">
            <w:pPr>
              <w:jc w:val="both"/>
              <w:rPr>
                <w:sz w:val="20"/>
                <w:lang w:val="fr-CA"/>
              </w:rPr>
            </w:pPr>
          </w:p>
        </w:tc>
      </w:tr>
      <w:tr w:rsidR="003849AF" w:rsidRPr="002B2DB4" w:rsidTr="00B243C4">
        <w:tc>
          <w:tcPr>
            <w:tcW w:w="2294" w:type="pct"/>
          </w:tcPr>
          <w:p w:rsidR="003849AF" w:rsidRPr="00031974" w:rsidRDefault="003849AF" w:rsidP="00B243C4">
            <w:pPr>
              <w:jc w:val="both"/>
              <w:rPr>
                <w:sz w:val="20"/>
                <w:lang w:val="fr-CA"/>
              </w:rPr>
            </w:pPr>
            <w:r w:rsidRPr="00031974">
              <w:rPr>
                <w:sz w:val="20"/>
                <w:lang w:val="fr-CA"/>
              </w:rPr>
              <w:t>Le 12 janvier 2015</w:t>
            </w:r>
          </w:p>
          <w:p w:rsidR="003849AF" w:rsidRPr="00031974" w:rsidRDefault="003849AF" w:rsidP="00B243C4">
            <w:pPr>
              <w:jc w:val="both"/>
              <w:rPr>
                <w:sz w:val="20"/>
                <w:lang w:val="fr-CA"/>
              </w:rPr>
            </w:pPr>
            <w:r w:rsidRPr="00031974">
              <w:rPr>
                <w:sz w:val="20"/>
                <w:lang w:val="fr-CA"/>
              </w:rPr>
              <w:t>Cour suprême du Canada</w:t>
            </w:r>
          </w:p>
        </w:tc>
        <w:tc>
          <w:tcPr>
            <w:tcW w:w="153" w:type="pct"/>
          </w:tcPr>
          <w:p w:rsidR="003849AF" w:rsidRPr="00031974" w:rsidRDefault="003849AF" w:rsidP="00B243C4">
            <w:pPr>
              <w:rPr>
                <w:sz w:val="20"/>
                <w:lang w:val="fr-CA"/>
              </w:rPr>
            </w:pPr>
          </w:p>
        </w:tc>
        <w:tc>
          <w:tcPr>
            <w:tcW w:w="2553" w:type="pct"/>
          </w:tcPr>
          <w:p w:rsidR="003849AF" w:rsidRPr="00031974" w:rsidRDefault="003849AF" w:rsidP="00B243C4">
            <w:pPr>
              <w:jc w:val="both"/>
              <w:rPr>
                <w:sz w:val="20"/>
                <w:lang w:val="fr-CA"/>
              </w:rPr>
            </w:pPr>
            <w:r w:rsidRPr="00031974">
              <w:rPr>
                <w:sz w:val="20"/>
                <w:lang w:val="fr-CA"/>
              </w:rPr>
              <w:t xml:space="preserve">Prorogation de délai pour signifier de déposer demande d’autorisation et demande d’autorisation amendée déposées (dossier </w:t>
            </w:r>
            <w:r w:rsidRPr="00031974">
              <w:rPr>
                <w:b/>
                <w:sz w:val="20"/>
                <w:lang w:val="fr-CA"/>
              </w:rPr>
              <w:t>T-1692)</w:t>
            </w:r>
          </w:p>
        </w:tc>
      </w:tr>
    </w:tbl>
    <w:p w:rsidR="00233E21" w:rsidRPr="003849AF" w:rsidRDefault="00233E21" w:rsidP="00233E21">
      <w:pPr>
        <w:rPr>
          <w:sz w:val="20"/>
          <w:szCs w:val="20"/>
          <w:lang w:val="fr-CA"/>
        </w:rPr>
      </w:pPr>
    </w:p>
    <w:p w:rsidR="00233E21" w:rsidRDefault="00790981" w:rsidP="00233E21">
      <w:pPr>
        <w:rPr>
          <w:sz w:val="20"/>
          <w:szCs w:val="20"/>
          <w:lang w:val="fr-CA"/>
        </w:rPr>
      </w:pPr>
      <w:r>
        <w:rPr>
          <w:sz w:val="20"/>
          <w:szCs w:val="20"/>
          <w:lang w:val="fr-CA"/>
        </w:rPr>
        <w:pict>
          <v:rect id="_x0000_i1058" style="width:2in;height:1pt" o:hrpct="0" o:hralign="center" o:hrstd="t" o:hrnoshade="t" o:hr="t" fillcolor="black [3213]" stroked="f"/>
        </w:pict>
      </w:r>
    </w:p>
    <w:p w:rsidR="00233E21" w:rsidRDefault="00233E21" w:rsidP="00233E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2F08" w:rsidRPr="00C417EA" w:rsidTr="002F3DF0">
        <w:trPr>
          <w:cantSplit/>
        </w:trPr>
        <w:tc>
          <w:tcPr>
            <w:tcW w:w="1458" w:type="dxa"/>
          </w:tcPr>
          <w:p w:rsidR="00BD2F08" w:rsidRPr="00C417EA" w:rsidRDefault="00BD2F08" w:rsidP="002F3DF0">
            <w:pPr>
              <w:rPr>
                <w:sz w:val="20"/>
                <w:szCs w:val="20"/>
              </w:rPr>
            </w:pPr>
            <w:r w:rsidRPr="00C417EA">
              <w:rPr>
                <w:rStyle w:val="SCCFileNumberChar"/>
                <w:sz w:val="20"/>
                <w:szCs w:val="20"/>
              </w:rPr>
              <w:t>36274</w:t>
            </w:r>
          </w:p>
          <w:p w:rsidR="00BD2F08" w:rsidRPr="00C417EA" w:rsidRDefault="00BD2F08" w:rsidP="002F3DF0">
            <w:pPr>
              <w:rPr>
                <w:b/>
                <w:sz w:val="20"/>
                <w:szCs w:val="20"/>
                <w:lang w:val="fr-CA"/>
              </w:rPr>
            </w:pPr>
          </w:p>
        </w:tc>
        <w:tc>
          <w:tcPr>
            <w:tcW w:w="8118" w:type="dxa"/>
          </w:tcPr>
          <w:p w:rsidR="00BD2F08" w:rsidRPr="00C417EA" w:rsidRDefault="00BD2F08" w:rsidP="002F3DF0">
            <w:pPr>
              <w:jc w:val="both"/>
              <w:rPr>
                <w:sz w:val="20"/>
                <w:szCs w:val="20"/>
              </w:rPr>
            </w:pPr>
            <w:r w:rsidRPr="00C417EA">
              <w:rPr>
                <w:rStyle w:val="SCCLsocChar"/>
                <w:sz w:val="20"/>
                <w:szCs w:val="20"/>
                <w:lang w:val="en-CA"/>
              </w:rPr>
              <w:t>E.G</w:t>
            </w:r>
            <w:r w:rsidR="002B334C">
              <w:rPr>
                <w:rStyle w:val="SCCLsocChar"/>
                <w:sz w:val="20"/>
                <w:szCs w:val="20"/>
                <w:lang w:val="en-CA"/>
              </w:rPr>
              <w:t xml:space="preserve"> and</w:t>
            </w:r>
            <w:r w:rsidRPr="00C417EA">
              <w:rPr>
                <w:rStyle w:val="SCCLsocChar"/>
                <w:sz w:val="20"/>
                <w:szCs w:val="20"/>
                <w:lang w:val="en-CA"/>
              </w:rPr>
              <w:t xml:space="preserve"> A.G. v. Director of Child and Family Services</w:t>
            </w:r>
            <w:r w:rsidRPr="00C417EA">
              <w:rPr>
                <w:sz w:val="20"/>
                <w:szCs w:val="20"/>
              </w:rPr>
              <w:t xml:space="preserve"> (Alta.) (Civil) (By Leave)</w:t>
            </w:r>
          </w:p>
          <w:p w:rsidR="00BD2F08" w:rsidRPr="00C417EA" w:rsidRDefault="00BD2F08" w:rsidP="002F3DF0">
            <w:pPr>
              <w:jc w:val="both"/>
              <w:rPr>
                <w:sz w:val="20"/>
                <w:szCs w:val="20"/>
              </w:rPr>
            </w:pPr>
          </w:p>
        </w:tc>
      </w:tr>
      <w:tr w:rsidR="00BD2F08" w:rsidRPr="002B2DB4" w:rsidTr="002F3DF0">
        <w:trPr>
          <w:cantSplit/>
        </w:trPr>
        <w:tc>
          <w:tcPr>
            <w:tcW w:w="1458" w:type="dxa"/>
          </w:tcPr>
          <w:p w:rsidR="00BD2F08" w:rsidRPr="00C417EA" w:rsidRDefault="00BD2F08" w:rsidP="002F3DF0">
            <w:pPr>
              <w:rPr>
                <w:sz w:val="20"/>
                <w:szCs w:val="20"/>
              </w:rPr>
            </w:pPr>
            <w:r w:rsidRPr="00C417EA">
              <w:rPr>
                <w:sz w:val="20"/>
                <w:szCs w:val="20"/>
              </w:rPr>
              <w:t>Coram :</w:t>
            </w:r>
          </w:p>
        </w:tc>
        <w:tc>
          <w:tcPr>
            <w:tcW w:w="8118" w:type="dxa"/>
          </w:tcPr>
          <w:p w:rsidR="00BD2F08" w:rsidRPr="00C417EA" w:rsidRDefault="00BD2F08" w:rsidP="002F3DF0">
            <w:pPr>
              <w:rPr>
                <w:sz w:val="20"/>
                <w:szCs w:val="20"/>
                <w:lang w:val="fr-CA"/>
              </w:rPr>
            </w:pPr>
            <w:r w:rsidRPr="00C417EA">
              <w:rPr>
                <w:rStyle w:val="SCCCoramChar"/>
                <w:sz w:val="20"/>
                <w:szCs w:val="20"/>
              </w:rPr>
              <w:t>Abella, Karakatsanis and Côté JJ.</w:t>
            </w:r>
          </w:p>
          <w:p w:rsidR="00BD2F08" w:rsidRPr="00C417EA" w:rsidRDefault="00BD2F08" w:rsidP="002F3DF0">
            <w:pPr>
              <w:rPr>
                <w:sz w:val="20"/>
                <w:szCs w:val="20"/>
                <w:u w:val="single"/>
                <w:lang w:val="fr-CA"/>
              </w:rPr>
            </w:pPr>
          </w:p>
        </w:tc>
      </w:tr>
      <w:tr w:rsidR="00BD2F08" w:rsidRPr="002B2DB4" w:rsidTr="002F3DF0">
        <w:trPr>
          <w:cantSplit/>
        </w:trPr>
        <w:tc>
          <w:tcPr>
            <w:tcW w:w="9576" w:type="dxa"/>
            <w:gridSpan w:val="2"/>
          </w:tcPr>
          <w:p w:rsidR="00BD2F08" w:rsidRPr="00C417EA" w:rsidRDefault="00BD2F08" w:rsidP="002F3DF0">
            <w:pPr>
              <w:pStyle w:val="SCCShortJudgment"/>
              <w:rPr>
                <w:szCs w:val="20"/>
              </w:rPr>
            </w:pPr>
            <w:r w:rsidRPr="00C417EA">
              <w:rPr>
                <w:szCs w:val="20"/>
              </w:rPr>
              <w:t>The application for leave to appeal from the judgment of the Court of Appeal of Alberta (Calgary), Number 1401-0151-AC, 2014 ABCA 396, dated November 24, 2014, is dismissed without costs.</w:t>
            </w:r>
          </w:p>
          <w:p w:rsidR="00BD2F08" w:rsidRPr="00C417EA" w:rsidRDefault="00BD2F08" w:rsidP="002F3DF0">
            <w:pPr>
              <w:pStyle w:val="SCCShortJudgment"/>
              <w:ind w:firstLine="0"/>
              <w:rPr>
                <w:szCs w:val="20"/>
              </w:rPr>
            </w:pPr>
          </w:p>
          <w:p w:rsidR="00BD2F08" w:rsidRPr="00C417EA" w:rsidRDefault="00BD2F08" w:rsidP="002F3DF0">
            <w:pPr>
              <w:pStyle w:val="SCCShortJudgment"/>
              <w:rPr>
                <w:szCs w:val="20"/>
                <w:lang w:val="fr-CA"/>
              </w:rPr>
            </w:pPr>
            <w:r w:rsidRPr="00C417EA">
              <w:rPr>
                <w:szCs w:val="20"/>
                <w:lang w:val="fr-CA"/>
              </w:rPr>
              <w:t>La demande d’autorisation d’appel de l’arrêt de la Cour d'appel de l’Alberta (Calgary), numéro 1401-0151-AC, 2014 ABCA 396, daté du 24 novembre 2014, est rejetée sans dépens.</w:t>
            </w:r>
          </w:p>
        </w:tc>
      </w:tr>
    </w:tbl>
    <w:p w:rsidR="00BD2F08" w:rsidRDefault="00BD2F08" w:rsidP="00233E21">
      <w:pPr>
        <w:rPr>
          <w:sz w:val="20"/>
          <w:szCs w:val="20"/>
          <w:lang w:val="fr-CA"/>
        </w:rPr>
      </w:pPr>
    </w:p>
    <w:p w:rsidR="00BD2F08" w:rsidRDefault="00BD2F08">
      <w:pPr>
        <w:rPr>
          <w:sz w:val="20"/>
          <w:szCs w:val="20"/>
          <w:lang w:val="fr-CA"/>
        </w:rPr>
      </w:pPr>
      <w:r>
        <w:rPr>
          <w:sz w:val="20"/>
          <w:szCs w:val="20"/>
          <w:lang w:val="fr-CA"/>
        </w:rPr>
        <w:br w:type="page"/>
      </w:r>
    </w:p>
    <w:p w:rsidR="00233E21" w:rsidRPr="001B157C" w:rsidRDefault="00233E21" w:rsidP="00233E21">
      <w:pPr>
        <w:rPr>
          <w:sz w:val="20"/>
          <w:szCs w:val="20"/>
          <w:u w:val="single"/>
        </w:rPr>
      </w:pPr>
      <w:r w:rsidRPr="001B157C">
        <w:rPr>
          <w:sz w:val="20"/>
          <w:szCs w:val="20"/>
          <w:u w:val="single"/>
        </w:rPr>
        <w:lastRenderedPageBreak/>
        <w:t>CASE SUMMARY</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849AF" w:rsidRPr="00031974" w:rsidTr="00B243C4">
        <w:tc>
          <w:tcPr>
            <w:tcW w:w="5000" w:type="pct"/>
            <w:gridSpan w:val="3"/>
          </w:tcPr>
          <w:p w:rsidR="003849AF" w:rsidRPr="00031974" w:rsidRDefault="003849AF" w:rsidP="00B243C4">
            <w:pPr>
              <w:jc w:val="both"/>
              <w:rPr>
                <w:rFonts w:eastAsia="Calibri"/>
                <w:sz w:val="20"/>
              </w:rPr>
            </w:pPr>
            <w:r w:rsidRPr="00031974">
              <w:rPr>
                <w:rFonts w:eastAsia="Calibri"/>
                <w:sz w:val="20"/>
              </w:rPr>
              <w:t>(</w:t>
            </w:r>
            <w:r w:rsidRPr="00031974">
              <w:rPr>
                <w:rFonts w:eastAsia="Calibri"/>
                <w:smallCaps/>
                <w:sz w:val="20"/>
              </w:rPr>
              <w:t xml:space="preserve">Publication </w:t>
            </w:r>
            <w:r>
              <w:rPr>
                <w:rFonts w:eastAsia="Calibri"/>
                <w:smallCaps/>
                <w:sz w:val="20"/>
              </w:rPr>
              <w:t>B</w:t>
            </w:r>
            <w:r w:rsidRPr="00031974">
              <w:rPr>
                <w:rFonts w:eastAsia="Calibri"/>
                <w:smallCaps/>
                <w:sz w:val="20"/>
              </w:rPr>
              <w:t xml:space="preserve">an in </w:t>
            </w:r>
            <w:r>
              <w:rPr>
                <w:rFonts w:eastAsia="Calibri"/>
                <w:smallCaps/>
                <w:sz w:val="20"/>
              </w:rPr>
              <w:t>C</w:t>
            </w:r>
            <w:r w:rsidRPr="00031974">
              <w:rPr>
                <w:rFonts w:eastAsia="Calibri"/>
                <w:smallCaps/>
                <w:sz w:val="20"/>
              </w:rPr>
              <w:t xml:space="preserve">ase) (Publication </w:t>
            </w:r>
            <w:r>
              <w:rPr>
                <w:rFonts w:eastAsia="Calibri"/>
                <w:smallCaps/>
                <w:sz w:val="20"/>
              </w:rPr>
              <w:t>B</w:t>
            </w:r>
            <w:r w:rsidRPr="00031974">
              <w:rPr>
                <w:rFonts w:eastAsia="Calibri"/>
                <w:smallCaps/>
                <w:sz w:val="20"/>
              </w:rPr>
              <w:t xml:space="preserve">an on </w:t>
            </w:r>
            <w:r>
              <w:rPr>
                <w:rFonts w:eastAsia="Calibri"/>
                <w:smallCaps/>
                <w:sz w:val="20"/>
              </w:rPr>
              <w:t>P</w:t>
            </w:r>
            <w:r w:rsidRPr="00031974">
              <w:rPr>
                <w:rFonts w:eastAsia="Calibri"/>
                <w:smallCaps/>
                <w:sz w:val="20"/>
              </w:rPr>
              <w:t>arty</w:t>
            </w:r>
            <w:r w:rsidRPr="00031974">
              <w:rPr>
                <w:rFonts w:eastAsia="Calibri"/>
                <w:sz w:val="20"/>
              </w:rPr>
              <w:t>)</w:t>
            </w:r>
          </w:p>
          <w:p w:rsidR="003849AF" w:rsidRPr="00031974" w:rsidRDefault="003849AF" w:rsidP="00B243C4">
            <w:pPr>
              <w:jc w:val="both"/>
              <w:rPr>
                <w:rFonts w:eastAsia="Calibri"/>
                <w:sz w:val="20"/>
              </w:rPr>
            </w:pPr>
          </w:p>
          <w:p w:rsidR="003849AF" w:rsidRPr="00031974" w:rsidRDefault="003849AF" w:rsidP="00B243C4">
            <w:pPr>
              <w:jc w:val="both"/>
              <w:rPr>
                <w:rFonts w:eastAsia="Calibri"/>
                <w:sz w:val="20"/>
              </w:rPr>
            </w:pPr>
            <w:r w:rsidRPr="00031974">
              <w:rPr>
                <w:rFonts w:eastAsia="Calibri"/>
                <w:sz w:val="20"/>
              </w:rPr>
              <w:t>Status of the person – Child protection – Children apprehended from parents and permanent guardianship ordered – What</w:t>
            </w:r>
            <w:r w:rsidRPr="00031974">
              <w:rPr>
                <w:rFonts w:eastAsia="Calibri"/>
                <w:spacing w:val="45"/>
                <w:sz w:val="20"/>
              </w:rPr>
              <w:t xml:space="preserve"> </w:t>
            </w:r>
            <w:r w:rsidRPr="00031974">
              <w:rPr>
                <w:rFonts w:eastAsia="Calibri"/>
                <w:sz w:val="20"/>
              </w:rPr>
              <w:t>is</w:t>
            </w:r>
            <w:r w:rsidRPr="00031974">
              <w:rPr>
                <w:rFonts w:eastAsia="Calibri"/>
                <w:spacing w:val="24"/>
                <w:sz w:val="20"/>
              </w:rPr>
              <w:t xml:space="preserve"> </w:t>
            </w:r>
            <w:r w:rsidRPr="00031974">
              <w:rPr>
                <w:rFonts w:eastAsia="Calibri"/>
                <w:sz w:val="20"/>
              </w:rPr>
              <w:t>necessary</w:t>
            </w:r>
            <w:r w:rsidRPr="00031974">
              <w:rPr>
                <w:rFonts w:eastAsia="Calibri"/>
                <w:spacing w:val="42"/>
                <w:sz w:val="20"/>
              </w:rPr>
              <w:t xml:space="preserve"> </w:t>
            </w:r>
            <w:r w:rsidRPr="00031974">
              <w:rPr>
                <w:rFonts w:eastAsia="Calibri"/>
                <w:sz w:val="20"/>
              </w:rPr>
              <w:t>to</w:t>
            </w:r>
            <w:r w:rsidRPr="00031974">
              <w:rPr>
                <w:rFonts w:eastAsia="Calibri"/>
                <w:spacing w:val="30"/>
                <w:sz w:val="20"/>
              </w:rPr>
              <w:t xml:space="preserve"> </w:t>
            </w:r>
            <w:r w:rsidRPr="00031974">
              <w:rPr>
                <w:rFonts w:eastAsia="Calibri"/>
                <w:sz w:val="20"/>
              </w:rPr>
              <w:t>satisfy</w:t>
            </w:r>
            <w:r w:rsidRPr="00031974">
              <w:rPr>
                <w:rFonts w:eastAsia="Calibri"/>
                <w:spacing w:val="23"/>
                <w:sz w:val="20"/>
              </w:rPr>
              <w:t xml:space="preserve"> </w:t>
            </w:r>
            <w:r w:rsidRPr="00031974">
              <w:rPr>
                <w:rFonts w:eastAsia="Calibri"/>
                <w:spacing w:val="-1"/>
                <w:sz w:val="20"/>
              </w:rPr>
              <w:t>re</w:t>
            </w:r>
            <w:r w:rsidRPr="00031974">
              <w:rPr>
                <w:rFonts w:eastAsia="Calibri"/>
                <w:spacing w:val="-2"/>
                <w:sz w:val="20"/>
              </w:rPr>
              <w:t>q</w:t>
            </w:r>
            <w:r w:rsidRPr="00031974">
              <w:rPr>
                <w:rFonts w:eastAsia="Calibri"/>
                <w:spacing w:val="-1"/>
                <w:sz w:val="20"/>
              </w:rPr>
              <w:t>uirements</w:t>
            </w:r>
            <w:r w:rsidRPr="00031974">
              <w:rPr>
                <w:rFonts w:eastAsia="Calibri"/>
                <w:spacing w:val="49"/>
                <w:sz w:val="20"/>
              </w:rPr>
              <w:t xml:space="preserve"> </w:t>
            </w:r>
            <w:r w:rsidRPr="00031974">
              <w:rPr>
                <w:rFonts w:eastAsia="Calibri"/>
                <w:sz w:val="20"/>
              </w:rPr>
              <w:t>for</w:t>
            </w:r>
            <w:r w:rsidRPr="00031974">
              <w:rPr>
                <w:rFonts w:eastAsia="Calibri"/>
                <w:spacing w:val="25"/>
                <w:sz w:val="20"/>
              </w:rPr>
              <w:t xml:space="preserve"> </w:t>
            </w:r>
            <w:r w:rsidRPr="00031974">
              <w:rPr>
                <w:rFonts w:eastAsia="Calibri"/>
                <w:sz w:val="20"/>
              </w:rPr>
              <w:t>an</w:t>
            </w:r>
            <w:r w:rsidRPr="00031974">
              <w:rPr>
                <w:rFonts w:eastAsia="Calibri"/>
                <w:spacing w:val="22"/>
                <w:sz w:val="20"/>
              </w:rPr>
              <w:t xml:space="preserve"> </w:t>
            </w:r>
            <w:r w:rsidRPr="00031974">
              <w:rPr>
                <w:rFonts w:eastAsia="Calibri"/>
                <w:sz w:val="20"/>
              </w:rPr>
              <w:t>order</w:t>
            </w:r>
            <w:r w:rsidRPr="00031974">
              <w:rPr>
                <w:rFonts w:eastAsia="Calibri"/>
                <w:spacing w:val="17"/>
                <w:sz w:val="20"/>
              </w:rPr>
              <w:t xml:space="preserve"> </w:t>
            </w:r>
            <w:r w:rsidRPr="00031974">
              <w:rPr>
                <w:rFonts w:eastAsia="Calibri"/>
                <w:sz w:val="20"/>
              </w:rPr>
              <w:t>to</w:t>
            </w:r>
            <w:r w:rsidRPr="00031974">
              <w:rPr>
                <w:rFonts w:eastAsia="Calibri"/>
                <w:spacing w:val="20"/>
                <w:sz w:val="20"/>
              </w:rPr>
              <w:t xml:space="preserve"> </w:t>
            </w:r>
            <w:r w:rsidRPr="00031974">
              <w:rPr>
                <w:rFonts w:eastAsia="Calibri"/>
                <w:sz w:val="20"/>
              </w:rPr>
              <w:t>permanently</w:t>
            </w:r>
            <w:r w:rsidRPr="00031974">
              <w:rPr>
                <w:rFonts w:eastAsia="Calibri"/>
                <w:spacing w:val="29"/>
                <w:sz w:val="20"/>
              </w:rPr>
              <w:t xml:space="preserve"> </w:t>
            </w:r>
            <w:r w:rsidRPr="00031974">
              <w:rPr>
                <w:rFonts w:eastAsia="Calibri"/>
                <w:sz w:val="20"/>
              </w:rPr>
              <w:t>remove</w:t>
            </w:r>
            <w:r w:rsidRPr="00031974">
              <w:rPr>
                <w:rFonts w:eastAsia="Calibri"/>
                <w:spacing w:val="51"/>
                <w:sz w:val="20"/>
              </w:rPr>
              <w:t xml:space="preserve"> </w:t>
            </w:r>
            <w:r w:rsidRPr="00031974">
              <w:rPr>
                <w:rFonts w:eastAsia="Calibri"/>
                <w:sz w:val="20"/>
              </w:rPr>
              <w:t>children</w:t>
            </w:r>
            <w:r w:rsidRPr="00031974">
              <w:rPr>
                <w:rFonts w:eastAsia="Calibri"/>
                <w:spacing w:val="53"/>
                <w:sz w:val="20"/>
              </w:rPr>
              <w:t xml:space="preserve"> </w:t>
            </w:r>
            <w:r w:rsidRPr="00031974">
              <w:rPr>
                <w:rFonts w:eastAsia="Calibri"/>
                <w:sz w:val="20"/>
              </w:rPr>
              <w:t>from</w:t>
            </w:r>
            <w:r w:rsidRPr="00031974">
              <w:rPr>
                <w:rFonts w:eastAsia="Calibri"/>
                <w:spacing w:val="45"/>
                <w:sz w:val="20"/>
              </w:rPr>
              <w:t xml:space="preserve"> </w:t>
            </w:r>
            <w:r w:rsidRPr="00031974">
              <w:rPr>
                <w:rFonts w:eastAsia="Calibri"/>
                <w:sz w:val="20"/>
              </w:rPr>
              <w:t>their</w:t>
            </w:r>
            <w:r w:rsidRPr="00031974">
              <w:rPr>
                <w:rFonts w:eastAsia="Calibri"/>
                <w:spacing w:val="45"/>
                <w:sz w:val="20"/>
              </w:rPr>
              <w:t xml:space="preserve"> </w:t>
            </w:r>
            <w:r w:rsidRPr="00031974">
              <w:rPr>
                <w:rFonts w:eastAsia="Calibri"/>
                <w:sz w:val="20"/>
              </w:rPr>
              <w:t>parents? – Is</w:t>
            </w:r>
            <w:r w:rsidRPr="00031974">
              <w:rPr>
                <w:rFonts w:eastAsia="Calibri"/>
                <w:spacing w:val="23"/>
                <w:sz w:val="20"/>
              </w:rPr>
              <w:t xml:space="preserve"> </w:t>
            </w:r>
            <w:r w:rsidRPr="00031974">
              <w:rPr>
                <w:rFonts w:eastAsia="Calibri"/>
                <w:sz w:val="20"/>
              </w:rPr>
              <w:t>it</w:t>
            </w:r>
            <w:r w:rsidRPr="00031974">
              <w:rPr>
                <w:rFonts w:eastAsia="Calibri"/>
                <w:spacing w:val="31"/>
                <w:sz w:val="20"/>
              </w:rPr>
              <w:t xml:space="preserve"> </w:t>
            </w:r>
            <w:r w:rsidRPr="00031974">
              <w:rPr>
                <w:rFonts w:eastAsia="Calibri"/>
                <w:sz w:val="20"/>
              </w:rPr>
              <w:t>an</w:t>
            </w:r>
            <w:r w:rsidRPr="00031974">
              <w:rPr>
                <w:rFonts w:eastAsia="Calibri"/>
                <w:spacing w:val="42"/>
                <w:sz w:val="20"/>
              </w:rPr>
              <w:t xml:space="preserve"> </w:t>
            </w:r>
            <w:r w:rsidRPr="00031974">
              <w:rPr>
                <w:rFonts w:eastAsia="Calibri"/>
                <w:sz w:val="20"/>
              </w:rPr>
              <w:t>error</w:t>
            </w:r>
            <w:r w:rsidRPr="00031974">
              <w:rPr>
                <w:rFonts w:eastAsia="Calibri"/>
                <w:spacing w:val="39"/>
                <w:sz w:val="20"/>
              </w:rPr>
              <w:t xml:space="preserve"> </w:t>
            </w:r>
            <w:r w:rsidRPr="00031974">
              <w:rPr>
                <w:rFonts w:eastAsia="Calibri"/>
                <w:sz w:val="20"/>
              </w:rPr>
              <w:t>to</w:t>
            </w:r>
            <w:r w:rsidRPr="00031974">
              <w:rPr>
                <w:rFonts w:eastAsia="Calibri"/>
                <w:spacing w:val="19"/>
                <w:sz w:val="20"/>
              </w:rPr>
              <w:t xml:space="preserve"> </w:t>
            </w:r>
            <w:r w:rsidRPr="00031974">
              <w:rPr>
                <w:rFonts w:eastAsia="Calibri"/>
                <w:sz w:val="20"/>
              </w:rPr>
              <w:t>not</w:t>
            </w:r>
            <w:r w:rsidRPr="00031974">
              <w:rPr>
                <w:rFonts w:eastAsia="Calibri"/>
                <w:spacing w:val="33"/>
                <w:sz w:val="20"/>
              </w:rPr>
              <w:t xml:space="preserve"> </w:t>
            </w:r>
            <w:r w:rsidRPr="00031974">
              <w:rPr>
                <w:rFonts w:eastAsia="Calibri"/>
                <w:sz w:val="20"/>
              </w:rPr>
              <w:t>consider</w:t>
            </w:r>
            <w:r w:rsidRPr="00031974">
              <w:rPr>
                <w:rFonts w:eastAsia="Calibri"/>
                <w:spacing w:val="47"/>
                <w:sz w:val="20"/>
              </w:rPr>
              <w:t xml:space="preserve"> </w:t>
            </w:r>
            <w:r w:rsidRPr="00031974">
              <w:rPr>
                <w:rFonts w:eastAsia="Calibri"/>
                <w:sz w:val="20"/>
              </w:rPr>
              <w:t>best</w:t>
            </w:r>
            <w:r w:rsidRPr="00031974">
              <w:rPr>
                <w:rFonts w:eastAsia="Calibri"/>
                <w:spacing w:val="55"/>
                <w:sz w:val="20"/>
              </w:rPr>
              <w:t xml:space="preserve"> </w:t>
            </w:r>
            <w:r w:rsidRPr="00031974">
              <w:rPr>
                <w:rFonts w:eastAsia="Calibri"/>
                <w:sz w:val="20"/>
              </w:rPr>
              <w:t>interests? – Should</w:t>
            </w:r>
            <w:r w:rsidRPr="00031974">
              <w:rPr>
                <w:rFonts w:eastAsia="Calibri"/>
                <w:spacing w:val="13"/>
                <w:sz w:val="20"/>
              </w:rPr>
              <w:t xml:space="preserve"> </w:t>
            </w:r>
            <w:r w:rsidRPr="00031974">
              <w:rPr>
                <w:rFonts w:eastAsia="Calibri"/>
                <w:sz w:val="20"/>
              </w:rPr>
              <w:t>treatment</w:t>
            </w:r>
            <w:r w:rsidRPr="00031974">
              <w:rPr>
                <w:rFonts w:eastAsia="Calibri"/>
                <w:spacing w:val="29"/>
                <w:sz w:val="20"/>
              </w:rPr>
              <w:t xml:space="preserve"> </w:t>
            </w:r>
            <w:r w:rsidRPr="00031974">
              <w:rPr>
                <w:rFonts w:eastAsia="Calibri"/>
                <w:sz w:val="20"/>
              </w:rPr>
              <w:t>differences</w:t>
            </w:r>
            <w:r w:rsidRPr="00031974">
              <w:rPr>
                <w:rFonts w:eastAsia="Calibri"/>
                <w:spacing w:val="14"/>
                <w:sz w:val="20"/>
              </w:rPr>
              <w:t xml:space="preserve"> </w:t>
            </w:r>
            <w:r w:rsidRPr="00031974">
              <w:rPr>
                <w:rFonts w:eastAsia="Calibri"/>
                <w:sz w:val="20"/>
              </w:rPr>
              <w:t>between</w:t>
            </w:r>
            <w:r w:rsidRPr="00031974">
              <w:rPr>
                <w:rFonts w:eastAsia="Calibri"/>
                <w:spacing w:val="20"/>
                <w:sz w:val="20"/>
              </w:rPr>
              <w:t xml:space="preserve"> </w:t>
            </w:r>
            <w:r w:rsidRPr="00031974">
              <w:rPr>
                <w:rFonts w:eastAsia="Calibri"/>
                <w:spacing w:val="1"/>
                <w:sz w:val="20"/>
              </w:rPr>
              <w:t>biol</w:t>
            </w:r>
            <w:r w:rsidRPr="00031974">
              <w:rPr>
                <w:rFonts w:eastAsia="Calibri"/>
                <w:sz w:val="20"/>
              </w:rPr>
              <w:t>ogical</w:t>
            </w:r>
            <w:r w:rsidRPr="00031974">
              <w:rPr>
                <w:rFonts w:eastAsia="Calibri"/>
                <w:spacing w:val="14"/>
                <w:sz w:val="20"/>
              </w:rPr>
              <w:t xml:space="preserve"> </w:t>
            </w:r>
            <w:r w:rsidRPr="00031974">
              <w:rPr>
                <w:rFonts w:eastAsia="Calibri"/>
                <w:sz w:val="20"/>
              </w:rPr>
              <w:t>and</w:t>
            </w:r>
            <w:r w:rsidRPr="00031974">
              <w:rPr>
                <w:rFonts w:eastAsia="Calibri"/>
                <w:spacing w:val="15"/>
                <w:sz w:val="20"/>
              </w:rPr>
              <w:t xml:space="preserve"> </w:t>
            </w:r>
            <w:r w:rsidRPr="00031974">
              <w:rPr>
                <w:rFonts w:eastAsia="Calibri"/>
                <w:sz w:val="20"/>
              </w:rPr>
              <w:t>adopted</w:t>
            </w:r>
            <w:r w:rsidRPr="00031974">
              <w:rPr>
                <w:rFonts w:eastAsia="Calibri"/>
                <w:spacing w:val="36"/>
                <w:sz w:val="20"/>
              </w:rPr>
              <w:t xml:space="preserve"> </w:t>
            </w:r>
            <w:r w:rsidRPr="00031974">
              <w:rPr>
                <w:rFonts w:eastAsia="Calibri"/>
                <w:sz w:val="20"/>
              </w:rPr>
              <w:t>children</w:t>
            </w:r>
            <w:r w:rsidRPr="00031974">
              <w:rPr>
                <w:rFonts w:eastAsia="Calibri"/>
                <w:spacing w:val="13"/>
                <w:sz w:val="20"/>
              </w:rPr>
              <w:t xml:space="preserve"> </w:t>
            </w:r>
            <w:r w:rsidRPr="00031974">
              <w:rPr>
                <w:rFonts w:eastAsia="Calibri"/>
                <w:sz w:val="20"/>
              </w:rPr>
              <w:t>be</w:t>
            </w:r>
            <w:r w:rsidRPr="00031974">
              <w:rPr>
                <w:rFonts w:eastAsia="Calibri"/>
                <w:spacing w:val="27"/>
                <w:w w:val="92"/>
                <w:sz w:val="20"/>
              </w:rPr>
              <w:t xml:space="preserve"> </w:t>
            </w:r>
            <w:r w:rsidRPr="00031974">
              <w:rPr>
                <w:rFonts w:eastAsia="Calibri"/>
                <w:sz w:val="20"/>
              </w:rPr>
              <w:t>recognized? – What</w:t>
            </w:r>
            <w:r w:rsidRPr="00031974">
              <w:rPr>
                <w:rFonts w:eastAsia="Calibri"/>
                <w:w w:val="95"/>
                <w:sz w:val="20"/>
              </w:rPr>
              <w:t xml:space="preserve"> </w:t>
            </w:r>
            <w:r w:rsidRPr="00031974">
              <w:rPr>
                <w:rFonts w:eastAsia="Calibri"/>
                <w:sz w:val="20"/>
              </w:rPr>
              <w:t>reliance</w:t>
            </w:r>
            <w:r w:rsidRPr="00031974">
              <w:rPr>
                <w:rFonts w:eastAsia="Calibri"/>
                <w:spacing w:val="22"/>
                <w:sz w:val="20"/>
              </w:rPr>
              <w:t xml:space="preserve"> </w:t>
            </w:r>
            <w:r w:rsidRPr="00031974">
              <w:rPr>
                <w:rFonts w:eastAsia="Calibri"/>
                <w:sz w:val="20"/>
              </w:rPr>
              <w:t>can</w:t>
            </w:r>
            <w:r w:rsidRPr="00031974">
              <w:rPr>
                <w:rFonts w:eastAsia="Calibri"/>
                <w:spacing w:val="-6"/>
                <w:sz w:val="20"/>
              </w:rPr>
              <w:t xml:space="preserve"> </w:t>
            </w:r>
            <w:r w:rsidRPr="00031974">
              <w:rPr>
                <w:rFonts w:eastAsia="Calibri"/>
                <w:sz w:val="20"/>
              </w:rPr>
              <w:t>and</w:t>
            </w:r>
            <w:r w:rsidRPr="00031974">
              <w:rPr>
                <w:rFonts w:eastAsia="Calibri"/>
                <w:spacing w:val="5"/>
                <w:sz w:val="20"/>
              </w:rPr>
              <w:t xml:space="preserve"> </w:t>
            </w:r>
            <w:r w:rsidRPr="00031974">
              <w:rPr>
                <w:rFonts w:eastAsia="Calibri"/>
                <w:sz w:val="20"/>
              </w:rPr>
              <w:t>should</w:t>
            </w:r>
            <w:r w:rsidRPr="00031974">
              <w:rPr>
                <w:rFonts w:eastAsia="Calibri"/>
                <w:spacing w:val="22"/>
                <w:sz w:val="20"/>
              </w:rPr>
              <w:t xml:space="preserve"> </w:t>
            </w:r>
            <w:r w:rsidRPr="00031974">
              <w:rPr>
                <w:rFonts w:eastAsia="Calibri"/>
                <w:sz w:val="20"/>
              </w:rPr>
              <w:t>a</w:t>
            </w:r>
            <w:r w:rsidRPr="00031974">
              <w:rPr>
                <w:rFonts w:eastAsia="Calibri"/>
                <w:spacing w:val="-9"/>
                <w:sz w:val="20"/>
              </w:rPr>
              <w:t xml:space="preserve"> </w:t>
            </w:r>
            <w:r w:rsidRPr="00031974">
              <w:rPr>
                <w:rFonts w:eastAsia="Calibri"/>
                <w:sz w:val="20"/>
              </w:rPr>
              <w:t>trial</w:t>
            </w:r>
            <w:r w:rsidRPr="00031974">
              <w:rPr>
                <w:rFonts w:eastAsia="Calibri"/>
                <w:spacing w:val="-12"/>
                <w:sz w:val="20"/>
              </w:rPr>
              <w:t xml:space="preserve"> </w:t>
            </w:r>
            <w:r w:rsidRPr="00031974">
              <w:rPr>
                <w:rFonts w:eastAsia="Calibri"/>
                <w:sz w:val="20"/>
              </w:rPr>
              <w:t>judge</w:t>
            </w:r>
            <w:r w:rsidRPr="00031974">
              <w:rPr>
                <w:rFonts w:eastAsia="Calibri"/>
                <w:spacing w:val="31"/>
                <w:sz w:val="20"/>
              </w:rPr>
              <w:t xml:space="preserve"> </w:t>
            </w:r>
            <w:r w:rsidRPr="00031974">
              <w:rPr>
                <w:rFonts w:eastAsia="Calibri"/>
                <w:sz w:val="20"/>
              </w:rPr>
              <w:t>put</w:t>
            </w:r>
            <w:r w:rsidRPr="00031974">
              <w:rPr>
                <w:rFonts w:eastAsia="Calibri"/>
                <w:spacing w:val="25"/>
                <w:sz w:val="20"/>
              </w:rPr>
              <w:t xml:space="preserve"> </w:t>
            </w:r>
            <w:r w:rsidRPr="00031974">
              <w:rPr>
                <w:rFonts w:eastAsia="Calibri"/>
                <w:sz w:val="20"/>
              </w:rPr>
              <w:t>on</w:t>
            </w:r>
            <w:r w:rsidRPr="00031974">
              <w:rPr>
                <w:rFonts w:eastAsia="Calibri"/>
                <w:spacing w:val="-7"/>
                <w:sz w:val="20"/>
              </w:rPr>
              <w:t xml:space="preserve"> </w:t>
            </w:r>
            <w:r w:rsidRPr="00031974">
              <w:rPr>
                <w:rFonts w:eastAsia="Calibri"/>
                <w:sz w:val="20"/>
              </w:rPr>
              <w:t>reports</w:t>
            </w:r>
            <w:r w:rsidRPr="00031974">
              <w:rPr>
                <w:rFonts w:eastAsia="Calibri"/>
                <w:spacing w:val="13"/>
                <w:sz w:val="20"/>
              </w:rPr>
              <w:t xml:space="preserve"> </w:t>
            </w:r>
            <w:r w:rsidRPr="00031974">
              <w:rPr>
                <w:rFonts w:eastAsia="Calibri"/>
                <w:sz w:val="20"/>
              </w:rPr>
              <w:t>marked</w:t>
            </w:r>
            <w:r w:rsidRPr="00031974">
              <w:rPr>
                <w:rFonts w:eastAsia="Calibri"/>
                <w:spacing w:val="32"/>
                <w:sz w:val="20"/>
              </w:rPr>
              <w:t xml:space="preserve"> </w:t>
            </w:r>
            <w:r w:rsidRPr="00031974">
              <w:rPr>
                <w:rFonts w:eastAsia="Calibri"/>
                <w:sz w:val="20"/>
              </w:rPr>
              <w:t>as</w:t>
            </w:r>
            <w:r w:rsidRPr="00031974">
              <w:rPr>
                <w:rFonts w:eastAsia="Calibri"/>
                <w:spacing w:val="-5"/>
                <w:sz w:val="20"/>
              </w:rPr>
              <w:t xml:space="preserve"> </w:t>
            </w:r>
            <w:r w:rsidRPr="00031974">
              <w:rPr>
                <w:rFonts w:eastAsia="Calibri"/>
                <w:sz w:val="20"/>
              </w:rPr>
              <w:t>exhibits</w:t>
            </w:r>
            <w:r w:rsidRPr="00031974">
              <w:rPr>
                <w:rFonts w:eastAsia="Calibri"/>
                <w:spacing w:val="12"/>
                <w:sz w:val="20"/>
              </w:rPr>
              <w:t xml:space="preserve"> </w:t>
            </w:r>
            <w:r w:rsidRPr="00031974">
              <w:rPr>
                <w:rFonts w:eastAsia="Calibri"/>
                <w:sz w:val="20"/>
              </w:rPr>
              <w:t>in</w:t>
            </w:r>
            <w:r w:rsidRPr="00031974">
              <w:rPr>
                <w:rFonts w:eastAsia="Calibri"/>
                <w:spacing w:val="3"/>
                <w:sz w:val="20"/>
              </w:rPr>
              <w:t xml:space="preserve"> </w:t>
            </w:r>
            <w:r w:rsidRPr="00031974">
              <w:rPr>
                <w:rFonts w:eastAsia="Calibri"/>
                <w:sz w:val="20"/>
              </w:rPr>
              <w:t>evidence</w:t>
            </w:r>
            <w:r w:rsidRPr="00031974">
              <w:rPr>
                <w:rFonts w:eastAsia="Calibri"/>
                <w:w w:val="99"/>
                <w:sz w:val="20"/>
              </w:rPr>
              <w:t xml:space="preserve"> </w:t>
            </w:r>
            <w:r w:rsidRPr="00031974">
              <w:rPr>
                <w:rFonts w:eastAsia="Calibri"/>
                <w:sz w:val="20"/>
              </w:rPr>
              <w:t>but</w:t>
            </w:r>
            <w:r w:rsidRPr="00031974">
              <w:rPr>
                <w:rFonts w:eastAsia="Calibri"/>
                <w:spacing w:val="15"/>
                <w:sz w:val="20"/>
              </w:rPr>
              <w:t xml:space="preserve"> </w:t>
            </w:r>
            <w:r w:rsidRPr="00031974">
              <w:rPr>
                <w:rFonts w:eastAsia="Calibri"/>
                <w:sz w:val="20"/>
              </w:rPr>
              <w:t>not</w:t>
            </w:r>
            <w:r w:rsidRPr="00031974">
              <w:rPr>
                <w:rFonts w:eastAsia="Calibri"/>
                <w:spacing w:val="23"/>
                <w:sz w:val="20"/>
              </w:rPr>
              <w:t xml:space="preserve"> </w:t>
            </w:r>
            <w:r w:rsidRPr="00031974">
              <w:rPr>
                <w:rFonts w:eastAsia="Calibri"/>
                <w:sz w:val="20"/>
              </w:rPr>
              <w:t>cross-examined</w:t>
            </w:r>
            <w:r w:rsidRPr="00031974">
              <w:rPr>
                <w:rFonts w:eastAsia="Calibri"/>
                <w:spacing w:val="52"/>
                <w:sz w:val="20"/>
              </w:rPr>
              <w:t xml:space="preserve"> </w:t>
            </w:r>
            <w:r w:rsidRPr="00031974">
              <w:rPr>
                <w:rFonts w:eastAsia="Calibri"/>
                <w:sz w:val="20"/>
              </w:rPr>
              <w:t>on? – I</w:t>
            </w:r>
            <w:r w:rsidRPr="00031974">
              <w:rPr>
                <w:rFonts w:eastAsia="Calibri"/>
                <w:spacing w:val="19"/>
                <w:sz w:val="20"/>
              </w:rPr>
              <w:t xml:space="preserve">f </w:t>
            </w:r>
            <w:r w:rsidRPr="00031974">
              <w:rPr>
                <w:rFonts w:eastAsia="Calibri"/>
                <w:sz w:val="20"/>
              </w:rPr>
              <w:t>they</w:t>
            </w:r>
            <w:r w:rsidRPr="00031974">
              <w:rPr>
                <w:rFonts w:eastAsia="Calibri"/>
                <w:spacing w:val="21"/>
                <w:sz w:val="20"/>
              </w:rPr>
              <w:t xml:space="preserve"> </w:t>
            </w:r>
            <w:r w:rsidRPr="00031974">
              <w:rPr>
                <w:rFonts w:eastAsia="Calibri"/>
                <w:sz w:val="20"/>
              </w:rPr>
              <w:t>are</w:t>
            </w:r>
            <w:r w:rsidRPr="00031974">
              <w:rPr>
                <w:rFonts w:eastAsia="Calibri"/>
                <w:spacing w:val="-3"/>
                <w:sz w:val="20"/>
              </w:rPr>
              <w:t xml:space="preserve"> </w:t>
            </w:r>
            <w:r w:rsidRPr="00031974">
              <w:rPr>
                <w:rFonts w:eastAsia="Calibri"/>
                <w:sz w:val="20"/>
              </w:rPr>
              <w:t>not</w:t>
            </w:r>
            <w:r w:rsidRPr="00031974">
              <w:rPr>
                <w:rFonts w:eastAsia="Calibri"/>
                <w:spacing w:val="13"/>
                <w:sz w:val="20"/>
              </w:rPr>
              <w:t xml:space="preserve"> </w:t>
            </w:r>
            <w:r w:rsidRPr="00031974">
              <w:rPr>
                <w:rFonts w:eastAsia="Calibri"/>
                <w:sz w:val="20"/>
              </w:rPr>
              <w:t>withdrawn,</w:t>
            </w:r>
            <w:r w:rsidRPr="00031974">
              <w:rPr>
                <w:rFonts w:eastAsia="Calibri"/>
                <w:spacing w:val="31"/>
                <w:sz w:val="20"/>
              </w:rPr>
              <w:t xml:space="preserve"> </w:t>
            </w:r>
            <w:r w:rsidRPr="00031974">
              <w:rPr>
                <w:rFonts w:eastAsia="Calibri"/>
                <w:sz w:val="20"/>
              </w:rPr>
              <w:t>must</w:t>
            </w:r>
            <w:r w:rsidRPr="00031974">
              <w:rPr>
                <w:rFonts w:eastAsia="Calibri"/>
                <w:spacing w:val="14"/>
                <w:sz w:val="20"/>
              </w:rPr>
              <w:t xml:space="preserve"> </w:t>
            </w:r>
            <w:r w:rsidRPr="00031974">
              <w:rPr>
                <w:rFonts w:eastAsia="Calibri"/>
                <w:sz w:val="20"/>
              </w:rPr>
              <w:t>they</w:t>
            </w:r>
            <w:r w:rsidRPr="00031974">
              <w:rPr>
                <w:rFonts w:eastAsia="Calibri"/>
                <w:spacing w:val="10"/>
                <w:sz w:val="20"/>
              </w:rPr>
              <w:t xml:space="preserve"> </w:t>
            </w:r>
            <w:r w:rsidRPr="00031974">
              <w:rPr>
                <w:rFonts w:eastAsia="Calibri"/>
                <w:sz w:val="20"/>
              </w:rPr>
              <w:t>form</w:t>
            </w:r>
            <w:r w:rsidRPr="00031974">
              <w:rPr>
                <w:rFonts w:eastAsia="Calibri"/>
                <w:spacing w:val="8"/>
                <w:sz w:val="20"/>
              </w:rPr>
              <w:t xml:space="preserve"> </w:t>
            </w:r>
            <w:r w:rsidRPr="00031974">
              <w:rPr>
                <w:rFonts w:eastAsia="Calibri"/>
                <w:sz w:val="20"/>
              </w:rPr>
              <w:t>part</w:t>
            </w:r>
            <w:r w:rsidRPr="00031974">
              <w:rPr>
                <w:rFonts w:eastAsia="Calibri"/>
                <w:spacing w:val="25"/>
                <w:sz w:val="20"/>
              </w:rPr>
              <w:t xml:space="preserve"> </w:t>
            </w:r>
            <w:r w:rsidRPr="00031974">
              <w:rPr>
                <w:rFonts w:eastAsia="Calibri"/>
                <w:sz w:val="20"/>
              </w:rPr>
              <w:t>of</w:t>
            </w:r>
            <w:r w:rsidRPr="00031974">
              <w:rPr>
                <w:rFonts w:eastAsia="Calibri"/>
                <w:spacing w:val="-2"/>
                <w:sz w:val="20"/>
              </w:rPr>
              <w:t xml:space="preserve"> </w:t>
            </w:r>
            <w:r w:rsidRPr="00031974">
              <w:rPr>
                <w:rFonts w:eastAsia="Calibri"/>
                <w:sz w:val="20"/>
              </w:rPr>
              <w:t>evidence</w:t>
            </w:r>
            <w:r w:rsidRPr="00031974">
              <w:rPr>
                <w:rFonts w:eastAsia="Calibri"/>
                <w:spacing w:val="20"/>
                <w:sz w:val="20"/>
              </w:rPr>
              <w:t xml:space="preserve"> </w:t>
            </w:r>
            <w:r w:rsidRPr="00031974">
              <w:rPr>
                <w:rFonts w:eastAsia="Calibri"/>
                <w:sz w:val="20"/>
              </w:rPr>
              <w:t>to</w:t>
            </w:r>
            <w:r w:rsidRPr="00031974">
              <w:rPr>
                <w:rFonts w:eastAsia="Calibri"/>
                <w:spacing w:val="5"/>
                <w:sz w:val="20"/>
              </w:rPr>
              <w:t xml:space="preserve"> </w:t>
            </w:r>
            <w:r w:rsidRPr="00031974">
              <w:rPr>
                <w:rFonts w:eastAsia="Calibri"/>
                <w:sz w:val="20"/>
              </w:rPr>
              <w:t>be</w:t>
            </w:r>
            <w:r w:rsidRPr="00031974">
              <w:rPr>
                <w:rFonts w:eastAsia="Calibri"/>
                <w:spacing w:val="10"/>
                <w:sz w:val="20"/>
              </w:rPr>
              <w:t xml:space="preserve"> </w:t>
            </w:r>
            <w:r w:rsidRPr="00031974">
              <w:rPr>
                <w:rFonts w:eastAsia="Calibri"/>
                <w:sz w:val="20"/>
              </w:rPr>
              <w:t>considered? – In</w:t>
            </w:r>
            <w:r w:rsidRPr="00031974">
              <w:rPr>
                <w:rFonts w:eastAsia="Calibri"/>
                <w:spacing w:val="4"/>
                <w:sz w:val="20"/>
              </w:rPr>
              <w:t xml:space="preserve"> </w:t>
            </w:r>
            <w:r w:rsidRPr="00031974">
              <w:rPr>
                <w:rFonts w:eastAsia="Calibri"/>
                <w:sz w:val="20"/>
              </w:rPr>
              <w:t>an</w:t>
            </w:r>
            <w:r w:rsidRPr="00031974">
              <w:rPr>
                <w:rFonts w:eastAsia="Calibri"/>
                <w:spacing w:val="6"/>
                <w:sz w:val="20"/>
              </w:rPr>
              <w:t xml:space="preserve"> </w:t>
            </w:r>
            <w:r w:rsidRPr="00031974">
              <w:rPr>
                <w:rFonts w:eastAsia="Calibri"/>
                <w:sz w:val="20"/>
              </w:rPr>
              <w:t>application</w:t>
            </w:r>
            <w:r w:rsidRPr="00031974">
              <w:rPr>
                <w:rFonts w:eastAsia="Calibri"/>
                <w:spacing w:val="17"/>
                <w:sz w:val="20"/>
              </w:rPr>
              <w:t xml:space="preserve"> </w:t>
            </w:r>
            <w:r w:rsidRPr="00031974">
              <w:rPr>
                <w:rFonts w:eastAsia="Calibri"/>
                <w:sz w:val="20"/>
              </w:rPr>
              <w:t>for</w:t>
            </w:r>
            <w:r w:rsidRPr="00031974">
              <w:rPr>
                <w:rFonts w:eastAsia="Calibri"/>
                <w:spacing w:val="8"/>
                <w:sz w:val="20"/>
              </w:rPr>
              <w:t xml:space="preserve"> </w:t>
            </w:r>
            <w:r w:rsidRPr="00031974">
              <w:rPr>
                <w:rFonts w:eastAsia="Calibri"/>
                <w:sz w:val="20"/>
              </w:rPr>
              <w:t>permanent</w:t>
            </w:r>
            <w:r w:rsidRPr="00031974">
              <w:rPr>
                <w:rFonts w:eastAsia="Calibri"/>
                <w:spacing w:val="30"/>
                <w:sz w:val="20"/>
              </w:rPr>
              <w:t xml:space="preserve"> </w:t>
            </w:r>
            <w:r w:rsidRPr="00031974">
              <w:rPr>
                <w:rFonts w:eastAsia="Calibri"/>
                <w:sz w:val="20"/>
              </w:rPr>
              <w:t>guardianship</w:t>
            </w:r>
            <w:r w:rsidRPr="00031974">
              <w:rPr>
                <w:rFonts w:eastAsia="Calibri"/>
                <w:spacing w:val="22"/>
                <w:sz w:val="20"/>
              </w:rPr>
              <w:t xml:space="preserve"> </w:t>
            </w:r>
            <w:r w:rsidRPr="00031974">
              <w:rPr>
                <w:rFonts w:eastAsia="Calibri"/>
                <w:sz w:val="20"/>
              </w:rPr>
              <w:t>order,</w:t>
            </w:r>
            <w:r w:rsidRPr="00031974">
              <w:rPr>
                <w:rFonts w:eastAsia="Calibri"/>
                <w:spacing w:val="8"/>
                <w:sz w:val="20"/>
              </w:rPr>
              <w:t xml:space="preserve"> </w:t>
            </w:r>
            <w:r w:rsidRPr="00031974">
              <w:rPr>
                <w:rFonts w:eastAsia="Calibri"/>
                <w:sz w:val="20"/>
              </w:rPr>
              <w:t>what</w:t>
            </w:r>
            <w:r w:rsidRPr="00031974">
              <w:rPr>
                <w:rFonts w:eastAsia="Calibri"/>
                <w:spacing w:val="9"/>
                <w:sz w:val="20"/>
              </w:rPr>
              <w:t xml:space="preserve"> </w:t>
            </w:r>
            <w:r w:rsidRPr="00031974">
              <w:rPr>
                <w:rFonts w:eastAsia="Calibri"/>
                <w:sz w:val="20"/>
              </w:rPr>
              <w:t>consideration must</w:t>
            </w:r>
            <w:r w:rsidRPr="00031974">
              <w:rPr>
                <w:rFonts w:eastAsia="Calibri"/>
                <w:spacing w:val="9"/>
                <w:sz w:val="20"/>
              </w:rPr>
              <w:t xml:space="preserve"> </w:t>
            </w:r>
            <w:r w:rsidRPr="00031974">
              <w:rPr>
                <w:rFonts w:eastAsia="Calibri"/>
                <w:sz w:val="20"/>
              </w:rPr>
              <w:t>be</w:t>
            </w:r>
            <w:r w:rsidRPr="00031974">
              <w:rPr>
                <w:rFonts w:eastAsia="Calibri"/>
                <w:w w:val="78"/>
                <w:sz w:val="20"/>
              </w:rPr>
              <w:t xml:space="preserve"> </w:t>
            </w:r>
            <w:r w:rsidRPr="00031974">
              <w:rPr>
                <w:rFonts w:eastAsia="Calibri"/>
                <w:sz w:val="20"/>
              </w:rPr>
              <w:t>given</w:t>
            </w:r>
            <w:r w:rsidRPr="00031974">
              <w:rPr>
                <w:rFonts w:eastAsia="Calibri"/>
                <w:spacing w:val="8"/>
                <w:sz w:val="20"/>
              </w:rPr>
              <w:t xml:space="preserve"> </w:t>
            </w:r>
            <w:r w:rsidRPr="00031974">
              <w:rPr>
                <w:rFonts w:eastAsia="Calibri"/>
                <w:sz w:val="20"/>
              </w:rPr>
              <w:t>to</w:t>
            </w:r>
            <w:r w:rsidRPr="00031974">
              <w:rPr>
                <w:rFonts w:eastAsia="Calibri"/>
                <w:spacing w:val="55"/>
                <w:sz w:val="20"/>
              </w:rPr>
              <w:t xml:space="preserve"> </w:t>
            </w:r>
            <w:r w:rsidRPr="00031974">
              <w:rPr>
                <w:rFonts w:eastAsia="Calibri"/>
                <w:sz w:val="20"/>
              </w:rPr>
              <w:t>the</w:t>
            </w:r>
            <w:r w:rsidRPr="00031974">
              <w:rPr>
                <w:rFonts w:eastAsia="Calibri"/>
                <w:spacing w:val="1"/>
                <w:sz w:val="20"/>
              </w:rPr>
              <w:t xml:space="preserve"> </w:t>
            </w:r>
            <w:r w:rsidRPr="00031974">
              <w:rPr>
                <w:rFonts w:eastAsia="Calibri"/>
                <w:sz w:val="20"/>
              </w:rPr>
              <w:t>degree</w:t>
            </w:r>
            <w:r w:rsidRPr="00031974">
              <w:rPr>
                <w:rFonts w:eastAsia="Calibri"/>
                <w:spacing w:val="11"/>
                <w:sz w:val="20"/>
              </w:rPr>
              <w:t xml:space="preserve"> </w:t>
            </w:r>
            <w:r w:rsidRPr="00031974">
              <w:rPr>
                <w:rFonts w:eastAsia="Calibri"/>
                <w:sz w:val="20"/>
              </w:rPr>
              <w:t>of</w:t>
            </w:r>
            <w:r w:rsidRPr="00031974">
              <w:rPr>
                <w:rFonts w:eastAsia="Calibri"/>
                <w:spacing w:val="6"/>
                <w:sz w:val="20"/>
              </w:rPr>
              <w:t xml:space="preserve"> </w:t>
            </w:r>
            <w:r w:rsidRPr="00031974">
              <w:rPr>
                <w:rFonts w:eastAsia="Calibri"/>
                <w:sz w:val="20"/>
              </w:rPr>
              <w:t>harm</w:t>
            </w:r>
            <w:r w:rsidRPr="00031974">
              <w:rPr>
                <w:rFonts w:eastAsia="Calibri"/>
                <w:spacing w:val="10"/>
                <w:sz w:val="20"/>
              </w:rPr>
              <w:t xml:space="preserve"> </w:t>
            </w:r>
            <w:r w:rsidRPr="00031974">
              <w:rPr>
                <w:rFonts w:eastAsia="Calibri"/>
                <w:sz w:val="20"/>
              </w:rPr>
              <w:t>involving</w:t>
            </w:r>
            <w:r w:rsidRPr="00031974">
              <w:rPr>
                <w:rFonts w:eastAsia="Calibri"/>
                <w:spacing w:val="5"/>
                <w:sz w:val="20"/>
              </w:rPr>
              <w:t xml:space="preserve"> </w:t>
            </w:r>
            <w:r w:rsidRPr="00031974">
              <w:rPr>
                <w:rFonts w:eastAsia="Calibri"/>
                <w:sz w:val="20"/>
              </w:rPr>
              <w:t>children? – What assessments with</w:t>
            </w:r>
            <w:r w:rsidRPr="00031974">
              <w:rPr>
                <w:rFonts w:eastAsia="Calibri"/>
                <w:w w:val="96"/>
                <w:sz w:val="20"/>
              </w:rPr>
              <w:t xml:space="preserve"> </w:t>
            </w:r>
            <w:r w:rsidRPr="00031974">
              <w:rPr>
                <w:rFonts w:eastAsia="Calibri"/>
                <w:sz w:val="20"/>
              </w:rPr>
              <w:t>respect</w:t>
            </w:r>
            <w:r w:rsidRPr="00031974">
              <w:rPr>
                <w:rFonts w:eastAsia="Calibri"/>
                <w:spacing w:val="39"/>
                <w:sz w:val="20"/>
              </w:rPr>
              <w:t xml:space="preserve"> </w:t>
            </w:r>
            <w:r w:rsidRPr="00031974">
              <w:rPr>
                <w:rFonts w:eastAsia="Calibri"/>
                <w:sz w:val="20"/>
              </w:rPr>
              <w:t>to</w:t>
            </w:r>
            <w:r w:rsidRPr="00031974">
              <w:rPr>
                <w:rFonts w:eastAsia="Calibri"/>
                <w:spacing w:val="12"/>
                <w:sz w:val="20"/>
              </w:rPr>
              <w:t xml:space="preserve"> </w:t>
            </w:r>
            <w:r w:rsidRPr="00031974">
              <w:rPr>
                <w:rFonts w:eastAsia="Calibri"/>
                <w:sz w:val="20"/>
              </w:rPr>
              <w:t>abuse</w:t>
            </w:r>
            <w:r w:rsidRPr="00031974">
              <w:rPr>
                <w:rFonts w:eastAsia="Calibri"/>
                <w:spacing w:val="12"/>
                <w:sz w:val="20"/>
              </w:rPr>
              <w:t xml:space="preserve"> </w:t>
            </w:r>
            <w:r w:rsidRPr="00031974">
              <w:rPr>
                <w:rFonts w:eastAsia="Calibri"/>
                <w:sz w:val="20"/>
              </w:rPr>
              <w:t>are</w:t>
            </w:r>
            <w:r w:rsidRPr="00031974">
              <w:rPr>
                <w:rFonts w:eastAsia="Calibri"/>
                <w:spacing w:val="17"/>
                <w:sz w:val="20"/>
              </w:rPr>
              <w:t xml:space="preserve"> </w:t>
            </w:r>
            <w:r w:rsidRPr="00031974">
              <w:rPr>
                <w:rFonts w:eastAsia="Calibri"/>
                <w:sz w:val="20"/>
              </w:rPr>
              <w:t>appropriate</w:t>
            </w:r>
            <w:r w:rsidRPr="00031974">
              <w:rPr>
                <w:rFonts w:eastAsia="Calibri"/>
                <w:spacing w:val="30"/>
                <w:sz w:val="20"/>
              </w:rPr>
              <w:t xml:space="preserve"> </w:t>
            </w:r>
            <w:r w:rsidRPr="00031974">
              <w:rPr>
                <w:rFonts w:eastAsia="Calibri"/>
                <w:sz w:val="20"/>
              </w:rPr>
              <w:t>for</w:t>
            </w:r>
            <w:r w:rsidRPr="00031974">
              <w:rPr>
                <w:rFonts w:eastAsia="Calibri"/>
                <w:spacing w:val="17"/>
                <w:sz w:val="20"/>
              </w:rPr>
              <w:t xml:space="preserve"> </w:t>
            </w:r>
            <w:r w:rsidRPr="00031974">
              <w:rPr>
                <w:rFonts w:eastAsia="Calibri"/>
                <w:sz w:val="20"/>
              </w:rPr>
              <w:t>a</w:t>
            </w:r>
            <w:r w:rsidRPr="00031974">
              <w:rPr>
                <w:rFonts w:eastAsia="Calibri"/>
                <w:spacing w:val="1"/>
                <w:sz w:val="20"/>
              </w:rPr>
              <w:t xml:space="preserve"> </w:t>
            </w:r>
            <w:r w:rsidRPr="00031974">
              <w:rPr>
                <w:rFonts w:eastAsia="Calibri"/>
                <w:sz w:val="20"/>
              </w:rPr>
              <w:t>trial</w:t>
            </w:r>
            <w:r w:rsidRPr="00031974">
              <w:rPr>
                <w:rFonts w:eastAsia="Calibri"/>
                <w:spacing w:val="-1"/>
                <w:sz w:val="20"/>
              </w:rPr>
              <w:t xml:space="preserve"> </w:t>
            </w:r>
            <w:r w:rsidRPr="00031974">
              <w:rPr>
                <w:rFonts w:eastAsia="Calibri"/>
                <w:sz w:val="20"/>
              </w:rPr>
              <w:t>judge</w:t>
            </w:r>
            <w:r w:rsidRPr="00031974">
              <w:rPr>
                <w:rFonts w:eastAsia="Calibri"/>
                <w:spacing w:val="52"/>
                <w:sz w:val="20"/>
              </w:rPr>
              <w:t xml:space="preserve"> </w:t>
            </w:r>
            <w:r w:rsidRPr="00031974">
              <w:rPr>
                <w:rFonts w:eastAsia="Calibri"/>
                <w:sz w:val="20"/>
              </w:rPr>
              <w:t>to</w:t>
            </w:r>
            <w:r w:rsidRPr="00031974">
              <w:rPr>
                <w:rFonts w:eastAsia="Calibri"/>
                <w:spacing w:val="12"/>
                <w:sz w:val="20"/>
              </w:rPr>
              <w:t xml:space="preserve"> </w:t>
            </w:r>
            <w:r w:rsidRPr="00031974">
              <w:rPr>
                <w:rFonts w:eastAsia="Calibri"/>
                <w:sz w:val="20"/>
              </w:rPr>
              <w:t>make</w:t>
            </w:r>
            <w:r w:rsidRPr="00031974">
              <w:rPr>
                <w:rFonts w:eastAsia="Calibri"/>
                <w:spacing w:val="21"/>
                <w:sz w:val="20"/>
              </w:rPr>
              <w:t xml:space="preserve"> </w:t>
            </w:r>
            <w:r w:rsidRPr="00031974">
              <w:rPr>
                <w:rFonts w:eastAsia="Calibri"/>
                <w:sz w:val="20"/>
              </w:rPr>
              <w:t>in</w:t>
            </w:r>
            <w:r w:rsidRPr="00031974">
              <w:rPr>
                <w:rFonts w:eastAsia="Calibri"/>
                <w:spacing w:val="4"/>
                <w:sz w:val="20"/>
              </w:rPr>
              <w:t xml:space="preserve"> </w:t>
            </w:r>
            <w:r w:rsidRPr="00031974">
              <w:rPr>
                <w:rFonts w:eastAsia="Calibri"/>
                <w:sz w:val="20"/>
              </w:rPr>
              <w:t>absence</w:t>
            </w:r>
            <w:r w:rsidRPr="00031974">
              <w:rPr>
                <w:rFonts w:eastAsia="Calibri"/>
                <w:spacing w:val="22"/>
                <w:sz w:val="20"/>
              </w:rPr>
              <w:t xml:space="preserve"> </w:t>
            </w:r>
            <w:r w:rsidRPr="00031974">
              <w:rPr>
                <w:rFonts w:eastAsia="Calibri"/>
                <w:sz w:val="20"/>
              </w:rPr>
              <w:t>of</w:t>
            </w:r>
            <w:r w:rsidRPr="00031974">
              <w:rPr>
                <w:rFonts w:eastAsia="Calibri"/>
                <w:spacing w:val="11"/>
                <w:sz w:val="20"/>
              </w:rPr>
              <w:t xml:space="preserve"> </w:t>
            </w:r>
            <w:r w:rsidRPr="00031974">
              <w:rPr>
                <w:rFonts w:eastAsia="Calibri"/>
                <w:sz w:val="20"/>
              </w:rPr>
              <w:t>expert</w:t>
            </w:r>
            <w:r w:rsidRPr="00031974">
              <w:rPr>
                <w:rFonts w:eastAsia="Calibri"/>
                <w:w w:val="98"/>
                <w:sz w:val="20"/>
              </w:rPr>
              <w:t xml:space="preserve"> </w:t>
            </w:r>
            <w:r w:rsidRPr="00031974">
              <w:rPr>
                <w:rFonts w:eastAsia="Calibri"/>
                <w:sz w:val="20"/>
              </w:rPr>
              <w:t>evidence? – Can</w:t>
            </w:r>
            <w:r w:rsidRPr="00031974">
              <w:rPr>
                <w:rFonts w:eastAsia="Calibri"/>
                <w:spacing w:val="-6"/>
                <w:sz w:val="20"/>
              </w:rPr>
              <w:t xml:space="preserve"> </w:t>
            </w:r>
            <w:r w:rsidRPr="00031974">
              <w:rPr>
                <w:rFonts w:eastAsia="Calibri"/>
                <w:sz w:val="20"/>
              </w:rPr>
              <w:t>trial judge</w:t>
            </w:r>
            <w:r w:rsidRPr="00031974">
              <w:rPr>
                <w:rFonts w:eastAsia="Calibri"/>
                <w:spacing w:val="34"/>
                <w:sz w:val="20"/>
              </w:rPr>
              <w:t xml:space="preserve"> </w:t>
            </w:r>
            <w:r w:rsidRPr="00031974">
              <w:rPr>
                <w:rFonts w:eastAsia="Calibri"/>
                <w:sz w:val="20"/>
              </w:rPr>
              <w:t>base</w:t>
            </w:r>
            <w:r w:rsidRPr="00031974">
              <w:rPr>
                <w:rFonts w:eastAsia="Calibri"/>
                <w:spacing w:val="12"/>
                <w:sz w:val="20"/>
              </w:rPr>
              <w:t xml:space="preserve"> </w:t>
            </w:r>
            <w:r w:rsidRPr="00031974">
              <w:rPr>
                <w:rFonts w:eastAsia="Calibri"/>
                <w:sz w:val="20"/>
              </w:rPr>
              <w:t>a</w:t>
            </w:r>
            <w:r w:rsidRPr="00031974">
              <w:rPr>
                <w:rFonts w:eastAsia="Calibri"/>
                <w:spacing w:val="-14"/>
                <w:sz w:val="20"/>
              </w:rPr>
              <w:t xml:space="preserve"> </w:t>
            </w:r>
            <w:r w:rsidRPr="00031974">
              <w:rPr>
                <w:rFonts w:eastAsia="Calibri"/>
                <w:sz w:val="20"/>
              </w:rPr>
              <w:t>permanent</w:t>
            </w:r>
            <w:r w:rsidRPr="00031974">
              <w:rPr>
                <w:rFonts w:eastAsia="Calibri"/>
                <w:spacing w:val="25"/>
                <w:sz w:val="20"/>
              </w:rPr>
              <w:t xml:space="preserve"> </w:t>
            </w:r>
            <w:r w:rsidRPr="00031974">
              <w:rPr>
                <w:rFonts w:eastAsia="Calibri"/>
                <w:sz w:val="20"/>
              </w:rPr>
              <w:t>guardianship</w:t>
            </w:r>
            <w:r w:rsidRPr="00031974">
              <w:rPr>
                <w:rFonts w:eastAsia="Calibri"/>
                <w:spacing w:val="4"/>
                <w:sz w:val="20"/>
              </w:rPr>
              <w:t xml:space="preserve"> </w:t>
            </w:r>
            <w:r w:rsidRPr="00031974">
              <w:rPr>
                <w:rFonts w:eastAsia="Calibri"/>
                <w:sz w:val="20"/>
              </w:rPr>
              <w:t>order</w:t>
            </w:r>
            <w:r w:rsidRPr="00031974">
              <w:rPr>
                <w:rFonts w:eastAsia="Calibri"/>
                <w:spacing w:val="2"/>
                <w:sz w:val="20"/>
              </w:rPr>
              <w:t xml:space="preserve"> </w:t>
            </w:r>
            <w:r w:rsidRPr="00031974">
              <w:rPr>
                <w:rFonts w:eastAsia="Calibri"/>
                <w:sz w:val="20"/>
              </w:rPr>
              <w:t>on</w:t>
            </w:r>
            <w:r w:rsidRPr="00031974">
              <w:rPr>
                <w:rFonts w:eastAsia="Calibri"/>
                <w:spacing w:val="6"/>
                <w:sz w:val="20"/>
              </w:rPr>
              <w:t xml:space="preserve"> </w:t>
            </w:r>
            <w:r w:rsidRPr="00031974">
              <w:rPr>
                <w:rFonts w:eastAsia="Calibri"/>
                <w:sz w:val="20"/>
              </w:rPr>
              <w:t>speculation</w:t>
            </w:r>
            <w:r w:rsidRPr="00031974">
              <w:rPr>
                <w:rFonts w:eastAsia="Calibri"/>
                <w:spacing w:val="13"/>
                <w:sz w:val="20"/>
              </w:rPr>
              <w:t xml:space="preserve"> </w:t>
            </w:r>
            <w:r w:rsidRPr="00031974">
              <w:rPr>
                <w:rFonts w:eastAsia="Calibri"/>
                <w:sz w:val="20"/>
              </w:rPr>
              <w:t>as</w:t>
            </w:r>
            <w:r w:rsidRPr="00031974">
              <w:rPr>
                <w:rFonts w:eastAsia="Calibri"/>
                <w:w w:val="98"/>
                <w:sz w:val="20"/>
              </w:rPr>
              <w:t xml:space="preserve"> </w:t>
            </w:r>
            <w:r w:rsidRPr="00031974">
              <w:rPr>
                <w:rFonts w:eastAsia="Calibri"/>
                <w:sz w:val="20"/>
              </w:rPr>
              <w:t>to</w:t>
            </w:r>
            <w:r w:rsidRPr="00031974">
              <w:rPr>
                <w:rFonts w:eastAsia="Calibri"/>
                <w:spacing w:val="14"/>
                <w:sz w:val="20"/>
              </w:rPr>
              <w:t xml:space="preserve"> </w:t>
            </w:r>
            <w:r w:rsidRPr="00031974">
              <w:rPr>
                <w:rFonts w:eastAsia="Calibri"/>
                <w:sz w:val="20"/>
              </w:rPr>
              <w:t>parents’</w:t>
            </w:r>
            <w:r w:rsidRPr="00031974">
              <w:rPr>
                <w:rFonts w:eastAsia="Calibri"/>
                <w:spacing w:val="47"/>
                <w:sz w:val="20"/>
              </w:rPr>
              <w:t xml:space="preserve"> </w:t>
            </w:r>
            <w:r w:rsidRPr="00031974">
              <w:rPr>
                <w:rFonts w:eastAsia="Calibri"/>
                <w:sz w:val="20"/>
              </w:rPr>
              <w:t>abilities</w:t>
            </w:r>
            <w:r w:rsidRPr="00031974">
              <w:rPr>
                <w:rFonts w:eastAsia="Calibri"/>
                <w:spacing w:val="19"/>
                <w:sz w:val="20"/>
              </w:rPr>
              <w:t xml:space="preserve"> </w:t>
            </w:r>
            <w:r w:rsidRPr="00031974">
              <w:rPr>
                <w:rFonts w:eastAsia="Calibri"/>
                <w:sz w:val="20"/>
              </w:rPr>
              <w:t>as</w:t>
            </w:r>
            <w:r w:rsidRPr="00031974">
              <w:rPr>
                <w:rFonts w:eastAsia="Calibri"/>
                <w:spacing w:val="6"/>
                <w:sz w:val="20"/>
              </w:rPr>
              <w:t xml:space="preserve"> </w:t>
            </w:r>
            <w:r w:rsidRPr="00031974">
              <w:rPr>
                <w:rFonts w:eastAsia="Calibri"/>
                <w:sz w:val="20"/>
              </w:rPr>
              <w:t>children</w:t>
            </w:r>
            <w:r w:rsidRPr="00031974">
              <w:rPr>
                <w:rFonts w:eastAsia="Calibri"/>
                <w:spacing w:val="20"/>
                <w:sz w:val="20"/>
              </w:rPr>
              <w:t xml:space="preserve"> </w:t>
            </w:r>
            <w:r w:rsidRPr="00031974">
              <w:rPr>
                <w:rFonts w:eastAsia="Calibri"/>
                <w:sz w:val="20"/>
              </w:rPr>
              <w:t>age?</w:t>
            </w:r>
            <w:r w:rsidRPr="00031974">
              <w:rPr>
                <w:rFonts w:eastAsia="Calibri"/>
                <w:spacing w:val="12"/>
                <w:sz w:val="20"/>
              </w:rPr>
              <w:t xml:space="preserve"> </w:t>
            </w:r>
            <w:r w:rsidRPr="00031974">
              <w:rPr>
                <w:rFonts w:eastAsia="Calibri"/>
                <w:sz w:val="20"/>
              </w:rPr>
              <w:t>– Does</w:t>
            </w:r>
            <w:r w:rsidRPr="00031974">
              <w:rPr>
                <w:rFonts w:eastAsia="Calibri"/>
                <w:spacing w:val="16"/>
                <w:sz w:val="20"/>
              </w:rPr>
              <w:t xml:space="preserve"> </w:t>
            </w:r>
            <w:r w:rsidRPr="00031974">
              <w:rPr>
                <w:rFonts w:eastAsia="Calibri"/>
                <w:sz w:val="20"/>
              </w:rPr>
              <w:t>this</w:t>
            </w:r>
            <w:r w:rsidRPr="00031974">
              <w:rPr>
                <w:rFonts w:eastAsia="Calibri"/>
                <w:spacing w:val="17"/>
                <w:sz w:val="20"/>
              </w:rPr>
              <w:t xml:space="preserve"> </w:t>
            </w:r>
            <w:r w:rsidRPr="00031974">
              <w:rPr>
                <w:rFonts w:eastAsia="Calibri"/>
                <w:sz w:val="20"/>
              </w:rPr>
              <w:t>amount</w:t>
            </w:r>
            <w:r w:rsidRPr="00031974">
              <w:rPr>
                <w:rFonts w:eastAsia="Calibri"/>
                <w:spacing w:val="5"/>
                <w:sz w:val="20"/>
              </w:rPr>
              <w:t xml:space="preserve"> </w:t>
            </w:r>
            <w:r w:rsidRPr="00031974">
              <w:rPr>
                <w:rFonts w:eastAsia="Calibri"/>
                <w:sz w:val="20"/>
              </w:rPr>
              <w:t>to</w:t>
            </w:r>
            <w:r w:rsidRPr="00031974">
              <w:rPr>
                <w:rFonts w:eastAsia="Calibri"/>
                <w:spacing w:val="14"/>
                <w:sz w:val="20"/>
              </w:rPr>
              <w:t xml:space="preserve"> </w:t>
            </w:r>
            <w:r w:rsidRPr="00031974">
              <w:rPr>
                <w:rFonts w:eastAsia="Calibri"/>
                <w:sz w:val="20"/>
              </w:rPr>
              <w:t>making</w:t>
            </w:r>
            <w:r w:rsidRPr="00031974">
              <w:rPr>
                <w:rFonts w:eastAsia="Calibri"/>
                <w:spacing w:val="28"/>
                <w:sz w:val="20"/>
              </w:rPr>
              <w:t xml:space="preserve"> </w:t>
            </w:r>
            <w:r w:rsidRPr="00031974">
              <w:rPr>
                <w:rFonts w:eastAsia="Calibri"/>
                <w:sz w:val="20"/>
              </w:rPr>
              <w:t>a</w:t>
            </w:r>
            <w:r w:rsidRPr="00031974">
              <w:rPr>
                <w:rFonts w:eastAsia="Calibri"/>
                <w:spacing w:val="3"/>
                <w:sz w:val="20"/>
              </w:rPr>
              <w:t xml:space="preserve"> </w:t>
            </w:r>
            <w:r w:rsidRPr="00031974">
              <w:rPr>
                <w:rFonts w:eastAsia="Calibri"/>
                <w:sz w:val="20"/>
              </w:rPr>
              <w:t>decision</w:t>
            </w:r>
            <w:r w:rsidRPr="00031974">
              <w:rPr>
                <w:rFonts w:eastAsia="Calibri"/>
                <w:spacing w:val="14"/>
                <w:sz w:val="20"/>
              </w:rPr>
              <w:t xml:space="preserve"> </w:t>
            </w:r>
            <w:r w:rsidRPr="00031974">
              <w:rPr>
                <w:rFonts w:eastAsia="Calibri"/>
                <w:sz w:val="20"/>
              </w:rPr>
              <w:t>using</w:t>
            </w:r>
            <w:r w:rsidRPr="00031974">
              <w:rPr>
                <w:rFonts w:eastAsia="Calibri"/>
                <w:w w:val="96"/>
                <w:sz w:val="20"/>
              </w:rPr>
              <w:t xml:space="preserve"> </w:t>
            </w:r>
            <w:r w:rsidRPr="00031974">
              <w:rPr>
                <w:rFonts w:eastAsia="Calibri"/>
                <w:sz w:val="20"/>
              </w:rPr>
              <w:t>inferences</w:t>
            </w:r>
            <w:r w:rsidRPr="00031974">
              <w:rPr>
                <w:rFonts w:eastAsia="Calibri"/>
                <w:spacing w:val="14"/>
                <w:sz w:val="20"/>
              </w:rPr>
              <w:t xml:space="preserve"> </w:t>
            </w:r>
            <w:r w:rsidRPr="00031974">
              <w:rPr>
                <w:rFonts w:eastAsia="Calibri"/>
                <w:sz w:val="20"/>
              </w:rPr>
              <w:t>based</w:t>
            </w:r>
            <w:r w:rsidRPr="00031974">
              <w:rPr>
                <w:rFonts w:eastAsia="Calibri"/>
                <w:spacing w:val="24"/>
                <w:sz w:val="20"/>
              </w:rPr>
              <w:t xml:space="preserve"> </w:t>
            </w:r>
            <w:r w:rsidRPr="00031974">
              <w:rPr>
                <w:rFonts w:eastAsia="Calibri"/>
                <w:sz w:val="20"/>
              </w:rPr>
              <w:t>on</w:t>
            </w:r>
            <w:r w:rsidRPr="00031974">
              <w:rPr>
                <w:rFonts w:eastAsia="Calibri"/>
                <w:spacing w:val="17"/>
                <w:sz w:val="20"/>
              </w:rPr>
              <w:t xml:space="preserve"> </w:t>
            </w:r>
            <w:r w:rsidRPr="00031974">
              <w:rPr>
                <w:rFonts w:eastAsia="Calibri"/>
                <w:sz w:val="20"/>
              </w:rPr>
              <w:t>speculation?</w:t>
            </w:r>
          </w:p>
          <w:p w:rsidR="003849AF" w:rsidRPr="00031974" w:rsidRDefault="003849AF" w:rsidP="00B243C4">
            <w:pPr>
              <w:widowControl w:val="0"/>
              <w:ind w:right="4"/>
              <w:jc w:val="both"/>
              <w:rPr>
                <w:sz w:val="20"/>
              </w:rPr>
            </w:pPr>
          </w:p>
        </w:tc>
      </w:tr>
      <w:tr w:rsidR="003849AF" w:rsidRPr="00031974" w:rsidTr="00B243C4">
        <w:tc>
          <w:tcPr>
            <w:tcW w:w="5000" w:type="pct"/>
            <w:gridSpan w:val="3"/>
          </w:tcPr>
          <w:p w:rsidR="003849AF" w:rsidRPr="00031974" w:rsidRDefault="003849AF" w:rsidP="00B243C4">
            <w:pPr>
              <w:jc w:val="both"/>
              <w:rPr>
                <w:rFonts w:eastAsia="Calibri"/>
                <w:sz w:val="20"/>
              </w:rPr>
            </w:pPr>
            <w:r w:rsidRPr="00031974">
              <w:rPr>
                <w:rFonts w:eastAsia="Calibri"/>
                <w:sz w:val="20"/>
              </w:rPr>
              <w:t>The applicants were the parents of five children.  The three eldest children were the mother’s nieces and nephew.  They were adopted by the applicants after their biological parents were killed in a tragic motor vehicle accident in 2006.</w:t>
            </w:r>
            <w:r w:rsidRPr="00031974">
              <w:rPr>
                <w:rFonts w:eastAsia="Calibri"/>
                <w:color w:val="222222"/>
                <w:sz w:val="20"/>
              </w:rPr>
              <w:t xml:space="preserve">  The applicants also have twins of their own who were born a few months before the accident. </w:t>
            </w:r>
            <w:r w:rsidRPr="00031974">
              <w:rPr>
                <w:rFonts w:eastAsia="Calibri"/>
                <w:sz w:val="20"/>
              </w:rPr>
              <w:t xml:space="preserve"> In 2011 it was discovered that the adopted children had been severely physically and psychologically abused by the applicants.  At that time, the twins showed no signs of physical abuse. The Director obtained a temporary guardianship order for the adopted children and a supervision order to monitor the twins.  The parents consented to these applications.  Once removed from the home, two of the adopted children revealed to psychologists and police officers that the twins had also been abused.  With the parents’ consent, the Director obtained an order for temporary guardianship of the twins.  The parents consented to a permanent guardianship order for the adopted children.  The parents continued to have supervised access to the twins but denied ever having abused them.  The Director applied for a permanent guardianship order for the twins.</w:t>
            </w:r>
          </w:p>
          <w:p w:rsidR="003849AF" w:rsidRPr="00031974" w:rsidRDefault="003849AF" w:rsidP="00B243C4">
            <w:pPr>
              <w:jc w:val="both"/>
              <w:rPr>
                <w:rFonts w:eastAsia="Calibri"/>
                <w:sz w:val="20"/>
              </w:rPr>
            </w:pPr>
          </w:p>
        </w:tc>
      </w:tr>
      <w:tr w:rsidR="003849AF" w:rsidRPr="00031974" w:rsidTr="00B243C4">
        <w:tc>
          <w:tcPr>
            <w:tcW w:w="2427" w:type="pct"/>
          </w:tcPr>
          <w:p w:rsidR="003849AF" w:rsidRPr="00031974" w:rsidRDefault="003849AF" w:rsidP="00B243C4">
            <w:pPr>
              <w:jc w:val="both"/>
              <w:rPr>
                <w:rFonts w:eastAsia="Calibri"/>
                <w:sz w:val="20"/>
              </w:rPr>
            </w:pPr>
            <w:r w:rsidRPr="00031974">
              <w:rPr>
                <w:rFonts w:eastAsia="Calibri"/>
                <w:sz w:val="20"/>
              </w:rPr>
              <w:t>November 22, 2013</w:t>
            </w:r>
          </w:p>
          <w:p w:rsidR="003849AF" w:rsidRPr="00031974" w:rsidRDefault="003849AF" w:rsidP="00B243C4">
            <w:pPr>
              <w:jc w:val="both"/>
              <w:rPr>
                <w:rFonts w:eastAsia="Calibri"/>
                <w:sz w:val="20"/>
              </w:rPr>
            </w:pPr>
            <w:r w:rsidRPr="00031974">
              <w:rPr>
                <w:rFonts w:eastAsia="Calibri"/>
                <w:sz w:val="20"/>
              </w:rPr>
              <w:t>Provincial Court of Alberta</w:t>
            </w:r>
          </w:p>
          <w:p w:rsidR="003849AF" w:rsidRPr="00031974" w:rsidRDefault="00790981" w:rsidP="00B243C4">
            <w:pPr>
              <w:jc w:val="both"/>
              <w:rPr>
                <w:rFonts w:eastAsia="Calibri"/>
                <w:sz w:val="20"/>
              </w:rPr>
            </w:pPr>
            <w:hyperlink r:id="rId63" w:history="1">
              <w:r w:rsidR="003849AF" w:rsidRPr="00031974">
                <w:rPr>
                  <w:rFonts w:eastAsia="Calibri"/>
                  <w:color w:val="0000FF"/>
                  <w:sz w:val="20"/>
                  <w:u w:val="single"/>
                </w:rPr>
                <w:t>2013 ABPC 311</w:t>
              </w:r>
            </w:hyperlink>
          </w:p>
          <w:p w:rsidR="003849AF" w:rsidRPr="00031974" w:rsidRDefault="003849AF" w:rsidP="00B243C4">
            <w:pPr>
              <w:jc w:val="both"/>
              <w:rPr>
                <w:rFonts w:eastAsia="Calibri"/>
                <w:sz w:val="20"/>
              </w:rPr>
            </w:pPr>
          </w:p>
        </w:tc>
        <w:tc>
          <w:tcPr>
            <w:tcW w:w="243"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Order for permanent guardianship of two children with no access</w:t>
            </w:r>
          </w:p>
        </w:tc>
      </w:tr>
      <w:tr w:rsidR="003849AF" w:rsidRPr="00031974" w:rsidTr="00B243C4">
        <w:tc>
          <w:tcPr>
            <w:tcW w:w="2427" w:type="pct"/>
          </w:tcPr>
          <w:p w:rsidR="003849AF" w:rsidRPr="00031974" w:rsidRDefault="003849AF" w:rsidP="00B243C4">
            <w:pPr>
              <w:jc w:val="both"/>
              <w:rPr>
                <w:rFonts w:eastAsia="Calibri"/>
                <w:sz w:val="20"/>
              </w:rPr>
            </w:pPr>
            <w:r w:rsidRPr="00031974">
              <w:rPr>
                <w:rFonts w:eastAsia="Calibri"/>
                <w:sz w:val="20"/>
              </w:rPr>
              <w:t>July 3, 2014</w:t>
            </w:r>
          </w:p>
          <w:p w:rsidR="003849AF" w:rsidRPr="00031974" w:rsidRDefault="003849AF" w:rsidP="00B243C4">
            <w:pPr>
              <w:jc w:val="both"/>
              <w:rPr>
                <w:rFonts w:eastAsia="Calibri"/>
                <w:sz w:val="20"/>
              </w:rPr>
            </w:pPr>
            <w:r w:rsidRPr="00031974">
              <w:rPr>
                <w:rFonts w:eastAsia="Calibri"/>
                <w:sz w:val="20"/>
              </w:rPr>
              <w:t>Court of Queen’s Bench of Alberta</w:t>
            </w:r>
          </w:p>
          <w:p w:rsidR="003849AF" w:rsidRPr="00031974" w:rsidRDefault="003849AF" w:rsidP="00B243C4">
            <w:pPr>
              <w:jc w:val="both"/>
              <w:rPr>
                <w:rFonts w:eastAsia="Calibri"/>
                <w:sz w:val="20"/>
              </w:rPr>
            </w:pPr>
            <w:r w:rsidRPr="00031974">
              <w:rPr>
                <w:rFonts w:eastAsia="Calibri"/>
                <w:sz w:val="20"/>
              </w:rPr>
              <w:t>(Hawco J.)</w:t>
            </w:r>
          </w:p>
          <w:p w:rsidR="003849AF" w:rsidRPr="00031974" w:rsidRDefault="00790981" w:rsidP="00B243C4">
            <w:pPr>
              <w:jc w:val="both"/>
              <w:rPr>
                <w:rFonts w:eastAsia="Calibri"/>
                <w:sz w:val="20"/>
              </w:rPr>
            </w:pPr>
            <w:hyperlink r:id="rId64" w:history="1">
              <w:r w:rsidR="003849AF" w:rsidRPr="00031974">
                <w:rPr>
                  <w:rFonts w:eastAsia="Calibri"/>
                  <w:color w:val="0000FF"/>
                  <w:sz w:val="20"/>
                  <w:u w:val="single"/>
                </w:rPr>
                <w:t>2014 ABQB 406</w:t>
              </w:r>
            </w:hyperlink>
          </w:p>
          <w:p w:rsidR="003849AF" w:rsidRPr="00031974" w:rsidRDefault="003849AF" w:rsidP="00B243C4">
            <w:pPr>
              <w:jc w:val="both"/>
              <w:rPr>
                <w:rFonts w:eastAsia="Calibri"/>
                <w:sz w:val="20"/>
              </w:rPr>
            </w:pPr>
          </w:p>
        </w:tc>
        <w:tc>
          <w:tcPr>
            <w:tcW w:w="243"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Appeal allowed; Director ordered to return children to parents subject to condition</w:t>
            </w:r>
          </w:p>
          <w:p w:rsidR="003849AF" w:rsidRPr="00031974" w:rsidRDefault="003849AF" w:rsidP="00B243C4">
            <w:pPr>
              <w:jc w:val="both"/>
              <w:rPr>
                <w:rFonts w:eastAsia="Calibri"/>
                <w:sz w:val="20"/>
              </w:rPr>
            </w:pPr>
          </w:p>
        </w:tc>
      </w:tr>
      <w:tr w:rsidR="003849AF" w:rsidRPr="00031974" w:rsidTr="00B243C4">
        <w:tc>
          <w:tcPr>
            <w:tcW w:w="2427" w:type="pct"/>
          </w:tcPr>
          <w:p w:rsidR="003849AF" w:rsidRPr="00031974" w:rsidRDefault="003849AF" w:rsidP="00B243C4">
            <w:pPr>
              <w:jc w:val="both"/>
              <w:rPr>
                <w:rFonts w:eastAsia="Calibri"/>
                <w:sz w:val="20"/>
              </w:rPr>
            </w:pPr>
            <w:r w:rsidRPr="00031974">
              <w:rPr>
                <w:rFonts w:eastAsia="Calibri"/>
                <w:sz w:val="20"/>
              </w:rPr>
              <w:t xml:space="preserve">July 22, 2014 </w:t>
            </w:r>
          </w:p>
          <w:p w:rsidR="003849AF" w:rsidRPr="00031974" w:rsidRDefault="003849AF" w:rsidP="00B243C4">
            <w:pPr>
              <w:jc w:val="both"/>
              <w:rPr>
                <w:rFonts w:eastAsia="Calibri"/>
                <w:sz w:val="20"/>
              </w:rPr>
            </w:pPr>
            <w:r w:rsidRPr="00031974">
              <w:rPr>
                <w:rFonts w:eastAsia="Calibri"/>
                <w:sz w:val="20"/>
              </w:rPr>
              <w:t>Court of Appeal for Alberta</w:t>
            </w:r>
          </w:p>
          <w:p w:rsidR="003849AF" w:rsidRPr="00031974" w:rsidRDefault="003849AF" w:rsidP="00B243C4">
            <w:pPr>
              <w:jc w:val="both"/>
              <w:rPr>
                <w:rFonts w:eastAsia="Calibri"/>
                <w:sz w:val="20"/>
              </w:rPr>
            </w:pPr>
            <w:r w:rsidRPr="00031974">
              <w:rPr>
                <w:rFonts w:eastAsia="Calibri"/>
                <w:sz w:val="20"/>
              </w:rPr>
              <w:t>(Watson J.A.)</w:t>
            </w:r>
          </w:p>
          <w:p w:rsidR="003849AF" w:rsidRPr="00031974" w:rsidRDefault="00790981" w:rsidP="00B243C4">
            <w:pPr>
              <w:jc w:val="both"/>
              <w:rPr>
                <w:rFonts w:eastAsia="Calibri"/>
                <w:sz w:val="20"/>
              </w:rPr>
            </w:pPr>
            <w:hyperlink r:id="rId65" w:history="1">
              <w:r w:rsidR="003849AF" w:rsidRPr="00031974">
                <w:rPr>
                  <w:rFonts w:eastAsia="Calibri"/>
                  <w:color w:val="0000FF"/>
                  <w:sz w:val="20"/>
                  <w:u w:val="single"/>
                </w:rPr>
                <w:t>2014 ABCA 237</w:t>
              </w:r>
            </w:hyperlink>
          </w:p>
          <w:p w:rsidR="003849AF" w:rsidRPr="00031974" w:rsidRDefault="003849AF" w:rsidP="00B243C4">
            <w:pPr>
              <w:jc w:val="both"/>
              <w:rPr>
                <w:rFonts w:eastAsia="Calibri"/>
                <w:sz w:val="20"/>
              </w:rPr>
            </w:pPr>
          </w:p>
        </w:tc>
        <w:tc>
          <w:tcPr>
            <w:tcW w:w="243"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rPr>
            </w:pPr>
            <w:r w:rsidRPr="00031974">
              <w:rPr>
                <w:rFonts w:eastAsia="Calibri"/>
                <w:sz w:val="20"/>
              </w:rPr>
              <w:t xml:space="preserve">Director’s application for stay granted </w:t>
            </w:r>
          </w:p>
        </w:tc>
      </w:tr>
      <w:tr w:rsidR="003849AF" w:rsidRPr="00031974" w:rsidTr="00B243C4">
        <w:tc>
          <w:tcPr>
            <w:tcW w:w="2427" w:type="pct"/>
          </w:tcPr>
          <w:p w:rsidR="003849AF" w:rsidRPr="00031974" w:rsidRDefault="003849AF" w:rsidP="00B243C4">
            <w:pPr>
              <w:jc w:val="both"/>
              <w:rPr>
                <w:rFonts w:eastAsia="Calibri"/>
                <w:sz w:val="20"/>
              </w:rPr>
            </w:pPr>
            <w:r w:rsidRPr="00031974">
              <w:rPr>
                <w:rFonts w:eastAsia="Calibri"/>
                <w:sz w:val="20"/>
              </w:rPr>
              <w:t>November 24, 2014</w:t>
            </w:r>
          </w:p>
          <w:p w:rsidR="003849AF" w:rsidRPr="00031974" w:rsidRDefault="003849AF" w:rsidP="00B243C4">
            <w:pPr>
              <w:jc w:val="both"/>
              <w:rPr>
                <w:rFonts w:eastAsia="Calibri"/>
                <w:sz w:val="20"/>
              </w:rPr>
            </w:pPr>
            <w:r w:rsidRPr="00031974">
              <w:rPr>
                <w:rFonts w:eastAsia="Calibri"/>
                <w:sz w:val="20"/>
              </w:rPr>
              <w:t>Court of Appeal of Alberta (Calgary)</w:t>
            </w:r>
          </w:p>
          <w:p w:rsidR="003849AF" w:rsidRPr="00031974" w:rsidRDefault="003849AF" w:rsidP="00B243C4">
            <w:pPr>
              <w:jc w:val="both"/>
              <w:rPr>
                <w:rFonts w:eastAsia="Calibri"/>
                <w:sz w:val="20"/>
              </w:rPr>
            </w:pPr>
            <w:r w:rsidRPr="00031974">
              <w:rPr>
                <w:rFonts w:eastAsia="Calibri"/>
                <w:sz w:val="20"/>
              </w:rPr>
              <w:t>(Côté, Rowbotham and Jeffrey JJ.A.)</w:t>
            </w:r>
          </w:p>
          <w:p w:rsidR="003849AF" w:rsidRPr="00031974" w:rsidRDefault="00790981" w:rsidP="00B243C4">
            <w:pPr>
              <w:jc w:val="both"/>
              <w:rPr>
                <w:rFonts w:eastAsia="Calibri"/>
                <w:sz w:val="20"/>
              </w:rPr>
            </w:pPr>
            <w:hyperlink r:id="rId66" w:history="1">
              <w:r w:rsidR="003849AF" w:rsidRPr="00031974">
                <w:rPr>
                  <w:rFonts w:eastAsia="Calibri"/>
                  <w:color w:val="0000FF"/>
                  <w:sz w:val="20"/>
                  <w:u w:val="single"/>
                </w:rPr>
                <w:t>2014 ABCA 396</w:t>
              </w:r>
            </w:hyperlink>
          </w:p>
          <w:p w:rsidR="003849AF" w:rsidRPr="00031974" w:rsidRDefault="003849AF" w:rsidP="00B243C4">
            <w:pPr>
              <w:jc w:val="both"/>
              <w:rPr>
                <w:rFonts w:eastAsia="Calibri"/>
                <w:sz w:val="20"/>
              </w:rPr>
            </w:pPr>
          </w:p>
        </w:tc>
        <w:tc>
          <w:tcPr>
            <w:tcW w:w="243"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Director’s appeal allowed; order of trial judge restored with new directions  regarding farewell access to parents and access among the five children</w:t>
            </w:r>
          </w:p>
          <w:p w:rsidR="003849AF" w:rsidRPr="00031974" w:rsidRDefault="003849AF" w:rsidP="00B243C4">
            <w:pPr>
              <w:jc w:val="both"/>
              <w:rPr>
                <w:rFonts w:eastAsia="Calibri"/>
                <w:sz w:val="20"/>
              </w:rPr>
            </w:pPr>
          </w:p>
        </w:tc>
      </w:tr>
      <w:tr w:rsidR="003849AF" w:rsidRPr="00031974" w:rsidTr="00B243C4">
        <w:tc>
          <w:tcPr>
            <w:tcW w:w="2427" w:type="pct"/>
          </w:tcPr>
          <w:p w:rsidR="003849AF" w:rsidRPr="00031974" w:rsidRDefault="003849AF" w:rsidP="00B243C4">
            <w:pPr>
              <w:jc w:val="both"/>
              <w:rPr>
                <w:rFonts w:eastAsia="Calibri"/>
                <w:sz w:val="20"/>
              </w:rPr>
            </w:pPr>
            <w:r w:rsidRPr="00031974">
              <w:rPr>
                <w:rFonts w:eastAsia="Calibri"/>
                <w:sz w:val="20"/>
              </w:rPr>
              <w:t>January 21, 2015</w:t>
            </w:r>
          </w:p>
          <w:p w:rsidR="003849AF" w:rsidRPr="00031974" w:rsidRDefault="003849AF" w:rsidP="00B243C4">
            <w:pPr>
              <w:jc w:val="both"/>
              <w:rPr>
                <w:rFonts w:eastAsia="Calibri"/>
                <w:sz w:val="20"/>
              </w:rPr>
            </w:pPr>
            <w:r w:rsidRPr="00031974">
              <w:rPr>
                <w:rFonts w:eastAsia="Calibri"/>
                <w:sz w:val="20"/>
              </w:rPr>
              <w:t>Supreme Court of Canada</w:t>
            </w:r>
          </w:p>
        </w:tc>
        <w:tc>
          <w:tcPr>
            <w:tcW w:w="243" w:type="pct"/>
          </w:tcPr>
          <w:p w:rsidR="003849AF" w:rsidRPr="00031974" w:rsidRDefault="003849AF" w:rsidP="00B243C4">
            <w:pPr>
              <w:jc w:val="both"/>
              <w:rPr>
                <w:rFonts w:eastAsia="Calibri"/>
                <w:sz w:val="20"/>
              </w:rPr>
            </w:pPr>
          </w:p>
        </w:tc>
        <w:tc>
          <w:tcPr>
            <w:tcW w:w="2330" w:type="pct"/>
          </w:tcPr>
          <w:p w:rsidR="003849AF" w:rsidRPr="00031974" w:rsidRDefault="003849AF" w:rsidP="00B243C4">
            <w:pPr>
              <w:jc w:val="both"/>
              <w:rPr>
                <w:rFonts w:eastAsia="Calibri"/>
                <w:sz w:val="20"/>
              </w:rPr>
            </w:pPr>
            <w:r w:rsidRPr="00031974">
              <w:rPr>
                <w:rFonts w:eastAsia="Calibri"/>
                <w:sz w:val="20"/>
              </w:rPr>
              <w:t>Application for leave to appeal filed</w:t>
            </w:r>
          </w:p>
        </w:tc>
      </w:tr>
    </w:tbl>
    <w:p w:rsidR="00233E21" w:rsidRDefault="00233E21" w:rsidP="00233E21">
      <w:pPr>
        <w:rPr>
          <w:sz w:val="20"/>
          <w:szCs w:val="20"/>
        </w:rPr>
      </w:pPr>
    </w:p>
    <w:p w:rsidR="00233E21" w:rsidRPr="00C50A5C" w:rsidRDefault="00790981" w:rsidP="00233E21">
      <w:pPr>
        <w:rPr>
          <w:sz w:val="20"/>
          <w:szCs w:val="20"/>
        </w:rPr>
      </w:pPr>
      <w:r>
        <w:rPr>
          <w:sz w:val="20"/>
          <w:szCs w:val="20"/>
          <w:lang w:val="fr-CA"/>
        </w:rPr>
        <w:pict>
          <v:rect id="_x0000_i1059" style="width:2in;height:1pt" o:hrpct="0" o:hralign="center" o:hrstd="t" o:hrnoshade="t" o:hr="t" fillcolor="black [3213]" stroked="f"/>
        </w:pict>
      </w:r>
    </w:p>
    <w:p w:rsidR="00BD2F08" w:rsidRDefault="00BD2F08">
      <w:pPr>
        <w:rPr>
          <w:sz w:val="20"/>
          <w:szCs w:val="20"/>
        </w:rPr>
      </w:pPr>
    </w:p>
    <w:p w:rsidR="00BD2F08" w:rsidRDefault="00BD2F08">
      <w:pPr>
        <w:rPr>
          <w:sz w:val="20"/>
          <w:szCs w:val="20"/>
        </w:rPr>
      </w:pPr>
      <w:r>
        <w:rPr>
          <w:sz w:val="20"/>
          <w:szCs w:val="20"/>
        </w:rPr>
        <w:br w:type="page"/>
      </w:r>
    </w:p>
    <w:p w:rsidR="00233E21" w:rsidRPr="001B157C" w:rsidRDefault="00233E21" w:rsidP="00233E21">
      <w:pPr>
        <w:rPr>
          <w:sz w:val="20"/>
          <w:szCs w:val="20"/>
          <w:u w:val="single"/>
          <w:lang w:val="fr-CA"/>
        </w:rPr>
      </w:pPr>
      <w:r w:rsidRPr="001B157C">
        <w:rPr>
          <w:sz w:val="20"/>
          <w:szCs w:val="20"/>
          <w:u w:val="single"/>
          <w:lang w:val="fr-CA"/>
        </w:rPr>
        <w:lastRenderedPageBreak/>
        <w:t>RÉSUMÉ DE L’AFFAIRE</w:t>
      </w:r>
    </w:p>
    <w:p w:rsidR="00233E21" w:rsidRDefault="00233E21" w:rsidP="00233E2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849AF" w:rsidRPr="002B2DB4" w:rsidTr="00B243C4">
        <w:tc>
          <w:tcPr>
            <w:tcW w:w="5000" w:type="pct"/>
            <w:gridSpan w:val="3"/>
          </w:tcPr>
          <w:p w:rsidR="003849AF" w:rsidRPr="00031974" w:rsidRDefault="003849AF" w:rsidP="00B243C4">
            <w:pPr>
              <w:jc w:val="both"/>
              <w:rPr>
                <w:rFonts w:eastAsia="Calibri"/>
                <w:smallCaps/>
                <w:sz w:val="20"/>
                <w:lang w:val="fr-CA"/>
              </w:rPr>
            </w:pPr>
            <w:r w:rsidRPr="00031974">
              <w:rPr>
                <w:rFonts w:eastAsia="Calibri"/>
                <w:smallCaps/>
                <w:sz w:val="20"/>
                <w:lang w:val="fr-CA"/>
              </w:rPr>
              <w:t>(Ordonnance de non-publication dans le dossier) (Ordonnance de non-publication visant une partie)</w:t>
            </w:r>
          </w:p>
          <w:p w:rsidR="003849AF" w:rsidRPr="00031974" w:rsidRDefault="003849AF" w:rsidP="00B243C4">
            <w:pPr>
              <w:jc w:val="both"/>
              <w:rPr>
                <w:rFonts w:eastAsia="Calibri"/>
                <w:sz w:val="20"/>
                <w:lang w:val="fr-CA"/>
              </w:rPr>
            </w:pPr>
          </w:p>
          <w:p w:rsidR="003849AF" w:rsidRPr="00031974" w:rsidRDefault="003849AF" w:rsidP="00B243C4">
            <w:pPr>
              <w:jc w:val="both"/>
              <w:rPr>
                <w:rFonts w:eastAsia="Calibri"/>
                <w:sz w:val="20"/>
                <w:lang w:val="fr-CA"/>
              </w:rPr>
            </w:pPr>
            <w:r w:rsidRPr="00031974">
              <w:rPr>
                <w:rFonts w:eastAsia="Calibri"/>
                <w:sz w:val="20"/>
                <w:lang w:val="fr-CA"/>
              </w:rPr>
              <w:t>Droit des personnes – Protection de l’enfance – Tutelle permanente ordonnée à l’égard d’enfants qui avaient été retirés de la garde de leurs parents – Quelles sont les conditions auxquelles il faut satisfaire pour obtenir une ordonnance visant à retirer de manière permanente les enfants de la garde de leurs parents? – Est-ce une erreur de ne pas tenir compte de l’intérêt de l’enfant? – Les différences dans le traitement des enfants biologiques et des enfants adoptés devraient-elles être reconnues? – Le juge devrait-il accorder du poids aux rapports présentés en preuve, mais à l’égard desquels il n’y a eu aucun contre-interrogatoire? – S’ils ne sont pas retirés, doivent-ils faire partie du dossier de preuve à examiner? – Dans le cadre d’une demande visant le prononcé d’une ordonnance de tutelle permanente, quel poids doit être accordé au degré de tort causé aux enfants? –</w:t>
            </w:r>
            <w:r w:rsidRPr="00031974">
              <w:rPr>
                <w:rFonts w:eastAsia="Calibri"/>
                <w:spacing w:val="23"/>
                <w:sz w:val="20"/>
                <w:lang w:val="fr-CA"/>
              </w:rPr>
              <w:t xml:space="preserve"> </w:t>
            </w:r>
            <w:r w:rsidRPr="00031974">
              <w:rPr>
                <w:rFonts w:eastAsia="Calibri"/>
                <w:sz w:val="20"/>
                <w:lang w:val="fr-CA"/>
              </w:rPr>
              <w:t>Quelle appréciation en matière de mauvais traitements le juge peut-il faire sans témoignage d’expert? – Le juge peut-il ordonner la tutelle permanente sur le fondement de conjectures au sujet des habiletés parentales futures?</w:t>
            </w:r>
            <w:r w:rsidRPr="00031974">
              <w:rPr>
                <w:rFonts w:eastAsia="Calibri"/>
                <w:spacing w:val="12"/>
                <w:sz w:val="20"/>
                <w:lang w:val="fr-CA"/>
              </w:rPr>
              <w:t xml:space="preserve"> – </w:t>
            </w:r>
            <w:r w:rsidRPr="00031974">
              <w:rPr>
                <w:rFonts w:eastAsia="Calibri"/>
                <w:sz w:val="20"/>
                <w:lang w:val="fr-CA"/>
              </w:rPr>
              <w:t>S’agit-il alors d’une conclusion fondée sur des hypothèses?</w:t>
            </w:r>
          </w:p>
          <w:p w:rsidR="003849AF" w:rsidRPr="00031974" w:rsidRDefault="003849AF" w:rsidP="00B243C4">
            <w:pPr>
              <w:widowControl w:val="0"/>
              <w:ind w:right="4"/>
              <w:jc w:val="both"/>
              <w:rPr>
                <w:sz w:val="20"/>
                <w:lang w:val="fr-CA"/>
              </w:rPr>
            </w:pPr>
          </w:p>
        </w:tc>
      </w:tr>
      <w:tr w:rsidR="003849AF" w:rsidRPr="002B2DB4" w:rsidTr="00B243C4">
        <w:tc>
          <w:tcPr>
            <w:tcW w:w="5000" w:type="pct"/>
            <w:gridSpan w:val="3"/>
          </w:tcPr>
          <w:p w:rsidR="003849AF" w:rsidRPr="00031974" w:rsidRDefault="003849AF" w:rsidP="00B243C4">
            <w:pPr>
              <w:shd w:val="clear" w:color="auto" w:fill="FFFFFF"/>
              <w:jc w:val="both"/>
              <w:rPr>
                <w:sz w:val="20"/>
                <w:lang w:val="fr-CA" w:eastAsia="en-CA"/>
              </w:rPr>
            </w:pPr>
            <w:r w:rsidRPr="00031974">
              <w:rPr>
                <w:sz w:val="20"/>
                <w:lang w:val="fr-CA" w:eastAsia="en-CA"/>
              </w:rPr>
              <w:t>Les demandeurs avaient cinq enfants.  Les trois aînés étaient les nièces et le neveu de la mère; ils avaient été adoptés par les demandeurs après la mort de leurs parents biologiques dans un accident de la route tragique en 2006.  Les demandeurs sont les parents de jumeaux nés quelques mois avant l’accident.  En 2011, on a découvert que les enfants adoptifs avaient subi des mauvais traitements physiques et psychologiques graves sous la garde des demandeurs.  À l’époque, les jumeaux ne semblaient pas avoir été maltraités.  Le directeur a obtenu le prononcé d’une ordonnance de tutelle temporaire à l’égard des enfants adoptifs et une ordonnance de surveillance à l’égard des jumeaux.</w:t>
            </w:r>
            <w:r w:rsidRPr="00031974">
              <w:rPr>
                <w:color w:val="222222"/>
                <w:sz w:val="20"/>
                <w:lang w:val="fr-CA" w:eastAsia="en-CA"/>
              </w:rPr>
              <w:t xml:space="preserve"> </w:t>
            </w:r>
            <w:r w:rsidRPr="00031974">
              <w:rPr>
                <w:sz w:val="20"/>
                <w:lang w:val="fr-CA" w:eastAsia="en-CA"/>
              </w:rPr>
              <w:t xml:space="preserve"> Les parents y ont consenti.  Après avoir été retirés de leur domicile, deux des trois enfants adoptifs ont révélé aux psychologues et aux policiers que les jumeaux avaient aussi été maltraités.  Avec le consentement des parents, le directeur a obtenu le prononcé d’une ordonnance de tutelle temporaire à l’égard des jumeaux. Les parents consentent à la tutelle permanente des enfants adoptifs.  Les parents exercent leurs droits de visite à l’égard des jumeaux, mais nient les avoir maltraités.  Le directeur demande le prononcé d’une ordonnance de tutelle permanente à l’égard des jumeaux.</w:t>
            </w:r>
          </w:p>
          <w:p w:rsidR="003849AF" w:rsidRPr="00031974" w:rsidRDefault="003849AF" w:rsidP="00B243C4">
            <w:pPr>
              <w:shd w:val="clear" w:color="auto" w:fill="FFFFFF"/>
              <w:jc w:val="both"/>
              <w:rPr>
                <w:sz w:val="20"/>
                <w:lang w:val="fr-CA" w:eastAsia="en-CA"/>
              </w:rPr>
            </w:pPr>
          </w:p>
        </w:tc>
      </w:tr>
      <w:tr w:rsidR="003849AF" w:rsidRPr="002B2DB4" w:rsidTr="00B243C4">
        <w:tc>
          <w:tcPr>
            <w:tcW w:w="2427" w:type="pct"/>
          </w:tcPr>
          <w:p w:rsidR="003849AF" w:rsidRPr="00031974" w:rsidRDefault="003849AF" w:rsidP="00B243C4">
            <w:pPr>
              <w:jc w:val="both"/>
              <w:rPr>
                <w:rFonts w:eastAsia="Calibri"/>
                <w:sz w:val="20"/>
                <w:lang w:val="fr-CA"/>
              </w:rPr>
            </w:pPr>
            <w:r w:rsidRPr="00031974">
              <w:rPr>
                <w:rFonts w:eastAsia="Calibri"/>
                <w:sz w:val="20"/>
                <w:lang w:val="fr-CA"/>
              </w:rPr>
              <w:t>22 novembre 2013</w:t>
            </w:r>
          </w:p>
          <w:p w:rsidR="003849AF" w:rsidRPr="00031974" w:rsidRDefault="003849AF" w:rsidP="00B243C4">
            <w:pPr>
              <w:jc w:val="both"/>
              <w:rPr>
                <w:rFonts w:eastAsia="Calibri"/>
                <w:sz w:val="20"/>
                <w:lang w:val="fr-CA"/>
              </w:rPr>
            </w:pPr>
            <w:r w:rsidRPr="00031974">
              <w:rPr>
                <w:rFonts w:eastAsia="Calibri"/>
                <w:sz w:val="20"/>
                <w:lang w:val="fr-CA"/>
              </w:rPr>
              <w:t>Cour provinciale de l’Alberta</w:t>
            </w:r>
          </w:p>
          <w:p w:rsidR="003849AF" w:rsidRPr="00031974" w:rsidRDefault="00790981" w:rsidP="00B243C4">
            <w:pPr>
              <w:jc w:val="both"/>
              <w:rPr>
                <w:rFonts w:eastAsia="Calibri"/>
                <w:sz w:val="20"/>
                <w:lang w:val="fr-CA"/>
              </w:rPr>
            </w:pPr>
            <w:hyperlink r:id="rId67" w:history="1">
              <w:r w:rsidR="003849AF" w:rsidRPr="00031974">
                <w:rPr>
                  <w:rFonts w:eastAsia="Calibri"/>
                  <w:color w:val="0000FF"/>
                  <w:sz w:val="20"/>
                  <w:u w:val="single"/>
                  <w:lang w:val="fr-CA"/>
                </w:rPr>
                <w:t>2013 ABPC 311</w:t>
              </w:r>
            </w:hyperlink>
          </w:p>
          <w:p w:rsidR="003849AF" w:rsidRPr="00031974" w:rsidRDefault="003849AF" w:rsidP="00B243C4">
            <w:pPr>
              <w:jc w:val="both"/>
              <w:rPr>
                <w:rFonts w:eastAsia="Calibri"/>
                <w:sz w:val="20"/>
                <w:lang w:val="fr-CA"/>
              </w:rPr>
            </w:pPr>
          </w:p>
        </w:tc>
        <w:tc>
          <w:tcPr>
            <w:tcW w:w="243"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Ordonnance de tutelle permanente à l’égard de deux enfants sans droit de visite</w:t>
            </w:r>
          </w:p>
        </w:tc>
      </w:tr>
      <w:tr w:rsidR="003849AF" w:rsidRPr="002B2DB4" w:rsidTr="00B243C4">
        <w:tc>
          <w:tcPr>
            <w:tcW w:w="2427" w:type="pct"/>
          </w:tcPr>
          <w:p w:rsidR="003849AF" w:rsidRPr="00031974" w:rsidRDefault="003849AF" w:rsidP="00B243C4">
            <w:pPr>
              <w:jc w:val="both"/>
              <w:rPr>
                <w:rFonts w:eastAsia="Calibri"/>
                <w:sz w:val="20"/>
                <w:lang w:val="fr-CA"/>
              </w:rPr>
            </w:pPr>
            <w:r w:rsidRPr="00031974">
              <w:rPr>
                <w:rFonts w:eastAsia="Calibri"/>
                <w:sz w:val="20"/>
                <w:lang w:val="fr-CA"/>
              </w:rPr>
              <w:t>3 juillet 2014</w:t>
            </w:r>
          </w:p>
          <w:p w:rsidR="003849AF" w:rsidRPr="00031974" w:rsidRDefault="003849AF" w:rsidP="00B243C4">
            <w:pPr>
              <w:jc w:val="both"/>
              <w:rPr>
                <w:rFonts w:eastAsia="Calibri"/>
                <w:sz w:val="20"/>
                <w:lang w:val="fr-CA"/>
              </w:rPr>
            </w:pPr>
            <w:r w:rsidRPr="00031974">
              <w:rPr>
                <w:rFonts w:eastAsia="Calibri"/>
                <w:sz w:val="20"/>
                <w:lang w:val="fr-CA"/>
              </w:rPr>
              <w:t>Cour du Banc de la Reine de l’Alberta</w:t>
            </w:r>
          </w:p>
          <w:p w:rsidR="003849AF" w:rsidRPr="00031974" w:rsidRDefault="003849AF" w:rsidP="00B243C4">
            <w:pPr>
              <w:jc w:val="both"/>
              <w:rPr>
                <w:rFonts w:eastAsia="Calibri"/>
                <w:sz w:val="20"/>
                <w:lang w:val="fr-CA"/>
              </w:rPr>
            </w:pPr>
            <w:r w:rsidRPr="00031974">
              <w:rPr>
                <w:rFonts w:eastAsia="Calibri"/>
                <w:sz w:val="20"/>
                <w:lang w:val="fr-CA"/>
              </w:rPr>
              <w:t>(Juge Hawco)</w:t>
            </w:r>
          </w:p>
          <w:p w:rsidR="003849AF" w:rsidRPr="00031974" w:rsidRDefault="00790981" w:rsidP="00B243C4">
            <w:pPr>
              <w:jc w:val="both"/>
              <w:rPr>
                <w:rFonts w:eastAsia="Calibri"/>
                <w:sz w:val="20"/>
                <w:lang w:val="fr-CA"/>
              </w:rPr>
            </w:pPr>
            <w:hyperlink r:id="rId68" w:history="1">
              <w:r w:rsidR="003849AF" w:rsidRPr="00031974">
                <w:rPr>
                  <w:rFonts w:eastAsia="Calibri"/>
                  <w:color w:val="0000FF"/>
                  <w:sz w:val="20"/>
                  <w:u w:val="single"/>
                  <w:lang w:val="fr-CA"/>
                </w:rPr>
                <w:t>2014 ABQB 406</w:t>
              </w:r>
            </w:hyperlink>
          </w:p>
          <w:p w:rsidR="003849AF" w:rsidRPr="00031974" w:rsidRDefault="003849AF" w:rsidP="00B243C4">
            <w:pPr>
              <w:jc w:val="both"/>
              <w:rPr>
                <w:rFonts w:eastAsia="Calibri"/>
                <w:sz w:val="20"/>
                <w:lang w:val="fr-CA"/>
              </w:rPr>
            </w:pPr>
          </w:p>
        </w:tc>
        <w:tc>
          <w:tcPr>
            <w:tcW w:w="243"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Appel accueilli; le directeur doit rendre la garde des enfants aux parents sous condition</w:t>
            </w:r>
          </w:p>
          <w:p w:rsidR="003849AF" w:rsidRPr="00031974" w:rsidRDefault="003849AF" w:rsidP="00B243C4">
            <w:pPr>
              <w:jc w:val="both"/>
              <w:rPr>
                <w:rFonts w:eastAsia="Calibri"/>
                <w:sz w:val="20"/>
                <w:lang w:val="fr-CA"/>
              </w:rPr>
            </w:pPr>
          </w:p>
        </w:tc>
      </w:tr>
      <w:tr w:rsidR="003849AF" w:rsidRPr="002B2DB4" w:rsidTr="00B243C4">
        <w:tc>
          <w:tcPr>
            <w:tcW w:w="2427" w:type="pct"/>
          </w:tcPr>
          <w:p w:rsidR="003849AF" w:rsidRPr="00031974" w:rsidRDefault="003849AF" w:rsidP="00B243C4">
            <w:pPr>
              <w:jc w:val="both"/>
              <w:rPr>
                <w:rFonts w:eastAsia="Calibri"/>
                <w:sz w:val="20"/>
                <w:lang w:val="fr-CA"/>
              </w:rPr>
            </w:pPr>
            <w:r w:rsidRPr="00031974">
              <w:rPr>
                <w:rFonts w:eastAsia="Calibri"/>
                <w:sz w:val="20"/>
                <w:lang w:val="fr-CA"/>
              </w:rPr>
              <w:t xml:space="preserve">22 juillet 2014 </w:t>
            </w:r>
          </w:p>
          <w:p w:rsidR="003849AF" w:rsidRPr="00031974" w:rsidRDefault="003849AF" w:rsidP="00B243C4">
            <w:pPr>
              <w:jc w:val="both"/>
              <w:rPr>
                <w:rFonts w:eastAsia="Calibri"/>
                <w:sz w:val="20"/>
                <w:lang w:val="fr-CA"/>
              </w:rPr>
            </w:pPr>
            <w:r w:rsidRPr="00031974">
              <w:rPr>
                <w:rFonts w:eastAsia="Calibri"/>
                <w:sz w:val="20"/>
                <w:lang w:val="fr-CA"/>
              </w:rPr>
              <w:t>Cour d’appel de l’Alberta</w:t>
            </w:r>
          </w:p>
          <w:p w:rsidR="003849AF" w:rsidRPr="00031974" w:rsidRDefault="003849AF" w:rsidP="00B243C4">
            <w:pPr>
              <w:jc w:val="both"/>
              <w:rPr>
                <w:rFonts w:eastAsia="Calibri"/>
                <w:sz w:val="20"/>
                <w:lang w:val="fr-CA"/>
              </w:rPr>
            </w:pPr>
            <w:r w:rsidRPr="00031974">
              <w:rPr>
                <w:rFonts w:eastAsia="Calibri"/>
                <w:sz w:val="20"/>
                <w:lang w:val="fr-CA"/>
              </w:rPr>
              <w:t>(Juge Watson)</w:t>
            </w:r>
          </w:p>
          <w:p w:rsidR="003849AF" w:rsidRPr="00031974" w:rsidRDefault="00790981" w:rsidP="00B243C4">
            <w:pPr>
              <w:jc w:val="both"/>
              <w:rPr>
                <w:rFonts w:eastAsia="Calibri"/>
                <w:sz w:val="20"/>
                <w:lang w:val="fr-CA"/>
              </w:rPr>
            </w:pPr>
            <w:hyperlink r:id="rId69" w:history="1">
              <w:r w:rsidR="003849AF" w:rsidRPr="00031974">
                <w:rPr>
                  <w:rFonts w:eastAsia="Calibri"/>
                  <w:color w:val="0000FF"/>
                  <w:sz w:val="20"/>
                  <w:u w:val="single"/>
                  <w:lang w:val="fr-CA"/>
                </w:rPr>
                <w:t>2014 ABCA 237</w:t>
              </w:r>
            </w:hyperlink>
          </w:p>
          <w:p w:rsidR="003849AF" w:rsidRPr="00031974" w:rsidRDefault="003849AF" w:rsidP="00B243C4">
            <w:pPr>
              <w:jc w:val="both"/>
              <w:rPr>
                <w:rFonts w:eastAsia="Calibri"/>
                <w:sz w:val="20"/>
                <w:lang w:val="fr-CA"/>
              </w:rPr>
            </w:pPr>
          </w:p>
        </w:tc>
        <w:tc>
          <w:tcPr>
            <w:tcW w:w="243"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 xml:space="preserve">Octroi de la demande de sursis présentée par le directeur </w:t>
            </w:r>
          </w:p>
        </w:tc>
      </w:tr>
      <w:tr w:rsidR="003849AF" w:rsidRPr="002B2DB4" w:rsidTr="00B243C4">
        <w:tc>
          <w:tcPr>
            <w:tcW w:w="2427" w:type="pct"/>
          </w:tcPr>
          <w:p w:rsidR="003849AF" w:rsidRPr="00031974" w:rsidRDefault="003849AF" w:rsidP="00B243C4">
            <w:pPr>
              <w:jc w:val="both"/>
              <w:rPr>
                <w:rFonts w:eastAsia="Calibri"/>
                <w:sz w:val="20"/>
                <w:lang w:val="fr-CA"/>
              </w:rPr>
            </w:pPr>
            <w:r w:rsidRPr="00031974">
              <w:rPr>
                <w:rFonts w:eastAsia="Calibri"/>
                <w:sz w:val="20"/>
                <w:lang w:val="fr-CA"/>
              </w:rPr>
              <w:t>24 novembre 2014</w:t>
            </w:r>
          </w:p>
          <w:p w:rsidR="003849AF" w:rsidRPr="00031974" w:rsidRDefault="003849AF" w:rsidP="00B243C4">
            <w:pPr>
              <w:jc w:val="both"/>
              <w:rPr>
                <w:rFonts w:eastAsia="Calibri"/>
                <w:sz w:val="20"/>
                <w:lang w:val="fr-CA"/>
              </w:rPr>
            </w:pPr>
            <w:r w:rsidRPr="00031974">
              <w:rPr>
                <w:rFonts w:eastAsia="Calibri"/>
                <w:sz w:val="20"/>
                <w:lang w:val="fr-CA"/>
              </w:rPr>
              <w:t>Cour d’appel de l’Alberta (Calgary)</w:t>
            </w:r>
          </w:p>
          <w:p w:rsidR="003849AF" w:rsidRPr="00031974" w:rsidRDefault="003849AF" w:rsidP="00B243C4">
            <w:pPr>
              <w:jc w:val="both"/>
              <w:rPr>
                <w:rFonts w:eastAsia="Calibri"/>
                <w:sz w:val="20"/>
                <w:lang w:val="fr-CA"/>
              </w:rPr>
            </w:pPr>
            <w:r w:rsidRPr="00031974">
              <w:rPr>
                <w:rFonts w:eastAsia="Calibri"/>
                <w:sz w:val="20"/>
                <w:lang w:val="fr-CA"/>
              </w:rPr>
              <w:t>(Juges Côté, Rowbotham et Jeffrey)</w:t>
            </w:r>
          </w:p>
          <w:p w:rsidR="003849AF" w:rsidRPr="00031974" w:rsidRDefault="00790981" w:rsidP="00B243C4">
            <w:pPr>
              <w:jc w:val="both"/>
              <w:rPr>
                <w:rFonts w:eastAsia="Calibri"/>
                <w:sz w:val="20"/>
                <w:lang w:val="fr-CA"/>
              </w:rPr>
            </w:pPr>
            <w:hyperlink r:id="rId70" w:history="1">
              <w:r w:rsidR="003849AF" w:rsidRPr="00031974">
                <w:rPr>
                  <w:rFonts w:eastAsia="Calibri"/>
                  <w:color w:val="0000FF"/>
                  <w:sz w:val="20"/>
                  <w:u w:val="single"/>
                  <w:lang w:val="fr-CA"/>
                </w:rPr>
                <w:t>2014 ABCA 396</w:t>
              </w:r>
            </w:hyperlink>
          </w:p>
          <w:p w:rsidR="003849AF" w:rsidRPr="00031974" w:rsidRDefault="003849AF" w:rsidP="00B243C4">
            <w:pPr>
              <w:jc w:val="both"/>
              <w:rPr>
                <w:rFonts w:eastAsia="Calibri"/>
                <w:sz w:val="20"/>
                <w:lang w:val="fr-CA"/>
              </w:rPr>
            </w:pPr>
          </w:p>
        </w:tc>
        <w:tc>
          <w:tcPr>
            <w:tcW w:w="243"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Appel du directeur accueilli; ordonnance du juge de première instance rétablie et assortie de nouvelles directives quant à l’exercice des derniers droits de visite et quant aux droits de visite à l’égard des cinq enfants</w:t>
            </w:r>
          </w:p>
          <w:p w:rsidR="003849AF" w:rsidRPr="00031974" w:rsidRDefault="003849AF" w:rsidP="00B243C4">
            <w:pPr>
              <w:jc w:val="both"/>
              <w:rPr>
                <w:rFonts w:eastAsia="Calibri"/>
                <w:sz w:val="20"/>
                <w:lang w:val="fr-CA"/>
              </w:rPr>
            </w:pPr>
          </w:p>
        </w:tc>
      </w:tr>
      <w:tr w:rsidR="003849AF" w:rsidRPr="002B2DB4" w:rsidTr="00B243C4">
        <w:tc>
          <w:tcPr>
            <w:tcW w:w="2427" w:type="pct"/>
          </w:tcPr>
          <w:p w:rsidR="003849AF" w:rsidRPr="00031974" w:rsidRDefault="003849AF" w:rsidP="00B243C4">
            <w:pPr>
              <w:jc w:val="both"/>
              <w:rPr>
                <w:rFonts w:eastAsia="Calibri"/>
                <w:sz w:val="20"/>
                <w:lang w:val="fr-CA"/>
              </w:rPr>
            </w:pPr>
            <w:r w:rsidRPr="00031974">
              <w:rPr>
                <w:rFonts w:eastAsia="Calibri"/>
                <w:sz w:val="20"/>
                <w:lang w:val="fr-CA"/>
              </w:rPr>
              <w:t>21 janvier 2015</w:t>
            </w:r>
          </w:p>
          <w:p w:rsidR="003849AF" w:rsidRPr="00031974" w:rsidRDefault="003849AF" w:rsidP="00B243C4">
            <w:pPr>
              <w:jc w:val="both"/>
              <w:rPr>
                <w:rFonts w:eastAsia="Calibri"/>
                <w:sz w:val="20"/>
                <w:lang w:val="fr-CA"/>
              </w:rPr>
            </w:pPr>
            <w:r w:rsidRPr="00031974">
              <w:rPr>
                <w:rFonts w:eastAsia="Calibri"/>
                <w:sz w:val="20"/>
                <w:lang w:val="fr-CA"/>
              </w:rPr>
              <w:t>Cour suprême du Canada</w:t>
            </w:r>
          </w:p>
        </w:tc>
        <w:tc>
          <w:tcPr>
            <w:tcW w:w="243" w:type="pct"/>
          </w:tcPr>
          <w:p w:rsidR="003849AF" w:rsidRPr="00031974" w:rsidRDefault="003849AF" w:rsidP="00B243C4">
            <w:pPr>
              <w:jc w:val="both"/>
              <w:rPr>
                <w:rFonts w:eastAsia="Calibri"/>
                <w:sz w:val="20"/>
                <w:lang w:val="fr-CA"/>
              </w:rPr>
            </w:pPr>
          </w:p>
        </w:tc>
        <w:tc>
          <w:tcPr>
            <w:tcW w:w="2330" w:type="pct"/>
          </w:tcPr>
          <w:p w:rsidR="003849AF" w:rsidRPr="00031974" w:rsidRDefault="003849AF" w:rsidP="00B243C4">
            <w:pPr>
              <w:jc w:val="both"/>
              <w:rPr>
                <w:rFonts w:eastAsia="Calibri"/>
                <w:sz w:val="20"/>
                <w:lang w:val="fr-CA"/>
              </w:rPr>
            </w:pPr>
            <w:r w:rsidRPr="00031974">
              <w:rPr>
                <w:rFonts w:eastAsia="Calibri"/>
                <w:sz w:val="20"/>
                <w:lang w:val="fr-CA"/>
              </w:rPr>
              <w:t>Dépôt de la demande d’autorisation d’appel</w:t>
            </w:r>
          </w:p>
        </w:tc>
      </w:tr>
    </w:tbl>
    <w:p w:rsidR="00233E21" w:rsidRPr="003849AF" w:rsidRDefault="00233E21" w:rsidP="00233E21">
      <w:pPr>
        <w:rPr>
          <w:sz w:val="20"/>
          <w:szCs w:val="20"/>
          <w:lang w:val="fr-CA"/>
        </w:rPr>
      </w:pPr>
    </w:p>
    <w:p w:rsidR="00890FEB" w:rsidRPr="00C50A5C" w:rsidRDefault="00790981" w:rsidP="008D292F">
      <w:pPr>
        <w:rPr>
          <w:sz w:val="20"/>
          <w:szCs w:val="20"/>
          <w:lang w:val="fr-CA"/>
        </w:rPr>
      </w:pPr>
      <w:r>
        <w:rPr>
          <w:sz w:val="20"/>
          <w:szCs w:val="20"/>
          <w:lang w:val="fr-CA"/>
        </w:rPr>
        <w:pict>
          <v:rect id="_x0000_i1060" style="width:2in;height:1pt" o:hrpct="0" o:hralign="center" o:hrstd="t" o:hrnoshade="t" o:hr="t" fillcolor="black [3213]" stroked="f"/>
        </w:pict>
      </w:r>
    </w:p>
    <w:p w:rsidR="00890FEB" w:rsidRPr="00C50A5C" w:rsidRDefault="00890FEB" w:rsidP="008D292F">
      <w:pPr>
        <w:rPr>
          <w:b/>
          <w:sz w:val="20"/>
          <w:szCs w:val="20"/>
          <w:lang w:val="fr-CA"/>
        </w:rPr>
        <w:sectPr w:rsidR="00890FEB" w:rsidRPr="00C50A5C" w:rsidSect="008D292F">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2F3DF0" w:rsidRPr="002F3DF0" w:rsidRDefault="002F3DF0" w:rsidP="002F3DF0">
      <w:pPr>
        <w:tabs>
          <w:tab w:val="left" w:pos="-1440"/>
          <w:tab w:val="left" w:pos="-720"/>
        </w:tabs>
        <w:jc w:val="both"/>
        <w:rPr>
          <w:rFonts w:eastAsia="Times New Roman" w:cs="Times New Roman"/>
          <w:sz w:val="20"/>
          <w:szCs w:val="20"/>
          <w:lang w:eastAsia="en-CA"/>
        </w:rPr>
      </w:pPr>
      <w:r w:rsidRPr="002F3DF0">
        <w:rPr>
          <w:rFonts w:eastAsia="Times New Roman" w:cs="Times New Roman"/>
          <w:sz w:val="20"/>
          <w:szCs w:val="20"/>
          <w:lang w:eastAsia="en-CA"/>
        </w:rPr>
        <w:t>26.03.2015</w:t>
      </w:r>
    </w:p>
    <w:p w:rsidR="002F3DF0" w:rsidRPr="002F3DF0" w:rsidRDefault="002F3DF0" w:rsidP="002F3DF0">
      <w:pPr>
        <w:tabs>
          <w:tab w:val="left" w:pos="-1440"/>
          <w:tab w:val="left" w:pos="-720"/>
        </w:tabs>
        <w:jc w:val="both"/>
        <w:rPr>
          <w:rFonts w:eastAsia="Times New Roman" w:cs="Times New Roman"/>
          <w:sz w:val="20"/>
          <w:szCs w:val="20"/>
          <w:lang w:eastAsia="en-CA"/>
        </w:rPr>
      </w:pPr>
    </w:p>
    <w:p w:rsidR="002F3DF0" w:rsidRPr="002F3DF0" w:rsidRDefault="002F3DF0" w:rsidP="002F3DF0">
      <w:pPr>
        <w:tabs>
          <w:tab w:val="left" w:pos="-1440"/>
          <w:tab w:val="left" w:pos="-720"/>
        </w:tabs>
        <w:jc w:val="both"/>
        <w:rPr>
          <w:rFonts w:eastAsia="Times New Roman" w:cs="Times New Roman"/>
          <w:sz w:val="20"/>
          <w:szCs w:val="20"/>
          <w:lang w:eastAsia="en-CA"/>
        </w:rPr>
      </w:pPr>
      <w:r w:rsidRPr="002F3DF0">
        <w:rPr>
          <w:rFonts w:eastAsia="Times New Roman" w:cs="Times New Roman"/>
          <w:sz w:val="20"/>
          <w:szCs w:val="20"/>
          <w:lang w:eastAsia="en-CA"/>
        </w:rPr>
        <w:t>Before / Devant:   THE DEPUTY REGISTRAR / LE REGISTRAIRE ADJOINT</w:t>
      </w:r>
    </w:p>
    <w:p w:rsidR="002F3DF0" w:rsidRPr="002F3DF0" w:rsidRDefault="002F3DF0" w:rsidP="002F3DF0">
      <w:pPr>
        <w:tabs>
          <w:tab w:val="left" w:pos="-1440"/>
          <w:tab w:val="left" w:pos="-720"/>
        </w:tabs>
        <w:jc w:val="both"/>
        <w:rPr>
          <w:rFonts w:eastAsia="Times New Roman" w:cs="Times New Roman"/>
          <w:sz w:val="20"/>
          <w:szCs w:val="20"/>
          <w:lang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F3DF0" w:rsidRPr="002B2DB4" w:rsidTr="002F3DF0">
        <w:trPr>
          <w:trHeight w:val="151"/>
        </w:trPr>
        <w:tc>
          <w:tcPr>
            <w:tcW w:w="4338" w:type="dxa"/>
          </w:tcPr>
          <w:p w:rsidR="002F3DF0" w:rsidRPr="002F3DF0" w:rsidRDefault="002F3DF0" w:rsidP="002F3DF0">
            <w:pPr>
              <w:tabs>
                <w:tab w:val="left" w:pos="-1440"/>
                <w:tab w:val="left" w:pos="-720"/>
              </w:tabs>
              <w:jc w:val="both"/>
              <w:rPr>
                <w:lang w:val="en-US"/>
              </w:rPr>
            </w:pPr>
            <w:r w:rsidRPr="002F3DF0">
              <w:rPr>
                <w:b/>
                <w:bCs/>
                <w:lang w:val="en-GB"/>
              </w:rPr>
              <w:t>Motion to extend the time to serve and file the appellant’s record, factum and book of authorities to April 17, 2015</w:t>
            </w:r>
            <w:r w:rsidRPr="002F3DF0">
              <w:rPr>
                <w:lang w:val="en-US"/>
              </w:rPr>
              <w:t xml:space="preserve"> </w:t>
            </w:r>
          </w:p>
        </w:tc>
        <w:tc>
          <w:tcPr>
            <w:tcW w:w="1170" w:type="dxa"/>
          </w:tcPr>
          <w:p w:rsidR="002F3DF0" w:rsidRPr="002F3DF0" w:rsidRDefault="002F3DF0" w:rsidP="002F3DF0">
            <w:pPr>
              <w:jc w:val="both"/>
            </w:pPr>
          </w:p>
          <w:p w:rsidR="002F3DF0" w:rsidRPr="002F3DF0" w:rsidRDefault="002F3DF0" w:rsidP="002F3DF0">
            <w:pPr>
              <w:jc w:val="both"/>
            </w:pPr>
          </w:p>
          <w:p w:rsidR="002F3DF0" w:rsidRPr="002F3DF0" w:rsidRDefault="002F3DF0" w:rsidP="002F3DF0">
            <w:pPr>
              <w:jc w:val="both"/>
            </w:pPr>
          </w:p>
          <w:p w:rsidR="002F3DF0" w:rsidRPr="002F3DF0" w:rsidRDefault="002F3DF0" w:rsidP="002F3DF0">
            <w:pPr>
              <w:jc w:val="both"/>
            </w:pPr>
          </w:p>
        </w:tc>
        <w:tc>
          <w:tcPr>
            <w:tcW w:w="4327" w:type="dxa"/>
          </w:tcPr>
          <w:p w:rsidR="002F3DF0" w:rsidRPr="002F3DF0" w:rsidRDefault="002F3DF0" w:rsidP="002F3DF0">
            <w:pPr>
              <w:jc w:val="both"/>
              <w:rPr>
                <w:b/>
                <w:lang w:val="fr-CA"/>
              </w:rPr>
            </w:pPr>
            <w:r w:rsidRPr="002F3DF0">
              <w:rPr>
                <w:b/>
                <w:bCs/>
                <w:lang w:val="fr-CA"/>
              </w:rPr>
              <w:t>Requête en prorogation du délai de signification et de dépôt des dossier, mémoire et recueil de sources de l’appelant jusqu’au 17 avril 2015</w:t>
            </w:r>
            <w:r w:rsidRPr="002F3DF0">
              <w:rPr>
                <w:b/>
                <w:lang w:val="fr-CA"/>
              </w:rPr>
              <w:t xml:space="preserve"> </w:t>
            </w:r>
            <w:r w:rsidR="002D1795" w:rsidRPr="002F3DF0">
              <w:rPr>
                <w:b/>
                <w:lang w:val="en-US"/>
              </w:rPr>
              <w:fldChar w:fldCharType="begin"/>
            </w:r>
            <w:r w:rsidRPr="002F3DF0">
              <w:rPr>
                <w:b/>
                <w:lang w:val="fr-CA"/>
              </w:rPr>
              <w:instrText xml:space="preserve"> SEQ CHAPTER \h \r 1</w:instrText>
            </w:r>
            <w:r w:rsidR="002D1795" w:rsidRPr="002F3DF0">
              <w:rPr>
                <w:b/>
                <w:lang w:val="en-US"/>
              </w:rPr>
              <w:fldChar w:fldCharType="end"/>
            </w:r>
          </w:p>
        </w:tc>
      </w:tr>
      <w:tr w:rsidR="002F3DF0" w:rsidRPr="002F3DF0" w:rsidTr="002F3DF0">
        <w:trPr>
          <w:trHeight w:val="150"/>
        </w:trPr>
        <w:tc>
          <w:tcPr>
            <w:tcW w:w="4338" w:type="dxa"/>
          </w:tcPr>
          <w:p w:rsidR="002F3DF0" w:rsidRPr="002F3DF0" w:rsidRDefault="002F3DF0" w:rsidP="002F3DF0">
            <w:pPr>
              <w:tabs>
                <w:tab w:val="left" w:pos="-1440"/>
                <w:tab w:val="left" w:pos="-720"/>
              </w:tabs>
              <w:jc w:val="both"/>
            </w:pPr>
            <w:r w:rsidRPr="002F3DF0">
              <w:t>Barrett Richard Jordan</w:t>
            </w:r>
          </w:p>
          <w:p w:rsidR="002F3DF0" w:rsidRPr="002F3DF0" w:rsidRDefault="002F3DF0" w:rsidP="002F3DF0">
            <w:pPr>
              <w:tabs>
                <w:tab w:val="left" w:pos="-1440"/>
                <w:tab w:val="left" w:pos="-720"/>
              </w:tabs>
              <w:jc w:val="both"/>
            </w:pPr>
          </w:p>
          <w:p w:rsidR="002F3DF0" w:rsidRPr="002F3DF0" w:rsidRDefault="002F3DF0" w:rsidP="002F3DF0">
            <w:pPr>
              <w:tabs>
                <w:tab w:val="left" w:pos="-1440"/>
                <w:tab w:val="left" w:pos="-720"/>
              </w:tabs>
              <w:jc w:val="both"/>
            </w:pPr>
            <w:r w:rsidRPr="002F3DF0">
              <w:tab/>
              <w:t>v. (36068)</w:t>
            </w:r>
          </w:p>
          <w:p w:rsidR="002F3DF0" w:rsidRPr="002F3DF0" w:rsidRDefault="002F3DF0" w:rsidP="002F3DF0">
            <w:pPr>
              <w:tabs>
                <w:tab w:val="left" w:pos="-1440"/>
                <w:tab w:val="left" w:pos="-720"/>
              </w:tabs>
              <w:jc w:val="both"/>
            </w:pPr>
          </w:p>
          <w:p w:rsidR="002F3DF0" w:rsidRPr="002F3DF0" w:rsidRDefault="002F3DF0" w:rsidP="002F3DF0">
            <w:pPr>
              <w:tabs>
                <w:tab w:val="left" w:pos="-1440"/>
                <w:tab w:val="left" w:pos="-720"/>
              </w:tabs>
              <w:jc w:val="both"/>
            </w:pPr>
            <w:r w:rsidRPr="002F3DF0">
              <w:t>Her Majesty the Queen (Crim.) (B.C.)</w:t>
            </w:r>
          </w:p>
        </w:tc>
        <w:tc>
          <w:tcPr>
            <w:tcW w:w="1170" w:type="dxa"/>
          </w:tcPr>
          <w:p w:rsidR="002F3DF0" w:rsidRPr="002F3DF0" w:rsidRDefault="002F3DF0" w:rsidP="002F3DF0">
            <w:pPr>
              <w:jc w:val="both"/>
            </w:pPr>
          </w:p>
        </w:tc>
        <w:tc>
          <w:tcPr>
            <w:tcW w:w="4327" w:type="dxa"/>
          </w:tcPr>
          <w:p w:rsidR="002F3DF0" w:rsidRPr="002F3DF0" w:rsidRDefault="002F3DF0" w:rsidP="002F3DF0">
            <w:pPr>
              <w:jc w:val="both"/>
            </w:pPr>
          </w:p>
        </w:tc>
      </w:tr>
    </w:tbl>
    <w:p w:rsidR="002F3DF0" w:rsidRPr="002F3DF0" w:rsidRDefault="002F3DF0" w:rsidP="002F3DF0">
      <w:pPr>
        <w:tabs>
          <w:tab w:val="left" w:pos="-1440"/>
          <w:tab w:val="left" w:pos="-720"/>
        </w:tabs>
        <w:jc w:val="both"/>
        <w:rPr>
          <w:rFonts w:eastAsia="Times New Roman" w:cs="Times New Roman"/>
          <w:sz w:val="20"/>
          <w:szCs w:val="20"/>
          <w:lang w:eastAsia="en-CA"/>
        </w:rPr>
      </w:pPr>
    </w:p>
    <w:p w:rsidR="002F3DF0" w:rsidRPr="002F3DF0" w:rsidRDefault="002F3DF0" w:rsidP="002F3DF0">
      <w:pPr>
        <w:tabs>
          <w:tab w:val="left" w:pos="-1440"/>
          <w:tab w:val="left" w:pos="-720"/>
        </w:tabs>
        <w:jc w:val="both"/>
        <w:rPr>
          <w:rFonts w:eastAsia="Times New Roman" w:cs="Times New Roman"/>
          <w:b/>
          <w:sz w:val="20"/>
          <w:szCs w:val="20"/>
          <w:lang w:val="fr-CA" w:eastAsia="en-CA"/>
        </w:rPr>
      </w:pPr>
      <w:r w:rsidRPr="002F3DF0">
        <w:rPr>
          <w:rFonts w:eastAsia="Times New Roman" w:cs="Times New Roman"/>
          <w:b/>
          <w:sz w:val="20"/>
          <w:szCs w:val="20"/>
          <w:lang w:val="fr-CA" w:eastAsia="en-CA"/>
        </w:rPr>
        <w:t>GRANTED / ACCORDÉE</w:t>
      </w:r>
    </w:p>
    <w:p w:rsidR="002F3DF0" w:rsidRPr="002F3DF0" w:rsidRDefault="002F3DF0" w:rsidP="002F3DF0">
      <w:pPr>
        <w:tabs>
          <w:tab w:val="left" w:pos="-1440"/>
          <w:tab w:val="left" w:pos="-720"/>
        </w:tabs>
        <w:jc w:val="both"/>
        <w:rPr>
          <w:rFonts w:eastAsia="Times New Roman" w:cs="Times New Roman"/>
          <w:sz w:val="20"/>
          <w:szCs w:val="20"/>
          <w:lang w:eastAsia="en-CA"/>
        </w:rPr>
      </w:pPr>
    </w:p>
    <w:p w:rsidR="002F3DF0" w:rsidRPr="002F3DF0" w:rsidRDefault="00790981" w:rsidP="002F3DF0">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3" style="width:2in;height:1pt" o:hrpct="0" o:hralign="center" o:hrstd="t" o:hrnoshade="t" o:hr="t" fillcolor="black [3213]" stroked="f"/>
        </w:pict>
      </w:r>
    </w:p>
    <w:p w:rsidR="002F3DF0" w:rsidRPr="002F3DF0" w:rsidRDefault="002F3DF0" w:rsidP="002F3DF0">
      <w:pPr>
        <w:tabs>
          <w:tab w:val="left" w:pos="-1440"/>
          <w:tab w:val="left" w:pos="-720"/>
        </w:tabs>
        <w:jc w:val="both"/>
        <w:rPr>
          <w:rFonts w:eastAsia="Times New Roman" w:cs="Times New Roman"/>
          <w:sz w:val="20"/>
          <w:szCs w:val="20"/>
          <w:lang w:eastAsia="en-CA"/>
        </w:rPr>
      </w:pPr>
    </w:p>
    <w:p w:rsidR="002F3DF0" w:rsidRPr="002F3DF0" w:rsidRDefault="002F3DF0" w:rsidP="002F3DF0">
      <w:pPr>
        <w:tabs>
          <w:tab w:val="left" w:pos="-1440"/>
          <w:tab w:val="left" w:pos="-720"/>
        </w:tabs>
        <w:jc w:val="both"/>
        <w:rPr>
          <w:rFonts w:eastAsia="Times New Roman" w:cs="Times New Roman"/>
          <w:sz w:val="20"/>
          <w:szCs w:val="20"/>
          <w:lang w:eastAsia="en-CA"/>
        </w:rPr>
      </w:pPr>
      <w:r w:rsidRPr="002F3DF0">
        <w:rPr>
          <w:rFonts w:eastAsia="Times New Roman" w:cs="Times New Roman"/>
          <w:sz w:val="20"/>
          <w:szCs w:val="20"/>
          <w:lang w:eastAsia="en-CA"/>
        </w:rPr>
        <w:t>27.03.2015</w:t>
      </w:r>
    </w:p>
    <w:p w:rsidR="002F3DF0" w:rsidRPr="002F3DF0" w:rsidRDefault="002F3DF0" w:rsidP="002F3DF0">
      <w:pPr>
        <w:tabs>
          <w:tab w:val="left" w:pos="-1440"/>
          <w:tab w:val="left" w:pos="-720"/>
        </w:tabs>
        <w:jc w:val="both"/>
        <w:rPr>
          <w:rFonts w:eastAsia="Times New Roman" w:cs="Times New Roman"/>
          <w:sz w:val="20"/>
          <w:szCs w:val="20"/>
          <w:lang w:eastAsia="en-CA"/>
        </w:rPr>
      </w:pPr>
    </w:p>
    <w:p w:rsidR="002F3DF0" w:rsidRPr="002F3DF0" w:rsidRDefault="002F3DF0" w:rsidP="002F3DF0">
      <w:pPr>
        <w:tabs>
          <w:tab w:val="left" w:pos="-1440"/>
          <w:tab w:val="left" w:pos="-720"/>
        </w:tabs>
        <w:jc w:val="both"/>
        <w:rPr>
          <w:rFonts w:eastAsia="Times New Roman" w:cs="Times New Roman"/>
          <w:sz w:val="20"/>
          <w:szCs w:val="20"/>
          <w:lang w:eastAsia="en-CA"/>
        </w:rPr>
      </w:pPr>
      <w:r w:rsidRPr="002F3DF0">
        <w:rPr>
          <w:rFonts w:eastAsia="Times New Roman" w:cs="Times New Roman"/>
          <w:sz w:val="20"/>
          <w:szCs w:val="20"/>
          <w:lang w:eastAsia="en-CA"/>
        </w:rPr>
        <w:t>Before / Devant:   THE REGISTRAR / LE REGISTRAIRE</w:t>
      </w:r>
    </w:p>
    <w:p w:rsidR="002F3DF0" w:rsidRPr="002F3DF0" w:rsidRDefault="002F3DF0" w:rsidP="002F3DF0">
      <w:pPr>
        <w:tabs>
          <w:tab w:val="left" w:pos="-1440"/>
          <w:tab w:val="left" w:pos="-720"/>
        </w:tabs>
        <w:jc w:val="both"/>
        <w:rPr>
          <w:rFonts w:eastAsia="Times New Roman" w:cs="Times New Roman"/>
          <w:sz w:val="20"/>
          <w:szCs w:val="20"/>
          <w:lang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F3DF0" w:rsidRPr="002B2DB4" w:rsidTr="002F3DF0">
        <w:tc>
          <w:tcPr>
            <w:tcW w:w="4338" w:type="dxa"/>
          </w:tcPr>
          <w:p w:rsidR="002F3DF0" w:rsidRPr="002F3DF0" w:rsidRDefault="002D1795" w:rsidP="002F3DF0">
            <w:pPr>
              <w:tabs>
                <w:tab w:val="left" w:pos="-1440"/>
                <w:tab w:val="left" w:pos="-720"/>
              </w:tabs>
              <w:jc w:val="both"/>
              <w:rPr>
                <w:b/>
              </w:rPr>
            </w:pPr>
            <w:r w:rsidRPr="002F3DF0">
              <w:rPr>
                <w:szCs w:val="24"/>
                <w:lang w:val="en-US"/>
              </w:rPr>
              <w:fldChar w:fldCharType="begin"/>
            </w:r>
            <w:r w:rsidR="002F3DF0" w:rsidRPr="002F3DF0">
              <w:rPr>
                <w:szCs w:val="24"/>
                <w:lang w:val="en-US"/>
              </w:rPr>
              <w:instrText xml:space="preserve"> SEQ CHAPTER \h \r 1</w:instrText>
            </w:r>
            <w:r w:rsidRPr="002F3DF0">
              <w:rPr>
                <w:szCs w:val="24"/>
                <w:lang w:val="en-US"/>
              </w:rPr>
              <w:fldChar w:fldCharType="end"/>
            </w:r>
            <w:r w:rsidR="002F3DF0" w:rsidRPr="002F3DF0">
              <w:rPr>
                <w:b/>
                <w:bCs/>
                <w:lang w:val="en-US"/>
              </w:rPr>
              <w:t>Motion to extend time</w:t>
            </w:r>
          </w:p>
        </w:tc>
        <w:tc>
          <w:tcPr>
            <w:tcW w:w="1170" w:type="dxa"/>
          </w:tcPr>
          <w:p w:rsidR="002F3DF0" w:rsidRPr="002F3DF0" w:rsidRDefault="002F3DF0" w:rsidP="002F3DF0">
            <w:pPr>
              <w:tabs>
                <w:tab w:val="left" w:pos="-1440"/>
                <w:tab w:val="left" w:pos="-720"/>
              </w:tabs>
              <w:jc w:val="both"/>
            </w:pPr>
          </w:p>
          <w:p w:rsidR="002F3DF0" w:rsidRPr="002F3DF0" w:rsidRDefault="002F3DF0" w:rsidP="002F3DF0">
            <w:pPr>
              <w:tabs>
                <w:tab w:val="left" w:pos="-1440"/>
                <w:tab w:val="left" w:pos="-720"/>
              </w:tabs>
              <w:jc w:val="both"/>
            </w:pPr>
          </w:p>
        </w:tc>
        <w:tc>
          <w:tcPr>
            <w:tcW w:w="4327" w:type="dxa"/>
          </w:tcPr>
          <w:p w:rsidR="002F3DF0" w:rsidRPr="002F3DF0" w:rsidRDefault="002F3DF0" w:rsidP="002F3DF0">
            <w:pPr>
              <w:tabs>
                <w:tab w:val="left" w:pos="-1440"/>
                <w:tab w:val="left" w:pos="-720"/>
              </w:tabs>
              <w:jc w:val="both"/>
              <w:rPr>
                <w:lang w:val="fr-CA"/>
              </w:rPr>
            </w:pPr>
            <w:r w:rsidRPr="002F3DF0">
              <w:rPr>
                <w:b/>
                <w:bCs/>
                <w:color w:val="000000"/>
                <w:lang w:val="fr-CA"/>
              </w:rPr>
              <w:t>Requête en prorogation de délai</w:t>
            </w:r>
            <w:r w:rsidRPr="002F3DF0">
              <w:rPr>
                <w:szCs w:val="24"/>
                <w:lang w:val="fr-CA"/>
              </w:rPr>
              <w:t xml:space="preserve"> </w:t>
            </w:r>
            <w:r w:rsidR="002D1795" w:rsidRPr="002F3DF0">
              <w:rPr>
                <w:szCs w:val="24"/>
                <w:lang w:val="en-US"/>
              </w:rPr>
              <w:fldChar w:fldCharType="begin"/>
            </w:r>
            <w:r w:rsidRPr="002F3DF0">
              <w:rPr>
                <w:szCs w:val="24"/>
                <w:lang w:val="fr-CA"/>
              </w:rPr>
              <w:instrText xml:space="preserve"> SEQ CHAPTER \h \r 1</w:instrText>
            </w:r>
            <w:r w:rsidR="002D1795" w:rsidRPr="002F3DF0">
              <w:rPr>
                <w:szCs w:val="24"/>
                <w:lang w:val="en-US"/>
              </w:rPr>
              <w:fldChar w:fldCharType="end"/>
            </w:r>
            <w:r w:rsidR="002D1795" w:rsidRPr="002F3DF0">
              <w:rPr>
                <w:szCs w:val="24"/>
                <w:lang w:val="en-US"/>
              </w:rPr>
              <w:fldChar w:fldCharType="begin"/>
            </w:r>
            <w:r w:rsidRPr="002F3DF0">
              <w:rPr>
                <w:szCs w:val="24"/>
                <w:lang w:val="fr-CA"/>
              </w:rPr>
              <w:instrText xml:space="preserve"> SEQ CHAPTER \h \r 1</w:instrText>
            </w:r>
            <w:r w:rsidR="002D1795" w:rsidRPr="002F3DF0">
              <w:rPr>
                <w:szCs w:val="24"/>
                <w:lang w:val="en-US"/>
              </w:rPr>
              <w:fldChar w:fldCharType="end"/>
            </w:r>
          </w:p>
        </w:tc>
      </w:tr>
      <w:tr w:rsidR="002F3DF0" w:rsidRPr="002F3DF0" w:rsidTr="002F3DF0">
        <w:tc>
          <w:tcPr>
            <w:tcW w:w="4338" w:type="dxa"/>
          </w:tcPr>
          <w:p w:rsidR="002F3DF0" w:rsidRPr="002F3DF0" w:rsidRDefault="002F3DF0" w:rsidP="002F3DF0">
            <w:pPr>
              <w:tabs>
                <w:tab w:val="left" w:pos="-1440"/>
                <w:tab w:val="left" w:pos="-720"/>
              </w:tabs>
              <w:jc w:val="both"/>
            </w:pPr>
            <w:r w:rsidRPr="002F3DF0">
              <w:t>Udell So</w:t>
            </w:r>
          </w:p>
          <w:p w:rsidR="002F3DF0" w:rsidRPr="002F3DF0" w:rsidRDefault="002F3DF0" w:rsidP="002F3DF0">
            <w:pPr>
              <w:tabs>
                <w:tab w:val="left" w:pos="-1440"/>
                <w:tab w:val="left" w:pos="-720"/>
              </w:tabs>
              <w:jc w:val="both"/>
            </w:pPr>
          </w:p>
          <w:p w:rsidR="002F3DF0" w:rsidRPr="002F3DF0" w:rsidRDefault="002F3DF0" w:rsidP="002F3DF0">
            <w:pPr>
              <w:tabs>
                <w:tab w:val="left" w:pos="-1440"/>
                <w:tab w:val="left" w:pos="-720"/>
              </w:tabs>
              <w:jc w:val="both"/>
            </w:pPr>
            <w:r w:rsidRPr="002F3DF0">
              <w:tab/>
              <w:t>v. (36321)</w:t>
            </w:r>
          </w:p>
          <w:p w:rsidR="002F3DF0" w:rsidRPr="002F3DF0" w:rsidRDefault="002F3DF0" w:rsidP="002F3DF0">
            <w:pPr>
              <w:tabs>
                <w:tab w:val="left" w:pos="-1440"/>
                <w:tab w:val="left" w:pos="-720"/>
              </w:tabs>
              <w:jc w:val="both"/>
            </w:pPr>
          </w:p>
          <w:p w:rsidR="002F3DF0" w:rsidRPr="002F3DF0" w:rsidRDefault="002F3DF0" w:rsidP="002F3DF0">
            <w:pPr>
              <w:tabs>
                <w:tab w:val="left" w:pos="-1440"/>
                <w:tab w:val="left" w:pos="-720"/>
              </w:tabs>
              <w:jc w:val="both"/>
              <w:rPr>
                <w:lang w:val="fr-CA"/>
              </w:rPr>
            </w:pPr>
            <w:r w:rsidRPr="002F3DF0">
              <w:t xml:space="preserve">Her Majesty the Queen (Crim.) </w:t>
            </w:r>
            <w:r w:rsidRPr="002F3DF0">
              <w:rPr>
                <w:lang w:val="fr-CA"/>
              </w:rPr>
              <w:t>(Alta.)</w:t>
            </w:r>
          </w:p>
        </w:tc>
        <w:tc>
          <w:tcPr>
            <w:tcW w:w="1170" w:type="dxa"/>
          </w:tcPr>
          <w:p w:rsidR="002F3DF0" w:rsidRPr="002F3DF0" w:rsidRDefault="002F3DF0" w:rsidP="002F3DF0">
            <w:pPr>
              <w:tabs>
                <w:tab w:val="left" w:pos="-1440"/>
                <w:tab w:val="left" w:pos="-720"/>
              </w:tabs>
              <w:jc w:val="both"/>
              <w:rPr>
                <w:lang w:val="fr-CA"/>
              </w:rPr>
            </w:pPr>
          </w:p>
        </w:tc>
        <w:tc>
          <w:tcPr>
            <w:tcW w:w="4327" w:type="dxa"/>
          </w:tcPr>
          <w:p w:rsidR="002F3DF0" w:rsidRPr="002F3DF0" w:rsidRDefault="002F3DF0" w:rsidP="002F3DF0">
            <w:pPr>
              <w:tabs>
                <w:tab w:val="left" w:pos="-1440"/>
                <w:tab w:val="left" w:pos="-720"/>
              </w:tabs>
              <w:jc w:val="both"/>
              <w:rPr>
                <w:lang w:val="fr-CA"/>
              </w:rPr>
            </w:pPr>
          </w:p>
        </w:tc>
      </w:tr>
    </w:tbl>
    <w:p w:rsidR="002F3DF0" w:rsidRPr="002F3DF0" w:rsidRDefault="002F3DF0" w:rsidP="002F3DF0">
      <w:pPr>
        <w:tabs>
          <w:tab w:val="left" w:pos="-1440"/>
          <w:tab w:val="left" w:pos="-720"/>
        </w:tabs>
        <w:jc w:val="both"/>
        <w:rPr>
          <w:rFonts w:eastAsia="Times New Roman" w:cs="Times New Roman"/>
          <w:sz w:val="20"/>
          <w:szCs w:val="20"/>
          <w:lang w:eastAsia="en-CA"/>
        </w:rPr>
      </w:pPr>
    </w:p>
    <w:p w:rsidR="002F3DF0" w:rsidRPr="002F3DF0" w:rsidRDefault="002F3DF0" w:rsidP="002F3DF0">
      <w:pPr>
        <w:tabs>
          <w:tab w:val="left" w:pos="-1440"/>
          <w:tab w:val="left" w:pos="-720"/>
        </w:tabs>
        <w:jc w:val="both"/>
        <w:rPr>
          <w:rFonts w:eastAsia="Times New Roman" w:cs="Times New Roman"/>
          <w:b/>
          <w:sz w:val="20"/>
          <w:szCs w:val="20"/>
          <w:lang w:val="fr-CA" w:eastAsia="en-CA"/>
        </w:rPr>
      </w:pPr>
      <w:r w:rsidRPr="002F3DF0">
        <w:rPr>
          <w:rFonts w:eastAsia="Times New Roman" w:cs="Times New Roman"/>
          <w:b/>
          <w:sz w:val="20"/>
          <w:szCs w:val="20"/>
          <w:lang w:val="fr-CA" w:eastAsia="en-CA"/>
        </w:rPr>
        <w:t>GRANTED / ACCORDÉE</w:t>
      </w:r>
    </w:p>
    <w:p w:rsidR="002F3DF0" w:rsidRPr="002F3DF0" w:rsidRDefault="002F3DF0" w:rsidP="002F3DF0">
      <w:pPr>
        <w:tabs>
          <w:tab w:val="left" w:pos="-1440"/>
          <w:tab w:val="left" w:pos="-720"/>
        </w:tabs>
        <w:jc w:val="both"/>
        <w:rPr>
          <w:rFonts w:eastAsia="Times New Roman" w:cs="Times New Roman"/>
          <w:sz w:val="20"/>
          <w:szCs w:val="20"/>
          <w:lang w:eastAsia="en-CA"/>
        </w:rPr>
      </w:pPr>
    </w:p>
    <w:p w:rsidR="002F3DF0" w:rsidRPr="002F3DF0" w:rsidRDefault="002F3DF0" w:rsidP="002F3DF0">
      <w:pPr>
        <w:spacing w:line="233" w:lineRule="auto"/>
        <w:jc w:val="both"/>
        <w:rPr>
          <w:rFonts w:eastAsia="Times New Roman" w:cs="Times New Roman"/>
          <w:sz w:val="20"/>
          <w:szCs w:val="20"/>
          <w:lang w:eastAsia="en-CA"/>
        </w:rPr>
      </w:pPr>
      <w:r w:rsidRPr="002F3DF0">
        <w:rPr>
          <w:rFonts w:eastAsia="Times New Roman" w:cs="Times New Roman"/>
          <w:b/>
          <w:sz w:val="20"/>
          <w:szCs w:val="20"/>
          <w:lang w:val="en-US" w:eastAsia="en-CA"/>
        </w:rPr>
        <w:t xml:space="preserve">UPON APPLICATION </w:t>
      </w:r>
      <w:r w:rsidRPr="002F3DF0">
        <w:rPr>
          <w:rFonts w:eastAsia="Times New Roman" w:cs="Times New Roman"/>
          <w:sz w:val="20"/>
          <w:szCs w:val="20"/>
          <w:lang w:val="en-US" w:eastAsia="en-CA"/>
        </w:rPr>
        <w:t>by the respondent for an extension of time to</w:t>
      </w:r>
      <w:r w:rsidRPr="002F3DF0">
        <w:rPr>
          <w:rFonts w:eastAsia="Times New Roman" w:cs="Times New Roman"/>
          <w:b/>
          <w:sz w:val="20"/>
          <w:szCs w:val="20"/>
          <w:lang w:val="en-US" w:eastAsia="en-CA"/>
        </w:rPr>
        <w:t xml:space="preserve"> </w:t>
      </w:r>
      <w:r w:rsidRPr="002F3DF0">
        <w:rPr>
          <w:rFonts w:eastAsia="Times New Roman" w:cs="Times New Roman"/>
          <w:sz w:val="20"/>
          <w:szCs w:val="20"/>
          <w:lang w:val="en-US" w:eastAsia="en-CA"/>
        </w:rPr>
        <w:t>serve and file its response to the application for leave to appeal to May 4, 2015;</w:t>
      </w:r>
    </w:p>
    <w:p w:rsidR="002F3DF0" w:rsidRPr="002F3DF0" w:rsidRDefault="002F3DF0" w:rsidP="002F3DF0">
      <w:pPr>
        <w:spacing w:line="233" w:lineRule="auto"/>
        <w:jc w:val="both"/>
        <w:rPr>
          <w:rFonts w:eastAsia="Times New Roman" w:cs="Times New Roman"/>
          <w:b/>
          <w:sz w:val="20"/>
          <w:szCs w:val="20"/>
          <w:lang w:eastAsia="en-CA"/>
        </w:rPr>
      </w:pPr>
    </w:p>
    <w:p w:rsidR="002F3DF0" w:rsidRPr="002F3DF0" w:rsidRDefault="002F3DF0" w:rsidP="002F3DF0">
      <w:pPr>
        <w:spacing w:line="233" w:lineRule="auto"/>
        <w:jc w:val="both"/>
        <w:rPr>
          <w:rFonts w:eastAsia="Times New Roman" w:cs="Times New Roman"/>
          <w:sz w:val="20"/>
          <w:szCs w:val="20"/>
          <w:lang w:val="en-US" w:eastAsia="en-CA"/>
        </w:rPr>
      </w:pPr>
      <w:r w:rsidRPr="002F3DF0">
        <w:rPr>
          <w:rFonts w:eastAsia="Times New Roman" w:cs="Times New Roman"/>
          <w:b/>
          <w:bCs/>
          <w:sz w:val="20"/>
          <w:szCs w:val="20"/>
          <w:lang w:val="en-US" w:eastAsia="en-CA"/>
        </w:rPr>
        <w:t>AND THE MATERIAL FILED</w:t>
      </w:r>
      <w:r w:rsidRPr="002F3DF0">
        <w:rPr>
          <w:rFonts w:eastAsia="Times New Roman" w:cs="Times New Roman"/>
          <w:sz w:val="20"/>
          <w:szCs w:val="20"/>
          <w:lang w:val="en-US" w:eastAsia="en-CA"/>
        </w:rPr>
        <w:t xml:space="preserve"> having been read;</w:t>
      </w:r>
    </w:p>
    <w:p w:rsidR="002F3DF0" w:rsidRPr="002F3DF0" w:rsidRDefault="002F3DF0" w:rsidP="002F3DF0">
      <w:pPr>
        <w:spacing w:line="233" w:lineRule="auto"/>
        <w:jc w:val="both"/>
        <w:rPr>
          <w:rFonts w:eastAsia="Times New Roman" w:cs="Times New Roman"/>
          <w:sz w:val="20"/>
          <w:szCs w:val="20"/>
          <w:lang w:val="en-US" w:eastAsia="en-CA"/>
        </w:rPr>
      </w:pPr>
    </w:p>
    <w:p w:rsidR="002F3DF0" w:rsidRPr="002F3DF0" w:rsidRDefault="002F3DF0" w:rsidP="002F3DF0">
      <w:pPr>
        <w:spacing w:line="233" w:lineRule="auto"/>
        <w:jc w:val="both"/>
        <w:rPr>
          <w:rFonts w:eastAsia="Times New Roman" w:cs="Times New Roman"/>
          <w:b/>
          <w:bCs/>
          <w:sz w:val="20"/>
          <w:szCs w:val="20"/>
          <w:lang w:val="en-US" w:eastAsia="en-CA"/>
        </w:rPr>
      </w:pPr>
      <w:r w:rsidRPr="002F3DF0">
        <w:rPr>
          <w:rFonts w:eastAsia="Times New Roman" w:cs="Times New Roman"/>
          <w:b/>
          <w:bCs/>
          <w:sz w:val="20"/>
          <w:szCs w:val="20"/>
          <w:lang w:val="en-US" w:eastAsia="en-CA"/>
        </w:rPr>
        <w:t>IT IS HEREBY ORDERED THAT:</w:t>
      </w:r>
    </w:p>
    <w:p w:rsidR="002F3DF0" w:rsidRPr="002F3DF0" w:rsidRDefault="002F3DF0" w:rsidP="002F3DF0">
      <w:pPr>
        <w:spacing w:line="233" w:lineRule="auto"/>
        <w:jc w:val="both"/>
        <w:rPr>
          <w:rFonts w:eastAsia="Times New Roman" w:cs="Times New Roman"/>
          <w:b/>
          <w:bCs/>
          <w:sz w:val="20"/>
          <w:szCs w:val="20"/>
          <w:lang w:val="en-US" w:eastAsia="en-CA"/>
        </w:rPr>
      </w:pPr>
    </w:p>
    <w:p w:rsidR="002F3DF0" w:rsidRPr="002F3DF0" w:rsidRDefault="002F3DF0" w:rsidP="002F3DF0">
      <w:pPr>
        <w:ind w:firstLine="720"/>
        <w:jc w:val="both"/>
        <w:rPr>
          <w:rFonts w:eastAsia="Times New Roman" w:cs="Times New Roman"/>
          <w:sz w:val="20"/>
          <w:szCs w:val="20"/>
          <w:lang w:val="fr-CA" w:eastAsia="en-CA"/>
        </w:rPr>
      </w:pPr>
      <w:r w:rsidRPr="002F3DF0">
        <w:rPr>
          <w:rFonts w:eastAsia="Times New Roman" w:cs="Times New Roman"/>
          <w:sz w:val="20"/>
          <w:szCs w:val="20"/>
          <w:lang w:val="fr-CA" w:eastAsia="en-CA"/>
        </w:rPr>
        <w:t>The motion is granted. </w:t>
      </w:r>
    </w:p>
    <w:p w:rsidR="002F3DF0" w:rsidRPr="002F3DF0" w:rsidRDefault="002F3DF0" w:rsidP="002F3DF0">
      <w:pPr>
        <w:spacing w:line="233" w:lineRule="auto"/>
        <w:jc w:val="both"/>
        <w:rPr>
          <w:rFonts w:eastAsia="Times New Roman" w:cs="Times New Roman"/>
          <w:sz w:val="20"/>
          <w:szCs w:val="20"/>
          <w:lang w:val="fr-CA" w:eastAsia="en-CA"/>
        </w:rPr>
      </w:pPr>
    </w:p>
    <w:p w:rsidR="002F3DF0" w:rsidRPr="002F3DF0" w:rsidRDefault="002F3DF0" w:rsidP="002F3DF0">
      <w:pPr>
        <w:spacing w:line="233" w:lineRule="auto"/>
        <w:jc w:val="both"/>
        <w:rPr>
          <w:rFonts w:eastAsia="Times New Roman" w:cs="Times New Roman"/>
          <w:sz w:val="20"/>
          <w:szCs w:val="20"/>
          <w:lang w:val="fr-CA" w:eastAsia="en-CA"/>
        </w:rPr>
      </w:pPr>
    </w:p>
    <w:p w:rsidR="002F3DF0" w:rsidRPr="002F3DF0" w:rsidRDefault="002F3DF0" w:rsidP="002F3DF0">
      <w:pPr>
        <w:spacing w:line="233" w:lineRule="auto"/>
        <w:jc w:val="both"/>
        <w:rPr>
          <w:rFonts w:eastAsia="Times New Roman" w:cs="Times New Roman"/>
          <w:sz w:val="20"/>
          <w:szCs w:val="20"/>
          <w:lang w:val="fr-CA" w:eastAsia="en-CA"/>
        </w:rPr>
      </w:pPr>
    </w:p>
    <w:p w:rsidR="002F3DF0" w:rsidRPr="002F3DF0" w:rsidRDefault="002F3DF0" w:rsidP="002F3DF0">
      <w:pPr>
        <w:spacing w:line="233" w:lineRule="auto"/>
        <w:jc w:val="both"/>
        <w:rPr>
          <w:rFonts w:eastAsia="Times New Roman" w:cs="Times New Roman"/>
          <w:sz w:val="20"/>
          <w:szCs w:val="20"/>
          <w:lang w:val="fr-CA" w:eastAsia="en-CA"/>
        </w:rPr>
      </w:pPr>
      <w:r w:rsidRPr="002F3DF0">
        <w:rPr>
          <w:rFonts w:eastAsia="Times New Roman" w:cs="Times New Roman"/>
          <w:b/>
          <w:sz w:val="20"/>
          <w:szCs w:val="20"/>
          <w:lang w:val="fr-CA" w:eastAsia="en-CA"/>
        </w:rPr>
        <w:t>À LA SUITE DE LA REQUÊTE</w:t>
      </w:r>
      <w:r w:rsidRPr="002F3DF0">
        <w:rPr>
          <w:rFonts w:eastAsia="Times New Roman" w:cs="Times New Roman"/>
          <w:sz w:val="20"/>
          <w:szCs w:val="20"/>
          <w:lang w:val="fr-CA" w:eastAsia="en-CA"/>
        </w:rPr>
        <w:t xml:space="preserve"> présentée par l’intimée en prorogation du délai pour signifier et déposer sa réponse à la demande d’autorisation d’appel jusqu’au 4 mai 2015; </w:t>
      </w:r>
    </w:p>
    <w:p w:rsidR="002F3DF0" w:rsidRPr="002F3DF0" w:rsidRDefault="002F3DF0" w:rsidP="002F3DF0">
      <w:pPr>
        <w:spacing w:line="233" w:lineRule="auto"/>
        <w:jc w:val="both"/>
        <w:rPr>
          <w:rFonts w:eastAsia="Times New Roman" w:cs="Times New Roman"/>
          <w:sz w:val="20"/>
          <w:szCs w:val="20"/>
          <w:lang w:val="fr-CA" w:eastAsia="en-CA"/>
        </w:rPr>
      </w:pPr>
    </w:p>
    <w:p w:rsidR="002F3DF0" w:rsidRPr="002F3DF0" w:rsidRDefault="002F3DF0" w:rsidP="002F3DF0">
      <w:pPr>
        <w:spacing w:line="233" w:lineRule="auto"/>
        <w:jc w:val="both"/>
        <w:rPr>
          <w:rFonts w:eastAsia="Times New Roman" w:cs="Times New Roman"/>
          <w:sz w:val="20"/>
          <w:szCs w:val="20"/>
          <w:lang w:val="fr-CA" w:eastAsia="en-CA"/>
        </w:rPr>
      </w:pPr>
      <w:r w:rsidRPr="002F3DF0">
        <w:rPr>
          <w:rFonts w:eastAsia="Times New Roman" w:cs="Times New Roman"/>
          <w:b/>
          <w:sz w:val="20"/>
          <w:szCs w:val="20"/>
          <w:lang w:val="fr-CA" w:eastAsia="en-CA"/>
        </w:rPr>
        <w:t>ET APRÈS EXAMEN</w:t>
      </w:r>
      <w:r w:rsidRPr="002F3DF0">
        <w:rPr>
          <w:rFonts w:eastAsia="Times New Roman" w:cs="Times New Roman"/>
          <w:sz w:val="20"/>
          <w:szCs w:val="20"/>
          <w:lang w:val="fr-CA" w:eastAsia="en-CA"/>
        </w:rPr>
        <w:t xml:space="preserve"> des documents déposés; </w:t>
      </w:r>
    </w:p>
    <w:p w:rsidR="002F3DF0" w:rsidRPr="002F3DF0" w:rsidRDefault="002F3DF0" w:rsidP="002F3DF0">
      <w:pPr>
        <w:spacing w:line="233" w:lineRule="auto"/>
        <w:jc w:val="both"/>
        <w:rPr>
          <w:rFonts w:eastAsia="Times New Roman" w:cs="Times New Roman"/>
          <w:sz w:val="20"/>
          <w:szCs w:val="20"/>
          <w:lang w:val="fr-CA" w:eastAsia="en-CA"/>
        </w:rPr>
      </w:pPr>
    </w:p>
    <w:p w:rsidR="002F3DF0" w:rsidRPr="002F3DF0" w:rsidRDefault="002F3DF0" w:rsidP="002F3DF0">
      <w:pPr>
        <w:spacing w:line="233" w:lineRule="auto"/>
        <w:jc w:val="both"/>
        <w:rPr>
          <w:rFonts w:eastAsia="Times New Roman" w:cs="Times New Roman"/>
          <w:b/>
          <w:sz w:val="20"/>
          <w:szCs w:val="20"/>
          <w:lang w:val="fr-CA" w:eastAsia="en-CA"/>
        </w:rPr>
      </w:pPr>
      <w:r w:rsidRPr="002F3DF0">
        <w:rPr>
          <w:rFonts w:eastAsia="Times New Roman" w:cs="Times New Roman"/>
          <w:b/>
          <w:sz w:val="20"/>
          <w:szCs w:val="20"/>
          <w:lang w:val="fr-CA" w:eastAsia="en-CA"/>
        </w:rPr>
        <w:t xml:space="preserve">IL EST ORDONNÉ CE QUI SUIT : </w:t>
      </w:r>
    </w:p>
    <w:p w:rsidR="002F3DF0" w:rsidRPr="002F3DF0" w:rsidRDefault="002F3DF0" w:rsidP="002F3DF0">
      <w:pPr>
        <w:spacing w:line="233" w:lineRule="auto"/>
        <w:jc w:val="both"/>
        <w:rPr>
          <w:rFonts w:eastAsia="Times New Roman" w:cs="Times New Roman"/>
          <w:sz w:val="20"/>
          <w:szCs w:val="20"/>
          <w:lang w:val="fr-CA" w:eastAsia="en-CA"/>
        </w:rPr>
      </w:pPr>
    </w:p>
    <w:p w:rsidR="002F3DF0" w:rsidRPr="002F3DF0" w:rsidRDefault="002F3DF0" w:rsidP="002F3DF0">
      <w:pPr>
        <w:spacing w:line="233" w:lineRule="auto"/>
        <w:ind w:firstLine="720"/>
        <w:jc w:val="both"/>
        <w:rPr>
          <w:rFonts w:eastAsia="Times New Roman" w:cs="Times New Roman"/>
          <w:sz w:val="20"/>
          <w:szCs w:val="20"/>
          <w:lang w:val="fr-CA" w:eastAsia="en-CA"/>
        </w:rPr>
      </w:pPr>
      <w:r w:rsidRPr="002F3DF0">
        <w:rPr>
          <w:rFonts w:eastAsia="Times New Roman" w:cs="Times New Roman"/>
          <w:sz w:val="20"/>
          <w:szCs w:val="20"/>
          <w:lang w:val="fr-CA" w:eastAsia="en-CA"/>
        </w:rPr>
        <w:t>La requête est accueillie</w:t>
      </w:r>
    </w:p>
    <w:p w:rsidR="002F3DF0" w:rsidRPr="002F3DF0" w:rsidRDefault="002F3DF0" w:rsidP="002F3DF0">
      <w:pPr>
        <w:spacing w:line="233" w:lineRule="auto"/>
        <w:jc w:val="both"/>
        <w:rPr>
          <w:rFonts w:eastAsia="Times New Roman" w:cs="Times New Roman"/>
          <w:sz w:val="20"/>
          <w:szCs w:val="20"/>
          <w:lang w:val="fr-CA" w:eastAsia="en-CA"/>
        </w:rPr>
      </w:pPr>
    </w:p>
    <w:p w:rsidR="002F3DF0" w:rsidRPr="002F3DF0" w:rsidRDefault="00790981" w:rsidP="002F3DF0">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4" style="width:2in;height:1pt" o:hrpct="0" o:hralign="center" o:hrstd="t" o:hrnoshade="t" o:hr="t" fillcolor="black [3213]" stroked="f"/>
        </w:pict>
      </w:r>
    </w:p>
    <w:p w:rsidR="00B70797" w:rsidRDefault="00B70797" w:rsidP="002F3DF0">
      <w:pPr>
        <w:rPr>
          <w:rFonts w:eastAsia="Times New Roman" w:cs="Times New Roman"/>
          <w:sz w:val="20"/>
          <w:szCs w:val="20"/>
          <w:lang w:val="fr-CA" w:eastAsia="en-CA"/>
        </w:rPr>
      </w:pPr>
    </w:p>
    <w:p w:rsidR="002F3DF0" w:rsidRPr="002F3DF0" w:rsidRDefault="002F3DF0" w:rsidP="002F3DF0">
      <w:pPr>
        <w:rPr>
          <w:rFonts w:eastAsia="Times New Roman" w:cs="Times New Roman"/>
          <w:sz w:val="20"/>
          <w:szCs w:val="20"/>
          <w:lang w:val="fr-CA" w:eastAsia="en-CA"/>
        </w:rPr>
      </w:pPr>
      <w:r w:rsidRPr="002F3DF0">
        <w:rPr>
          <w:rFonts w:eastAsia="Times New Roman" w:cs="Times New Roman"/>
          <w:sz w:val="20"/>
          <w:szCs w:val="20"/>
          <w:lang w:val="fr-CA" w:eastAsia="en-CA"/>
        </w:rPr>
        <w:br w:type="page"/>
      </w:r>
    </w:p>
    <w:p w:rsidR="002F3DF0" w:rsidRPr="002F3DF0" w:rsidRDefault="002F3DF0" w:rsidP="002F3DF0">
      <w:pPr>
        <w:tabs>
          <w:tab w:val="left" w:pos="-1440"/>
          <w:tab w:val="left" w:pos="-720"/>
        </w:tabs>
        <w:jc w:val="both"/>
        <w:rPr>
          <w:rFonts w:eastAsia="Times New Roman" w:cs="Times New Roman"/>
          <w:sz w:val="20"/>
          <w:szCs w:val="20"/>
          <w:lang w:val="fr-CA" w:eastAsia="en-CA"/>
        </w:rPr>
      </w:pPr>
      <w:r w:rsidRPr="002F3DF0">
        <w:rPr>
          <w:rFonts w:eastAsia="Times New Roman" w:cs="Times New Roman"/>
          <w:sz w:val="20"/>
          <w:szCs w:val="20"/>
          <w:lang w:val="fr-CA" w:eastAsia="en-CA"/>
        </w:rPr>
        <w:lastRenderedPageBreak/>
        <w:t>30.03.2015</w:t>
      </w:r>
    </w:p>
    <w:p w:rsidR="002F3DF0" w:rsidRPr="002F3DF0" w:rsidRDefault="002F3DF0" w:rsidP="002F3DF0">
      <w:pPr>
        <w:tabs>
          <w:tab w:val="left" w:pos="-1440"/>
          <w:tab w:val="left" w:pos="-720"/>
        </w:tabs>
        <w:jc w:val="both"/>
        <w:rPr>
          <w:rFonts w:eastAsia="Times New Roman" w:cs="Times New Roman"/>
          <w:sz w:val="20"/>
          <w:szCs w:val="20"/>
          <w:lang w:val="fr-CA" w:eastAsia="en-CA"/>
        </w:rPr>
      </w:pPr>
    </w:p>
    <w:p w:rsidR="002F3DF0" w:rsidRPr="002F3DF0" w:rsidRDefault="002F3DF0" w:rsidP="002F3DF0">
      <w:pPr>
        <w:tabs>
          <w:tab w:val="left" w:pos="-1440"/>
          <w:tab w:val="left" w:pos="-720"/>
        </w:tabs>
        <w:jc w:val="both"/>
        <w:rPr>
          <w:rFonts w:eastAsia="Times New Roman" w:cs="Times New Roman"/>
          <w:sz w:val="20"/>
          <w:szCs w:val="20"/>
          <w:lang w:val="fr-CA" w:eastAsia="en-CA"/>
        </w:rPr>
      </w:pPr>
      <w:r w:rsidRPr="002F3DF0">
        <w:rPr>
          <w:rFonts w:eastAsia="Times New Roman" w:cs="Times New Roman"/>
          <w:sz w:val="20"/>
          <w:szCs w:val="20"/>
          <w:lang w:val="fr-CA" w:eastAsia="en-CA"/>
        </w:rPr>
        <w:t>Before / Devant :   THE CHIEF JUSTICE / LA JUGE EN CHEF</w:t>
      </w:r>
    </w:p>
    <w:p w:rsidR="002F3DF0" w:rsidRPr="002F3DF0" w:rsidRDefault="002F3DF0" w:rsidP="002F3DF0">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F3DF0" w:rsidRPr="002B2DB4" w:rsidTr="002F3DF0">
        <w:tc>
          <w:tcPr>
            <w:tcW w:w="4338" w:type="dxa"/>
          </w:tcPr>
          <w:p w:rsidR="002F3DF0" w:rsidRPr="002F3DF0" w:rsidRDefault="002D1795" w:rsidP="002F3DF0">
            <w:pPr>
              <w:tabs>
                <w:tab w:val="left" w:pos="-1440"/>
                <w:tab w:val="left" w:pos="-720"/>
              </w:tabs>
              <w:jc w:val="both"/>
              <w:rPr>
                <w:b/>
              </w:rPr>
            </w:pPr>
            <w:r w:rsidRPr="002F3DF0">
              <w:rPr>
                <w:lang w:val="en-US"/>
              </w:rPr>
              <w:fldChar w:fldCharType="begin"/>
            </w:r>
            <w:r w:rsidR="002F3DF0" w:rsidRPr="002F3DF0">
              <w:rPr>
                <w:lang w:val="en-US"/>
              </w:rPr>
              <w:instrText xml:space="preserve"> SEQ CHAPTER \h \r 1</w:instrText>
            </w:r>
            <w:r w:rsidRPr="002F3DF0">
              <w:rPr>
                <w:lang w:val="en-US"/>
              </w:rPr>
              <w:fldChar w:fldCharType="end"/>
            </w:r>
            <w:r w:rsidR="002F3DF0" w:rsidRPr="002F3DF0">
              <w:rPr>
                <w:b/>
                <w:bCs/>
                <w:lang w:val="en-US"/>
              </w:rPr>
              <w:t>Motion to state constitutional questions</w:t>
            </w:r>
          </w:p>
        </w:tc>
        <w:tc>
          <w:tcPr>
            <w:tcW w:w="1170" w:type="dxa"/>
          </w:tcPr>
          <w:p w:rsidR="002F3DF0" w:rsidRPr="002F3DF0" w:rsidRDefault="002F3DF0" w:rsidP="002F3DF0">
            <w:pPr>
              <w:tabs>
                <w:tab w:val="left" w:pos="-1440"/>
                <w:tab w:val="left" w:pos="-720"/>
              </w:tabs>
              <w:jc w:val="both"/>
            </w:pPr>
          </w:p>
          <w:p w:rsidR="002F3DF0" w:rsidRPr="002F3DF0" w:rsidRDefault="002F3DF0" w:rsidP="002F3DF0">
            <w:pPr>
              <w:tabs>
                <w:tab w:val="left" w:pos="-1440"/>
                <w:tab w:val="left" w:pos="-720"/>
              </w:tabs>
              <w:jc w:val="both"/>
            </w:pPr>
          </w:p>
          <w:p w:rsidR="002F3DF0" w:rsidRPr="002F3DF0" w:rsidRDefault="002F3DF0" w:rsidP="002F3DF0">
            <w:pPr>
              <w:tabs>
                <w:tab w:val="left" w:pos="-1440"/>
                <w:tab w:val="left" w:pos="-720"/>
              </w:tabs>
              <w:jc w:val="both"/>
            </w:pPr>
          </w:p>
        </w:tc>
        <w:tc>
          <w:tcPr>
            <w:tcW w:w="4327" w:type="dxa"/>
          </w:tcPr>
          <w:p w:rsidR="002F3DF0" w:rsidRPr="002F3DF0" w:rsidRDefault="002D1795" w:rsidP="002F3DF0">
            <w:pPr>
              <w:tabs>
                <w:tab w:val="left" w:pos="-1440"/>
                <w:tab w:val="left" w:pos="-720"/>
              </w:tabs>
              <w:jc w:val="both"/>
              <w:rPr>
                <w:lang w:val="fr-CA"/>
              </w:rPr>
            </w:pPr>
            <w:r w:rsidRPr="002F3DF0">
              <w:rPr>
                <w:lang w:val="en-US"/>
              </w:rPr>
              <w:fldChar w:fldCharType="begin"/>
            </w:r>
            <w:r w:rsidR="002F3DF0" w:rsidRPr="002F3DF0">
              <w:rPr>
                <w:lang w:val="fr-CA"/>
              </w:rPr>
              <w:instrText xml:space="preserve"> SEQ CHAPTER \h \r 1</w:instrText>
            </w:r>
            <w:r w:rsidRPr="002F3DF0">
              <w:rPr>
                <w:lang w:val="en-US"/>
              </w:rPr>
              <w:fldChar w:fldCharType="end"/>
            </w:r>
            <w:r w:rsidR="002F3DF0" w:rsidRPr="002F3DF0">
              <w:rPr>
                <w:b/>
                <w:bCs/>
                <w:lang w:val="fr-CA"/>
              </w:rPr>
              <w:t>Requête en formulation de questions constitutionnelles</w:t>
            </w:r>
            <w:r w:rsidRPr="002F3DF0">
              <w:rPr>
                <w:lang w:val="en-US"/>
              </w:rPr>
              <w:fldChar w:fldCharType="begin"/>
            </w:r>
            <w:r w:rsidR="002F3DF0" w:rsidRPr="002F3DF0">
              <w:rPr>
                <w:lang w:val="fr-CA"/>
              </w:rPr>
              <w:instrText xml:space="preserve"> SEQ CHAPTER \h \r 1</w:instrText>
            </w:r>
            <w:r w:rsidRPr="002F3DF0">
              <w:rPr>
                <w:lang w:val="en-US"/>
              </w:rPr>
              <w:fldChar w:fldCharType="end"/>
            </w:r>
            <w:r w:rsidRPr="002F3DF0">
              <w:rPr>
                <w:lang w:val="en-US"/>
              </w:rPr>
              <w:fldChar w:fldCharType="begin"/>
            </w:r>
            <w:r w:rsidR="002F3DF0" w:rsidRPr="002F3DF0">
              <w:rPr>
                <w:lang w:val="fr-CA"/>
              </w:rPr>
              <w:instrText xml:space="preserve"> SEQ CHAPTER \h \r 1</w:instrText>
            </w:r>
            <w:r w:rsidRPr="002F3DF0">
              <w:rPr>
                <w:lang w:val="en-US"/>
              </w:rPr>
              <w:fldChar w:fldCharType="end"/>
            </w:r>
            <w:r w:rsidRPr="002F3DF0">
              <w:rPr>
                <w:lang w:val="en-US"/>
              </w:rPr>
              <w:fldChar w:fldCharType="begin"/>
            </w:r>
            <w:r w:rsidR="002F3DF0" w:rsidRPr="002F3DF0">
              <w:rPr>
                <w:lang w:val="fr-CA"/>
              </w:rPr>
              <w:instrText xml:space="preserve"> SEQ CHAPTER \h \r 1</w:instrText>
            </w:r>
            <w:r w:rsidRPr="002F3DF0">
              <w:rPr>
                <w:lang w:val="en-US"/>
              </w:rPr>
              <w:fldChar w:fldCharType="end"/>
            </w:r>
          </w:p>
        </w:tc>
      </w:tr>
      <w:tr w:rsidR="002F3DF0" w:rsidRPr="002F3DF0" w:rsidTr="002F3DF0">
        <w:tc>
          <w:tcPr>
            <w:tcW w:w="4338" w:type="dxa"/>
          </w:tcPr>
          <w:p w:rsidR="002F3DF0" w:rsidRPr="002F3DF0" w:rsidRDefault="002F3DF0" w:rsidP="002F3DF0">
            <w:pPr>
              <w:tabs>
                <w:tab w:val="left" w:pos="-1440"/>
                <w:tab w:val="left" w:pos="-720"/>
              </w:tabs>
              <w:jc w:val="both"/>
              <w:rPr>
                <w:lang w:val="fr-CA"/>
              </w:rPr>
            </w:pPr>
            <w:r w:rsidRPr="002F3DF0">
              <w:rPr>
                <w:lang w:val="fr-CA"/>
              </w:rPr>
              <w:t>Rogers Communications Inc. et al.</w:t>
            </w:r>
          </w:p>
          <w:p w:rsidR="002F3DF0" w:rsidRPr="002F3DF0" w:rsidRDefault="002F3DF0" w:rsidP="002F3DF0">
            <w:pPr>
              <w:tabs>
                <w:tab w:val="left" w:pos="-1440"/>
                <w:tab w:val="left" w:pos="-720"/>
              </w:tabs>
              <w:jc w:val="both"/>
              <w:rPr>
                <w:lang w:val="fr-CA"/>
              </w:rPr>
            </w:pPr>
          </w:p>
          <w:p w:rsidR="002F3DF0" w:rsidRPr="002F3DF0" w:rsidRDefault="002F3DF0" w:rsidP="002F3DF0">
            <w:pPr>
              <w:tabs>
                <w:tab w:val="left" w:pos="-1440"/>
                <w:tab w:val="left" w:pos="-720"/>
              </w:tabs>
              <w:jc w:val="both"/>
            </w:pPr>
            <w:r w:rsidRPr="002F3DF0">
              <w:rPr>
                <w:lang w:val="fr-CA"/>
              </w:rPr>
              <w:tab/>
            </w:r>
            <w:r w:rsidRPr="002F3DF0">
              <w:t>v. (36027)</w:t>
            </w:r>
          </w:p>
          <w:p w:rsidR="002F3DF0" w:rsidRPr="002F3DF0" w:rsidRDefault="002F3DF0" w:rsidP="002F3DF0">
            <w:pPr>
              <w:tabs>
                <w:tab w:val="left" w:pos="-1440"/>
                <w:tab w:val="left" w:pos="-720"/>
              </w:tabs>
              <w:jc w:val="both"/>
            </w:pPr>
          </w:p>
          <w:p w:rsidR="002F3DF0" w:rsidRPr="002F3DF0" w:rsidRDefault="002F3DF0" w:rsidP="002F3DF0">
            <w:pPr>
              <w:tabs>
                <w:tab w:val="left" w:pos="-1440"/>
                <w:tab w:val="left" w:pos="-720"/>
              </w:tabs>
              <w:jc w:val="both"/>
              <w:rPr>
                <w:lang w:val="fr-CA"/>
              </w:rPr>
            </w:pPr>
            <w:r w:rsidRPr="002F3DF0">
              <w:t xml:space="preserve">City of Châteauguay et al. </w:t>
            </w:r>
            <w:r w:rsidRPr="002F3DF0">
              <w:rPr>
                <w:lang w:val="fr-CA"/>
              </w:rPr>
              <w:t>(Que.)</w:t>
            </w:r>
          </w:p>
        </w:tc>
        <w:tc>
          <w:tcPr>
            <w:tcW w:w="1170" w:type="dxa"/>
          </w:tcPr>
          <w:p w:rsidR="002F3DF0" w:rsidRPr="002F3DF0" w:rsidRDefault="002F3DF0" w:rsidP="002F3DF0">
            <w:pPr>
              <w:tabs>
                <w:tab w:val="left" w:pos="-1440"/>
                <w:tab w:val="left" w:pos="-720"/>
              </w:tabs>
              <w:jc w:val="both"/>
              <w:rPr>
                <w:lang w:val="fr-CA"/>
              </w:rPr>
            </w:pPr>
          </w:p>
        </w:tc>
        <w:tc>
          <w:tcPr>
            <w:tcW w:w="4327" w:type="dxa"/>
          </w:tcPr>
          <w:p w:rsidR="002F3DF0" w:rsidRPr="002F3DF0" w:rsidRDefault="002F3DF0" w:rsidP="002F3DF0">
            <w:pPr>
              <w:tabs>
                <w:tab w:val="left" w:pos="-1440"/>
                <w:tab w:val="left" w:pos="-720"/>
              </w:tabs>
              <w:jc w:val="both"/>
              <w:rPr>
                <w:lang w:val="fr-CA"/>
              </w:rPr>
            </w:pPr>
          </w:p>
        </w:tc>
      </w:tr>
    </w:tbl>
    <w:p w:rsidR="002F3DF0" w:rsidRPr="002F3DF0" w:rsidRDefault="002F3DF0" w:rsidP="002F3DF0">
      <w:pPr>
        <w:tabs>
          <w:tab w:val="left" w:pos="-1440"/>
          <w:tab w:val="left" w:pos="-720"/>
        </w:tabs>
        <w:jc w:val="both"/>
        <w:rPr>
          <w:rFonts w:eastAsia="Times New Roman" w:cs="Times New Roman"/>
          <w:sz w:val="20"/>
          <w:szCs w:val="20"/>
          <w:lang w:val="fr-CA" w:eastAsia="en-CA"/>
        </w:rPr>
      </w:pPr>
    </w:p>
    <w:p w:rsidR="002F3DF0" w:rsidRPr="002F3DF0" w:rsidRDefault="002F3DF0" w:rsidP="002F3DF0">
      <w:pPr>
        <w:tabs>
          <w:tab w:val="left" w:pos="-1440"/>
          <w:tab w:val="left" w:pos="-720"/>
        </w:tabs>
        <w:jc w:val="both"/>
        <w:rPr>
          <w:rFonts w:eastAsia="Times New Roman" w:cs="Times New Roman"/>
          <w:sz w:val="20"/>
          <w:szCs w:val="20"/>
          <w:lang w:val="fr-CA" w:eastAsia="en-CA"/>
        </w:rPr>
      </w:pPr>
      <w:r w:rsidRPr="002F3DF0">
        <w:rPr>
          <w:rFonts w:eastAsia="Times New Roman" w:cs="Times New Roman"/>
          <w:b/>
          <w:sz w:val="20"/>
          <w:szCs w:val="20"/>
          <w:lang w:val="fr-CA" w:eastAsia="en-CA"/>
        </w:rPr>
        <w:t>DISMISSED / REJETÉE</w:t>
      </w:r>
    </w:p>
    <w:p w:rsidR="002F3DF0" w:rsidRPr="002F3DF0" w:rsidRDefault="002F3DF0" w:rsidP="002F3DF0">
      <w:pPr>
        <w:tabs>
          <w:tab w:val="left" w:pos="-1440"/>
          <w:tab w:val="left" w:pos="-720"/>
        </w:tabs>
        <w:jc w:val="both"/>
        <w:rPr>
          <w:rFonts w:eastAsia="Times New Roman" w:cs="Times New Roman"/>
          <w:sz w:val="20"/>
          <w:szCs w:val="20"/>
          <w:lang w:val="fr-CA" w:eastAsia="en-CA"/>
        </w:rPr>
      </w:pPr>
    </w:p>
    <w:p w:rsidR="002F3DF0" w:rsidRPr="002F3DF0" w:rsidRDefault="002F3DF0" w:rsidP="002F3DF0">
      <w:pPr>
        <w:rPr>
          <w:rFonts w:eastAsia="Times New Roman" w:cs="Times New Roman"/>
          <w:b/>
          <w:sz w:val="20"/>
          <w:szCs w:val="20"/>
          <w:lang w:val="en-US" w:eastAsia="en-CA"/>
        </w:rPr>
      </w:pPr>
      <w:r w:rsidRPr="002F3DF0">
        <w:rPr>
          <w:rFonts w:eastAsia="Times New Roman" w:cs="Times New Roman"/>
          <w:b/>
          <w:sz w:val="20"/>
          <w:szCs w:val="20"/>
          <w:lang w:val="en-US" w:eastAsia="en-CA"/>
        </w:rPr>
        <w:t xml:space="preserve">UPON APPLICATION </w:t>
      </w:r>
      <w:r w:rsidRPr="002F3DF0">
        <w:rPr>
          <w:rFonts w:eastAsia="Times New Roman" w:cs="Times New Roman"/>
          <w:sz w:val="20"/>
          <w:szCs w:val="20"/>
          <w:lang w:val="en-US" w:eastAsia="en-CA"/>
        </w:rPr>
        <w:t xml:space="preserve">by the appellant </w:t>
      </w:r>
      <w:r w:rsidRPr="002F3DF0">
        <w:rPr>
          <w:rFonts w:eastAsia="Times New Roman" w:cs="Times New Roman"/>
          <w:sz w:val="20"/>
          <w:szCs w:val="20"/>
          <w:lang w:eastAsia="en-CA"/>
        </w:rPr>
        <w:t xml:space="preserve">for an order stating constitutional questions </w:t>
      </w:r>
      <w:r w:rsidRPr="002F3DF0">
        <w:rPr>
          <w:rFonts w:eastAsia="Times New Roman" w:cs="Times New Roman"/>
          <w:sz w:val="20"/>
          <w:szCs w:val="20"/>
          <w:lang w:val="en-US" w:eastAsia="en-CA"/>
        </w:rPr>
        <w:t>in the above appeal;</w:t>
      </w:r>
    </w:p>
    <w:p w:rsidR="002F3DF0" w:rsidRPr="002F3DF0" w:rsidRDefault="002F3DF0" w:rsidP="002F3DF0">
      <w:pPr>
        <w:rPr>
          <w:rFonts w:eastAsia="Times New Roman" w:cs="Times New Roman"/>
          <w:b/>
          <w:sz w:val="20"/>
          <w:szCs w:val="20"/>
          <w:lang w:val="en-US" w:eastAsia="en-CA"/>
        </w:rPr>
      </w:pPr>
    </w:p>
    <w:p w:rsidR="002F3DF0" w:rsidRPr="002F3DF0" w:rsidRDefault="002F3DF0" w:rsidP="002F3DF0">
      <w:pPr>
        <w:rPr>
          <w:rFonts w:eastAsia="Times New Roman" w:cs="Times New Roman"/>
          <w:b/>
          <w:sz w:val="20"/>
          <w:szCs w:val="20"/>
          <w:lang w:val="en-US" w:eastAsia="en-CA"/>
        </w:rPr>
      </w:pPr>
      <w:r w:rsidRPr="002F3DF0">
        <w:rPr>
          <w:rFonts w:eastAsia="Times New Roman" w:cs="Times New Roman"/>
          <w:b/>
          <w:sz w:val="20"/>
          <w:szCs w:val="20"/>
          <w:lang w:val="en-US" w:eastAsia="en-CA"/>
        </w:rPr>
        <w:t xml:space="preserve">AND THE MATERIAL FILED </w:t>
      </w:r>
      <w:r w:rsidRPr="002F3DF0">
        <w:rPr>
          <w:rFonts w:eastAsia="Times New Roman" w:cs="Times New Roman"/>
          <w:sz w:val="20"/>
          <w:szCs w:val="20"/>
          <w:lang w:val="en-US" w:eastAsia="en-CA"/>
        </w:rPr>
        <w:t>having been read;</w:t>
      </w:r>
      <w:r w:rsidRPr="002F3DF0">
        <w:rPr>
          <w:rFonts w:eastAsia="Times New Roman" w:cs="Times New Roman"/>
          <w:b/>
          <w:sz w:val="20"/>
          <w:szCs w:val="20"/>
          <w:lang w:val="en-US" w:eastAsia="en-CA"/>
        </w:rPr>
        <w:t xml:space="preserve"> </w:t>
      </w:r>
    </w:p>
    <w:p w:rsidR="002F3DF0" w:rsidRPr="002F3DF0" w:rsidRDefault="002F3DF0" w:rsidP="002F3DF0">
      <w:pPr>
        <w:rPr>
          <w:rFonts w:eastAsia="Times New Roman" w:cs="Times New Roman"/>
          <w:b/>
          <w:sz w:val="20"/>
          <w:szCs w:val="20"/>
          <w:lang w:val="en-US" w:eastAsia="en-CA"/>
        </w:rPr>
      </w:pPr>
    </w:p>
    <w:p w:rsidR="002F3DF0" w:rsidRPr="002F3DF0" w:rsidRDefault="002F3DF0" w:rsidP="002F3DF0">
      <w:pPr>
        <w:rPr>
          <w:rFonts w:eastAsia="Times New Roman" w:cs="Times New Roman"/>
          <w:sz w:val="20"/>
          <w:szCs w:val="20"/>
          <w:lang w:val="en-US" w:eastAsia="en-CA"/>
        </w:rPr>
      </w:pPr>
      <w:r w:rsidRPr="002F3DF0">
        <w:rPr>
          <w:rFonts w:eastAsia="Times New Roman" w:cs="Times New Roman"/>
          <w:b/>
          <w:sz w:val="20"/>
          <w:szCs w:val="20"/>
          <w:lang w:val="en-US" w:eastAsia="en-CA"/>
        </w:rPr>
        <w:t>IT IS HEREBY ORDERED THAT:</w:t>
      </w:r>
    </w:p>
    <w:p w:rsidR="002F3DF0" w:rsidRPr="002F3DF0" w:rsidRDefault="002F3DF0" w:rsidP="002F3DF0">
      <w:pPr>
        <w:tabs>
          <w:tab w:val="left" w:pos="1080"/>
        </w:tabs>
        <w:ind w:left="1065"/>
        <w:contextualSpacing/>
        <w:rPr>
          <w:rFonts w:cs="Times New Roman"/>
          <w:bCs/>
          <w:sz w:val="20"/>
          <w:szCs w:val="20"/>
        </w:rPr>
      </w:pPr>
    </w:p>
    <w:p w:rsidR="002F3DF0" w:rsidRPr="002F3DF0" w:rsidRDefault="002F3DF0" w:rsidP="002F3DF0">
      <w:pPr>
        <w:rPr>
          <w:rFonts w:eastAsia="Times New Roman" w:cs="Times New Roman"/>
          <w:bCs/>
          <w:sz w:val="20"/>
          <w:szCs w:val="20"/>
          <w:lang w:val="fr-CA" w:eastAsia="en-CA"/>
        </w:rPr>
      </w:pPr>
      <w:r w:rsidRPr="002F3DF0">
        <w:rPr>
          <w:rFonts w:eastAsia="Times New Roman" w:cs="Times New Roman"/>
          <w:bCs/>
          <w:sz w:val="20"/>
          <w:szCs w:val="20"/>
          <w:lang w:val="fr-CA" w:eastAsia="en-CA"/>
        </w:rPr>
        <w:t xml:space="preserve">The motion is dismissed. </w:t>
      </w:r>
    </w:p>
    <w:p w:rsidR="002F3DF0" w:rsidRPr="002F3DF0" w:rsidRDefault="002F3DF0" w:rsidP="002F3DF0">
      <w:pPr>
        <w:contextualSpacing/>
        <w:rPr>
          <w:rFonts w:cs="Times New Roman"/>
          <w:bCs/>
          <w:sz w:val="20"/>
          <w:szCs w:val="20"/>
          <w:lang w:val="fr-CA"/>
        </w:rPr>
      </w:pPr>
    </w:p>
    <w:p w:rsidR="002F3DF0" w:rsidRPr="002F3DF0" w:rsidRDefault="002F3DF0" w:rsidP="002F3DF0">
      <w:pPr>
        <w:contextualSpacing/>
        <w:rPr>
          <w:rFonts w:cs="Times New Roman"/>
          <w:bCs/>
          <w:sz w:val="20"/>
          <w:szCs w:val="20"/>
          <w:lang w:val="fr-CA"/>
        </w:rPr>
      </w:pPr>
    </w:p>
    <w:p w:rsidR="002F3DF0" w:rsidRPr="002F3DF0" w:rsidRDefault="002F3DF0" w:rsidP="002F3DF0">
      <w:pPr>
        <w:contextualSpacing/>
        <w:rPr>
          <w:rFonts w:cs="Times New Roman"/>
          <w:bCs/>
          <w:sz w:val="20"/>
          <w:szCs w:val="20"/>
          <w:lang w:val="fr-CA"/>
        </w:rPr>
      </w:pPr>
    </w:p>
    <w:p w:rsidR="002F3DF0" w:rsidRPr="002F3DF0" w:rsidRDefault="002F3DF0" w:rsidP="002F3DF0">
      <w:pPr>
        <w:rPr>
          <w:rFonts w:eastAsia="Times New Roman" w:cs="Times New Roman"/>
          <w:bCs/>
          <w:sz w:val="20"/>
          <w:szCs w:val="20"/>
          <w:lang w:val="fr-CA" w:eastAsia="en-CA"/>
        </w:rPr>
      </w:pPr>
      <w:r w:rsidRPr="002F3DF0">
        <w:rPr>
          <w:rFonts w:eastAsia="Times New Roman" w:cs="Times New Roman"/>
          <w:b/>
          <w:bCs/>
          <w:sz w:val="20"/>
          <w:szCs w:val="20"/>
          <w:lang w:val="fr-CA" w:eastAsia="en-CA"/>
        </w:rPr>
        <w:t>À LA SUITE DE LA DEMANDE</w:t>
      </w:r>
      <w:r w:rsidRPr="002F3DF0">
        <w:rPr>
          <w:rFonts w:eastAsia="Times New Roman" w:cs="Times New Roman"/>
          <w:bCs/>
          <w:sz w:val="20"/>
          <w:szCs w:val="20"/>
          <w:lang w:val="fr-CA" w:eastAsia="en-CA"/>
        </w:rPr>
        <w:t xml:space="preserve"> de l’appelante</w:t>
      </w:r>
      <w:r w:rsidRPr="002F3DF0">
        <w:rPr>
          <w:rFonts w:eastAsia="Times New Roman" w:cs="Times New Roman"/>
          <w:sz w:val="20"/>
          <w:szCs w:val="20"/>
          <w:lang w:val="fr-CA" w:eastAsia="en-CA"/>
        </w:rPr>
        <w:t xml:space="preserve"> visant à obtenir la formulation de questions constitutionnelles dans l’appel susmentionné;</w:t>
      </w:r>
    </w:p>
    <w:p w:rsidR="002F3DF0" w:rsidRPr="002F3DF0" w:rsidRDefault="002F3DF0" w:rsidP="002F3DF0">
      <w:pPr>
        <w:rPr>
          <w:rFonts w:eastAsia="Times New Roman" w:cs="Times New Roman"/>
          <w:bCs/>
          <w:sz w:val="20"/>
          <w:szCs w:val="20"/>
          <w:lang w:val="fr-CA" w:eastAsia="en-CA"/>
        </w:rPr>
      </w:pPr>
    </w:p>
    <w:p w:rsidR="002F3DF0" w:rsidRPr="002F3DF0" w:rsidRDefault="002F3DF0" w:rsidP="002F3DF0">
      <w:pPr>
        <w:rPr>
          <w:rFonts w:eastAsia="Times New Roman" w:cs="Times New Roman"/>
          <w:sz w:val="20"/>
          <w:szCs w:val="20"/>
          <w:lang w:val="fr-CA" w:eastAsia="en-CA"/>
        </w:rPr>
      </w:pPr>
      <w:r w:rsidRPr="002F3DF0">
        <w:rPr>
          <w:rFonts w:eastAsia="Times New Roman" w:cs="Times New Roman"/>
          <w:b/>
          <w:bCs/>
          <w:sz w:val="20"/>
          <w:szCs w:val="20"/>
          <w:lang w:val="fr-CA" w:eastAsia="en-CA"/>
        </w:rPr>
        <w:t xml:space="preserve">ET </w:t>
      </w:r>
      <w:r w:rsidRPr="002F3DF0">
        <w:rPr>
          <w:rFonts w:eastAsia="Times New Roman" w:cs="Times New Roman"/>
          <w:b/>
          <w:sz w:val="20"/>
          <w:szCs w:val="20"/>
          <w:lang w:val="fr-CA" w:eastAsia="en-CA"/>
        </w:rPr>
        <w:t>APRÈS EXAMEN</w:t>
      </w:r>
      <w:r w:rsidRPr="002F3DF0">
        <w:rPr>
          <w:rFonts w:eastAsia="Times New Roman" w:cs="Times New Roman"/>
          <w:sz w:val="20"/>
          <w:szCs w:val="20"/>
          <w:lang w:val="fr-CA" w:eastAsia="en-CA"/>
        </w:rPr>
        <w:t xml:space="preserve"> des documents déposés; </w:t>
      </w:r>
    </w:p>
    <w:p w:rsidR="002F3DF0" w:rsidRPr="002F3DF0" w:rsidRDefault="002F3DF0" w:rsidP="002F3DF0">
      <w:pPr>
        <w:rPr>
          <w:rFonts w:eastAsia="Times New Roman" w:cs="Times New Roman"/>
          <w:bCs/>
          <w:sz w:val="20"/>
          <w:szCs w:val="20"/>
          <w:lang w:val="fr-CA" w:eastAsia="en-CA"/>
        </w:rPr>
      </w:pPr>
    </w:p>
    <w:p w:rsidR="002F3DF0" w:rsidRPr="002F3DF0" w:rsidRDefault="002F3DF0" w:rsidP="002F3DF0">
      <w:pPr>
        <w:rPr>
          <w:rFonts w:eastAsia="Times New Roman" w:cs="Times New Roman"/>
          <w:b/>
          <w:bCs/>
          <w:sz w:val="20"/>
          <w:szCs w:val="20"/>
          <w:lang w:val="fr-CA" w:eastAsia="en-CA"/>
        </w:rPr>
      </w:pPr>
      <w:r w:rsidRPr="002F3DF0">
        <w:rPr>
          <w:rFonts w:eastAsia="Times New Roman" w:cs="Times New Roman"/>
          <w:b/>
          <w:bCs/>
          <w:sz w:val="20"/>
          <w:szCs w:val="20"/>
          <w:lang w:val="fr-CA" w:eastAsia="en-CA"/>
        </w:rPr>
        <w:t>IL EST ORDONNÉ CE QUI SUIT :</w:t>
      </w:r>
    </w:p>
    <w:p w:rsidR="002F3DF0" w:rsidRPr="002F3DF0" w:rsidRDefault="002F3DF0" w:rsidP="002F3DF0">
      <w:pPr>
        <w:rPr>
          <w:rFonts w:eastAsia="Times New Roman" w:cs="Times New Roman"/>
          <w:bCs/>
          <w:sz w:val="20"/>
          <w:szCs w:val="20"/>
          <w:lang w:val="fr-CA" w:eastAsia="en-CA"/>
        </w:rPr>
      </w:pPr>
    </w:p>
    <w:p w:rsidR="002F3DF0" w:rsidRPr="002F3DF0" w:rsidRDefault="002F3DF0" w:rsidP="002F3DF0">
      <w:pPr>
        <w:rPr>
          <w:rFonts w:eastAsia="PMingLiU" w:cs="Times New Roman"/>
          <w:sz w:val="20"/>
          <w:szCs w:val="20"/>
          <w:lang w:val="fr-CA" w:eastAsia="en-CA"/>
        </w:rPr>
      </w:pPr>
      <w:r w:rsidRPr="002F3DF0">
        <w:rPr>
          <w:rFonts w:eastAsia="PMingLiU" w:cs="Times New Roman"/>
          <w:sz w:val="20"/>
          <w:szCs w:val="20"/>
          <w:lang w:val="fr-CA" w:eastAsia="en-CA"/>
        </w:rPr>
        <w:t xml:space="preserve">La requête est rejetée. </w:t>
      </w:r>
    </w:p>
    <w:p w:rsidR="002F3DF0" w:rsidRPr="002F3DF0" w:rsidRDefault="002F3DF0" w:rsidP="002F3DF0">
      <w:pPr>
        <w:tabs>
          <w:tab w:val="left" w:pos="-1440"/>
          <w:tab w:val="left" w:pos="-720"/>
        </w:tabs>
        <w:jc w:val="both"/>
        <w:rPr>
          <w:rFonts w:eastAsia="Times New Roman" w:cs="Times New Roman"/>
          <w:sz w:val="20"/>
          <w:szCs w:val="20"/>
          <w:lang w:val="fr-CA" w:eastAsia="en-CA"/>
        </w:rPr>
      </w:pPr>
    </w:p>
    <w:p w:rsidR="002F3DF0" w:rsidRPr="002F3DF0" w:rsidRDefault="00790981" w:rsidP="002F3DF0">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5" style="width:2in;height:1pt" o:hrpct="0" o:hralign="center" o:hrstd="t" o:hrnoshade="t" o:hr="t" fillcolor="black [3213]" stroked="f"/>
        </w:pict>
      </w:r>
    </w:p>
    <w:p w:rsidR="002F3DF0" w:rsidRPr="002F3DF0" w:rsidRDefault="002F3DF0" w:rsidP="002F3DF0">
      <w:pPr>
        <w:tabs>
          <w:tab w:val="left" w:pos="-1440"/>
          <w:tab w:val="left" w:pos="-720"/>
        </w:tabs>
        <w:jc w:val="both"/>
        <w:rPr>
          <w:rFonts w:eastAsia="Times New Roman" w:cs="Times New Roman"/>
          <w:sz w:val="20"/>
          <w:szCs w:val="20"/>
          <w:lang w:eastAsia="en-CA"/>
        </w:rPr>
      </w:pPr>
    </w:p>
    <w:p w:rsidR="002F3DF0" w:rsidRPr="002F3DF0" w:rsidRDefault="002F3DF0" w:rsidP="002F3DF0">
      <w:pPr>
        <w:tabs>
          <w:tab w:val="left" w:pos="-1440"/>
          <w:tab w:val="left" w:pos="-720"/>
        </w:tabs>
        <w:jc w:val="both"/>
        <w:rPr>
          <w:rFonts w:eastAsia="Times New Roman" w:cs="Times New Roman"/>
          <w:sz w:val="20"/>
          <w:szCs w:val="20"/>
          <w:lang w:val="fr-CA" w:eastAsia="en-CA"/>
        </w:rPr>
      </w:pPr>
      <w:r w:rsidRPr="002F3DF0">
        <w:rPr>
          <w:rFonts w:eastAsia="Times New Roman" w:cs="Times New Roman"/>
          <w:sz w:val="20"/>
          <w:szCs w:val="20"/>
          <w:lang w:val="fr-CA" w:eastAsia="en-CA"/>
        </w:rPr>
        <w:t>31.03.2015</w:t>
      </w:r>
    </w:p>
    <w:p w:rsidR="002F3DF0" w:rsidRPr="002F3DF0" w:rsidRDefault="002F3DF0" w:rsidP="002F3DF0">
      <w:pPr>
        <w:tabs>
          <w:tab w:val="left" w:pos="-1440"/>
          <w:tab w:val="left" w:pos="-720"/>
        </w:tabs>
        <w:jc w:val="both"/>
        <w:rPr>
          <w:rFonts w:eastAsia="Times New Roman" w:cs="Times New Roman"/>
          <w:sz w:val="20"/>
          <w:szCs w:val="20"/>
          <w:lang w:val="fr-CA" w:eastAsia="en-CA"/>
        </w:rPr>
      </w:pPr>
    </w:p>
    <w:p w:rsidR="002F3DF0" w:rsidRPr="002F3DF0" w:rsidRDefault="002F3DF0" w:rsidP="002F3DF0">
      <w:pPr>
        <w:tabs>
          <w:tab w:val="left" w:pos="-1440"/>
          <w:tab w:val="left" w:pos="-720"/>
        </w:tabs>
        <w:jc w:val="both"/>
        <w:rPr>
          <w:rFonts w:eastAsia="Times New Roman" w:cs="Times New Roman"/>
          <w:sz w:val="20"/>
          <w:szCs w:val="20"/>
          <w:lang w:val="fr-CA" w:eastAsia="en-CA"/>
        </w:rPr>
      </w:pPr>
      <w:r w:rsidRPr="002F3DF0">
        <w:rPr>
          <w:rFonts w:eastAsia="Times New Roman" w:cs="Times New Roman"/>
          <w:sz w:val="20"/>
          <w:szCs w:val="20"/>
          <w:lang w:val="fr-CA" w:eastAsia="en-CA"/>
        </w:rPr>
        <w:t>Before / Devant :   ABELLA J. / LA JUGE ABELLA</w:t>
      </w:r>
    </w:p>
    <w:p w:rsidR="002F3DF0" w:rsidRPr="002F3DF0" w:rsidRDefault="002F3DF0" w:rsidP="002F3DF0">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2F3DF0" w:rsidRPr="002F3DF0" w:rsidTr="002F3DF0">
        <w:tc>
          <w:tcPr>
            <w:tcW w:w="4338" w:type="dxa"/>
            <w:gridSpan w:val="2"/>
          </w:tcPr>
          <w:p w:rsidR="002F3DF0" w:rsidRPr="002F3DF0" w:rsidRDefault="002F3DF0" w:rsidP="002F3DF0">
            <w:pPr>
              <w:rPr>
                <w:b/>
              </w:rPr>
            </w:pPr>
            <w:r w:rsidRPr="002F3DF0">
              <w:rPr>
                <w:b/>
              </w:rPr>
              <w:t>Motions for leave to intervene</w:t>
            </w:r>
            <w:r w:rsidRPr="002F3DF0">
              <w:rPr>
                <w:lang w:val="en-US"/>
              </w:rPr>
              <w:t xml:space="preserve"> </w:t>
            </w:r>
            <w:r w:rsidR="002D1795" w:rsidRPr="002F3DF0">
              <w:rPr>
                <w:lang w:val="en-US"/>
              </w:rPr>
              <w:fldChar w:fldCharType="begin"/>
            </w:r>
            <w:r w:rsidRPr="002F3DF0">
              <w:instrText xml:space="preserve"> SEQ CHAPTER \h \r 1</w:instrText>
            </w:r>
            <w:r w:rsidR="002D1795" w:rsidRPr="002F3DF0">
              <w:rPr>
                <w:lang w:val="en-US"/>
              </w:rPr>
              <w:fldChar w:fldCharType="end"/>
            </w:r>
          </w:p>
        </w:tc>
        <w:tc>
          <w:tcPr>
            <w:tcW w:w="1170" w:type="dxa"/>
          </w:tcPr>
          <w:p w:rsidR="002F3DF0" w:rsidRPr="002F3DF0" w:rsidRDefault="002F3DF0" w:rsidP="002F3DF0"/>
          <w:p w:rsidR="002F3DF0" w:rsidRPr="002F3DF0" w:rsidRDefault="002F3DF0" w:rsidP="002F3DF0"/>
        </w:tc>
        <w:tc>
          <w:tcPr>
            <w:tcW w:w="4327" w:type="dxa"/>
          </w:tcPr>
          <w:p w:rsidR="002F3DF0" w:rsidRPr="002F3DF0" w:rsidRDefault="002F3DF0" w:rsidP="002F3DF0">
            <w:pPr>
              <w:rPr>
                <w:b/>
              </w:rPr>
            </w:pPr>
            <w:r w:rsidRPr="002F3DF0">
              <w:rPr>
                <w:b/>
                <w:bCs/>
                <w:lang w:val="fr-CA"/>
              </w:rPr>
              <w:t>Requêtes en autorisation d’intervenir</w:t>
            </w:r>
            <w:r w:rsidRPr="002F3DF0">
              <w:rPr>
                <w:lang w:val="en-US"/>
              </w:rPr>
              <w:t xml:space="preserve"> </w:t>
            </w:r>
            <w:r w:rsidR="002D1795" w:rsidRPr="002F3DF0">
              <w:rPr>
                <w:lang w:val="en-US"/>
              </w:rPr>
              <w:fldChar w:fldCharType="begin"/>
            </w:r>
            <w:r w:rsidRPr="002F3DF0">
              <w:instrText xml:space="preserve"> SEQ CHAPTER \h \r 1</w:instrText>
            </w:r>
            <w:r w:rsidR="002D1795" w:rsidRPr="002F3DF0">
              <w:rPr>
                <w:lang w:val="en-US"/>
              </w:rPr>
              <w:fldChar w:fldCharType="end"/>
            </w:r>
          </w:p>
        </w:tc>
      </w:tr>
      <w:tr w:rsidR="002F3DF0" w:rsidRPr="002F3DF0" w:rsidTr="002F3DF0">
        <w:trPr>
          <w:trHeight w:hRule="exact" w:val="360"/>
        </w:trPr>
        <w:tc>
          <w:tcPr>
            <w:tcW w:w="1368" w:type="dxa"/>
          </w:tcPr>
          <w:p w:rsidR="002F3DF0" w:rsidRPr="002F3DF0" w:rsidRDefault="002F3DF0" w:rsidP="002F3DF0">
            <w:r w:rsidRPr="002F3DF0">
              <w:t>BY / PAR</w:t>
            </w:r>
          </w:p>
        </w:tc>
        <w:tc>
          <w:tcPr>
            <w:tcW w:w="2970" w:type="dxa"/>
          </w:tcPr>
          <w:p w:rsidR="002F3DF0" w:rsidRPr="002F3DF0" w:rsidRDefault="002F3DF0" w:rsidP="002F3DF0">
            <w:r w:rsidRPr="002F3DF0">
              <w:rPr>
                <w:lang w:val="en-US"/>
              </w:rPr>
              <w:t>Attorney General of Ontario;</w:t>
            </w:r>
          </w:p>
        </w:tc>
        <w:tc>
          <w:tcPr>
            <w:tcW w:w="1170" w:type="dxa"/>
          </w:tcPr>
          <w:p w:rsidR="002F3DF0" w:rsidRPr="002F3DF0" w:rsidRDefault="002F3DF0" w:rsidP="002F3DF0"/>
        </w:tc>
        <w:tc>
          <w:tcPr>
            <w:tcW w:w="4327" w:type="dxa"/>
          </w:tcPr>
          <w:p w:rsidR="002F3DF0" w:rsidRPr="002F3DF0" w:rsidRDefault="002F3DF0" w:rsidP="002F3DF0"/>
        </w:tc>
      </w:tr>
      <w:tr w:rsidR="002F3DF0" w:rsidRPr="002F3DF0" w:rsidTr="002F3DF0">
        <w:trPr>
          <w:trHeight w:hRule="exact" w:val="576"/>
        </w:trPr>
        <w:tc>
          <w:tcPr>
            <w:tcW w:w="1368" w:type="dxa"/>
          </w:tcPr>
          <w:p w:rsidR="002F3DF0" w:rsidRPr="002F3DF0" w:rsidRDefault="002F3DF0" w:rsidP="002F3DF0"/>
        </w:tc>
        <w:tc>
          <w:tcPr>
            <w:tcW w:w="2970" w:type="dxa"/>
          </w:tcPr>
          <w:p w:rsidR="002F3DF0" w:rsidRPr="002F3DF0" w:rsidRDefault="002F3DF0" w:rsidP="002F3DF0">
            <w:pPr>
              <w:rPr>
                <w:lang w:val="en-US"/>
              </w:rPr>
            </w:pPr>
            <w:r w:rsidRPr="002F3DF0">
              <w:rPr>
                <w:lang w:val="en-US"/>
              </w:rPr>
              <w:t>Association of the Tax Court of Canada Judges</w:t>
            </w:r>
          </w:p>
        </w:tc>
        <w:tc>
          <w:tcPr>
            <w:tcW w:w="1170" w:type="dxa"/>
          </w:tcPr>
          <w:p w:rsidR="002F3DF0" w:rsidRPr="002F3DF0" w:rsidRDefault="002F3DF0" w:rsidP="002F3DF0"/>
        </w:tc>
        <w:tc>
          <w:tcPr>
            <w:tcW w:w="4327" w:type="dxa"/>
          </w:tcPr>
          <w:p w:rsidR="002F3DF0" w:rsidRPr="002F3DF0" w:rsidRDefault="002F3DF0" w:rsidP="002F3DF0"/>
        </w:tc>
      </w:tr>
      <w:tr w:rsidR="002F3DF0" w:rsidRPr="002F3DF0" w:rsidTr="002F3DF0">
        <w:tc>
          <w:tcPr>
            <w:tcW w:w="1368" w:type="dxa"/>
          </w:tcPr>
          <w:p w:rsidR="002F3DF0" w:rsidRPr="002F3DF0" w:rsidRDefault="002F3DF0" w:rsidP="002F3DF0"/>
        </w:tc>
        <w:tc>
          <w:tcPr>
            <w:tcW w:w="2970" w:type="dxa"/>
          </w:tcPr>
          <w:p w:rsidR="002F3DF0" w:rsidRPr="002F3DF0" w:rsidRDefault="002F3DF0" w:rsidP="002F3DF0">
            <w:pPr>
              <w:rPr>
                <w:lang w:val="en-US"/>
              </w:rPr>
            </w:pPr>
          </w:p>
        </w:tc>
        <w:tc>
          <w:tcPr>
            <w:tcW w:w="1170" w:type="dxa"/>
          </w:tcPr>
          <w:p w:rsidR="002F3DF0" w:rsidRPr="002F3DF0" w:rsidRDefault="002F3DF0" w:rsidP="002F3DF0"/>
        </w:tc>
        <w:tc>
          <w:tcPr>
            <w:tcW w:w="4327" w:type="dxa"/>
          </w:tcPr>
          <w:p w:rsidR="002F3DF0" w:rsidRPr="002F3DF0" w:rsidRDefault="002F3DF0" w:rsidP="002F3DF0"/>
        </w:tc>
      </w:tr>
      <w:tr w:rsidR="002F3DF0" w:rsidRPr="002B2DB4" w:rsidTr="002F3DF0">
        <w:tc>
          <w:tcPr>
            <w:tcW w:w="1368" w:type="dxa"/>
          </w:tcPr>
          <w:p w:rsidR="002F3DF0" w:rsidRPr="002F3DF0" w:rsidRDefault="002F3DF0" w:rsidP="002F3DF0">
            <w:r w:rsidRPr="002F3DF0">
              <w:t>IN / DANS :</w:t>
            </w:r>
          </w:p>
        </w:tc>
        <w:tc>
          <w:tcPr>
            <w:tcW w:w="2970" w:type="dxa"/>
          </w:tcPr>
          <w:p w:rsidR="002F3DF0" w:rsidRPr="002F3DF0" w:rsidRDefault="002F3DF0" w:rsidP="002F3DF0">
            <w:pPr>
              <w:rPr>
                <w:lang w:val="fr-CA"/>
              </w:rPr>
            </w:pPr>
            <w:r w:rsidRPr="002F3DF0">
              <w:rPr>
                <w:lang w:val="fr-CA"/>
              </w:rPr>
              <w:t>Procureure générale du Québec et autres</w:t>
            </w:r>
          </w:p>
          <w:p w:rsidR="002F3DF0" w:rsidRPr="002F3DF0" w:rsidRDefault="002F3DF0" w:rsidP="002F3DF0">
            <w:pPr>
              <w:rPr>
                <w:lang w:val="fr-CA"/>
              </w:rPr>
            </w:pPr>
          </w:p>
          <w:p w:rsidR="002F3DF0" w:rsidRPr="002F3DF0" w:rsidRDefault="002F3DF0" w:rsidP="002F3DF0">
            <w:pPr>
              <w:rPr>
                <w:lang w:val="fr-CA"/>
              </w:rPr>
            </w:pPr>
            <w:r w:rsidRPr="002F3DF0">
              <w:rPr>
                <w:lang w:val="fr-CA"/>
              </w:rPr>
              <w:tab/>
              <w:t>c. (36231)</w:t>
            </w:r>
          </w:p>
          <w:p w:rsidR="002F3DF0" w:rsidRPr="002F3DF0" w:rsidRDefault="002F3DF0" w:rsidP="002F3DF0">
            <w:pPr>
              <w:rPr>
                <w:lang w:val="fr-CA"/>
              </w:rPr>
            </w:pPr>
          </w:p>
          <w:p w:rsidR="002F3DF0" w:rsidRPr="002F3DF0" w:rsidRDefault="002F3DF0" w:rsidP="002F3DF0">
            <w:pPr>
              <w:rPr>
                <w:lang w:val="fr-CA"/>
              </w:rPr>
            </w:pPr>
            <w:r w:rsidRPr="002F3DF0">
              <w:rPr>
                <w:lang w:val="fr-CA"/>
              </w:rPr>
              <w:t>Procureur général du Canada (Qc)</w:t>
            </w:r>
          </w:p>
        </w:tc>
        <w:tc>
          <w:tcPr>
            <w:tcW w:w="1170" w:type="dxa"/>
          </w:tcPr>
          <w:p w:rsidR="002F3DF0" w:rsidRPr="002F3DF0" w:rsidRDefault="002F3DF0" w:rsidP="002F3DF0">
            <w:pPr>
              <w:rPr>
                <w:lang w:val="fr-CA"/>
              </w:rPr>
            </w:pPr>
          </w:p>
        </w:tc>
        <w:tc>
          <w:tcPr>
            <w:tcW w:w="4327" w:type="dxa"/>
          </w:tcPr>
          <w:p w:rsidR="002F3DF0" w:rsidRPr="002F3DF0" w:rsidRDefault="002F3DF0" w:rsidP="002F3DF0">
            <w:pPr>
              <w:rPr>
                <w:lang w:val="fr-CA"/>
              </w:rPr>
            </w:pPr>
          </w:p>
        </w:tc>
      </w:tr>
    </w:tbl>
    <w:p w:rsidR="002F3DF0" w:rsidRPr="002F3DF0" w:rsidRDefault="002F3DF0" w:rsidP="002F3DF0">
      <w:pPr>
        <w:tabs>
          <w:tab w:val="left" w:pos="-1440"/>
          <w:tab w:val="left" w:pos="-720"/>
        </w:tabs>
        <w:jc w:val="both"/>
        <w:rPr>
          <w:rFonts w:eastAsia="Times New Roman" w:cs="Times New Roman"/>
          <w:sz w:val="20"/>
          <w:szCs w:val="20"/>
          <w:lang w:val="fr-CA" w:eastAsia="en-CA"/>
        </w:rPr>
      </w:pPr>
    </w:p>
    <w:p w:rsidR="002F3DF0" w:rsidRPr="002F3DF0" w:rsidRDefault="002F3DF0" w:rsidP="002F3DF0">
      <w:pPr>
        <w:tabs>
          <w:tab w:val="left" w:pos="-1440"/>
          <w:tab w:val="left" w:pos="-720"/>
        </w:tabs>
        <w:jc w:val="both"/>
        <w:rPr>
          <w:rFonts w:eastAsia="Times New Roman" w:cs="Times New Roman"/>
          <w:b/>
          <w:sz w:val="20"/>
          <w:szCs w:val="20"/>
          <w:lang w:eastAsia="en-CA"/>
        </w:rPr>
      </w:pPr>
      <w:r w:rsidRPr="002F3DF0">
        <w:rPr>
          <w:rFonts w:eastAsia="Times New Roman" w:cs="Times New Roman"/>
          <w:b/>
          <w:sz w:val="20"/>
          <w:szCs w:val="20"/>
          <w:lang w:eastAsia="en-CA"/>
        </w:rPr>
        <w:t>GRANTED / ACCORDÉE</w:t>
      </w:r>
    </w:p>
    <w:p w:rsidR="002F3DF0" w:rsidRPr="002F3DF0" w:rsidRDefault="002F3DF0" w:rsidP="002F3DF0">
      <w:pPr>
        <w:tabs>
          <w:tab w:val="left" w:pos="-1440"/>
          <w:tab w:val="left" w:pos="-720"/>
        </w:tabs>
        <w:jc w:val="both"/>
        <w:rPr>
          <w:rFonts w:eastAsia="Times New Roman" w:cs="Times New Roman"/>
          <w:sz w:val="20"/>
          <w:szCs w:val="20"/>
          <w:lang w:eastAsia="en-CA"/>
        </w:rPr>
      </w:pPr>
    </w:p>
    <w:p w:rsidR="002F3DF0" w:rsidRPr="002F3DF0" w:rsidRDefault="002F3DF0" w:rsidP="002F3DF0">
      <w:pPr>
        <w:spacing w:line="233" w:lineRule="auto"/>
        <w:jc w:val="both"/>
        <w:rPr>
          <w:rFonts w:eastAsia="Times New Roman" w:cs="Times New Roman"/>
          <w:sz w:val="20"/>
          <w:szCs w:val="20"/>
          <w:lang w:val="en-US" w:eastAsia="en-CA"/>
        </w:rPr>
      </w:pPr>
      <w:r w:rsidRPr="002F3DF0">
        <w:rPr>
          <w:rFonts w:eastAsia="Times New Roman" w:cs="Times New Roman"/>
          <w:b/>
          <w:bCs/>
          <w:sz w:val="20"/>
          <w:szCs w:val="20"/>
          <w:lang w:val="en-US" w:eastAsia="en-CA"/>
        </w:rPr>
        <w:t xml:space="preserve">UPON APPLICATIONS </w:t>
      </w:r>
      <w:r w:rsidRPr="002F3DF0">
        <w:rPr>
          <w:rFonts w:eastAsia="Times New Roman" w:cs="Times New Roman"/>
          <w:sz w:val="20"/>
          <w:szCs w:val="20"/>
          <w:lang w:val="en-US" w:eastAsia="en-CA"/>
        </w:rPr>
        <w:t>by the Attorney General of Ontario and the Association of the Tax Court of Canada Judges for leave to intervene in the above appeal;</w:t>
      </w:r>
    </w:p>
    <w:p w:rsidR="002F3DF0" w:rsidRPr="002F3DF0" w:rsidRDefault="002F3DF0" w:rsidP="002F3DF0">
      <w:pPr>
        <w:spacing w:line="233" w:lineRule="auto"/>
        <w:jc w:val="both"/>
        <w:rPr>
          <w:rFonts w:eastAsia="Times New Roman" w:cs="Times New Roman"/>
          <w:sz w:val="20"/>
          <w:szCs w:val="20"/>
          <w:lang w:val="en-US" w:eastAsia="en-CA"/>
        </w:rPr>
      </w:pPr>
    </w:p>
    <w:p w:rsidR="002F3DF0" w:rsidRPr="002F3DF0" w:rsidRDefault="002F3DF0" w:rsidP="002F3DF0">
      <w:pPr>
        <w:spacing w:line="233" w:lineRule="auto"/>
        <w:jc w:val="both"/>
        <w:rPr>
          <w:rFonts w:eastAsia="Times New Roman" w:cs="Times New Roman"/>
          <w:sz w:val="20"/>
          <w:szCs w:val="20"/>
          <w:lang w:val="en-US" w:eastAsia="en-CA"/>
        </w:rPr>
      </w:pPr>
      <w:r w:rsidRPr="002F3DF0">
        <w:rPr>
          <w:rFonts w:eastAsia="Times New Roman" w:cs="Times New Roman"/>
          <w:b/>
          <w:bCs/>
          <w:sz w:val="20"/>
          <w:szCs w:val="20"/>
          <w:lang w:val="en-US" w:eastAsia="en-CA"/>
        </w:rPr>
        <w:t>AND THE MATERIAL FILED</w:t>
      </w:r>
      <w:r w:rsidRPr="002F3DF0">
        <w:rPr>
          <w:rFonts w:eastAsia="Times New Roman" w:cs="Times New Roman"/>
          <w:sz w:val="20"/>
          <w:szCs w:val="20"/>
          <w:lang w:val="en-US" w:eastAsia="en-CA"/>
        </w:rPr>
        <w:t xml:space="preserve"> having been read;</w:t>
      </w:r>
    </w:p>
    <w:p w:rsidR="002F3DF0" w:rsidRPr="002F3DF0" w:rsidRDefault="002F3DF0" w:rsidP="002F3DF0">
      <w:pPr>
        <w:spacing w:line="233" w:lineRule="auto"/>
        <w:jc w:val="both"/>
        <w:rPr>
          <w:rFonts w:eastAsia="Times New Roman" w:cs="Times New Roman"/>
          <w:sz w:val="20"/>
          <w:szCs w:val="20"/>
          <w:lang w:val="en-US" w:eastAsia="en-CA"/>
        </w:rPr>
      </w:pPr>
    </w:p>
    <w:p w:rsidR="002F3DF0" w:rsidRPr="002F3DF0" w:rsidRDefault="002F3DF0" w:rsidP="002F3DF0">
      <w:pPr>
        <w:spacing w:line="233" w:lineRule="auto"/>
        <w:jc w:val="both"/>
        <w:rPr>
          <w:rFonts w:eastAsia="Times New Roman" w:cs="Times New Roman"/>
          <w:sz w:val="20"/>
          <w:szCs w:val="20"/>
          <w:lang w:val="en-US" w:eastAsia="en-CA"/>
        </w:rPr>
      </w:pPr>
      <w:r w:rsidRPr="002F3DF0">
        <w:rPr>
          <w:rFonts w:eastAsia="Times New Roman" w:cs="Times New Roman"/>
          <w:b/>
          <w:bCs/>
          <w:sz w:val="20"/>
          <w:szCs w:val="20"/>
          <w:lang w:val="en-US" w:eastAsia="en-CA"/>
        </w:rPr>
        <w:t>IT IS HEREBY ORDERED THAT:</w:t>
      </w:r>
    </w:p>
    <w:p w:rsidR="002F3DF0" w:rsidRPr="002F3DF0" w:rsidRDefault="002F3DF0" w:rsidP="002F3DF0">
      <w:pPr>
        <w:spacing w:line="233" w:lineRule="auto"/>
        <w:jc w:val="both"/>
        <w:rPr>
          <w:rFonts w:eastAsia="Times New Roman" w:cs="Times New Roman"/>
          <w:sz w:val="20"/>
          <w:szCs w:val="20"/>
          <w:lang w:val="en-US" w:eastAsia="en-CA"/>
        </w:rPr>
      </w:pPr>
    </w:p>
    <w:p w:rsidR="002F3DF0" w:rsidRPr="002F3DF0" w:rsidRDefault="002F3DF0" w:rsidP="002F3DF0">
      <w:pPr>
        <w:spacing w:line="233" w:lineRule="auto"/>
        <w:jc w:val="both"/>
        <w:rPr>
          <w:rFonts w:eastAsia="Times New Roman" w:cs="Times New Roman"/>
          <w:sz w:val="20"/>
          <w:szCs w:val="20"/>
          <w:lang w:val="en-US" w:eastAsia="en-CA"/>
        </w:rPr>
      </w:pPr>
      <w:r w:rsidRPr="002F3DF0">
        <w:rPr>
          <w:rFonts w:eastAsia="Times New Roman" w:cs="Times New Roman"/>
          <w:sz w:val="20"/>
          <w:szCs w:val="20"/>
          <w:lang w:val="en-US" w:eastAsia="en-CA"/>
        </w:rPr>
        <w:t xml:space="preserve">The motions for leave to intervene </w:t>
      </w:r>
      <w:r w:rsidRPr="002F3DF0">
        <w:rPr>
          <w:rFonts w:eastAsia="Times New Roman" w:cs="Times New Roman"/>
          <w:sz w:val="20"/>
          <w:szCs w:val="20"/>
          <w:lang w:eastAsia="en-CA"/>
        </w:rPr>
        <w:t xml:space="preserve">are </w:t>
      </w:r>
      <w:r w:rsidRPr="002F3DF0">
        <w:rPr>
          <w:rFonts w:eastAsia="Times New Roman" w:cs="Times New Roman"/>
          <w:sz w:val="20"/>
          <w:szCs w:val="20"/>
          <w:lang w:val="en-US" w:eastAsia="en-CA"/>
        </w:rPr>
        <w:t>granted and the said interveners shall be entitled to serve and file a factum not to exceed ten (10) pages in length in this appeal on or before April 10, 2015.</w:t>
      </w:r>
    </w:p>
    <w:p w:rsidR="002F3DF0" w:rsidRPr="002F3DF0" w:rsidRDefault="002F3DF0" w:rsidP="002F3DF0">
      <w:pPr>
        <w:spacing w:line="233" w:lineRule="auto"/>
        <w:jc w:val="both"/>
        <w:rPr>
          <w:rFonts w:eastAsia="Times New Roman" w:cs="Times New Roman"/>
          <w:sz w:val="20"/>
          <w:szCs w:val="20"/>
          <w:lang w:val="en-US" w:eastAsia="en-CA"/>
        </w:rPr>
      </w:pPr>
    </w:p>
    <w:p w:rsidR="002F3DF0" w:rsidRPr="002F3DF0" w:rsidRDefault="002F3DF0" w:rsidP="002F3DF0">
      <w:pPr>
        <w:spacing w:line="233" w:lineRule="auto"/>
        <w:jc w:val="both"/>
        <w:rPr>
          <w:rFonts w:eastAsia="Times New Roman" w:cs="Times New Roman"/>
          <w:sz w:val="20"/>
          <w:szCs w:val="20"/>
          <w:lang w:val="en-US" w:eastAsia="en-CA"/>
        </w:rPr>
      </w:pPr>
      <w:r w:rsidRPr="002F3DF0">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2F3DF0" w:rsidRPr="002F3DF0" w:rsidRDefault="002F3DF0" w:rsidP="002F3DF0">
      <w:pPr>
        <w:spacing w:line="233" w:lineRule="auto"/>
        <w:jc w:val="both"/>
        <w:rPr>
          <w:rFonts w:eastAsia="Times New Roman" w:cs="Times New Roman"/>
          <w:sz w:val="20"/>
          <w:szCs w:val="20"/>
          <w:lang w:val="en-US" w:eastAsia="en-CA"/>
        </w:rPr>
      </w:pPr>
    </w:p>
    <w:p w:rsidR="002F3DF0" w:rsidRPr="002F3DF0" w:rsidRDefault="002D1795" w:rsidP="002F3DF0">
      <w:pPr>
        <w:spacing w:line="233" w:lineRule="auto"/>
        <w:jc w:val="both"/>
        <w:rPr>
          <w:rFonts w:eastAsia="Times New Roman" w:cs="Times New Roman"/>
          <w:sz w:val="20"/>
          <w:szCs w:val="20"/>
          <w:lang w:val="en-US" w:eastAsia="en-CA"/>
        </w:rPr>
      </w:pPr>
      <w:r w:rsidRPr="002F3DF0">
        <w:rPr>
          <w:rFonts w:eastAsia="Times New Roman" w:cs="Times New Roman"/>
          <w:sz w:val="20"/>
          <w:szCs w:val="20"/>
          <w:lang w:eastAsia="en-CA"/>
        </w:rPr>
        <w:fldChar w:fldCharType="begin"/>
      </w:r>
      <w:r w:rsidR="002F3DF0" w:rsidRPr="002F3DF0">
        <w:rPr>
          <w:rFonts w:eastAsia="Times New Roman" w:cs="Times New Roman"/>
          <w:sz w:val="20"/>
          <w:szCs w:val="20"/>
          <w:lang w:eastAsia="en-CA"/>
        </w:rPr>
        <w:instrText xml:space="preserve"> SEQ CHAPTER \h \r 1</w:instrText>
      </w:r>
      <w:r w:rsidRPr="002F3DF0">
        <w:rPr>
          <w:rFonts w:eastAsia="Times New Roman" w:cs="Times New Roman"/>
          <w:sz w:val="20"/>
          <w:szCs w:val="20"/>
          <w:lang w:eastAsia="en-CA"/>
        </w:rPr>
        <w:fldChar w:fldCharType="end"/>
      </w:r>
      <w:r w:rsidR="002F3DF0" w:rsidRPr="002F3DF0">
        <w:rPr>
          <w:rFonts w:eastAsia="Times New Roman" w:cs="Times New Roman"/>
          <w:bCs/>
          <w:sz w:val="20"/>
          <w:szCs w:val="20"/>
          <w:lang w:val="en-US" w:eastAsia="en-CA"/>
        </w:rPr>
        <w:t>The interveners are not entitled to raise new issues or to adduce further evidence or otherwise to supplement the record of the parties.</w:t>
      </w:r>
    </w:p>
    <w:p w:rsidR="002F3DF0" w:rsidRPr="002F3DF0" w:rsidRDefault="002F3DF0" w:rsidP="002F3DF0">
      <w:pPr>
        <w:spacing w:line="233" w:lineRule="auto"/>
        <w:jc w:val="both"/>
        <w:rPr>
          <w:rFonts w:eastAsia="Times New Roman" w:cs="Times New Roman"/>
          <w:sz w:val="20"/>
          <w:szCs w:val="20"/>
          <w:lang w:val="en-US" w:eastAsia="en-CA"/>
        </w:rPr>
      </w:pPr>
    </w:p>
    <w:p w:rsidR="002F3DF0" w:rsidRPr="002F3DF0" w:rsidRDefault="002F3DF0" w:rsidP="002F3DF0">
      <w:pPr>
        <w:spacing w:line="233" w:lineRule="auto"/>
        <w:jc w:val="both"/>
        <w:rPr>
          <w:rFonts w:eastAsia="Times New Roman" w:cs="Times New Roman"/>
          <w:sz w:val="20"/>
          <w:szCs w:val="20"/>
          <w:lang w:val="en-US" w:eastAsia="en-CA"/>
        </w:rPr>
      </w:pPr>
      <w:r w:rsidRPr="002F3DF0">
        <w:rPr>
          <w:rFonts w:eastAsia="Times New Roman" w:cs="Times New Roman"/>
          <w:sz w:val="20"/>
          <w:szCs w:val="20"/>
          <w:lang w:val="en-US" w:eastAsia="en-CA"/>
        </w:rPr>
        <w:t>Pursuant to Rule 59(1)(</w:t>
      </w:r>
      <w:r w:rsidRPr="002F3DF0">
        <w:rPr>
          <w:rFonts w:eastAsia="Times New Roman" w:cs="Times New Roman"/>
          <w:i/>
          <w:iCs/>
          <w:sz w:val="20"/>
          <w:szCs w:val="20"/>
          <w:lang w:val="en-US" w:eastAsia="en-CA"/>
        </w:rPr>
        <w:t>a</w:t>
      </w:r>
      <w:r w:rsidRPr="002F3DF0">
        <w:rPr>
          <w:rFonts w:eastAsia="Times New Roman" w:cs="Times New Roman"/>
          <w:sz w:val="20"/>
          <w:szCs w:val="20"/>
          <w:lang w:val="en-US" w:eastAsia="en-CA"/>
        </w:rPr>
        <w:t xml:space="preserve">) of the </w:t>
      </w:r>
      <w:r w:rsidRPr="002F3DF0">
        <w:rPr>
          <w:rFonts w:eastAsia="Times New Roman" w:cs="Times New Roman"/>
          <w:i/>
          <w:iCs/>
          <w:sz w:val="20"/>
          <w:szCs w:val="20"/>
          <w:lang w:val="en-US" w:eastAsia="en-CA"/>
        </w:rPr>
        <w:t>Rules of the Supreme Court of Canada</w:t>
      </w:r>
      <w:r w:rsidRPr="002F3DF0">
        <w:rPr>
          <w:rFonts w:eastAsia="Times New Roman" w:cs="Times New Roman"/>
          <w:sz w:val="20"/>
          <w:szCs w:val="20"/>
          <w:lang w:val="en-US" w:eastAsia="en-CA"/>
        </w:rPr>
        <w:t>, the interveners shall pay to the appellants and respondent any additional disbursements occasioned to the appellants and respondent by their interventions.</w:t>
      </w:r>
    </w:p>
    <w:p w:rsidR="002F3DF0" w:rsidRPr="002F3DF0" w:rsidRDefault="002F3DF0" w:rsidP="002F3DF0">
      <w:pPr>
        <w:spacing w:line="233" w:lineRule="auto"/>
        <w:jc w:val="both"/>
        <w:rPr>
          <w:rFonts w:eastAsia="Times New Roman" w:cs="Times New Roman"/>
          <w:sz w:val="20"/>
          <w:szCs w:val="20"/>
          <w:lang w:val="en-US" w:eastAsia="en-CA"/>
        </w:rPr>
      </w:pPr>
    </w:p>
    <w:p w:rsidR="002F3DF0" w:rsidRPr="002F3DF0" w:rsidRDefault="002F3DF0" w:rsidP="002F3DF0">
      <w:pPr>
        <w:spacing w:line="233" w:lineRule="auto"/>
        <w:jc w:val="both"/>
        <w:rPr>
          <w:rFonts w:eastAsia="Times New Roman" w:cs="Times New Roman"/>
          <w:sz w:val="20"/>
          <w:szCs w:val="20"/>
          <w:lang w:val="en-US" w:eastAsia="en-CA"/>
        </w:rPr>
      </w:pPr>
    </w:p>
    <w:p w:rsidR="002F3DF0" w:rsidRPr="002F3DF0" w:rsidRDefault="002F3DF0" w:rsidP="002F3DF0">
      <w:pPr>
        <w:spacing w:line="233" w:lineRule="auto"/>
        <w:jc w:val="both"/>
        <w:rPr>
          <w:rFonts w:eastAsia="Times New Roman" w:cs="Times New Roman"/>
          <w:b/>
          <w:sz w:val="20"/>
          <w:szCs w:val="20"/>
          <w:lang w:eastAsia="en-CA"/>
        </w:rPr>
      </w:pPr>
    </w:p>
    <w:p w:rsidR="002F3DF0" w:rsidRPr="002F3DF0" w:rsidRDefault="002F3DF0" w:rsidP="002F3DF0">
      <w:pPr>
        <w:spacing w:line="233" w:lineRule="auto"/>
        <w:jc w:val="both"/>
        <w:rPr>
          <w:rFonts w:eastAsia="Times New Roman" w:cs="Times New Roman"/>
          <w:sz w:val="20"/>
          <w:szCs w:val="20"/>
          <w:lang w:val="fr-CA" w:eastAsia="en-CA"/>
        </w:rPr>
      </w:pPr>
      <w:r w:rsidRPr="002F3DF0">
        <w:rPr>
          <w:rFonts w:eastAsia="Times New Roman" w:cs="Times New Roman"/>
          <w:b/>
          <w:sz w:val="20"/>
          <w:szCs w:val="20"/>
          <w:lang w:val="fr-CA" w:eastAsia="en-CA"/>
        </w:rPr>
        <w:t>À LA SUITE DE LES REQUÊTES</w:t>
      </w:r>
      <w:r w:rsidRPr="002F3DF0">
        <w:rPr>
          <w:rFonts w:eastAsia="Times New Roman" w:cs="Times New Roman"/>
          <w:sz w:val="20"/>
          <w:szCs w:val="20"/>
          <w:lang w:val="fr-CA" w:eastAsia="en-CA"/>
        </w:rPr>
        <w:t xml:space="preserve"> présentées par le Procureur général de l'Ontario et L'Association des juges de la Cour canadienne de l'Impôt en autorisation d’intervenir dans l’appel;</w:t>
      </w:r>
    </w:p>
    <w:p w:rsidR="002F3DF0" w:rsidRPr="002F3DF0" w:rsidRDefault="002F3DF0" w:rsidP="002F3DF0">
      <w:pPr>
        <w:spacing w:line="233" w:lineRule="auto"/>
        <w:jc w:val="both"/>
        <w:rPr>
          <w:rFonts w:eastAsia="Times New Roman" w:cs="Times New Roman"/>
          <w:sz w:val="20"/>
          <w:szCs w:val="20"/>
          <w:lang w:val="fr-CA" w:eastAsia="en-CA"/>
        </w:rPr>
      </w:pPr>
    </w:p>
    <w:p w:rsidR="002F3DF0" w:rsidRPr="002F3DF0" w:rsidRDefault="002F3DF0" w:rsidP="002F3DF0">
      <w:pPr>
        <w:spacing w:line="233" w:lineRule="auto"/>
        <w:jc w:val="both"/>
        <w:rPr>
          <w:rFonts w:eastAsia="Times New Roman" w:cs="Times New Roman"/>
          <w:sz w:val="20"/>
          <w:szCs w:val="20"/>
          <w:lang w:val="fr-CA" w:eastAsia="en-CA"/>
        </w:rPr>
      </w:pPr>
      <w:r w:rsidRPr="002F3DF0">
        <w:rPr>
          <w:rFonts w:eastAsia="Times New Roman" w:cs="Times New Roman"/>
          <w:b/>
          <w:sz w:val="20"/>
          <w:szCs w:val="20"/>
          <w:lang w:val="fr-CA" w:eastAsia="en-CA"/>
        </w:rPr>
        <w:t>ET APRÈS EXAMEN</w:t>
      </w:r>
      <w:r w:rsidRPr="002F3DF0">
        <w:rPr>
          <w:rFonts w:eastAsia="Times New Roman" w:cs="Times New Roman"/>
          <w:sz w:val="20"/>
          <w:szCs w:val="20"/>
          <w:lang w:val="fr-CA" w:eastAsia="en-CA"/>
        </w:rPr>
        <w:t xml:space="preserve"> des documents déposés; </w:t>
      </w:r>
    </w:p>
    <w:p w:rsidR="002F3DF0" w:rsidRPr="002F3DF0" w:rsidRDefault="002F3DF0" w:rsidP="002F3DF0">
      <w:pPr>
        <w:spacing w:line="233" w:lineRule="auto"/>
        <w:jc w:val="both"/>
        <w:rPr>
          <w:rFonts w:eastAsia="Times New Roman" w:cs="Times New Roman"/>
          <w:sz w:val="20"/>
          <w:szCs w:val="20"/>
          <w:lang w:val="fr-CA" w:eastAsia="en-CA"/>
        </w:rPr>
      </w:pPr>
    </w:p>
    <w:p w:rsidR="002F3DF0" w:rsidRPr="002F3DF0" w:rsidRDefault="002F3DF0" w:rsidP="002F3DF0">
      <w:pPr>
        <w:spacing w:line="233" w:lineRule="auto"/>
        <w:jc w:val="both"/>
        <w:rPr>
          <w:rFonts w:eastAsia="Times New Roman" w:cs="Times New Roman"/>
          <w:sz w:val="20"/>
          <w:szCs w:val="20"/>
          <w:lang w:val="fr-CA" w:eastAsia="en-CA"/>
        </w:rPr>
      </w:pPr>
      <w:r w:rsidRPr="002F3DF0">
        <w:rPr>
          <w:rFonts w:eastAsia="Times New Roman" w:cs="Times New Roman"/>
          <w:b/>
          <w:sz w:val="20"/>
          <w:szCs w:val="20"/>
          <w:lang w:val="fr-CA" w:eastAsia="en-CA"/>
        </w:rPr>
        <w:t>IL EST ORDONNÉ CE QUI SUIT :</w:t>
      </w:r>
      <w:r w:rsidRPr="002F3DF0">
        <w:rPr>
          <w:rFonts w:eastAsia="Times New Roman" w:cs="Times New Roman"/>
          <w:sz w:val="20"/>
          <w:szCs w:val="20"/>
          <w:lang w:val="fr-CA" w:eastAsia="en-CA"/>
        </w:rPr>
        <w:t xml:space="preserve"> </w:t>
      </w:r>
    </w:p>
    <w:p w:rsidR="002F3DF0" w:rsidRPr="002F3DF0" w:rsidRDefault="002F3DF0" w:rsidP="002F3DF0">
      <w:pPr>
        <w:spacing w:line="233" w:lineRule="auto"/>
        <w:jc w:val="both"/>
        <w:rPr>
          <w:rFonts w:eastAsia="Times New Roman" w:cs="Times New Roman"/>
          <w:sz w:val="20"/>
          <w:szCs w:val="20"/>
          <w:lang w:val="fr-CA" w:eastAsia="en-CA"/>
        </w:rPr>
      </w:pPr>
    </w:p>
    <w:p w:rsidR="002F3DF0" w:rsidRPr="002F3DF0" w:rsidRDefault="002F3DF0" w:rsidP="002F3DF0">
      <w:pPr>
        <w:spacing w:line="233" w:lineRule="auto"/>
        <w:jc w:val="both"/>
        <w:rPr>
          <w:rFonts w:eastAsia="Times New Roman" w:cs="Times New Roman"/>
          <w:sz w:val="20"/>
          <w:szCs w:val="20"/>
          <w:lang w:val="fr-CA" w:eastAsia="en-CA"/>
        </w:rPr>
      </w:pPr>
      <w:r w:rsidRPr="002F3DF0">
        <w:rPr>
          <w:rFonts w:eastAsia="Times New Roman" w:cs="Times New Roman"/>
          <w:sz w:val="20"/>
          <w:szCs w:val="20"/>
          <w:lang w:val="fr-CA" w:eastAsia="en-CA"/>
        </w:rPr>
        <w:t>Les requêtes en autorisation d’intervenir sont accueillies et ces intervenants peuvent signifier et déposer un mémoire d’au plus dix (10) pages au plus tard le 10 avril 2015.</w:t>
      </w:r>
    </w:p>
    <w:p w:rsidR="002F3DF0" w:rsidRPr="002F3DF0" w:rsidRDefault="002F3DF0" w:rsidP="002F3DF0">
      <w:pPr>
        <w:spacing w:line="233" w:lineRule="auto"/>
        <w:jc w:val="both"/>
        <w:rPr>
          <w:rFonts w:eastAsia="Times New Roman" w:cs="Times New Roman"/>
          <w:sz w:val="20"/>
          <w:szCs w:val="20"/>
          <w:lang w:val="fr-CA" w:eastAsia="en-CA"/>
        </w:rPr>
      </w:pPr>
    </w:p>
    <w:p w:rsidR="002F3DF0" w:rsidRPr="002F3DF0" w:rsidRDefault="002F3DF0" w:rsidP="002F3DF0">
      <w:pPr>
        <w:spacing w:line="233" w:lineRule="auto"/>
        <w:jc w:val="both"/>
        <w:rPr>
          <w:rFonts w:eastAsia="Times New Roman" w:cs="Times New Roman"/>
          <w:sz w:val="20"/>
          <w:szCs w:val="20"/>
          <w:lang w:val="fr-CA" w:eastAsia="en-CA"/>
        </w:rPr>
      </w:pPr>
      <w:r w:rsidRPr="002F3DF0">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2F3DF0" w:rsidRPr="002F3DF0" w:rsidRDefault="002F3DF0" w:rsidP="002F3DF0">
      <w:pPr>
        <w:spacing w:line="233" w:lineRule="auto"/>
        <w:jc w:val="both"/>
        <w:rPr>
          <w:rFonts w:eastAsia="Times New Roman" w:cs="Times New Roman"/>
          <w:sz w:val="20"/>
          <w:szCs w:val="20"/>
          <w:lang w:val="fr-CA" w:eastAsia="en-CA"/>
        </w:rPr>
      </w:pPr>
    </w:p>
    <w:p w:rsidR="002F3DF0" w:rsidRPr="002F3DF0" w:rsidRDefault="002F3DF0" w:rsidP="002F3DF0">
      <w:pPr>
        <w:spacing w:line="233" w:lineRule="auto"/>
        <w:jc w:val="both"/>
        <w:rPr>
          <w:rFonts w:eastAsia="Times New Roman" w:cs="Times New Roman"/>
          <w:sz w:val="20"/>
          <w:szCs w:val="20"/>
          <w:lang w:val="fr-CA" w:eastAsia="en-CA"/>
        </w:rPr>
      </w:pPr>
      <w:r w:rsidRPr="002F3DF0">
        <w:rPr>
          <w:rFonts w:eastAsia="Times New Roman" w:cs="Times New Roman"/>
          <w:sz w:val="20"/>
          <w:szCs w:val="20"/>
          <w:lang w:val="fr-CA" w:eastAsia="en-CA"/>
        </w:rPr>
        <w:t>Les intervenants n’ont pas le droit de soulever de nouvelles questions, de produire d’autres éléments de preuve ou de compléter de quelque autre façon le dossier des parties.</w:t>
      </w:r>
    </w:p>
    <w:p w:rsidR="002F3DF0" w:rsidRPr="002F3DF0" w:rsidRDefault="002F3DF0" w:rsidP="002F3DF0">
      <w:pPr>
        <w:spacing w:line="233" w:lineRule="auto"/>
        <w:jc w:val="both"/>
        <w:rPr>
          <w:rFonts w:eastAsia="Times New Roman" w:cs="Times New Roman"/>
          <w:b/>
          <w:sz w:val="20"/>
          <w:szCs w:val="20"/>
          <w:lang w:val="fr-CA" w:eastAsia="en-CA"/>
        </w:rPr>
      </w:pPr>
    </w:p>
    <w:p w:rsidR="002F3DF0" w:rsidRPr="002F3DF0" w:rsidRDefault="002F3DF0" w:rsidP="002F3DF0">
      <w:pPr>
        <w:spacing w:line="233" w:lineRule="auto"/>
        <w:jc w:val="both"/>
        <w:rPr>
          <w:rFonts w:eastAsia="Times New Roman" w:cs="Times New Roman"/>
          <w:bCs/>
          <w:sz w:val="20"/>
          <w:szCs w:val="20"/>
          <w:lang w:val="fr-CA" w:eastAsia="en-CA"/>
        </w:rPr>
      </w:pPr>
      <w:r w:rsidRPr="002F3DF0">
        <w:rPr>
          <w:rFonts w:eastAsia="Times New Roman" w:cs="Times New Roman"/>
          <w:sz w:val="20"/>
          <w:szCs w:val="20"/>
          <w:lang w:val="fr-CA" w:eastAsia="en-CA"/>
        </w:rPr>
        <w:t>Conformément à l’alinéa 59(1)(</w:t>
      </w:r>
      <w:r w:rsidRPr="002F3DF0">
        <w:rPr>
          <w:rFonts w:eastAsia="Times New Roman" w:cs="Times New Roman"/>
          <w:i/>
          <w:sz w:val="20"/>
          <w:szCs w:val="20"/>
          <w:lang w:val="fr-CA" w:eastAsia="en-CA"/>
        </w:rPr>
        <w:t>a</w:t>
      </w:r>
      <w:r w:rsidRPr="002F3DF0">
        <w:rPr>
          <w:rFonts w:eastAsia="Times New Roman" w:cs="Times New Roman"/>
          <w:sz w:val="20"/>
          <w:szCs w:val="20"/>
          <w:lang w:val="fr-CA" w:eastAsia="en-CA"/>
        </w:rPr>
        <w:t xml:space="preserve">) des </w:t>
      </w:r>
      <w:r w:rsidRPr="002F3DF0">
        <w:rPr>
          <w:rFonts w:eastAsia="Times New Roman" w:cs="Times New Roman"/>
          <w:i/>
          <w:sz w:val="20"/>
          <w:szCs w:val="20"/>
          <w:lang w:val="fr-CA" w:eastAsia="en-CA"/>
        </w:rPr>
        <w:t>Règles de la Cour suprême du Canada</w:t>
      </w:r>
      <w:r w:rsidRPr="002F3DF0">
        <w:rPr>
          <w:rFonts w:eastAsia="Times New Roman" w:cs="Times New Roman"/>
          <w:sz w:val="20"/>
          <w:szCs w:val="20"/>
          <w:lang w:val="fr-CA" w:eastAsia="en-CA"/>
        </w:rPr>
        <w:t>, les intervenants paieront aux appelants et à l’intimé tous débours supplémentaires résultant de leurs intervention.</w:t>
      </w:r>
      <w:r w:rsidRPr="002F3DF0">
        <w:rPr>
          <w:rFonts w:eastAsia="Times New Roman" w:cs="Times New Roman"/>
          <w:bCs/>
          <w:sz w:val="20"/>
          <w:szCs w:val="20"/>
          <w:lang w:val="fr-CA" w:eastAsia="en-CA"/>
        </w:rPr>
        <w:t xml:space="preserve"> </w:t>
      </w:r>
    </w:p>
    <w:p w:rsidR="002F3DF0" w:rsidRPr="002F3DF0" w:rsidRDefault="002F3DF0" w:rsidP="002F3DF0">
      <w:pPr>
        <w:tabs>
          <w:tab w:val="left" w:pos="-1440"/>
          <w:tab w:val="left" w:pos="-720"/>
        </w:tabs>
        <w:jc w:val="both"/>
        <w:rPr>
          <w:rFonts w:eastAsia="Times New Roman" w:cs="Times New Roman"/>
          <w:sz w:val="20"/>
          <w:szCs w:val="20"/>
          <w:lang w:val="fr-CA" w:eastAsia="en-CA"/>
        </w:rPr>
      </w:pPr>
    </w:p>
    <w:p w:rsidR="002F3DF0" w:rsidRPr="002F3DF0" w:rsidRDefault="00790981" w:rsidP="002F3DF0">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6" style="width:2in;height:1pt" o:hrpct="0" o:hralign="center" o:hrstd="t" o:hrnoshade="t" o:hr="t" fillcolor="black [3213]" stroked="f"/>
        </w:pict>
      </w:r>
    </w:p>
    <w:p w:rsidR="002F3DF0" w:rsidRPr="002F3DF0" w:rsidRDefault="002F3DF0" w:rsidP="002F3DF0">
      <w:pPr>
        <w:tabs>
          <w:tab w:val="left" w:pos="-1440"/>
          <w:tab w:val="left" w:pos="-720"/>
        </w:tabs>
        <w:jc w:val="both"/>
        <w:rPr>
          <w:rFonts w:eastAsia="Times New Roman" w:cs="Times New Roman"/>
          <w:sz w:val="20"/>
          <w:szCs w:val="20"/>
          <w:lang w:eastAsia="en-CA"/>
        </w:rPr>
      </w:pPr>
    </w:p>
    <w:p w:rsidR="002F3DF0" w:rsidRPr="002F3DF0" w:rsidRDefault="002F3DF0" w:rsidP="002F3DF0">
      <w:pPr>
        <w:tabs>
          <w:tab w:val="left" w:pos="-1440"/>
          <w:tab w:val="left" w:pos="-720"/>
        </w:tabs>
        <w:jc w:val="both"/>
        <w:rPr>
          <w:rFonts w:eastAsia="Times New Roman" w:cs="Times New Roman"/>
          <w:sz w:val="20"/>
          <w:szCs w:val="20"/>
          <w:lang w:val="fr-CA" w:eastAsia="en-CA"/>
        </w:rPr>
      </w:pPr>
      <w:r w:rsidRPr="002F3DF0">
        <w:rPr>
          <w:rFonts w:eastAsia="Times New Roman" w:cs="Times New Roman"/>
          <w:sz w:val="20"/>
          <w:szCs w:val="20"/>
          <w:lang w:val="fr-CA" w:eastAsia="en-CA"/>
        </w:rPr>
        <w:t>01.04.2015</w:t>
      </w:r>
    </w:p>
    <w:p w:rsidR="002F3DF0" w:rsidRPr="002F3DF0" w:rsidRDefault="002F3DF0" w:rsidP="002F3DF0">
      <w:pPr>
        <w:tabs>
          <w:tab w:val="left" w:pos="-1440"/>
          <w:tab w:val="left" w:pos="-720"/>
        </w:tabs>
        <w:jc w:val="both"/>
        <w:rPr>
          <w:rFonts w:eastAsia="Times New Roman" w:cs="Times New Roman"/>
          <w:sz w:val="20"/>
          <w:szCs w:val="20"/>
          <w:lang w:val="fr-CA" w:eastAsia="en-CA"/>
        </w:rPr>
      </w:pPr>
    </w:p>
    <w:p w:rsidR="002F3DF0" w:rsidRPr="002F3DF0" w:rsidRDefault="002F3DF0" w:rsidP="002F3DF0">
      <w:pPr>
        <w:tabs>
          <w:tab w:val="left" w:pos="-1440"/>
          <w:tab w:val="left" w:pos="-720"/>
        </w:tabs>
        <w:jc w:val="both"/>
        <w:rPr>
          <w:rFonts w:eastAsia="Times New Roman" w:cs="Times New Roman"/>
          <w:sz w:val="20"/>
          <w:szCs w:val="20"/>
          <w:lang w:val="fr-CA" w:eastAsia="en-CA"/>
        </w:rPr>
      </w:pPr>
      <w:r w:rsidRPr="002F3DF0">
        <w:rPr>
          <w:rFonts w:eastAsia="Times New Roman" w:cs="Times New Roman"/>
          <w:sz w:val="20"/>
          <w:szCs w:val="20"/>
          <w:lang w:val="fr-CA" w:eastAsia="en-CA"/>
        </w:rPr>
        <w:t>Before / Devant :   THE CHIEF JUSTICE / LA JUGE EN CHEF</w:t>
      </w:r>
    </w:p>
    <w:p w:rsidR="002F3DF0" w:rsidRPr="002F3DF0" w:rsidRDefault="002F3DF0" w:rsidP="002F3DF0">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F3DF0" w:rsidRPr="002B2DB4" w:rsidTr="002F3DF0">
        <w:tc>
          <w:tcPr>
            <w:tcW w:w="4338" w:type="dxa"/>
          </w:tcPr>
          <w:p w:rsidR="002F3DF0" w:rsidRPr="002F3DF0" w:rsidRDefault="002D1795" w:rsidP="002F3DF0">
            <w:pPr>
              <w:tabs>
                <w:tab w:val="left" w:pos="-1440"/>
                <w:tab w:val="left" w:pos="-720"/>
              </w:tabs>
              <w:jc w:val="both"/>
              <w:rPr>
                <w:b/>
              </w:rPr>
            </w:pPr>
            <w:r w:rsidRPr="002F3DF0">
              <w:rPr>
                <w:lang w:val="en-US"/>
              </w:rPr>
              <w:fldChar w:fldCharType="begin"/>
            </w:r>
            <w:r w:rsidR="002F3DF0" w:rsidRPr="002F3DF0">
              <w:rPr>
                <w:lang w:val="en-US"/>
              </w:rPr>
              <w:instrText xml:space="preserve"> SEQ CHAPTER \h \r 1</w:instrText>
            </w:r>
            <w:r w:rsidRPr="002F3DF0">
              <w:rPr>
                <w:lang w:val="en-US"/>
              </w:rPr>
              <w:fldChar w:fldCharType="end"/>
            </w:r>
            <w:r w:rsidR="002F3DF0" w:rsidRPr="002F3DF0">
              <w:rPr>
                <w:b/>
                <w:bCs/>
                <w:lang w:val="en-US"/>
              </w:rPr>
              <w:t>Motion to state constitutional questions</w:t>
            </w:r>
          </w:p>
        </w:tc>
        <w:tc>
          <w:tcPr>
            <w:tcW w:w="1170" w:type="dxa"/>
          </w:tcPr>
          <w:p w:rsidR="002F3DF0" w:rsidRPr="002F3DF0" w:rsidRDefault="002F3DF0" w:rsidP="002F3DF0">
            <w:pPr>
              <w:tabs>
                <w:tab w:val="left" w:pos="-1440"/>
                <w:tab w:val="left" w:pos="-720"/>
              </w:tabs>
              <w:jc w:val="both"/>
            </w:pPr>
          </w:p>
          <w:p w:rsidR="002F3DF0" w:rsidRPr="002F3DF0" w:rsidRDefault="002F3DF0" w:rsidP="002F3DF0">
            <w:pPr>
              <w:tabs>
                <w:tab w:val="left" w:pos="-1440"/>
                <w:tab w:val="left" w:pos="-720"/>
              </w:tabs>
              <w:jc w:val="both"/>
            </w:pPr>
          </w:p>
          <w:p w:rsidR="002F3DF0" w:rsidRPr="002F3DF0" w:rsidRDefault="002F3DF0" w:rsidP="002F3DF0">
            <w:pPr>
              <w:tabs>
                <w:tab w:val="left" w:pos="-1440"/>
                <w:tab w:val="left" w:pos="-720"/>
              </w:tabs>
              <w:jc w:val="both"/>
            </w:pPr>
          </w:p>
        </w:tc>
        <w:tc>
          <w:tcPr>
            <w:tcW w:w="4327" w:type="dxa"/>
          </w:tcPr>
          <w:p w:rsidR="002F3DF0" w:rsidRPr="002F3DF0" w:rsidRDefault="002D1795" w:rsidP="002F3DF0">
            <w:pPr>
              <w:tabs>
                <w:tab w:val="left" w:pos="-1440"/>
                <w:tab w:val="left" w:pos="-720"/>
              </w:tabs>
              <w:jc w:val="both"/>
              <w:rPr>
                <w:lang w:val="fr-CA"/>
              </w:rPr>
            </w:pPr>
            <w:r w:rsidRPr="002F3DF0">
              <w:rPr>
                <w:lang w:val="en-US"/>
              </w:rPr>
              <w:fldChar w:fldCharType="begin"/>
            </w:r>
            <w:r w:rsidR="002F3DF0" w:rsidRPr="002F3DF0">
              <w:rPr>
                <w:lang w:val="fr-CA"/>
              </w:rPr>
              <w:instrText xml:space="preserve"> SEQ CHAPTER \h \r 1</w:instrText>
            </w:r>
            <w:r w:rsidRPr="002F3DF0">
              <w:rPr>
                <w:lang w:val="en-US"/>
              </w:rPr>
              <w:fldChar w:fldCharType="end"/>
            </w:r>
            <w:r w:rsidR="002F3DF0" w:rsidRPr="002F3DF0">
              <w:rPr>
                <w:b/>
                <w:bCs/>
                <w:lang w:val="fr-CA"/>
              </w:rPr>
              <w:t>Requête en formulation de questions constitutionnelles</w:t>
            </w:r>
            <w:r w:rsidRPr="002F3DF0">
              <w:rPr>
                <w:lang w:val="en-US"/>
              </w:rPr>
              <w:fldChar w:fldCharType="begin"/>
            </w:r>
            <w:r w:rsidR="002F3DF0" w:rsidRPr="002F3DF0">
              <w:rPr>
                <w:lang w:val="fr-CA"/>
              </w:rPr>
              <w:instrText xml:space="preserve"> SEQ CHAPTER \h \r 1</w:instrText>
            </w:r>
            <w:r w:rsidRPr="002F3DF0">
              <w:rPr>
                <w:lang w:val="en-US"/>
              </w:rPr>
              <w:fldChar w:fldCharType="end"/>
            </w:r>
            <w:r w:rsidRPr="002F3DF0">
              <w:rPr>
                <w:lang w:val="en-US"/>
              </w:rPr>
              <w:fldChar w:fldCharType="begin"/>
            </w:r>
            <w:r w:rsidR="002F3DF0" w:rsidRPr="002F3DF0">
              <w:rPr>
                <w:lang w:val="fr-CA"/>
              </w:rPr>
              <w:instrText xml:space="preserve"> SEQ CHAPTER \h \r 1</w:instrText>
            </w:r>
            <w:r w:rsidRPr="002F3DF0">
              <w:rPr>
                <w:lang w:val="en-US"/>
              </w:rPr>
              <w:fldChar w:fldCharType="end"/>
            </w:r>
            <w:r w:rsidRPr="002F3DF0">
              <w:rPr>
                <w:lang w:val="en-US"/>
              </w:rPr>
              <w:fldChar w:fldCharType="begin"/>
            </w:r>
            <w:r w:rsidR="002F3DF0" w:rsidRPr="002F3DF0">
              <w:rPr>
                <w:lang w:val="fr-CA"/>
              </w:rPr>
              <w:instrText xml:space="preserve"> SEQ CHAPTER \h \r 1</w:instrText>
            </w:r>
            <w:r w:rsidRPr="002F3DF0">
              <w:rPr>
                <w:lang w:val="en-US"/>
              </w:rPr>
              <w:fldChar w:fldCharType="end"/>
            </w:r>
          </w:p>
        </w:tc>
      </w:tr>
      <w:tr w:rsidR="002F3DF0" w:rsidRPr="002F3DF0" w:rsidTr="002F3DF0">
        <w:tc>
          <w:tcPr>
            <w:tcW w:w="4338" w:type="dxa"/>
          </w:tcPr>
          <w:p w:rsidR="002F3DF0" w:rsidRPr="002F3DF0" w:rsidRDefault="002F3DF0" w:rsidP="002F3DF0">
            <w:pPr>
              <w:tabs>
                <w:tab w:val="left" w:pos="-1440"/>
                <w:tab w:val="left" w:pos="-720"/>
              </w:tabs>
              <w:jc w:val="both"/>
            </w:pPr>
            <w:r w:rsidRPr="002F3DF0">
              <w:t xml:space="preserve">Her Majesty the Queen </w:t>
            </w:r>
          </w:p>
          <w:p w:rsidR="002F3DF0" w:rsidRPr="002F3DF0" w:rsidRDefault="002F3DF0" w:rsidP="002F3DF0">
            <w:pPr>
              <w:tabs>
                <w:tab w:val="left" w:pos="-1440"/>
                <w:tab w:val="left" w:pos="-720"/>
              </w:tabs>
              <w:jc w:val="both"/>
            </w:pPr>
          </w:p>
          <w:p w:rsidR="002F3DF0" w:rsidRPr="002F3DF0" w:rsidRDefault="002F3DF0" w:rsidP="002F3DF0">
            <w:pPr>
              <w:tabs>
                <w:tab w:val="left" w:pos="-1440"/>
                <w:tab w:val="left" w:pos="-720"/>
              </w:tabs>
              <w:jc w:val="both"/>
            </w:pPr>
            <w:r w:rsidRPr="002F3DF0">
              <w:tab/>
              <w:t>v. (36162)</w:t>
            </w:r>
          </w:p>
          <w:p w:rsidR="002F3DF0" w:rsidRPr="002F3DF0" w:rsidRDefault="002F3DF0" w:rsidP="002F3DF0">
            <w:pPr>
              <w:tabs>
                <w:tab w:val="left" w:pos="-1440"/>
                <w:tab w:val="left" w:pos="-720"/>
              </w:tabs>
              <w:jc w:val="both"/>
            </w:pPr>
          </w:p>
          <w:p w:rsidR="002F3DF0" w:rsidRPr="002F3DF0" w:rsidRDefault="002F3DF0" w:rsidP="002F3DF0">
            <w:pPr>
              <w:tabs>
                <w:tab w:val="left" w:pos="-1440"/>
                <w:tab w:val="left" w:pos="-720"/>
              </w:tabs>
              <w:jc w:val="both"/>
              <w:rPr>
                <w:lang w:val="fr-CA"/>
              </w:rPr>
            </w:pPr>
            <w:r w:rsidRPr="002F3DF0">
              <w:rPr>
                <w:lang w:val="fr-CA"/>
              </w:rPr>
              <w:t xml:space="preserve">Hamidreza Safarzadeh-Markhali </w:t>
            </w:r>
            <w:r w:rsidRPr="002F3DF0">
              <w:t>(Crim.)</w:t>
            </w:r>
            <w:r w:rsidRPr="002F3DF0">
              <w:rPr>
                <w:lang w:val="fr-CA"/>
              </w:rPr>
              <w:t xml:space="preserve"> (Ont.)</w:t>
            </w:r>
          </w:p>
        </w:tc>
        <w:tc>
          <w:tcPr>
            <w:tcW w:w="1170" w:type="dxa"/>
          </w:tcPr>
          <w:p w:rsidR="002F3DF0" w:rsidRPr="002F3DF0" w:rsidRDefault="002F3DF0" w:rsidP="002F3DF0">
            <w:pPr>
              <w:tabs>
                <w:tab w:val="left" w:pos="-1440"/>
                <w:tab w:val="left" w:pos="-720"/>
              </w:tabs>
              <w:jc w:val="both"/>
              <w:rPr>
                <w:lang w:val="fr-CA"/>
              </w:rPr>
            </w:pPr>
          </w:p>
        </w:tc>
        <w:tc>
          <w:tcPr>
            <w:tcW w:w="4327" w:type="dxa"/>
          </w:tcPr>
          <w:p w:rsidR="002F3DF0" w:rsidRPr="002F3DF0" w:rsidRDefault="002F3DF0" w:rsidP="002F3DF0">
            <w:pPr>
              <w:tabs>
                <w:tab w:val="left" w:pos="-1440"/>
                <w:tab w:val="left" w:pos="-720"/>
              </w:tabs>
              <w:jc w:val="both"/>
              <w:rPr>
                <w:lang w:val="fr-CA"/>
              </w:rPr>
            </w:pPr>
          </w:p>
        </w:tc>
      </w:tr>
    </w:tbl>
    <w:p w:rsidR="002F3DF0" w:rsidRPr="002F3DF0" w:rsidRDefault="002F3DF0" w:rsidP="002F3DF0">
      <w:pPr>
        <w:tabs>
          <w:tab w:val="left" w:pos="-1440"/>
          <w:tab w:val="left" w:pos="-720"/>
        </w:tabs>
        <w:jc w:val="both"/>
        <w:rPr>
          <w:rFonts w:eastAsia="Times New Roman" w:cs="Times New Roman"/>
          <w:sz w:val="20"/>
          <w:szCs w:val="20"/>
          <w:lang w:val="fr-CA" w:eastAsia="en-CA"/>
        </w:rPr>
      </w:pPr>
    </w:p>
    <w:p w:rsidR="002F3DF0" w:rsidRPr="002F3DF0" w:rsidRDefault="002F3DF0" w:rsidP="002F3DF0">
      <w:pPr>
        <w:tabs>
          <w:tab w:val="left" w:pos="-1440"/>
          <w:tab w:val="left" w:pos="-720"/>
        </w:tabs>
        <w:jc w:val="both"/>
        <w:rPr>
          <w:rFonts w:eastAsia="Times New Roman" w:cs="Times New Roman"/>
          <w:b/>
          <w:sz w:val="20"/>
          <w:szCs w:val="20"/>
          <w:lang w:val="fr-CA" w:eastAsia="en-CA"/>
        </w:rPr>
      </w:pPr>
      <w:r w:rsidRPr="002F3DF0">
        <w:rPr>
          <w:rFonts w:eastAsia="Times New Roman" w:cs="Times New Roman"/>
          <w:b/>
          <w:sz w:val="20"/>
          <w:szCs w:val="20"/>
          <w:lang w:val="fr-CA" w:eastAsia="en-CA"/>
        </w:rPr>
        <w:lastRenderedPageBreak/>
        <w:t>GRANTED / ACCORDÉE</w:t>
      </w:r>
    </w:p>
    <w:p w:rsidR="002F3DF0" w:rsidRPr="002F3DF0" w:rsidRDefault="002F3DF0" w:rsidP="002F3DF0">
      <w:pPr>
        <w:tabs>
          <w:tab w:val="left" w:pos="-1440"/>
          <w:tab w:val="left" w:pos="-720"/>
        </w:tabs>
        <w:jc w:val="both"/>
        <w:rPr>
          <w:rFonts w:eastAsia="Times New Roman" w:cs="Times New Roman"/>
          <w:sz w:val="20"/>
          <w:szCs w:val="20"/>
          <w:lang w:val="fr-CA" w:eastAsia="en-CA"/>
        </w:rPr>
      </w:pPr>
    </w:p>
    <w:p w:rsidR="002F3DF0" w:rsidRPr="002F3DF0" w:rsidRDefault="002F3DF0" w:rsidP="002F3DF0">
      <w:pPr>
        <w:jc w:val="both"/>
        <w:rPr>
          <w:rFonts w:eastAsia="Times New Roman" w:cs="Times New Roman"/>
          <w:sz w:val="20"/>
          <w:szCs w:val="20"/>
          <w:lang w:val="en-US" w:eastAsia="en-CA"/>
        </w:rPr>
      </w:pPr>
      <w:r w:rsidRPr="002F3DF0">
        <w:rPr>
          <w:rFonts w:eastAsia="Times New Roman" w:cs="Times New Roman"/>
          <w:b/>
          <w:bCs/>
          <w:sz w:val="20"/>
          <w:szCs w:val="20"/>
          <w:lang w:val="en-US" w:eastAsia="en-CA"/>
        </w:rPr>
        <w:t>UPON APPLICATION</w:t>
      </w:r>
      <w:r w:rsidRPr="002F3DF0">
        <w:rPr>
          <w:rFonts w:eastAsia="Times New Roman" w:cs="Times New Roman"/>
          <w:sz w:val="20"/>
          <w:szCs w:val="20"/>
          <w:lang w:val="en-US" w:eastAsia="en-CA"/>
        </w:rPr>
        <w:t xml:space="preserve"> by the appellant </w:t>
      </w:r>
      <w:r w:rsidR="002D1795" w:rsidRPr="002F3DF0">
        <w:rPr>
          <w:rFonts w:eastAsia="Times New Roman" w:cs="Times New Roman"/>
          <w:sz w:val="20"/>
          <w:szCs w:val="20"/>
          <w:lang w:eastAsia="en-CA"/>
        </w:rPr>
        <w:fldChar w:fldCharType="begin"/>
      </w:r>
      <w:r w:rsidRPr="002F3DF0">
        <w:rPr>
          <w:rFonts w:eastAsia="Times New Roman" w:cs="Times New Roman"/>
          <w:sz w:val="20"/>
          <w:szCs w:val="20"/>
          <w:lang w:eastAsia="en-CA"/>
        </w:rPr>
        <w:instrText xml:space="preserve"> SEQ CHAPTER \h \r 1</w:instrText>
      </w:r>
      <w:r w:rsidR="002D1795" w:rsidRPr="002F3DF0">
        <w:rPr>
          <w:rFonts w:eastAsia="Times New Roman" w:cs="Times New Roman"/>
          <w:sz w:val="20"/>
          <w:szCs w:val="20"/>
          <w:lang w:eastAsia="en-CA"/>
        </w:rPr>
        <w:fldChar w:fldCharType="end"/>
      </w:r>
      <w:r w:rsidRPr="002F3DF0">
        <w:rPr>
          <w:rFonts w:eastAsia="Times New Roman" w:cs="Times New Roman"/>
          <w:sz w:val="20"/>
          <w:szCs w:val="20"/>
          <w:lang w:eastAsia="en-CA"/>
        </w:rPr>
        <w:t xml:space="preserve">for an order stating constitutional questions </w:t>
      </w:r>
      <w:r w:rsidRPr="002F3DF0">
        <w:rPr>
          <w:rFonts w:eastAsia="Times New Roman" w:cs="Times New Roman"/>
          <w:sz w:val="20"/>
          <w:szCs w:val="20"/>
          <w:lang w:val="en-US" w:eastAsia="en-CA"/>
        </w:rPr>
        <w:t>in the above appeal;</w:t>
      </w:r>
    </w:p>
    <w:p w:rsidR="002F3DF0" w:rsidRPr="002F3DF0" w:rsidRDefault="002F3DF0" w:rsidP="002F3DF0">
      <w:pPr>
        <w:jc w:val="both"/>
        <w:rPr>
          <w:rFonts w:eastAsia="Times New Roman" w:cs="Times New Roman"/>
          <w:sz w:val="20"/>
          <w:szCs w:val="20"/>
          <w:lang w:val="en-US" w:eastAsia="en-CA"/>
        </w:rPr>
      </w:pPr>
    </w:p>
    <w:p w:rsidR="002F3DF0" w:rsidRPr="002F3DF0" w:rsidRDefault="002F3DF0" w:rsidP="002F3DF0">
      <w:pPr>
        <w:jc w:val="both"/>
        <w:rPr>
          <w:rFonts w:eastAsia="Times New Roman" w:cs="Times New Roman"/>
          <w:sz w:val="20"/>
          <w:szCs w:val="20"/>
          <w:lang w:val="en-US" w:eastAsia="en-CA"/>
        </w:rPr>
      </w:pPr>
      <w:r w:rsidRPr="002F3DF0">
        <w:rPr>
          <w:rFonts w:eastAsia="Times New Roman" w:cs="Times New Roman"/>
          <w:b/>
          <w:bCs/>
          <w:sz w:val="20"/>
          <w:szCs w:val="20"/>
          <w:lang w:val="en-US" w:eastAsia="en-CA"/>
        </w:rPr>
        <w:t>AND THE MATERIAL FILED</w:t>
      </w:r>
      <w:r w:rsidRPr="002F3DF0">
        <w:rPr>
          <w:rFonts w:eastAsia="Times New Roman" w:cs="Times New Roman"/>
          <w:sz w:val="20"/>
          <w:szCs w:val="20"/>
          <w:lang w:val="en-US" w:eastAsia="en-CA"/>
        </w:rPr>
        <w:t xml:space="preserve"> having been read;</w:t>
      </w:r>
    </w:p>
    <w:p w:rsidR="002F3DF0" w:rsidRPr="002F3DF0" w:rsidRDefault="002F3DF0" w:rsidP="002F3DF0">
      <w:pPr>
        <w:jc w:val="both"/>
        <w:rPr>
          <w:rFonts w:eastAsia="Times New Roman" w:cs="Times New Roman"/>
          <w:sz w:val="20"/>
          <w:szCs w:val="20"/>
          <w:lang w:val="en-US" w:eastAsia="en-CA"/>
        </w:rPr>
      </w:pPr>
    </w:p>
    <w:p w:rsidR="002F3DF0" w:rsidRPr="002F3DF0" w:rsidRDefault="002F3DF0" w:rsidP="002F3DF0">
      <w:pPr>
        <w:jc w:val="both"/>
        <w:rPr>
          <w:rFonts w:eastAsia="Times New Roman" w:cs="Times New Roman"/>
          <w:bCs/>
          <w:sz w:val="20"/>
          <w:szCs w:val="20"/>
          <w:lang w:val="en-US" w:eastAsia="en-CA"/>
        </w:rPr>
      </w:pPr>
      <w:r w:rsidRPr="002F3DF0">
        <w:rPr>
          <w:rFonts w:eastAsia="Times New Roman" w:cs="Times New Roman"/>
          <w:b/>
          <w:bCs/>
          <w:sz w:val="20"/>
          <w:szCs w:val="20"/>
          <w:lang w:val="en-US" w:eastAsia="en-CA"/>
        </w:rPr>
        <w:t>IT IS HEREBY ORDERED THAT THE CONSTITUTIONAL QUESTIONS BE STATED AS FOLLOWS:</w:t>
      </w:r>
    </w:p>
    <w:p w:rsidR="002F3DF0" w:rsidRPr="002F3DF0" w:rsidRDefault="002F3DF0" w:rsidP="002F3DF0">
      <w:pPr>
        <w:jc w:val="both"/>
        <w:rPr>
          <w:rFonts w:eastAsia="Times New Roman" w:cs="Times New Roman"/>
          <w:bCs/>
          <w:sz w:val="20"/>
          <w:szCs w:val="20"/>
          <w:lang w:val="en-US" w:eastAsia="en-CA"/>
        </w:rPr>
      </w:pPr>
    </w:p>
    <w:p w:rsidR="002F3DF0" w:rsidRPr="002F3DF0" w:rsidRDefault="002F3DF0" w:rsidP="002F3DF0">
      <w:pPr>
        <w:ind w:left="709" w:hanging="709"/>
        <w:jc w:val="both"/>
        <w:rPr>
          <w:rFonts w:eastAsia="Times New Roman" w:cs="Times New Roman"/>
          <w:sz w:val="20"/>
          <w:szCs w:val="20"/>
          <w:lang w:val="en-US" w:eastAsia="en-CA"/>
        </w:rPr>
      </w:pPr>
      <w:r w:rsidRPr="002F3DF0">
        <w:rPr>
          <w:rFonts w:eastAsia="Times New Roman" w:cs="Times New Roman"/>
          <w:sz w:val="20"/>
          <w:szCs w:val="20"/>
          <w:lang w:val="en-US" w:eastAsia="en-CA"/>
        </w:rPr>
        <w:t>1.</w:t>
      </w:r>
      <w:r w:rsidRPr="002F3DF0">
        <w:rPr>
          <w:rFonts w:eastAsia="Times New Roman" w:cs="Times New Roman"/>
          <w:sz w:val="20"/>
          <w:szCs w:val="20"/>
          <w:lang w:val="en-US" w:eastAsia="en-CA"/>
        </w:rPr>
        <w:tab/>
        <w:t>Does section 719(3.1) of the Criminal Code, R.S.C. 1985, c. C-46, infringe s. 7 of the Canadian Charter of Rights and Freedoms?</w:t>
      </w:r>
    </w:p>
    <w:p w:rsidR="002F3DF0" w:rsidRPr="002F3DF0" w:rsidRDefault="002F3DF0" w:rsidP="002F3DF0">
      <w:pPr>
        <w:jc w:val="both"/>
        <w:rPr>
          <w:rFonts w:eastAsia="Times New Roman" w:cs="Times New Roman"/>
          <w:sz w:val="20"/>
          <w:szCs w:val="20"/>
          <w:lang w:val="en-US" w:eastAsia="en-CA"/>
        </w:rPr>
      </w:pPr>
    </w:p>
    <w:p w:rsidR="002F3DF0" w:rsidRPr="002F3DF0" w:rsidRDefault="002F3DF0" w:rsidP="002F3DF0">
      <w:pPr>
        <w:ind w:left="709" w:hanging="709"/>
        <w:jc w:val="both"/>
        <w:rPr>
          <w:rFonts w:eastAsia="Times New Roman" w:cs="Times New Roman"/>
          <w:sz w:val="20"/>
          <w:szCs w:val="20"/>
          <w:lang w:val="en-US" w:eastAsia="en-CA"/>
        </w:rPr>
      </w:pPr>
      <w:r w:rsidRPr="002F3DF0">
        <w:rPr>
          <w:rFonts w:eastAsia="Times New Roman" w:cs="Times New Roman"/>
          <w:sz w:val="20"/>
          <w:szCs w:val="20"/>
          <w:lang w:val="en-US" w:eastAsia="en-CA"/>
        </w:rPr>
        <w:t>2.</w:t>
      </w:r>
      <w:r w:rsidRPr="002F3DF0">
        <w:rPr>
          <w:rFonts w:eastAsia="Times New Roman" w:cs="Times New Roman"/>
          <w:sz w:val="20"/>
          <w:szCs w:val="20"/>
          <w:lang w:val="en-US" w:eastAsia="en-CA"/>
        </w:rPr>
        <w:tab/>
        <w:t>If so, is the infringement a reasonable limit prescribed by law as can be demonstrably justified in a free and democratic society under s. 1 of the Canadian Charter of Rights and Freedoms?</w:t>
      </w:r>
    </w:p>
    <w:p w:rsidR="002F3DF0" w:rsidRPr="002F3DF0" w:rsidRDefault="002F3DF0" w:rsidP="002F3DF0">
      <w:pPr>
        <w:ind w:left="709" w:hanging="709"/>
        <w:jc w:val="both"/>
        <w:rPr>
          <w:rFonts w:eastAsia="Times New Roman" w:cs="Times New Roman"/>
          <w:b/>
          <w:bCs/>
          <w:sz w:val="20"/>
          <w:szCs w:val="20"/>
          <w:lang w:val="en-US" w:eastAsia="en-CA"/>
        </w:rPr>
      </w:pPr>
    </w:p>
    <w:p w:rsidR="002F3DF0" w:rsidRPr="002F3DF0" w:rsidRDefault="002F3DF0" w:rsidP="002F3DF0">
      <w:pPr>
        <w:jc w:val="both"/>
        <w:rPr>
          <w:rFonts w:eastAsia="Times New Roman" w:cs="Times New Roman"/>
          <w:sz w:val="20"/>
          <w:szCs w:val="20"/>
          <w:lang w:val="en-US" w:eastAsia="en-CA"/>
        </w:rPr>
      </w:pPr>
      <w:r w:rsidRPr="002F3DF0">
        <w:rPr>
          <w:rFonts w:eastAsia="Times New Roman" w:cs="Times New Roman"/>
          <w:sz w:val="20"/>
          <w:szCs w:val="20"/>
          <w:lang w:val="en-US" w:eastAsia="en-CA"/>
        </w:rPr>
        <w:t xml:space="preserve">Any attorney general who intervenes pursuant to par. 61(4) of the </w:t>
      </w:r>
      <w:r w:rsidRPr="002F3DF0">
        <w:rPr>
          <w:rFonts w:eastAsia="Times New Roman" w:cs="Times New Roman"/>
          <w:i/>
          <w:sz w:val="20"/>
          <w:szCs w:val="20"/>
          <w:lang w:val="en-US" w:eastAsia="en-CA"/>
        </w:rPr>
        <w:t>Rules of the Supreme Court of Canada</w:t>
      </w:r>
      <w:r w:rsidRPr="002F3DF0">
        <w:rPr>
          <w:rFonts w:eastAsia="Times New Roman" w:cs="Times New Roman"/>
          <w:sz w:val="20"/>
          <w:szCs w:val="20"/>
          <w:lang w:val="en-US" w:eastAsia="en-CA"/>
        </w:rPr>
        <w:t xml:space="preserve"> shall pay the appellant and respondent the costs of any additional disbursements they incur as a result of the intervention.</w:t>
      </w:r>
    </w:p>
    <w:p w:rsidR="002F3DF0" w:rsidRPr="002F3DF0" w:rsidRDefault="002F3DF0" w:rsidP="002F3DF0">
      <w:pPr>
        <w:jc w:val="both"/>
        <w:rPr>
          <w:rFonts w:eastAsia="Times New Roman" w:cs="Times New Roman"/>
          <w:bCs/>
          <w:sz w:val="20"/>
          <w:szCs w:val="20"/>
          <w:lang w:val="en-US" w:eastAsia="en-CA"/>
        </w:rPr>
      </w:pPr>
    </w:p>
    <w:p w:rsidR="002F3DF0" w:rsidRPr="002F3DF0" w:rsidRDefault="002F3DF0" w:rsidP="002F3DF0">
      <w:pPr>
        <w:jc w:val="both"/>
        <w:rPr>
          <w:rFonts w:eastAsia="Times New Roman" w:cs="Times New Roman"/>
          <w:bCs/>
          <w:sz w:val="20"/>
          <w:szCs w:val="20"/>
          <w:lang w:val="en-US" w:eastAsia="en-CA"/>
        </w:rPr>
      </w:pPr>
    </w:p>
    <w:p w:rsidR="002F3DF0" w:rsidRPr="002F3DF0" w:rsidRDefault="002F3DF0" w:rsidP="002F3DF0">
      <w:pPr>
        <w:jc w:val="both"/>
        <w:rPr>
          <w:rFonts w:eastAsia="Times New Roman" w:cs="Times New Roman"/>
          <w:bCs/>
          <w:sz w:val="20"/>
          <w:szCs w:val="20"/>
          <w:lang w:val="en-US" w:eastAsia="en-CA"/>
        </w:rPr>
      </w:pPr>
    </w:p>
    <w:p w:rsidR="002F3DF0" w:rsidRPr="002F3DF0" w:rsidRDefault="002F3DF0" w:rsidP="002F3DF0">
      <w:pPr>
        <w:jc w:val="both"/>
        <w:rPr>
          <w:rFonts w:eastAsia="Times New Roman" w:cs="Times New Roman"/>
          <w:sz w:val="20"/>
          <w:szCs w:val="20"/>
          <w:lang w:val="fr-CA" w:eastAsia="en-CA"/>
        </w:rPr>
      </w:pPr>
      <w:r w:rsidRPr="002F3DF0">
        <w:rPr>
          <w:rFonts w:eastAsia="Times New Roman" w:cs="Times New Roman"/>
          <w:b/>
          <w:bCs/>
          <w:sz w:val="20"/>
          <w:szCs w:val="20"/>
          <w:lang w:val="fr-CA" w:eastAsia="en-CA"/>
        </w:rPr>
        <w:t>À LA SUITE DE LA DEMANDE</w:t>
      </w:r>
      <w:r w:rsidRPr="002F3DF0">
        <w:rPr>
          <w:rFonts w:eastAsia="Times New Roman" w:cs="Times New Roman"/>
          <w:sz w:val="20"/>
          <w:szCs w:val="20"/>
          <w:lang w:val="fr-CA" w:eastAsia="en-CA"/>
        </w:rPr>
        <w:t xml:space="preserve"> de l’appelante visant à obtenir la formulation de questions constitutionnelles dans l’appel susmentionné;</w:t>
      </w:r>
    </w:p>
    <w:p w:rsidR="002F3DF0" w:rsidRPr="002F3DF0" w:rsidRDefault="002F3DF0" w:rsidP="002F3DF0">
      <w:pPr>
        <w:jc w:val="both"/>
        <w:rPr>
          <w:rFonts w:eastAsia="Times New Roman" w:cs="Times New Roman"/>
          <w:sz w:val="20"/>
          <w:szCs w:val="20"/>
          <w:lang w:val="fr-CA" w:eastAsia="en-CA"/>
        </w:rPr>
      </w:pPr>
    </w:p>
    <w:p w:rsidR="002F3DF0" w:rsidRPr="002F3DF0" w:rsidRDefault="002F3DF0" w:rsidP="002F3DF0">
      <w:pPr>
        <w:jc w:val="both"/>
        <w:rPr>
          <w:rFonts w:eastAsia="Times New Roman" w:cs="Times New Roman"/>
          <w:sz w:val="20"/>
          <w:szCs w:val="20"/>
          <w:lang w:val="fr-CA" w:eastAsia="en-CA"/>
        </w:rPr>
      </w:pPr>
      <w:r w:rsidRPr="002F3DF0">
        <w:rPr>
          <w:rFonts w:eastAsia="Times New Roman" w:cs="Times New Roman"/>
          <w:b/>
          <w:bCs/>
          <w:sz w:val="20"/>
          <w:szCs w:val="20"/>
          <w:lang w:val="fr-CA" w:eastAsia="en-CA"/>
        </w:rPr>
        <w:t>ET APRÈS AVOIR LU</w:t>
      </w:r>
      <w:r w:rsidRPr="002F3DF0">
        <w:rPr>
          <w:rFonts w:eastAsia="Times New Roman" w:cs="Times New Roman"/>
          <w:sz w:val="20"/>
          <w:szCs w:val="20"/>
          <w:lang w:val="fr-CA" w:eastAsia="en-CA"/>
        </w:rPr>
        <w:t xml:space="preserve"> la documentation déposée;</w:t>
      </w:r>
    </w:p>
    <w:p w:rsidR="002F3DF0" w:rsidRPr="002F3DF0" w:rsidRDefault="002F3DF0" w:rsidP="002F3DF0">
      <w:pPr>
        <w:jc w:val="both"/>
        <w:rPr>
          <w:rFonts w:eastAsia="Times New Roman" w:cs="Times New Roman"/>
          <w:sz w:val="20"/>
          <w:szCs w:val="20"/>
          <w:lang w:val="fr-CA" w:eastAsia="en-CA"/>
        </w:rPr>
      </w:pPr>
    </w:p>
    <w:p w:rsidR="002F3DF0" w:rsidRPr="002F3DF0" w:rsidRDefault="002F3DF0" w:rsidP="002F3DF0">
      <w:pPr>
        <w:jc w:val="both"/>
        <w:rPr>
          <w:rFonts w:eastAsia="Times New Roman" w:cs="Times New Roman"/>
          <w:b/>
          <w:bCs/>
          <w:sz w:val="20"/>
          <w:szCs w:val="20"/>
          <w:lang w:val="fr-CA" w:eastAsia="en-CA"/>
        </w:rPr>
      </w:pPr>
      <w:r w:rsidRPr="002F3DF0">
        <w:rPr>
          <w:rFonts w:eastAsia="Times New Roman" w:cs="Times New Roman"/>
          <w:b/>
          <w:bCs/>
          <w:sz w:val="20"/>
          <w:szCs w:val="20"/>
          <w:lang w:val="fr-CA" w:eastAsia="en-CA"/>
        </w:rPr>
        <w:t>LES QUESTIONS CONSTITUTIONNELLES SUIVANTES SONT FORMULÉES :</w:t>
      </w:r>
    </w:p>
    <w:p w:rsidR="002F3DF0" w:rsidRPr="002F3DF0" w:rsidRDefault="002F3DF0" w:rsidP="002F3DF0">
      <w:pPr>
        <w:jc w:val="both"/>
        <w:rPr>
          <w:rFonts w:eastAsia="Times New Roman" w:cs="Times New Roman"/>
          <w:b/>
          <w:bCs/>
          <w:sz w:val="20"/>
          <w:szCs w:val="20"/>
          <w:lang w:val="fr-CA" w:eastAsia="en-CA"/>
        </w:rPr>
      </w:pPr>
    </w:p>
    <w:p w:rsidR="002F3DF0" w:rsidRPr="002F3DF0" w:rsidRDefault="002F3DF0" w:rsidP="002F3DF0">
      <w:pPr>
        <w:ind w:left="709" w:hanging="709"/>
        <w:jc w:val="both"/>
        <w:rPr>
          <w:rFonts w:eastAsia="Times New Roman" w:cs="Times New Roman"/>
          <w:sz w:val="20"/>
          <w:szCs w:val="20"/>
          <w:highlight w:val="yellow"/>
          <w:lang w:val="fr-CA" w:eastAsia="en-CA"/>
        </w:rPr>
      </w:pPr>
      <w:r w:rsidRPr="002F3DF0">
        <w:rPr>
          <w:rFonts w:eastAsia="Times New Roman" w:cs="Times New Roman"/>
          <w:sz w:val="20"/>
          <w:szCs w:val="20"/>
          <w:lang w:val="fr-CA" w:eastAsia="en-CA"/>
        </w:rPr>
        <w:t>1.</w:t>
      </w:r>
      <w:r w:rsidRPr="002F3DF0">
        <w:rPr>
          <w:rFonts w:eastAsia="Times New Roman" w:cs="Times New Roman"/>
          <w:sz w:val="20"/>
          <w:szCs w:val="20"/>
          <w:lang w:val="fr-CA" w:eastAsia="en-CA"/>
        </w:rPr>
        <w:tab/>
        <w:t xml:space="preserve">Le par. 719(3.1) du </w:t>
      </w:r>
      <w:r w:rsidRPr="002F3DF0">
        <w:rPr>
          <w:rFonts w:eastAsia="Times New Roman" w:cs="Times New Roman"/>
          <w:i/>
          <w:sz w:val="20"/>
          <w:szCs w:val="20"/>
          <w:lang w:val="fr-CA" w:eastAsia="en-CA"/>
        </w:rPr>
        <w:t>Code criminel</w:t>
      </w:r>
      <w:r w:rsidRPr="002F3DF0">
        <w:rPr>
          <w:rFonts w:eastAsia="Times New Roman" w:cs="Times New Roman"/>
          <w:sz w:val="20"/>
          <w:szCs w:val="20"/>
          <w:lang w:val="fr-CA" w:eastAsia="en-CA"/>
        </w:rPr>
        <w:t xml:space="preserve">, L.R.C. 1985, c. C-46, contrevient-il à l’art. 7 de la </w:t>
      </w:r>
      <w:r w:rsidRPr="002F3DF0">
        <w:rPr>
          <w:rFonts w:eastAsia="Times New Roman" w:cs="Times New Roman"/>
          <w:i/>
          <w:sz w:val="20"/>
          <w:szCs w:val="20"/>
          <w:lang w:val="fr-CA" w:eastAsia="en-CA"/>
        </w:rPr>
        <w:t>Charte canadienne des droits et libertés</w:t>
      </w:r>
      <w:r w:rsidRPr="002F3DF0">
        <w:rPr>
          <w:rFonts w:eastAsia="Times New Roman" w:cs="Times New Roman"/>
          <w:sz w:val="20"/>
          <w:szCs w:val="20"/>
          <w:lang w:val="fr-CA" w:eastAsia="en-CA"/>
        </w:rPr>
        <w:t>?</w:t>
      </w:r>
    </w:p>
    <w:p w:rsidR="002F3DF0" w:rsidRPr="002F3DF0" w:rsidRDefault="002F3DF0" w:rsidP="002F3DF0">
      <w:pPr>
        <w:jc w:val="both"/>
        <w:rPr>
          <w:rFonts w:eastAsia="Times New Roman" w:cs="Times New Roman"/>
          <w:sz w:val="20"/>
          <w:szCs w:val="20"/>
          <w:highlight w:val="yellow"/>
          <w:lang w:val="fr-CA" w:eastAsia="en-CA"/>
        </w:rPr>
      </w:pPr>
    </w:p>
    <w:p w:rsidR="002F3DF0" w:rsidRPr="002F3DF0" w:rsidRDefault="002F3DF0" w:rsidP="002F3DF0">
      <w:pPr>
        <w:ind w:left="709" w:hanging="709"/>
        <w:jc w:val="both"/>
        <w:rPr>
          <w:rFonts w:eastAsia="Times New Roman" w:cs="Times New Roman"/>
          <w:sz w:val="20"/>
          <w:szCs w:val="20"/>
          <w:lang w:val="fr-CA" w:eastAsia="en-CA"/>
        </w:rPr>
      </w:pPr>
      <w:r w:rsidRPr="002F3DF0">
        <w:rPr>
          <w:rFonts w:eastAsia="Times New Roman" w:cs="Times New Roman"/>
          <w:sz w:val="20"/>
          <w:szCs w:val="20"/>
          <w:lang w:val="fr-CA" w:eastAsia="en-CA"/>
        </w:rPr>
        <w:t>2.</w:t>
      </w:r>
      <w:r w:rsidRPr="002F3DF0">
        <w:rPr>
          <w:rFonts w:eastAsia="Times New Roman" w:cs="Times New Roman"/>
          <w:sz w:val="20"/>
          <w:szCs w:val="20"/>
          <w:lang w:val="fr-CA" w:eastAsia="en-CA"/>
        </w:rPr>
        <w:tab/>
        <w:t xml:space="preserve">Dans l’affirmative, s’agit-il d’une restriction établie par une règle de droit dans des limites qui soient raisonnables et dont la justification puisse se démontrer dans le cadre d’une société libre et démocratique suivant l’article premier de la </w:t>
      </w:r>
      <w:r w:rsidRPr="002F3DF0">
        <w:rPr>
          <w:rFonts w:eastAsia="Times New Roman" w:cs="Times New Roman"/>
          <w:i/>
          <w:sz w:val="20"/>
          <w:szCs w:val="20"/>
          <w:lang w:val="fr-CA" w:eastAsia="en-CA"/>
        </w:rPr>
        <w:t>Charte canadienne des droits et libertés</w:t>
      </w:r>
      <w:r w:rsidRPr="002F3DF0">
        <w:rPr>
          <w:rFonts w:eastAsia="Times New Roman" w:cs="Times New Roman"/>
          <w:sz w:val="20"/>
          <w:szCs w:val="20"/>
          <w:lang w:val="fr-CA" w:eastAsia="en-CA"/>
        </w:rPr>
        <w:t>?</w:t>
      </w:r>
    </w:p>
    <w:p w:rsidR="002F3DF0" w:rsidRPr="002F3DF0" w:rsidRDefault="002F3DF0" w:rsidP="002F3DF0">
      <w:pPr>
        <w:spacing w:line="0" w:lineRule="atLeast"/>
        <w:ind w:left="720"/>
        <w:contextualSpacing/>
        <w:jc w:val="both"/>
        <w:rPr>
          <w:rFonts w:cs="Times New Roman"/>
          <w:sz w:val="20"/>
          <w:szCs w:val="20"/>
          <w:highlight w:val="yellow"/>
          <w:lang w:val="fr-CA"/>
        </w:rPr>
      </w:pPr>
    </w:p>
    <w:p w:rsidR="002F3DF0" w:rsidRPr="002F3DF0" w:rsidRDefault="002F3DF0" w:rsidP="002F3DF0">
      <w:pPr>
        <w:jc w:val="both"/>
        <w:rPr>
          <w:rFonts w:eastAsia="Times New Roman" w:cs="Times New Roman"/>
          <w:sz w:val="20"/>
          <w:szCs w:val="20"/>
          <w:lang w:val="fr-FR" w:eastAsia="en-CA"/>
        </w:rPr>
      </w:pPr>
      <w:r w:rsidRPr="002F3DF0">
        <w:rPr>
          <w:rFonts w:eastAsia="Times New Roman" w:cs="Times New Roman"/>
          <w:sz w:val="20"/>
          <w:szCs w:val="20"/>
          <w:lang w:val="fr-CA" w:eastAsia="en-CA"/>
        </w:rPr>
        <w:t>T</w:t>
      </w:r>
      <w:r w:rsidRPr="002F3DF0">
        <w:rPr>
          <w:rFonts w:eastAsia="Times New Roman" w:cs="Times New Roman"/>
          <w:sz w:val="20"/>
          <w:szCs w:val="20"/>
          <w:lang w:val="fr-FR" w:eastAsia="en-CA"/>
        </w:rPr>
        <w:t xml:space="preserve">out procureur général qui interviendra en vertu du par. 61(4) des </w:t>
      </w:r>
      <w:r w:rsidRPr="002F3DF0">
        <w:rPr>
          <w:rFonts w:eastAsia="Times New Roman" w:cs="Times New Roman"/>
          <w:i/>
          <w:iCs/>
          <w:sz w:val="20"/>
          <w:szCs w:val="20"/>
          <w:lang w:val="fr-FR" w:eastAsia="en-CA"/>
        </w:rPr>
        <w:t>Règles de la Cour suprême du Canada</w:t>
      </w:r>
      <w:r w:rsidRPr="002F3DF0">
        <w:rPr>
          <w:rFonts w:eastAsia="Times New Roman" w:cs="Times New Roman"/>
          <w:sz w:val="20"/>
          <w:szCs w:val="20"/>
          <w:lang w:val="fr-FR" w:eastAsia="en-CA"/>
        </w:rPr>
        <w:t xml:space="preserve"> sera tenu de payer à l’appelante et à l’intimé les dépens supplémentaires résultant de son intervention.</w:t>
      </w:r>
    </w:p>
    <w:p w:rsidR="002F3DF0" w:rsidRPr="002F3DF0" w:rsidRDefault="002F3DF0" w:rsidP="002F3DF0">
      <w:pPr>
        <w:tabs>
          <w:tab w:val="left" w:pos="-1440"/>
          <w:tab w:val="left" w:pos="-720"/>
        </w:tabs>
        <w:jc w:val="both"/>
        <w:rPr>
          <w:rFonts w:eastAsia="Times New Roman" w:cs="Times New Roman"/>
          <w:sz w:val="20"/>
          <w:szCs w:val="20"/>
          <w:lang w:val="fr-FR" w:eastAsia="en-CA"/>
        </w:rPr>
      </w:pPr>
    </w:p>
    <w:p w:rsidR="002F3DF0" w:rsidRPr="002F3DF0" w:rsidRDefault="00790981" w:rsidP="002F3DF0">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7" style="width:2in;height:1pt" o:hrpct="0" o:hralign="center" o:hrstd="t" o:hrnoshade="t" o:hr="t" fillcolor="black [3213]" stroked="f"/>
        </w:pict>
      </w:r>
    </w:p>
    <w:p w:rsidR="002F3DF0" w:rsidRPr="002F3DF0" w:rsidRDefault="002F3DF0" w:rsidP="002F3DF0">
      <w:pPr>
        <w:tabs>
          <w:tab w:val="left" w:pos="-1440"/>
          <w:tab w:val="left" w:pos="-720"/>
        </w:tabs>
        <w:jc w:val="both"/>
        <w:rPr>
          <w:rFonts w:eastAsia="Times New Roman" w:cs="Times New Roman"/>
          <w:sz w:val="20"/>
          <w:szCs w:val="20"/>
          <w:lang w:eastAsia="en-CA"/>
        </w:rPr>
      </w:pPr>
    </w:p>
    <w:p w:rsidR="002F3DF0" w:rsidRPr="002F3DF0" w:rsidRDefault="002F3DF0" w:rsidP="002F3DF0">
      <w:pPr>
        <w:tabs>
          <w:tab w:val="left" w:pos="-1440"/>
          <w:tab w:val="left" w:pos="-720"/>
        </w:tabs>
        <w:jc w:val="both"/>
        <w:rPr>
          <w:rFonts w:eastAsia="Times New Roman" w:cs="Times New Roman"/>
          <w:sz w:val="20"/>
          <w:szCs w:val="20"/>
          <w:lang w:val="fr-CA" w:eastAsia="en-CA"/>
        </w:rPr>
      </w:pPr>
      <w:r w:rsidRPr="002F3DF0">
        <w:rPr>
          <w:rFonts w:eastAsia="Times New Roman" w:cs="Times New Roman"/>
          <w:sz w:val="20"/>
          <w:szCs w:val="20"/>
          <w:lang w:val="fr-CA" w:eastAsia="en-CA"/>
        </w:rPr>
        <w:t>01.04.2015</w:t>
      </w:r>
    </w:p>
    <w:p w:rsidR="002F3DF0" w:rsidRPr="002F3DF0" w:rsidRDefault="002F3DF0" w:rsidP="002F3DF0">
      <w:pPr>
        <w:tabs>
          <w:tab w:val="left" w:pos="-1440"/>
          <w:tab w:val="left" w:pos="-720"/>
        </w:tabs>
        <w:jc w:val="both"/>
        <w:rPr>
          <w:rFonts w:eastAsia="Times New Roman" w:cs="Times New Roman"/>
          <w:sz w:val="20"/>
          <w:szCs w:val="20"/>
          <w:lang w:val="fr-CA" w:eastAsia="en-CA"/>
        </w:rPr>
      </w:pPr>
    </w:p>
    <w:p w:rsidR="002F3DF0" w:rsidRPr="002F3DF0" w:rsidRDefault="002F3DF0" w:rsidP="002F3DF0">
      <w:pPr>
        <w:tabs>
          <w:tab w:val="left" w:pos="-1440"/>
          <w:tab w:val="left" w:pos="-720"/>
        </w:tabs>
        <w:jc w:val="both"/>
        <w:rPr>
          <w:rFonts w:eastAsia="Times New Roman" w:cs="Times New Roman"/>
          <w:sz w:val="20"/>
          <w:szCs w:val="20"/>
          <w:lang w:val="fr-CA" w:eastAsia="en-CA"/>
        </w:rPr>
      </w:pPr>
      <w:r w:rsidRPr="002F3DF0">
        <w:rPr>
          <w:rFonts w:eastAsia="Times New Roman" w:cs="Times New Roman"/>
          <w:sz w:val="20"/>
          <w:szCs w:val="20"/>
          <w:lang w:val="fr-CA" w:eastAsia="en-CA"/>
        </w:rPr>
        <w:t>Before / Devant:   WAGNER J. / LE JUGE WAGNER</w:t>
      </w:r>
    </w:p>
    <w:p w:rsidR="002F3DF0" w:rsidRPr="002F3DF0" w:rsidRDefault="002F3DF0" w:rsidP="002F3DF0">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F3DF0" w:rsidRPr="002F3DF0" w:rsidTr="002F3DF0">
        <w:trPr>
          <w:trHeight w:val="151"/>
        </w:trPr>
        <w:tc>
          <w:tcPr>
            <w:tcW w:w="4338" w:type="dxa"/>
          </w:tcPr>
          <w:p w:rsidR="002F3DF0" w:rsidRPr="002F3DF0" w:rsidRDefault="002D1795" w:rsidP="002F3DF0">
            <w:pPr>
              <w:tabs>
                <w:tab w:val="left" w:pos="-1440"/>
                <w:tab w:val="left" w:pos="-720"/>
              </w:tabs>
              <w:jc w:val="both"/>
              <w:rPr>
                <w:lang w:val="fr-CA"/>
              </w:rPr>
            </w:pPr>
            <w:r w:rsidRPr="002F3DF0">
              <w:rPr>
                <w:lang w:val="en-US"/>
              </w:rPr>
              <w:fldChar w:fldCharType="begin"/>
            </w:r>
            <w:r w:rsidR="002F3DF0" w:rsidRPr="002F3DF0">
              <w:rPr>
                <w:lang w:val="fr-CA"/>
              </w:rPr>
              <w:instrText xml:space="preserve"> SEQ CHAPTER \h \r 1</w:instrText>
            </w:r>
            <w:r w:rsidRPr="002F3DF0">
              <w:rPr>
                <w:lang w:val="en-US"/>
              </w:rPr>
              <w:fldChar w:fldCharType="end"/>
            </w:r>
            <w:r w:rsidR="002F3DF0" w:rsidRPr="002F3DF0">
              <w:rPr>
                <w:b/>
                <w:bCs/>
                <w:lang w:val="fr-CA"/>
              </w:rPr>
              <w:t>Miscellaneous motions</w:t>
            </w:r>
          </w:p>
          <w:p w:rsidR="002F3DF0" w:rsidRPr="002F3DF0" w:rsidRDefault="002D1795" w:rsidP="002F3DF0">
            <w:pPr>
              <w:tabs>
                <w:tab w:val="left" w:pos="-1440"/>
                <w:tab w:val="left" w:pos="-720"/>
              </w:tabs>
              <w:jc w:val="both"/>
              <w:rPr>
                <w:lang w:val="fr-CA"/>
              </w:rPr>
            </w:pPr>
            <w:r w:rsidRPr="002F3DF0">
              <w:rPr>
                <w:lang w:val="en-US"/>
              </w:rPr>
              <w:fldChar w:fldCharType="begin"/>
            </w:r>
            <w:r w:rsidR="002F3DF0" w:rsidRPr="002F3DF0">
              <w:rPr>
                <w:lang w:val="fr-CA"/>
              </w:rPr>
              <w:instrText xml:space="preserve"> SEQ CHAPTER \h \r 1</w:instrText>
            </w:r>
            <w:r w:rsidRPr="002F3DF0">
              <w:rPr>
                <w:lang w:val="en-US"/>
              </w:rPr>
              <w:fldChar w:fldCharType="end"/>
            </w:r>
          </w:p>
        </w:tc>
        <w:tc>
          <w:tcPr>
            <w:tcW w:w="1170" w:type="dxa"/>
          </w:tcPr>
          <w:p w:rsidR="002F3DF0" w:rsidRPr="002F3DF0" w:rsidRDefault="002F3DF0" w:rsidP="002F3DF0">
            <w:pPr>
              <w:jc w:val="both"/>
              <w:rPr>
                <w:lang w:val="fr-CA"/>
              </w:rPr>
            </w:pPr>
          </w:p>
          <w:p w:rsidR="002F3DF0" w:rsidRPr="002F3DF0" w:rsidRDefault="002F3DF0" w:rsidP="002F3DF0">
            <w:pPr>
              <w:jc w:val="both"/>
              <w:rPr>
                <w:lang w:val="fr-CA"/>
              </w:rPr>
            </w:pPr>
          </w:p>
        </w:tc>
        <w:tc>
          <w:tcPr>
            <w:tcW w:w="4327" w:type="dxa"/>
          </w:tcPr>
          <w:p w:rsidR="002F3DF0" w:rsidRPr="002F3DF0" w:rsidRDefault="002D1795" w:rsidP="002F3DF0">
            <w:pPr>
              <w:jc w:val="both"/>
              <w:rPr>
                <w:b/>
                <w:lang w:val="fr-CA"/>
              </w:rPr>
            </w:pPr>
            <w:r w:rsidRPr="002F3DF0">
              <w:rPr>
                <w:lang w:val="en-US"/>
              </w:rPr>
              <w:fldChar w:fldCharType="begin"/>
            </w:r>
            <w:r w:rsidR="002F3DF0" w:rsidRPr="002F3DF0">
              <w:rPr>
                <w:lang w:val="fr-CA"/>
              </w:rPr>
              <w:instrText xml:space="preserve"> SEQ CHAPTER \h \r 1</w:instrText>
            </w:r>
            <w:r w:rsidRPr="002F3DF0">
              <w:rPr>
                <w:lang w:val="en-US"/>
              </w:rPr>
              <w:fldChar w:fldCharType="end"/>
            </w:r>
            <w:r w:rsidR="002F3DF0" w:rsidRPr="002F3DF0">
              <w:rPr>
                <w:b/>
                <w:bCs/>
                <w:lang w:val="fr-CA"/>
              </w:rPr>
              <w:t>Requêtes diverses</w:t>
            </w:r>
          </w:p>
          <w:p w:rsidR="002F3DF0" w:rsidRPr="002F3DF0" w:rsidRDefault="002D1795" w:rsidP="002F3DF0">
            <w:pPr>
              <w:jc w:val="both"/>
              <w:rPr>
                <w:b/>
                <w:lang w:val="fr-CA"/>
              </w:rPr>
            </w:pPr>
            <w:r w:rsidRPr="002F3DF0">
              <w:rPr>
                <w:b/>
                <w:lang w:val="en-US"/>
              </w:rPr>
              <w:fldChar w:fldCharType="begin"/>
            </w:r>
            <w:r w:rsidR="002F3DF0" w:rsidRPr="002F3DF0">
              <w:rPr>
                <w:b/>
                <w:lang w:val="fr-CA"/>
              </w:rPr>
              <w:instrText xml:space="preserve"> SEQ CHAPTER \h \r 1</w:instrText>
            </w:r>
            <w:r w:rsidRPr="002F3DF0">
              <w:rPr>
                <w:b/>
                <w:lang w:val="en-US"/>
              </w:rPr>
              <w:fldChar w:fldCharType="end"/>
            </w:r>
            <w:r w:rsidRPr="002F3DF0">
              <w:rPr>
                <w:b/>
                <w:lang w:val="en-US"/>
              </w:rPr>
              <w:fldChar w:fldCharType="begin"/>
            </w:r>
            <w:r w:rsidR="002F3DF0" w:rsidRPr="002F3DF0">
              <w:rPr>
                <w:b/>
                <w:lang w:val="fr-CA"/>
              </w:rPr>
              <w:instrText xml:space="preserve"> SEQ CHAPTER \h \r 1</w:instrText>
            </w:r>
            <w:r w:rsidRPr="002F3DF0">
              <w:rPr>
                <w:b/>
                <w:lang w:val="en-US"/>
              </w:rPr>
              <w:fldChar w:fldCharType="end"/>
            </w:r>
          </w:p>
        </w:tc>
      </w:tr>
      <w:tr w:rsidR="002F3DF0" w:rsidRPr="002F3DF0" w:rsidTr="002F3DF0">
        <w:trPr>
          <w:trHeight w:val="150"/>
        </w:trPr>
        <w:tc>
          <w:tcPr>
            <w:tcW w:w="4338" w:type="dxa"/>
          </w:tcPr>
          <w:p w:rsidR="002F3DF0" w:rsidRPr="002F3DF0" w:rsidRDefault="002F3DF0" w:rsidP="002F3DF0">
            <w:pPr>
              <w:tabs>
                <w:tab w:val="left" w:pos="-1440"/>
                <w:tab w:val="left" w:pos="-720"/>
              </w:tabs>
              <w:jc w:val="both"/>
            </w:pPr>
            <w:r w:rsidRPr="002F3DF0">
              <w:t xml:space="preserve">Jeyakannan Kanthasamy </w:t>
            </w:r>
          </w:p>
          <w:p w:rsidR="002F3DF0" w:rsidRPr="002F3DF0" w:rsidRDefault="002F3DF0" w:rsidP="002F3DF0">
            <w:pPr>
              <w:tabs>
                <w:tab w:val="left" w:pos="-1440"/>
                <w:tab w:val="left" w:pos="-720"/>
              </w:tabs>
              <w:jc w:val="both"/>
            </w:pPr>
          </w:p>
          <w:p w:rsidR="002F3DF0" w:rsidRPr="002F3DF0" w:rsidRDefault="002F3DF0" w:rsidP="002F3DF0">
            <w:pPr>
              <w:tabs>
                <w:tab w:val="left" w:pos="-1440"/>
                <w:tab w:val="left" w:pos="-720"/>
              </w:tabs>
              <w:jc w:val="both"/>
              <w:rPr>
                <w:lang w:val="en-US"/>
              </w:rPr>
            </w:pPr>
            <w:r w:rsidRPr="002F3DF0">
              <w:tab/>
              <w:t>v</w:t>
            </w:r>
            <w:r w:rsidRPr="002F3DF0">
              <w:rPr>
                <w:lang w:val="en-US"/>
              </w:rPr>
              <w:t>. (35990)</w:t>
            </w:r>
          </w:p>
          <w:p w:rsidR="002F3DF0" w:rsidRPr="002F3DF0" w:rsidRDefault="002F3DF0" w:rsidP="002F3DF0">
            <w:pPr>
              <w:tabs>
                <w:tab w:val="left" w:pos="-1440"/>
                <w:tab w:val="left" w:pos="-720"/>
              </w:tabs>
              <w:jc w:val="both"/>
              <w:rPr>
                <w:lang w:val="en-US"/>
              </w:rPr>
            </w:pPr>
          </w:p>
          <w:p w:rsidR="002F3DF0" w:rsidRPr="002F3DF0" w:rsidRDefault="002F3DF0" w:rsidP="002F3DF0">
            <w:pPr>
              <w:tabs>
                <w:tab w:val="left" w:pos="-1440"/>
                <w:tab w:val="left" w:pos="-720"/>
              </w:tabs>
              <w:jc w:val="both"/>
              <w:rPr>
                <w:lang w:val="en-US"/>
              </w:rPr>
            </w:pPr>
            <w:r w:rsidRPr="002F3DF0">
              <w:rPr>
                <w:lang w:val="en-US"/>
              </w:rPr>
              <w:t xml:space="preserve">Minister of Citizenship and Immigration </w:t>
            </w:r>
            <w:r w:rsidRPr="002F3DF0">
              <w:t>(F.C.)</w:t>
            </w:r>
          </w:p>
        </w:tc>
        <w:tc>
          <w:tcPr>
            <w:tcW w:w="1170" w:type="dxa"/>
          </w:tcPr>
          <w:p w:rsidR="002F3DF0" w:rsidRPr="002F3DF0" w:rsidRDefault="002F3DF0" w:rsidP="002F3DF0">
            <w:pPr>
              <w:jc w:val="both"/>
              <w:rPr>
                <w:lang w:val="en-US"/>
              </w:rPr>
            </w:pPr>
          </w:p>
        </w:tc>
        <w:tc>
          <w:tcPr>
            <w:tcW w:w="4327" w:type="dxa"/>
          </w:tcPr>
          <w:p w:rsidR="002F3DF0" w:rsidRPr="002F3DF0" w:rsidRDefault="002F3DF0" w:rsidP="002F3DF0">
            <w:pPr>
              <w:jc w:val="both"/>
              <w:rPr>
                <w:lang w:val="en-US"/>
              </w:rPr>
            </w:pPr>
          </w:p>
        </w:tc>
      </w:tr>
    </w:tbl>
    <w:p w:rsidR="002F3DF0" w:rsidRPr="002F3DF0" w:rsidRDefault="002F3DF0" w:rsidP="002F3DF0">
      <w:pPr>
        <w:tabs>
          <w:tab w:val="left" w:pos="-1440"/>
          <w:tab w:val="left" w:pos="-720"/>
        </w:tabs>
        <w:jc w:val="both"/>
        <w:rPr>
          <w:rFonts w:eastAsia="Times New Roman" w:cs="Times New Roman"/>
          <w:sz w:val="20"/>
          <w:szCs w:val="20"/>
          <w:lang w:val="en-US" w:eastAsia="en-CA"/>
        </w:rPr>
      </w:pPr>
    </w:p>
    <w:p w:rsidR="002F3DF0" w:rsidRPr="002F3DF0" w:rsidRDefault="002F3DF0" w:rsidP="002F3DF0">
      <w:pPr>
        <w:tabs>
          <w:tab w:val="left" w:pos="-1440"/>
          <w:tab w:val="left" w:pos="-720"/>
        </w:tabs>
        <w:jc w:val="both"/>
        <w:rPr>
          <w:rFonts w:eastAsia="Times New Roman" w:cs="Times New Roman"/>
          <w:sz w:val="20"/>
          <w:szCs w:val="20"/>
          <w:lang w:val="fr-CA" w:eastAsia="en-CA"/>
        </w:rPr>
      </w:pPr>
      <w:r w:rsidRPr="002F3DF0">
        <w:rPr>
          <w:rFonts w:eastAsia="Times New Roman" w:cs="Times New Roman"/>
          <w:b/>
          <w:sz w:val="20"/>
          <w:szCs w:val="20"/>
          <w:lang w:val="fr-CA" w:eastAsia="en-CA"/>
        </w:rPr>
        <w:t>GRANTED IN PART / ACCORDÉE EN PARTIE</w:t>
      </w:r>
    </w:p>
    <w:p w:rsidR="002F3DF0" w:rsidRPr="002F3DF0" w:rsidRDefault="002F3DF0" w:rsidP="002F3DF0">
      <w:pPr>
        <w:tabs>
          <w:tab w:val="left" w:pos="-1440"/>
          <w:tab w:val="left" w:pos="-720"/>
        </w:tabs>
        <w:jc w:val="both"/>
        <w:rPr>
          <w:rFonts w:eastAsia="Times New Roman" w:cs="Times New Roman"/>
          <w:sz w:val="20"/>
          <w:szCs w:val="20"/>
          <w:lang w:val="fr-CA" w:eastAsia="en-CA"/>
        </w:rPr>
      </w:pPr>
    </w:p>
    <w:p w:rsidR="002F3DF0" w:rsidRPr="002F3DF0" w:rsidRDefault="002F3DF0" w:rsidP="002F3DF0">
      <w:pPr>
        <w:spacing w:line="233" w:lineRule="auto"/>
        <w:jc w:val="both"/>
        <w:rPr>
          <w:rFonts w:eastAsia="Times New Roman" w:cs="Times New Roman"/>
          <w:sz w:val="20"/>
          <w:szCs w:val="20"/>
          <w:lang w:val="en-US" w:eastAsia="en-CA"/>
        </w:rPr>
      </w:pPr>
      <w:r w:rsidRPr="002F3DF0">
        <w:rPr>
          <w:rFonts w:eastAsia="Times New Roman" w:cs="Times New Roman"/>
          <w:b/>
          <w:bCs/>
          <w:sz w:val="20"/>
          <w:szCs w:val="20"/>
          <w:lang w:val="en-US" w:eastAsia="en-CA"/>
        </w:rPr>
        <w:t>UPON APPLICATION</w:t>
      </w:r>
      <w:r w:rsidRPr="002F3DF0">
        <w:rPr>
          <w:rFonts w:eastAsia="Times New Roman" w:cs="Times New Roman"/>
          <w:bCs/>
          <w:sz w:val="20"/>
          <w:szCs w:val="20"/>
          <w:lang w:val="en-US" w:eastAsia="en-CA"/>
        </w:rPr>
        <w:t xml:space="preserve"> by t</w:t>
      </w:r>
      <w:r w:rsidRPr="002F3DF0">
        <w:rPr>
          <w:rFonts w:eastAsia="Times New Roman" w:cs="Times New Roman"/>
          <w:sz w:val="20"/>
          <w:szCs w:val="20"/>
          <w:lang w:val="en-US" w:eastAsia="en-CA"/>
        </w:rPr>
        <w:t>he appellant for an extension of time to serve and file their record, factum and book of authorities to February 16, 2015;</w:t>
      </w:r>
    </w:p>
    <w:p w:rsidR="002F3DF0" w:rsidRPr="002F3DF0" w:rsidRDefault="002F3DF0" w:rsidP="002F3DF0">
      <w:pPr>
        <w:spacing w:line="233" w:lineRule="auto"/>
        <w:jc w:val="both"/>
        <w:rPr>
          <w:rFonts w:eastAsia="Times New Roman" w:cs="Times New Roman"/>
          <w:sz w:val="20"/>
          <w:szCs w:val="20"/>
          <w:lang w:val="en-US" w:eastAsia="en-CA"/>
        </w:rPr>
      </w:pPr>
    </w:p>
    <w:p w:rsidR="002F3DF0" w:rsidRPr="002F3DF0" w:rsidRDefault="002F3DF0" w:rsidP="002F3DF0">
      <w:pPr>
        <w:spacing w:line="233" w:lineRule="auto"/>
        <w:jc w:val="both"/>
        <w:rPr>
          <w:rFonts w:eastAsia="Times New Roman" w:cs="Times New Roman"/>
          <w:sz w:val="20"/>
          <w:szCs w:val="20"/>
          <w:lang w:val="en-US" w:eastAsia="en-CA"/>
        </w:rPr>
      </w:pPr>
      <w:r w:rsidRPr="002F3DF0">
        <w:rPr>
          <w:rFonts w:eastAsia="Times New Roman" w:cs="Times New Roman"/>
          <w:b/>
          <w:sz w:val="20"/>
          <w:szCs w:val="20"/>
          <w:lang w:val="en-US" w:eastAsia="en-CA"/>
        </w:rPr>
        <w:lastRenderedPageBreak/>
        <w:t>AND UPON APPLICATION</w:t>
      </w:r>
      <w:r w:rsidRPr="002F3DF0">
        <w:rPr>
          <w:rFonts w:eastAsia="Times New Roman" w:cs="Times New Roman"/>
          <w:sz w:val="20"/>
          <w:szCs w:val="20"/>
          <w:lang w:val="en-US" w:eastAsia="en-CA"/>
        </w:rPr>
        <w:t xml:space="preserve"> by the respondent for an order striking certain documents from the appellant’s record;</w:t>
      </w:r>
    </w:p>
    <w:p w:rsidR="002F3DF0" w:rsidRPr="002F3DF0" w:rsidRDefault="002F3DF0" w:rsidP="002F3DF0">
      <w:pPr>
        <w:spacing w:line="233" w:lineRule="auto"/>
        <w:jc w:val="both"/>
        <w:rPr>
          <w:rFonts w:eastAsia="Times New Roman" w:cs="Times New Roman"/>
          <w:sz w:val="20"/>
          <w:szCs w:val="20"/>
          <w:lang w:val="en-US" w:eastAsia="en-CA"/>
        </w:rPr>
      </w:pPr>
    </w:p>
    <w:p w:rsidR="002F3DF0" w:rsidRPr="002F3DF0" w:rsidRDefault="002F3DF0" w:rsidP="002F3DF0">
      <w:pPr>
        <w:spacing w:line="233" w:lineRule="auto"/>
        <w:jc w:val="both"/>
        <w:rPr>
          <w:rFonts w:eastAsia="Times New Roman" w:cs="Times New Roman"/>
          <w:sz w:val="20"/>
          <w:szCs w:val="20"/>
          <w:lang w:val="en-US" w:eastAsia="en-CA"/>
        </w:rPr>
      </w:pPr>
      <w:r w:rsidRPr="002F3DF0">
        <w:rPr>
          <w:rFonts w:eastAsia="Times New Roman" w:cs="Times New Roman"/>
          <w:b/>
          <w:bCs/>
          <w:sz w:val="20"/>
          <w:szCs w:val="20"/>
          <w:lang w:val="en-US" w:eastAsia="en-CA"/>
        </w:rPr>
        <w:t>AND THE MATERIAL FILED</w:t>
      </w:r>
      <w:r w:rsidRPr="002F3DF0">
        <w:rPr>
          <w:rFonts w:eastAsia="Times New Roman" w:cs="Times New Roman"/>
          <w:sz w:val="20"/>
          <w:szCs w:val="20"/>
          <w:lang w:val="en-US" w:eastAsia="en-CA"/>
        </w:rPr>
        <w:t xml:space="preserve"> having been read;</w:t>
      </w:r>
    </w:p>
    <w:p w:rsidR="002F3DF0" w:rsidRPr="002F3DF0" w:rsidRDefault="002F3DF0" w:rsidP="002F3DF0">
      <w:pPr>
        <w:spacing w:line="233" w:lineRule="auto"/>
        <w:jc w:val="both"/>
        <w:rPr>
          <w:rFonts w:eastAsia="Times New Roman" w:cs="Times New Roman"/>
          <w:sz w:val="20"/>
          <w:szCs w:val="20"/>
          <w:lang w:val="en-US" w:eastAsia="en-CA"/>
        </w:rPr>
      </w:pPr>
    </w:p>
    <w:p w:rsidR="002F3DF0" w:rsidRPr="002F3DF0" w:rsidRDefault="002F3DF0" w:rsidP="002F3DF0">
      <w:pPr>
        <w:spacing w:line="233" w:lineRule="auto"/>
        <w:jc w:val="both"/>
        <w:rPr>
          <w:rFonts w:eastAsia="Times New Roman" w:cs="Times New Roman"/>
          <w:sz w:val="20"/>
          <w:szCs w:val="20"/>
          <w:lang w:val="en-US" w:eastAsia="en-CA"/>
        </w:rPr>
      </w:pPr>
      <w:r w:rsidRPr="002F3DF0">
        <w:rPr>
          <w:rFonts w:eastAsia="Times New Roman" w:cs="Times New Roman"/>
          <w:b/>
          <w:bCs/>
          <w:sz w:val="20"/>
          <w:szCs w:val="20"/>
          <w:lang w:val="en-US" w:eastAsia="en-CA"/>
        </w:rPr>
        <w:t>IT IS HEREBY ORDERED THAT:</w:t>
      </w:r>
    </w:p>
    <w:p w:rsidR="002F3DF0" w:rsidRPr="002F3DF0" w:rsidRDefault="002F3DF0" w:rsidP="002F3DF0">
      <w:pPr>
        <w:spacing w:line="233" w:lineRule="auto"/>
        <w:jc w:val="both"/>
        <w:rPr>
          <w:rFonts w:eastAsia="Times New Roman" w:cs="Times New Roman"/>
          <w:sz w:val="20"/>
          <w:szCs w:val="20"/>
          <w:lang w:val="en-US" w:eastAsia="en-CA"/>
        </w:rPr>
      </w:pPr>
    </w:p>
    <w:p w:rsidR="002F3DF0" w:rsidRPr="002F3DF0" w:rsidRDefault="002F3DF0" w:rsidP="002F3DF0">
      <w:pPr>
        <w:spacing w:line="233" w:lineRule="auto"/>
        <w:ind w:left="720"/>
        <w:jc w:val="both"/>
        <w:rPr>
          <w:rFonts w:eastAsia="Times New Roman" w:cs="Times New Roman"/>
          <w:sz w:val="20"/>
          <w:szCs w:val="20"/>
          <w:lang w:val="en-US" w:eastAsia="en-CA"/>
        </w:rPr>
      </w:pPr>
      <w:r w:rsidRPr="002F3DF0">
        <w:rPr>
          <w:rFonts w:eastAsia="Times New Roman" w:cs="Times New Roman"/>
          <w:sz w:val="20"/>
          <w:szCs w:val="20"/>
          <w:lang w:val="en-US" w:eastAsia="en-CA"/>
        </w:rPr>
        <w:t>The motion for an extension of time is granted and the motion to strike is dismissed, without costs.</w:t>
      </w:r>
    </w:p>
    <w:p w:rsidR="002F3DF0" w:rsidRPr="002F3DF0" w:rsidRDefault="002F3DF0" w:rsidP="002F3DF0">
      <w:pPr>
        <w:spacing w:line="233" w:lineRule="auto"/>
        <w:jc w:val="both"/>
        <w:rPr>
          <w:rFonts w:eastAsia="Times New Roman" w:cs="Times New Roman"/>
          <w:sz w:val="20"/>
          <w:szCs w:val="20"/>
          <w:lang w:val="en-US" w:eastAsia="en-CA"/>
        </w:rPr>
      </w:pPr>
    </w:p>
    <w:p w:rsidR="002F3DF0" w:rsidRPr="002F3DF0" w:rsidRDefault="002F3DF0" w:rsidP="002F3DF0">
      <w:pPr>
        <w:spacing w:line="233" w:lineRule="auto"/>
        <w:jc w:val="both"/>
        <w:rPr>
          <w:rFonts w:eastAsia="Times New Roman" w:cs="Times New Roman"/>
          <w:sz w:val="20"/>
          <w:szCs w:val="20"/>
          <w:lang w:val="en-US" w:eastAsia="en-CA"/>
        </w:rPr>
      </w:pPr>
    </w:p>
    <w:p w:rsidR="002F3DF0" w:rsidRPr="002F3DF0" w:rsidRDefault="002F3DF0" w:rsidP="002F3DF0">
      <w:pPr>
        <w:spacing w:line="233" w:lineRule="auto"/>
        <w:jc w:val="both"/>
        <w:rPr>
          <w:rFonts w:eastAsia="Times New Roman" w:cs="Times New Roman"/>
          <w:sz w:val="20"/>
          <w:szCs w:val="20"/>
          <w:lang w:val="en-US" w:eastAsia="en-CA"/>
        </w:rPr>
      </w:pPr>
    </w:p>
    <w:p w:rsidR="002F3DF0" w:rsidRPr="002F3DF0" w:rsidRDefault="002F3DF0" w:rsidP="002F3DF0">
      <w:pPr>
        <w:spacing w:line="233" w:lineRule="auto"/>
        <w:jc w:val="both"/>
        <w:rPr>
          <w:rFonts w:eastAsia="Times New Roman" w:cs="Times New Roman"/>
          <w:sz w:val="20"/>
          <w:szCs w:val="20"/>
          <w:lang w:val="fr-CA" w:eastAsia="en-CA"/>
        </w:rPr>
      </w:pPr>
      <w:r w:rsidRPr="002F3DF0">
        <w:rPr>
          <w:rFonts w:eastAsia="Times New Roman" w:cs="Times New Roman"/>
          <w:b/>
          <w:sz w:val="20"/>
          <w:szCs w:val="20"/>
          <w:lang w:val="fr-CA" w:eastAsia="en-CA"/>
        </w:rPr>
        <w:t>À LA SUITE DE LA REQUÊTE</w:t>
      </w:r>
      <w:r w:rsidRPr="002F3DF0">
        <w:rPr>
          <w:rFonts w:eastAsia="Times New Roman" w:cs="Times New Roman"/>
          <w:sz w:val="20"/>
          <w:szCs w:val="20"/>
          <w:lang w:val="fr-CA" w:eastAsia="en-CA"/>
        </w:rPr>
        <w:t xml:space="preserve"> présentée par l’appelant en prorogation du délai pour signifier et déposer ses dossier, mémoire et recueil de sources jusqu’au 16 février 2015; </w:t>
      </w:r>
    </w:p>
    <w:p w:rsidR="002F3DF0" w:rsidRPr="002F3DF0" w:rsidRDefault="002F3DF0" w:rsidP="002F3DF0">
      <w:pPr>
        <w:spacing w:line="233" w:lineRule="auto"/>
        <w:jc w:val="both"/>
        <w:rPr>
          <w:rFonts w:eastAsia="Times New Roman" w:cs="Times New Roman"/>
          <w:sz w:val="20"/>
          <w:szCs w:val="20"/>
          <w:lang w:val="fr-CA" w:eastAsia="en-CA"/>
        </w:rPr>
      </w:pPr>
    </w:p>
    <w:p w:rsidR="002F3DF0" w:rsidRPr="002F3DF0" w:rsidRDefault="002F3DF0" w:rsidP="002F3DF0">
      <w:pPr>
        <w:spacing w:line="233" w:lineRule="auto"/>
        <w:jc w:val="both"/>
        <w:rPr>
          <w:rFonts w:eastAsia="Times New Roman" w:cs="Times New Roman"/>
          <w:sz w:val="20"/>
          <w:szCs w:val="20"/>
          <w:lang w:val="fr-CA" w:eastAsia="en-CA"/>
        </w:rPr>
      </w:pPr>
      <w:r w:rsidRPr="002F3DF0">
        <w:rPr>
          <w:rFonts w:eastAsia="Times New Roman" w:cs="Times New Roman"/>
          <w:b/>
          <w:sz w:val="20"/>
          <w:szCs w:val="20"/>
          <w:lang w:val="fr-CA" w:eastAsia="en-CA"/>
        </w:rPr>
        <w:t>ET À LA SUITE DE LA REQUÊTE</w:t>
      </w:r>
      <w:r w:rsidRPr="002F3DF0">
        <w:rPr>
          <w:rFonts w:eastAsia="Times New Roman" w:cs="Times New Roman"/>
          <w:sz w:val="20"/>
          <w:szCs w:val="20"/>
          <w:lang w:val="fr-CA" w:eastAsia="en-CA"/>
        </w:rPr>
        <w:t xml:space="preserve"> présentée par l’intimé pour que soit ordonné le retrait de certains documents du dossier de l’appelant;  </w:t>
      </w:r>
    </w:p>
    <w:p w:rsidR="002F3DF0" w:rsidRPr="002F3DF0" w:rsidRDefault="002F3DF0" w:rsidP="002F3DF0">
      <w:pPr>
        <w:spacing w:line="233" w:lineRule="auto"/>
        <w:jc w:val="both"/>
        <w:rPr>
          <w:rFonts w:eastAsia="Times New Roman" w:cs="Times New Roman"/>
          <w:sz w:val="20"/>
          <w:szCs w:val="20"/>
          <w:lang w:val="fr-CA" w:eastAsia="en-CA"/>
        </w:rPr>
      </w:pPr>
    </w:p>
    <w:p w:rsidR="002F3DF0" w:rsidRPr="002F3DF0" w:rsidRDefault="002F3DF0" w:rsidP="002F3DF0">
      <w:pPr>
        <w:spacing w:line="233" w:lineRule="auto"/>
        <w:jc w:val="both"/>
        <w:rPr>
          <w:rFonts w:eastAsia="Times New Roman" w:cs="Times New Roman"/>
          <w:sz w:val="20"/>
          <w:szCs w:val="20"/>
          <w:lang w:val="fr-CA" w:eastAsia="en-CA"/>
        </w:rPr>
      </w:pPr>
      <w:r w:rsidRPr="002F3DF0">
        <w:rPr>
          <w:rFonts w:eastAsia="Times New Roman" w:cs="Times New Roman"/>
          <w:b/>
          <w:sz w:val="20"/>
          <w:szCs w:val="20"/>
          <w:lang w:val="fr-CA" w:eastAsia="en-CA"/>
        </w:rPr>
        <w:t>ET APRÈS EXAMEN</w:t>
      </w:r>
      <w:r w:rsidRPr="002F3DF0">
        <w:rPr>
          <w:rFonts w:eastAsia="Times New Roman" w:cs="Times New Roman"/>
          <w:sz w:val="20"/>
          <w:szCs w:val="20"/>
          <w:lang w:val="fr-CA" w:eastAsia="en-CA"/>
        </w:rPr>
        <w:t xml:space="preserve"> des documents déposés; </w:t>
      </w:r>
    </w:p>
    <w:p w:rsidR="002F3DF0" w:rsidRPr="002F3DF0" w:rsidRDefault="002F3DF0" w:rsidP="002F3DF0">
      <w:pPr>
        <w:spacing w:line="233" w:lineRule="auto"/>
        <w:jc w:val="both"/>
        <w:rPr>
          <w:rFonts w:eastAsia="Times New Roman" w:cs="Times New Roman"/>
          <w:sz w:val="20"/>
          <w:szCs w:val="20"/>
          <w:lang w:val="fr-CA" w:eastAsia="en-CA"/>
        </w:rPr>
      </w:pPr>
    </w:p>
    <w:p w:rsidR="002F3DF0" w:rsidRPr="002F3DF0" w:rsidRDefault="002F3DF0" w:rsidP="002F3DF0">
      <w:pPr>
        <w:spacing w:line="233" w:lineRule="auto"/>
        <w:jc w:val="both"/>
        <w:rPr>
          <w:rFonts w:eastAsia="Times New Roman" w:cs="Times New Roman"/>
          <w:b/>
          <w:sz w:val="20"/>
          <w:szCs w:val="20"/>
          <w:lang w:val="fr-CA" w:eastAsia="en-CA"/>
        </w:rPr>
      </w:pPr>
      <w:r w:rsidRPr="002F3DF0">
        <w:rPr>
          <w:rFonts w:eastAsia="Times New Roman" w:cs="Times New Roman"/>
          <w:b/>
          <w:sz w:val="20"/>
          <w:szCs w:val="20"/>
          <w:lang w:val="fr-CA" w:eastAsia="en-CA"/>
        </w:rPr>
        <w:t xml:space="preserve">IL EST ORDONNÉ CE QUI SUIT : </w:t>
      </w:r>
    </w:p>
    <w:p w:rsidR="002F3DF0" w:rsidRPr="002F3DF0" w:rsidRDefault="002F3DF0" w:rsidP="002F3DF0">
      <w:pPr>
        <w:spacing w:line="233" w:lineRule="auto"/>
        <w:jc w:val="both"/>
        <w:rPr>
          <w:rFonts w:eastAsia="Times New Roman" w:cs="Times New Roman"/>
          <w:sz w:val="20"/>
          <w:szCs w:val="20"/>
          <w:lang w:val="fr-CA" w:eastAsia="en-CA"/>
        </w:rPr>
      </w:pPr>
    </w:p>
    <w:p w:rsidR="002F3DF0" w:rsidRPr="002F3DF0" w:rsidRDefault="002F3DF0" w:rsidP="002F3DF0">
      <w:pPr>
        <w:spacing w:line="233" w:lineRule="auto"/>
        <w:ind w:firstLine="720"/>
        <w:jc w:val="both"/>
        <w:rPr>
          <w:rFonts w:eastAsia="Times New Roman" w:cs="Times New Roman"/>
          <w:sz w:val="20"/>
          <w:szCs w:val="20"/>
          <w:lang w:val="fr-CA" w:eastAsia="en-CA"/>
        </w:rPr>
      </w:pPr>
      <w:r w:rsidRPr="002F3DF0">
        <w:rPr>
          <w:rFonts w:eastAsia="Times New Roman" w:cs="Times New Roman"/>
          <w:sz w:val="20"/>
          <w:szCs w:val="20"/>
          <w:lang w:val="fr-CA" w:eastAsia="en-CA"/>
        </w:rPr>
        <w:t>La requête en prorogation de délai est accueillie et celle visant le retrait de documents est rejetée, sans dépens.</w:t>
      </w:r>
    </w:p>
    <w:p w:rsidR="002F3DF0" w:rsidRPr="002F3DF0" w:rsidRDefault="002F3DF0" w:rsidP="002F3DF0">
      <w:pPr>
        <w:tabs>
          <w:tab w:val="left" w:pos="-1440"/>
          <w:tab w:val="left" w:pos="-720"/>
        </w:tabs>
        <w:jc w:val="both"/>
        <w:rPr>
          <w:rFonts w:eastAsia="Times New Roman" w:cs="Times New Roman"/>
          <w:sz w:val="20"/>
          <w:szCs w:val="20"/>
          <w:lang w:val="fr-CA" w:eastAsia="en-CA"/>
        </w:rPr>
      </w:pPr>
    </w:p>
    <w:p w:rsidR="002F3DF0" w:rsidRPr="002F3DF0" w:rsidRDefault="00790981" w:rsidP="002F3DF0">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8" style="width:2in;height:1pt" o:hrpct="0" o:hralign="center" o:hrstd="t" o:hrnoshade="t" o:hr="t" fillcolor="black [3213]" stroked="f"/>
        </w:pict>
      </w:r>
    </w:p>
    <w:p w:rsidR="002F3DF0" w:rsidRPr="002F3DF0" w:rsidRDefault="002F3DF0" w:rsidP="002F3DF0">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326"/>
        </w:sectPr>
      </w:pPr>
    </w:p>
    <w:p w:rsidR="008112A9" w:rsidRPr="002E0C7E" w:rsidRDefault="002D1795"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B243C4">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243C4">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243C4">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243C4">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243C4">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243C4">
            <w:pPr>
              <w:widowControl w:val="0"/>
              <w:jc w:val="center"/>
              <w:rPr>
                <w:rFonts w:ascii="Arial" w:hAnsi="Arial"/>
                <w:sz w:val="14"/>
              </w:rPr>
            </w:pPr>
            <w:r w:rsidRPr="002E0C7E">
              <w:rPr>
                <w:rFonts w:ascii="Arial" w:hAnsi="Arial"/>
                <w:b/>
                <w:sz w:val="14"/>
              </w:rPr>
              <w:t>DECEMBER - DÉCEMBRE</w:t>
            </w:r>
          </w:p>
        </w:tc>
      </w:tr>
      <w:tr w:rsidR="008112A9" w:rsidRPr="002E0C7E" w:rsidTr="00B243C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M</w:t>
            </w:r>
          </w:p>
          <w:p w:rsidR="008112A9" w:rsidRPr="002E0C7E" w:rsidRDefault="008112A9" w:rsidP="00B243C4">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W</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F</w:t>
            </w:r>
          </w:p>
          <w:p w:rsidR="008112A9" w:rsidRPr="002E0C7E" w:rsidRDefault="008112A9" w:rsidP="00B243C4">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M</w:t>
            </w:r>
          </w:p>
          <w:p w:rsidR="008112A9" w:rsidRPr="002E0C7E" w:rsidRDefault="008112A9" w:rsidP="00B243C4">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W</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F</w:t>
            </w:r>
          </w:p>
          <w:p w:rsidR="008112A9" w:rsidRPr="002E0C7E" w:rsidRDefault="008112A9" w:rsidP="00B243C4">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M</w:t>
            </w:r>
          </w:p>
          <w:p w:rsidR="008112A9" w:rsidRPr="002E0C7E" w:rsidRDefault="008112A9" w:rsidP="00B243C4">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W</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F</w:t>
            </w:r>
          </w:p>
          <w:p w:rsidR="008112A9" w:rsidRPr="002E0C7E" w:rsidRDefault="008112A9" w:rsidP="00B243C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S</w:t>
            </w:r>
          </w:p>
        </w:tc>
      </w:tr>
      <w:tr w:rsidR="008112A9" w:rsidRPr="002E0C7E" w:rsidTr="00B243C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B243C4">
            <w:pPr>
              <w:widowControl w:val="0"/>
              <w:jc w:val="center"/>
              <w:rPr>
                <w:rFonts w:ascii="Arial" w:hAnsi="Arial"/>
                <w:b/>
                <w:sz w:val="14"/>
              </w:rPr>
            </w:pPr>
            <w:r>
              <w:rPr>
                <w:rFonts w:ascii="Arial" w:hAnsi="Arial"/>
                <w:b/>
                <w:sz w:val="14"/>
              </w:rPr>
              <w:t>M</w:t>
            </w:r>
          </w:p>
          <w:p w:rsidR="008112A9" w:rsidRPr="002E0C7E" w:rsidRDefault="008112A9" w:rsidP="00B243C4">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6</w:t>
            </w:r>
          </w:p>
        </w:tc>
      </w:tr>
      <w:tr w:rsidR="008112A9" w:rsidRPr="002E0C7E" w:rsidTr="00B243C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B243C4">
            <w:pPr>
              <w:widowControl w:val="0"/>
              <w:jc w:val="center"/>
              <w:rPr>
                <w:rFonts w:ascii="Arial" w:hAnsi="Arial"/>
                <w:b/>
                <w:sz w:val="14"/>
              </w:rPr>
            </w:pPr>
            <w:r>
              <w:rPr>
                <w:rFonts w:ascii="Arial" w:hAnsi="Arial"/>
                <w:b/>
                <w:sz w:val="14"/>
              </w:rPr>
              <w:t>M</w:t>
            </w:r>
          </w:p>
          <w:p w:rsidR="008112A9" w:rsidRPr="002E0C7E" w:rsidRDefault="008112A9" w:rsidP="00B243C4">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B243C4">
            <w:pPr>
              <w:widowControl w:val="0"/>
              <w:jc w:val="center"/>
              <w:rPr>
                <w:rFonts w:ascii="Arial" w:hAnsi="Arial"/>
                <w:b/>
                <w:sz w:val="14"/>
              </w:rPr>
            </w:pPr>
          </w:p>
          <w:p w:rsidR="008112A9" w:rsidRPr="002E0C7E" w:rsidRDefault="008112A9" w:rsidP="00B243C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b/>
                <w:sz w:val="14"/>
              </w:rPr>
              <w:t>M</w:t>
            </w:r>
          </w:p>
          <w:p w:rsidR="008112A9" w:rsidRPr="002E0C7E" w:rsidRDefault="008112A9" w:rsidP="00B243C4">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13</w:t>
            </w:r>
          </w:p>
        </w:tc>
      </w:tr>
      <w:tr w:rsidR="008112A9" w:rsidRPr="002E0C7E" w:rsidTr="00B243C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B243C4">
            <w:pPr>
              <w:widowControl w:val="0"/>
              <w:jc w:val="center"/>
              <w:rPr>
                <w:rFonts w:ascii="Arial" w:hAnsi="Arial"/>
                <w:b/>
                <w:sz w:val="14"/>
              </w:rPr>
            </w:pPr>
            <w:r>
              <w:rPr>
                <w:rFonts w:ascii="Arial" w:hAnsi="Arial"/>
                <w:b/>
                <w:sz w:val="14"/>
              </w:rPr>
              <w:t>H</w:t>
            </w: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B243C4">
            <w:pPr>
              <w:widowControl w:val="0"/>
              <w:jc w:val="center"/>
              <w:rPr>
                <w:rFonts w:ascii="Arial" w:hAnsi="Arial"/>
                <w:b/>
                <w:sz w:val="14"/>
              </w:rPr>
            </w:pPr>
            <w:r w:rsidRPr="004F066E">
              <w:rPr>
                <w:rFonts w:ascii="Arial" w:hAnsi="Arial"/>
                <w:b/>
                <w:sz w:val="14"/>
              </w:rPr>
              <w:t>H</w:t>
            </w:r>
          </w:p>
          <w:p w:rsidR="008112A9" w:rsidRPr="002E0C7E" w:rsidRDefault="008112A9" w:rsidP="00B243C4">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20</w:t>
            </w:r>
          </w:p>
        </w:tc>
      </w:tr>
      <w:tr w:rsidR="008112A9" w:rsidRPr="002E0C7E" w:rsidTr="00B243C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B243C4">
            <w:pPr>
              <w:widowControl w:val="0"/>
              <w:jc w:val="center"/>
              <w:rPr>
                <w:rFonts w:ascii="Arial" w:hAnsi="Arial"/>
                <w:b/>
                <w:sz w:val="14"/>
              </w:rPr>
            </w:pPr>
          </w:p>
          <w:p w:rsidR="008112A9" w:rsidRPr="002E0C7E" w:rsidRDefault="008112A9" w:rsidP="00B243C4">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B243C4">
            <w:pPr>
              <w:widowControl w:val="0"/>
              <w:jc w:val="center"/>
              <w:rPr>
                <w:rFonts w:ascii="Arial" w:hAnsi="Arial"/>
                <w:b/>
                <w:sz w:val="14"/>
              </w:rPr>
            </w:pPr>
            <w:r>
              <w:rPr>
                <w:rFonts w:ascii="Arial" w:hAnsi="Arial"/>
                <w:b/>
                <w:sz w:val="14"/>
              </w:rPr>
              <w:t>H</w:t>
            </w:r>
          </w:p>
          <w:p w:rsidR="008112A9" w:rsidRPr="002E0C7E" w:rsidRDefault="008112A9" w:rsidP="00B243C4">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B243C4">
            <w:pPr>
              <w:widowControl w:val="0"/>
              <w:jc w:val="center"/>
              <w:rPr>
                <w:rFonts w:ascii="Arial" w:hAnsi="Arial"/>
                <w:b/>
                <w:sz w:val="14"/>
              </w:rPr>
            </w:pPr>
            <w:r>
              <w:rPr>
                <w:rFonts w:ascii="Arial" w:hAnsi="Arial"/>
                <w:b/>
                <w:sz w:val="14"/>
              </w:rPr>
              <w:t>H</w:t>
            </w:r>
          </w:p>
          <w:p w:rsidR="008112A9" w:rsidRPr="002E0C7E" w:rsidRDefault="008112A9" w:rsidP="00B243C4">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B243C4">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B243C4">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B243C4">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B243C4">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243C4">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243C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243C4">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243C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243C4">
            <w:pPr>
              <w:widowControl w:val="0"/>
              <w:jc w:val="center"/>
              <w:rPr>
                <w:rFonts w:ascii="Arial" w:hAnsi="Arial"/>
                <w:sz w:val="14"/>
              </w:rPr>
            </w:pPr>
            <w:r w:rsidRPr="002E0C7E">
              <w:rPr>
                <w:rFonts w:ascii="Arial" w:hAnsi="Arial"/>
                <w:b/>
                <w:sz w:val="14"/>
              </w:rPr>
              <w:t>MARCH - MARS</w:t>
            </w:r>
          </w:p>
        </w:tc>
      </w:tr>
      <w:tr w:rsidR="008112A9" w:rsidRPr="002E0C7E" w:rsidTr="00B243C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M</w:t>
            </w:r>
          </w:p>
          <w:p w:rsidR="008112A9" w:rsidRPr="002E0C7E" w:rsidRDefault="008112A9" w:rsidP="00B243C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W</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F</w:t>
            </w:r>
          </w:p>
          <w:p w:rsidR="008112A9" w:rsidRPr="002E0C7E" w:rsidRDefault="008112A9" w:rsidP="00B243C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M</w:t>
            </w:r>
          </w:p>
          <w:p w:rsidR="008112A9" w:rsidRPr="002E0C7E" w:rsidRDefault="008112A9" w:rsidP="00B243C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W</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F</w:t>
            </w:r>
          </w:p>
          <w:p w:rsidR="008112A9" w:rsidRPr="002E0C7E" w:rsidRDefault="008112A9" w:rsidP="00B243C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M</w:t>
            </w:r>
          </w:p>
          <w:p w:rsidR="008112A9" w:rsidRPr="002E0C7E" w:rsidRDefault="008112A9" w:rsidP="00B243C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W</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F</w:t>
            </w:r>
          </w:p>
          <w:p w:rsidR="008112A9" w:rsidRPr="002E0C7E" w:rsidRDefault="008112A9" w:rsidP="00B243C4">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S</w:t>
            </w:r>
          </w:p>
        </w:tc>
      </w:tr>
      <w:tr w:rsidR="008112A9" w:rsidRPr="002E0C7E" w:rsidTr="00B243C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B243C4">
            <w:pPr>
              <w:widowControl w:val="0"/>
              <w:jc w:val="center"/>
              <w:rPr>
                <w:rFonts w:ascii="Arial" w:hAnsi="Arial"/>
                <w:b/>
                <w:sz w:val="14"/>
              </w:rPr>
            </w:pPr>
          </w:p>
          <w:p w:rsidR="008112A9" w:rsidRPr="002E0C7E" w:rsidRDefault="008112A9" w:rsidP="00B243C4">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B243C4">
            <w:pPr>
              <w:widowControl w:val="0"/>
              <w:jc w:val="center"/>
              <w:rPr>
                <w:rFonts w:ascii="Arial" w:hAnsi="Arial"/>
                <w:b/>
                <w:sz w:val="14"/>
              </w:rPr>
            </w:pPr>
          </w:p>
          <w:p w:rsidR="008112A9" w:rsidRPr="002E0C7E" w:rsidRDefault="008112A9" w:rsidP="00B243C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B243C4">
            <w:pPr>
              <w:widowControl w:val="0"/>
              <w:jc w:val="center"/>
              <w:rPr>
                <w:rFonts w:ascii="Arial" w:hAnsi="Arial"/>
                <w:b/>
                <w:sz w:val="14"/>
              </w:rPr>
            </w:pPr>
            <w:r w:rsidRPr="004F066E">
              <w:rPr>
                <w:rFonts w:ascii="Arial" w:hAnsi="Arial"/>
                <w:b/>
                <w:sz w:val="14"/>
              </w:rPr>
              <w:t>H</w:t>
            </w:r>
          </w:p>
          <w:p w:rsidR="008112A9" w:rsidRPr="002E0C7E" w:rsidRDefault="008112A9" w:rsidP="00B243C4">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7</w:t>
            </w:r>
          </w:p>
        </w:tc>
      </w:tr>
      <w:tr w:rsidR="008112A9" w:rsidRPr="002E0C7E" w:rsidTr="00B243C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B243C4">
            <w:pPr>
              <w:widowControl w:val="0"/>
              <w:jc w:val="center"/>
              <w:rPr>
                <w:rFonts w:ascii="Arial" w:hAnsi="Arial"/>
                <w:b/>
                <w:sz w:val="14"/>
              </w:rPr>
            </w:pPr>
            <w:r>
              <w:rPr>
                <w:rFonts w:ascii="Arial" w:hAnsi="Arial"/>
                <w:b/>
                <w:sz w:val="14"/>
              </w:rPr>
              <w:t>M</w:t>
            </w:r>
          </w:p>
          <w:p w:rsidR="008112A9" w:rsidRPr="002E0C7E" w:rsidRDefault="008112A9" w:rsidP="00B243C4">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14</w:t>
            </w:r>
          </w:p>
        </w:tc>
      </w:tr>
      <w:tr w:rsidR="008112A9" w:rsidRPr="002E0C7E" w:rsidTr="00B243C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B243C4">
            <w:pPr>
              <w:widowControl w:val="0"/>
              <w:jc w:val="center"/>
              <w:rPr>
                <w:rFonts w:ascii="Arial" w:hAnsi="Arial"/>
                <w:b/>
                <w:sz w:val="14"/>
              </w:rPr>
            </w:pPr>
            <w:r>
              <w:rPr>
                <w:rFonts w:ascii="Arial" w:hAnsi="Arial"/>
                <w:b/>
                <w:sz w:val="14"/>
              </w:rPr>
              <w:t>M</w:t>
            </w: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B243C4">
            <w:pPr>
              <w:widowControl w:val="0"/>
              <w:jc w:val="center"/>
              <w:rPr>
                <w:rFonts w:ascii="Arial" w:hAnsi="Arial"/>
                <w:b/>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B243C4">
            <w:pPr>
              <w:widowControl w:val="0"/>
              <w:jc w:val="center"/>
              <w:rPr>
                <w:rFonts w:ascii="Arial" w:hAnsi="Arial"/>
                <w:b/>
                <w:sz w:val="14"/>
              </w:rPr>
            </w:pPr>
            <w:r w:rsidRPr="009900C5">
              <w:rPr>
                <w:rFonts w:ascii="Arial" w:hAnsi="Arial"/>
                <w:b/>
                <w:sz w:val="14"/>
              </w:rPr>
              <w:t>M</w:t>
            </w: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B243C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B243C4">
            <w:pPr>
              <w:widowControl w:val="0"/>
              <w:jc w:val="center"/>
              <w:rPr>
                <w:rFonts w:ascii="Arial" w:hAnsi="Arial"/>
                <w:b/>
                <w:sz w:val="14"/>
              </w:rPr>
            </w:pPr>
          </w:p>
          <w:p w:rsidR="008112A9" w:rsidRPr="002E0C7E" w:rsidRDefault="008112A9" w:rsidP="00B243C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B243C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B243C4">
            <w:pPr>
              <w:widowControl w:val="0"/>
              <w:jc w:val="center"/>
              <w:rPr>
                <w:rFonts w:ascii="Arial" w:hAnsi="Arial"/>
                <w:b/>
                <w:sz w:val="14"/>
              </w:rPr>
            </w:pPr>
          </w:p>
          <w:p w:rsidR="008112A9" w:rsidRPr="002E0C7E" w:rsidRDefault="008112A9" w:rsidP="00B243C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B243C4">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243C4">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243C4">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243C4">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243C4">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243C4">
            <w:pPr>
              <w:widowControl w:val="0"/>
              <w:jc w:val="center"/>
              <w:rPr>
                <w:rFonts w:ascii="Arial" w:hAnsi="Arial"/>
                <w:sz w:val="14"/>
              </w:rPr>
            </w:pPr>
            <w:r w:rsidRPr="002E0C7E">
              <w:rPr>
                <w:rFonts w:ascii="Arial" w:hAnsi="Arial"/>
                <w:b/>
                <w:sz w:val="14"/>
              </w:rPr>
              <w:t>JUNE - JUIN</w:t>
            </w:r>
          </w:p>
        </w:tc>
      </w:tr>
      <w:tr w:rsidR="008112A9" w:rsidRPr="002E0C7E" w:rsidTr="00B243C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M</w:t>
            </w:r>
          </w:p>
          <w:p w:rsidR="008112A9" w:rsidRPr="002E0C7E" w:rsidRDefault="008112A9" w:rsidP="00B243C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W</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F</w:t>
            </w:r>
          </w:p>
          <w:p w:rsidR="008112A9" w:rsidRPr="002E0C7E" w:rsidRDefault="008112A9" w:rsidP="00B243C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M</w:t>
            </w:r>
          </w:p>
          <w:p w:rsidR="008112A9" w:rsidRPr="002E0C7E" w:rsidRDefault="008112A9" w:rsidP="00B243C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W</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F</w:t>
            </w:r>
          </w:p>
          <w:p w:rsidR="008112A9" w:rsidRPr="002E0C7E" w:rsidRDefault="008112A9" w:rsidP="00B243C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S</w:t>
            </w:r>
          </w:p>
          <w:p w:rsidR="008112A9" w:rsidRPr="002E0C7E" w:rsidRDefault="008112A9" w:rsidP="00B243C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M</w:t>
            </w:r>
          </w:p>
          <w:p w:rsidR="008112A9" w:rsidRPr="002E0C7E" w:rsidRDefault="008112A9" w:rsidP="00B243C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W</w:t>
            </w:r>
          </w:p>
          <w:p w:rsidR="008112A9" w:rsidRPr="002E0C7E" w:rsidRDefault="008112A9" w:rsidP="00B243C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T</w:t>
            </w:r>
          </w:p>
          <w:p w:rsidR="008112A9" w:rsidRPr="002E0C7E" w:rsidRDefault="008112A9" w:rsidP="00B243C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sidRPr="002E0C7E">
              <w:rPr>
                <w:rFonts w:ascii="Arial" w:hAnsi="Arial"/>
                <w:sz w:val="14"/>
              </w:rPr>
              <w:t>F</w:t>
            </w:r>
          </w:p>
          <w:p w:rsidR="008112A9" w:rsidRPr="002E0C7E" w:rsidRDefault="008112A9" w:rsidP="00B243C4">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r>
              <w:rPr>
                <w:rFonts w:ascii="Arial" w:hAnsi="Arial"/>
                <w:sz w:val="14"/>
              </w:rPr>
              <w:t>S</w:t>
            </w:r>
          </w:p>
          <w:p w:rsidR="008112A9" w:rsidRPr="002E0C7E" w:rsidRDefault="008112A9" w:rsidP="00B243C4">
            <w:pPr>
              <w:widowControl w:val="0"/>
              <w:jc w:val="center"/>
              <w:rPr>
                <w:rFonts w:ascii="Arial" w:hAnsi="Arial"/>
                <w:sz w:val="14"/>
              </w:rPr>
            </w:pPr>
            <w:r>
              <w:rPr>
                <w:rFonts w:ascii="Arial" w:hAnsi="Arial"/>
                <w:sz w:val="14"/>
              </w:rPr>
              <w:t>S</w:t>
            </w:r>
          </w:p>
        </w:tc>
      </w:tr>
      <w:tr w:rsidR="008112A9" w:rsidRPr="002E0C7E" w:rsidTr="00B243C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B243C4">
            <w:pPr>
              <w:widowControl w:val="0"/>
              <w:jc w:val="center"/>
              <w:rPr>
                <w:rFonts w:ascii="Arial" w:hAnsi="Arial"/>
                <w:b/>
                <w:sz w:val="14"/>
              </w:rPr>
            </w:pPr>
            <w:r>
              <w:rPr>
                <w:rFonts w:ascii="Arial" w:hAnsi="Arial"/>
                <w:b/>
                <w:sz w:val="14"/>
              </w:rPr>
              <w:t>H</w:t>
            </w:r>
          </w:p>
          <w:p w:rsidR="008112A9" w:rsidRPr="002E0C7E" w:rsidRDefault="008112A9" w:rsidP="00B243C4">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b/>
                <w:sz w:val="14"/>
              </w:rPr>
            </w:pPr>
          </w:p>
          <w:p w:rsidR="008112A9" w:rsidRPr="002E0C7E" w:rsidRDefault="008112A9" w:rsidP="00B243C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6</w:t>
            </w:r>
          </w:p>
        </w:tc>
      </w:tr>
      <w:tr w:rsidR="008112A9" w:rsidRPr="002E0C7E" w:rsidTr="00B243C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B243C4">
            <w:pPr>
              <w:widowControl w:val="0"/>
              <w:jc w:val="center"/>
              <w:rPr>
                <w:rFonts w:ascii="Arial" w:hAnsi="Arial"/>
                <w:b/>
                <w:sz w:val="14"/>
              </w:rPr>
            </w:pPr>
            <w:r>
              <w:rPr>
                <w:rFonts w:ascii="Arial" w:hAnsi="Arial"/>
                <w:b/>
                <w:sz w:val="14"/>
              </w:rPr>
              <w:t>H</w:t>
            </w:r>
          </w:p>
          <w:p w:rsidR="008112A9" w:rsidRPr="002E0C7E" w:rsidRDefault="008112A9" w:rsidP="00B243C4">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B243C4">
            <w:pPr>
              <w:widowControl w:val="0"/>
              <w:jc w:val="center"/>
              <w:rPr>
                <w:rFonts w:ascii="Arial" w:hAnsi="Arial"/>
                <w:b/>
                <w:sz w:val="14"/>
              </w:rPr>
            </w:pPr>
            <w:r>
              <w:rPr>
                <w:rFonts w:ascii="Arial" w:hAnsi="Arial"/>
                <w:b/>
                <w:sz w:val="14"/>
              </w:rPr>
              <w:t>M</w:t>
            </w:r>
          </w:p>
          <w:p w:rsidR="008112A9" w:rsidRPr="002E0C7E" w:rsidRDefault="008112A9" w:rsidP="00B243C4">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13</w:t>
            </w:r>
          </w:p>
        </w:tc>
      </w:tr>
      <w:tr w:rsidR="008112A9" w:rsidRPr="002E0C7E" w:rsidTr="00B243C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B243C4">
            <w:pPr>
              <w:widowControl w:val="0"/>
              <w:jc w:val="center"/>
              <w:rPr>
                <w:rFonts w:ascii="Arial" w:hAnsi="Arial"/>
                <w:b/>
                <w:sz w:val="14"/>
              </w:rPr>
            </w:pPr>
            <w:r>
              <w:rPr>
                <w:rFonts w:ascii="Arial" w:hAnsi="Arial"/>
                <w:b/>
                <w:sz w:val="14"/>
              </w:rPr>
              <w:t>M</w:t>
            </w: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B243C4">
            <w:pPr>
              <w:widowControl w:val="0"/>
              <w:jc w:val="center"/>
              <w:rPr>
                <w:rFonts w:ascii="Arial" w:hAnsi="Arial"/>
                <w:b/>
                <w:sz w:val="14"/>
              </w:rPr>
            </w:pPr>
          </w:p>
          <w:p w:rsidR="008112A9" w:rsidRPr="002E0C7E" w:rsidRDefault="008112A9" w:rsidP="00B243C4">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B243C4">
            <w:pPr>
              <w:widowControl w:val="0"/>
              <w:jc w:val="center"/>
              <w:rPr>
                <w:rFonts w:ascii="Arial" w:hAnsi="Arial"/>
                <w:b/>
                <w:sz w:val="14"/>
              </w:rPr>
            </w:pPr>
            <w:r w:rsidRPr="002453E3">
              <w:rPr>
                <w:rFonts w:ascii="Arial" w:hAnsi="Arial"/>
                <w:b/>
                <w:sz w:val="14"/>
              </w:rPr>
              <w:t>M</w:t>
            </w: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20</w:t>
            </w:r>
          </w:p>
        </w:tc>
      </w:tr>
      <w:tr w:rsidR="008112A9" w:rsidRPr="002E0C7E" w:rsidTr="00B243C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B243C4">
            <w:pPr>
              <w:widowControl w:val="0"/>
              <w:jc w:val="center"/>
              <w:rPr>
                <w:rFonts w:ascii="Arial" w:hAnsi="Arial"/>
                <w:b/>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B243C4">
            <w:pPr>
              <w:widowControl w:val="0"/>
              <w:jc w:val="center"/>
              <w:rPr>
                <w:rFonts w:ascii="Arial" w:hAnsi="Arial"/>
                <w:b/>
                <w:sz w:val="14"/>
              </w:rPr>
            </w:pPr>
            <w:r>
              <w:rPr>
                <w:rFonts w:ascii="Arial" w:hAnsi="Arial"/>
                <w:b/>
                <w:sz w:val="14"/>
              </w:rPr>
              <w:t>H</w:t>
            </w:r>
          </w:p>
          <w:p w:rsidR="008112A9" w:rsidRPr="002E0C7E" w:rsidRDefault="008112A9" w:rsidP="00B243C4">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B243C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B243C4">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B243C4">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243C4">
            <w:pPr>
              <w:widowControl w:val="0"/>
              <w:jc w:val="center"/>
              <w:rPr>
                <w:rFonts w:ascii="Arial" w:hAnsi="Arial"/>
                <w:sz w:val="14"/>
              </w:rPr>
            </w:pPr>
          </w:p>
          <w:p w:rsidR="008112A9" w:rsidRPr="002E0C7E" w:rsidRDefault="008112A9" w:rsidP="00B243C4">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B243C4">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B243C4">
            <w:pPr>
              <w:widowControl w:val="0"/>
              <w:rPr>
                <w:rFonts w:ascii="Arial" w:hAnsi="Arial"/>
                <w:sz w:val="16"/>
              </w:rPr>
            </w:pPr>
            <w:r w:rsidRPr="002E0C7E">
              <w:rPr>
                <w:rFonts w:ascii="Arial" w:hAnsi="Arial"/>
                <w:sz w:val="16"/>
              </w:rPr>
              <w:t>Sittings of the court:</w:t>
            </w:r>
          </w:p>
          <w:p w:rsidR="008112A9" w:rsidRPr="002E0C7E" w:rsidRDefault="008112A9" w:rsidP="00B243C4">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B243C4">
            <w:pPr>
              <w:widowControl w:val="0"/>
              <w:rPr>
                <w:rFonts w:ascii="Arial" w:hAnsi="Arial"/>
                <w:sz w:val="16"/>
              </w:rPr>
            </w:pPr>
          </w:p>
          <w:p w:rsidR="008112A9" w:rsidRPr="002E0C7E" w:rsidRDefault="008112A9" w:rsidP="00B243C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B243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B243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B243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B243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B243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B243C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B243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B243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B243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B243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B243C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B243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B243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B243C4">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B243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3"/>
      <w:footerReference w:type="default" r:id="rId8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DF0" w:rsidRDefault="002F3DF0" w:rsidP="00A87207">
      <w:r>
        <w:separator/>
      </w:r>
    </w:p>
  </w:endnote>
  <w:endnote w:type="continuationSeparator" w:id="0">
    <w:p w:rsidR="002F3DF0" w:rsidRDefault="002F3DF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2F3DF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790981">
    <w:pPr>
      <w:pStyle w:val="Footer"/>
      <w:rPr>
        <w:lang w:val="fr-CA"/>
      </w:rPr>
    </w:pPr>
    <w:r>
      <w:rPr>
        <w:lang w:val="fr-CA"/>
      </w:rPr>
      <w:pict>
        <v:rect id="_x0000_i1062" style="width:480.95pt;height:1pt" o:hralign="center" o:hrstd="t" o:hrnoshade="t" o:hr="t" fillcolor="black [3213]" stroked="f"/>
      </w:pict>
    </w:r>
  </w:p>
  <w:p w:rsidR="002F3DF0" w:rsidRDefault="002F3DF0" w:rsidP="00245129">
    <w:pPr>
      <w:tabs>
        <w:tab w:val="center" w:pos="4680"/>
      </w:tabs>
    </w:pPr>
    <w:r>
      <w:tab/>
    </w:r>
    <w:r w:rsidRPr="0009648D">
      <w:t xml:space="preserve">- </w:t>
    </w:r>
    <w:r w:rsidR="006B03FF">
      <w:fldChar w:fldCharType="begin"/>
    </w:r>
    <w:r w:rsidR="006B03FF">
      <w:instrText xml:space="preserve"> PAGE   \* MERGEFORMAT </w:instrText>
    </w:r>
    <w:r w:rsidR="006B03FF">
      <w:fldChar w:fldCharType="separate"/>
    </w:r>
    <w:r w:rsidR="00790981">
      <w:rPr>
        <w:noProof/>
      </w:rPr>
      <w:t>601</w:t>
    </w:r>
    <w:r w:rsidR="006B03FF">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2F3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F3DF0" w:rsidRDefault="002F3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F3DF0" w:rsidRDefault="002F3DF0">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790981" w:rsidP="00755F22">
    <w:pPr>
      <w:tabs>
        <w:tab w:val="left" w:pos="-1440"/>
        <w:tab w:val="left" w:pos="-720"/>
      </w:tabs>
    </w:pPr>
    <w:r>
      <w:pict>
        <v:rect id="_x0000_i1069" style="width:480.95pt;height:1pt" o:hralign="center" o:hrstd="t" o:hrnoshade="t" o:hr="t" fillcolor="black [3213]" stroked="f"/>
      </w:pict>
    </w:r>
  </w:p>
  <w:p w:rsidR="002F3DF0" w:rsidRDefault="002F3DF0" w:rsidP="00EB2B90">
    <w:pPr>
      <w:tabs>
        <w:tab w:val="center" w:pos="4680"/>
      </w:tabs>
    </w:pPr>
    <w:r>
      <w:tab/>
      <w:t xml:space="preserve">- </w:t>
    </w:r>
    <w:r w:rsidR="006B03FF">
      <w:fldChar w:fldCharType="begin"/>
    </w:r>
    <w:r w:rsidR="006B03FF">
      <w:instrText xml:space="preserve"> PAGE   \* MERGEFORMAT </w:instrText>
    </w:r>
    <w:r w:rsidR="006B03FF">
      <w:fldChar w:fldCharType="separate"/>
    </w:r>
    <w:r w:rsidR="00790981">
      <w:rPr>
        <w:noProof/>
      </w:rPr>
      <w:t>632</w:t>
    </w:r>
    <w:r w:rsidR="006B03FF">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790981" w:rsidP="00EB2B90">
    <w:pPr>
      <w:tabs>
        <w:tab w:val="center" w:pos="4680"/>
      </w:tabs>
    </w:pPr>
    <w:r>
      <w:pict>
        <v:rect id="_x0000_i1070" style="width:480.95pt;height:1pt" o:hralign="center" o:hrstd="t" o:hrnoshade="t" o:hr="t" fillcolor="black [3213]" stroked="f"/>
      </w:pict>
    </w:r>
  </w:p>
  <w:p w:rsidR="002F3DF0" w:rsidRPr="0031432F" w:rsidRDefault="002F3DF0" w:rsidP="00EB2B90">
    <w:pPr>
      <w:tabs>
        <w:tab w:val="center" w:pos="4680"/>
      </w:tabs>
    </w:pPr>
    <w:r>
      <w:tab/>
      <w:t xml:space="preserve">- </w:t>
    </w:r>
    <w:r w:rsidR="006B03FF">
      <w:fldChar w:fldCharType="begin"/>
    </w:r>
    <w:r w:rsidR="006B03FF">
      <w:instrText xml:space="preserve"> PAGE   \* MERGEFORMAT </w:instrText>
    </w:r>
    <w:r w:rsidR="006B03FF">
      <w:fldChar w:fldCharType="separate"/>
    </w:r>
    <w:r w:rsidR="00790981">
      <w:rPr>
        <w:noProof/>
      </w:rPr>
      <w:t>628</w:t>
    </w:r>
    <w:r w:rsidR="006B03FF">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Pr="00924065" w:rsidRDefault="002F3DF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2F3D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2F3D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790981" w:rsidP="00A87207">
    <w:pPr>
      <w:pStyle w:val="Footer"/>
    </w:pPr>
    <w:r>
      <w:pict>
        <v:rect id="_x0000_i1026" style="width:480.95pt;height:1pt" o:hralign="center" o:hrstd="t" o:hrnoshade="t" o:hr="t" fillcolor="black [3213]" stroked="f"/>
      </w:pict>
    </w:r>
  </w:p>
  <w:p w:rsidR="002F3DF0" w:rsidRPr="00B7374B" w:rsidRDefault="002F3DF0" w:rsidP="00B7374B">
    <w:pPr>
      <w:tabs>
        <w:tab w:val="center" w:pos="4680"/>
      </w:tabs>
      <w:rPr>
        <w:szCs w:val="24"/>
      </w:rPr>
    </w:pPr>
    <w:r w:rsidRPr="00954D22">
      <w:rPr>
        <w:szCs w:val="24"/>
      </w:rPr>
      <w:tab/>
      <w:t xml:space="preserve">- </w:t>
    </w:r>
    <w:r w:rsidR="002D1795" w:rsidRPr="00954D22">
      <w:rPr>
        <w:szCs w:val="24"/>
      </w:rPr>
      <w:fldChar w:fldCharType="begin"/>
    </w:r>
    <w:r w:rsidRPr="00954D22">
      <w:rPr>
        <w:szCs w:val="24"/>
      </w:rPr>
      <w:instrText xml:space="preserve"> PAGE   \* MERGEFORMAT </w:instrText>
    </w:r>
    <w:r w:rsidR="002D1795" w:rsidRPr="00954D22">
      <w:rPr>
        <w:szCs w:val="24"/>
      </w:rPr>
      <w:fldChar w:fldCharType="separate"/>
    </w:r>
    <w:r>
      <w:rPr>
        <w:noProof/>
        <w:szCs w:val="24"/>
      </w:rPr>
      <w:t>600</w:t>
    </w:r>
    <w:r w:rsidR="002D1795"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790981" w:rsidP="00755F22">
    <w:pPr>
      <w:tabs>
        <w:tab w:val="left" w:pos="-1440"/>
        <w:tab w:val="left" w:pos="-720"/>
      </w:tabs>
    </w:pPr>
    <w:r>
      <w:pict>
        <v:rect id="_x0000_i1027" style="width:480.95pt;height:1pt" o:hralign="center" o:hrstd="t" o:hrnoshade="t" o:hr="t" fillcolor="black [3213]" stroked="f"/>
      </w:pict>
    </w:r>
  </w:p>
  <w:p w:rsidR="002F3DF0" w:rsidRPr="00954D22" w:rsidRDefault="002F3DF0" w:rsidP="00B7374B">
    <w:pPr>
      <w:tabs>
        <w:tab w:val="center" w:pos="4680"/>
      </w:tabs>
      <w:rPr>
        <w:szCs w:val="24"/>
      </w:rPr>
    </w:pPr>
    <w:r w:rsidRPr="00954D22">
      <w:rPr>
        <w:szCs w:val="24"/>
      </w:rPr>
      <w:tab/>
      <w:t xml:space="preserve">- </w:t>
    </w:r>
    <w:r w:rsidR="002D1795">
      <w:rPr>
        <w:szCs w:val="24"/>
      </w:rPr>
      <w:fldChar w:fldCharType="begin"/>
    </w:r>
    <w:r>
      <w:rPr>
        <w:szCs w:val="24"/>
      </w:rPr>
      <w:instrText xml:space="preserve"> PAGE   \* MERGEFORMAT </w:instrText>
    </w:r>
    <w:r w:rsidR="002D1795">
      <w:rPr>
        <w:szCs w:val="24"/>
      </w:rPr>
      <w:fldChar w:fldCharType="separate"/>
    </w:r>
    <w:r w:rsidR="00790981">
      <w:rPr>
        <w:noProof/>
        <w:szCs w:val="24"/>
      </w:rPr>
      <w:t>599</w:t>
    </w:r>
    <w:r w:rsidR="002D1795">
      <w:rPr>
        <w:szCs w:val="24"/>
      </w:rPr>
      <w:fldChar w:fldCharType="end"/>
    </w:r>
    <w:r w:rsidRPr="00954D22">
      <w:rPr>
        <w:szCs w:val="24"/>
      </w:rPr>
      <w:t xml:space="preserve"> -</w:t>
    </w:r>
  </w:p>
  <w:p w:rsidR="002F3DF0" w:rsidRDefault="002F3D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790981" w:rsidP="00A87207">
    <w:pPr>
      <w:pStyle w:val="Footer"/>
    </w:pPr>
    <w:r>
      <w:pict>
        <v:rect id="_x0000_i1029" style="width:480.95pt;height:1pt" o:hralign="center" o:hrstd="t" o:hrnoshade="t" o:hr="t" fillcolor="black [3213]" stroked="f"/>
      </w:pict>
    </w:r>
  </w:p>
  <w:p w:rsidR="002F3DF0" w:rsidRPr="00B7374B" w:rsidRDefault="002F3DF0" w:rsidP="00B7374B">
    <w:pPr>
      <w:tabs>
        <w:tab w:val="center" w:pos="4680"/>
      </w:tabs>
      <w:rPr>
        <w:szCs w:val="24"/>
      </w:rPr>
    </w:pPr>
    <w:r w:rsidRPr="00954D22">
      <w:rPr>
        <w:szCs w:val="24"/>
      </w:rPr>
      <w:tab/>
      <w:t xml:space="preserve">- </w:t>
    </w:r>
    <w:r w:rsidR="002D1795" w:rsidRPr="00954D22">
      <w:rPr>
        <w:szCs w:val="24"/>
      </w:rPr>
      <w:fldChar w:fldCharType="begin"/>
    </w:r>
    <w:r w:rsidRPr="00954D22">
      <w:rPr>
        <w:szCs w:val="24"/>
      </w:rPr>
      <w:instrText xml:space="preserve"> PAGE   \* MERGEFORMAT </w:instrText>
    </w:r>
    <w:r w:rsidR="002D1795" w:rsidRPr="00954D22">
      <w:rPr>
        <w:szCs w:val="24"/>
      </w:rPr>
      <w:fldChar w:fldCharType="separate"/>
    </w:r>
    <w:r>
      <w:rPr>
        <w:noProof/>
        <w:szCs w:val="24"/>
      </w:rPr>
      <w:t>601</w:t>
    </w:r>
    <w:r w:rsidR="002D1795"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79098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0" style="width:480.95pt;height:1pt" o:hralign="center" o:hrstd="t" o:hrnoshade="t" o:hr="t" fillcolor="black [3213]" stroked="f"/>
      </w:pict>
    </w:r>
  </w:p>
  <w:p w:rsidR="002F3DF0" w:rsidRPr="00954D22" w:rsidRDefault="002F3DF0" w:rsidP="00B7374B">
    <w:pPr>
      <w:tabs>
        <w:tab w:val="center" w:pos="4680"/>
      </w:tabs>
      <w:rPr>
        <w:szCs w:val="24"/>
      </w:rPr>
    </w:pPr>
    <w:r w:rsidRPr="00954D22">
      <w:rPr>
        <w:szCs w:val="24"/>
      </w:rPr>
      <w:tab/>
      <w:t xml:space="preserve">- </w:t>
    </w:r>
    <w:r w:rsidR="002D1795" w:rsidRPr="00954D22">
      <w:rPr>
        <w:szCs w:val="24"/>
      </w:rPr>
      <w:fldChar w:fldCharType="begin"/>
    </w:r>
    <w:r w:rsidRPr="00954D22">
      <w:rPr>
        <w:szCs w:val="24"/>
      </w:rPr>
      <w:instrText xml:space="preserve"> PAGE   \* MERGEFORMAT </w:instrText>
    </w:r>
    <w:r w:rsidR="002D1795" w:rsidRPr="00954D22">
      <w:rPr>
        <w:szCs w:val="24"/>
      </w:rPr>
      <w:fldChar w:fldCharType="separate"/>
    </w:r>
    <w:r w:rsidR="00790981">
      <w:rPr>
        <w:noProof/>
        <w:szCs w:val="24"/>
      </w:rPr>
      <w:t>600</w:t>
    </w:r>
    <w:r w:rsidR="002D1795"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2F3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F3DF0" w:rsidRDefault="002F3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F3DF0" w:rsidRDefault="002F3DF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790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2F3DF0" w:rsidRPr="0009648D" w:rsidRDefault="002F3DF0" w:rsidP="00ED7E83">
    <w:pPr>
      <w:tabs>
        <w:tab w:val="center" w:pos="4680"/>
      </w:tabs>
    </w:pPr>
    <w:r>
      <w:tab/>
    </w:r>
    <w:r w:rsidRPr="0009648D">
      <w:t xml:space="preserve">- </w:t>
    </w:r>
    <w:r w:rsidR="006B03FF">
      <w:fldChar w:fldCharType="begin"/>
    </w:r>
    <w:r w:rsidR="006B03FF">
      <w:instrText xml:space="preserve"> PAGE   \* MERGEFORMAT </w:instrText>
    </w:r>
    <w:r w:rsidR="006B03FF">
      <w:fldChar w:fldCharType="separate"/>
    </w:r>
    <w:r w:rsidR="00790981">
      <w:rPr>
        <w:noProof/>
      </w:rPr>
      <w:t>623</w:t>
    </w:r>
    <w:r w:rsidR="006B03FF">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DF0" w:rsidRDefault="002F3DF0" w:rsidP="00A87207">
      <w:r>
        <w:separator/>
      </w:r>
    </w:p>
  </w:footnote>
  <w:footnote w:type="continuationSeparator" w:id="0">
    <w:p w:rsidR="002F3DF0" w:rsidRDefault="002F3DF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2F3D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2F3DF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F3DF0">
      <w:tc>
        <w:tcPr>
          <w:tcW w:w="4230" w:type="dxa"/>
          <w:tcMar>
            <w:left w:w="0" w:type="dxa"/>
            <w:right w:w="0" w:type="dxa"/>
          </w:tcMar>
        </w:tcPr>
        <w:p w:rsidR="002F3DF0" w:rsidRDefault="002F3D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F3DF0" w:rsidRDefault="002F3DF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F3DF0" w:rsidRDefault="002F3DF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F3DF0">
      <w:trPr>
        <w:gridAfter w:val="2"/>
        <w:wAfter w:w="5250" w:type="dxa"/>
      </w:trPr>
      <w:tc>
        <w:tcPr>
          <w:tcW w:w="4230" w:type="dxa"/>
          <w:tcMar>
            <w:left w:w="0" w:type="dxa"/>
            <w:right w:w="0" w:type="dxa"/>
          </w:tcMar>
        </w:tcPr>
        <w:p w:rsidR="002F3DF0" w:rsidRDefault="002F3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F3DF0" w:rsidRDefault="002F3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F3DF0" w:rsidRPr="00755F22" w:rsidTr="00245129">
      <w:tc>
        <w:tcPr>
          <w:tcW w:w="4230" w:type="dxa"/>
          <w:tcMar>
            <w:left w:w="0" w:type="dxa"/>
            <w:right w:w="0" w:type="dxa"/>
          </w:tcMar>
        </w:tcPr>
        <w:p w:rsidR="002F3DF0" w:rsidRPr="00755F22" w:rsidRDefault="002F3DF0" w:rsidP="00831CA9">
          <w:pPr>
            <w:keepNext/>
            <w:keepLines/>
            <w:rPr>
              <w:sz w:val="20"/>
              <w:szCs w:val="20"/>
            </w:rPr>
          </w:pPr>
          <w:r w:rsidRPr="00755F22">
            <w:rPr>
              <w:sz w:val="20"/>
              <w:szCs w:val="20"/>
            </w:rPr>
            <w:t>MOTIONS</w:t>
          </w:r>
        </w:p>
      </w:tc>
      <w:tc>
        <w:tcPr>
          <w:tcW w:w="1170" w:type="dxa"/>
          <w:tcMar>
            <w:left w:w="0" w:type="dxa"/>
            <w:right w:w="0" w:type="dxa"/>
          </w:tcMar>
        </w:tcPr>
        <w:p w:rsidR="002F3DF0" w:rsidRPr="00755F22" w:rsidRDefault="002F3DF0" w:rsidP="00831CA9">
          <w:pPr>
            <w:keepLines/>
            <w:jc w:val="center"/>
            <w:rPr>
              <w:sz w:val="20"/>
              <w:szCs w:val="20"/>
            </w:rPr>
          </w:pPr>
        </w:p>
        <w:p w:rsidR="002F3DF0" w:rsidRPr="00755F22" w:rsidRDefault="002F3DF0" w:rsidP="00831CA9">
          <w:pPr>
            <w:keepLines/>
            <w:tabs>
              <w:tab w:val="left" w:pos="-1440"/>
              <w:tab w:val="left" w:pos="-720"/>
            </w:tabs>
            <w:jc w:val="center"/>
            <w:rPr>
              <w:sz w:val="20"/>
              <w:szCs w:val="20"/>
            </w:rPr>
          </w:pPr>
        </w:p>
      </w:tc>
      <w:tc>
        <w:tcPr>
          <w:tcW w:w="4080" w:type="dxa"/>
          <w:tcMar>
            <w:left w:w="0" w:type="dxa"/>
            <w:right w:w="0" w:type="dxa"/>
          </w:tcMar>
        </w:tcPr>
        <w:p w:rsidR="002F3DF0" w:rsidRPr="00BA6468" w:rsidRDefault="002F3DF0" w:rsidP="00BA6468">
          <w:pPr>
            <w:keepLines/>
            <w:rPr>
              <w:sz w:val="20"/>
              <w:szCs w:val="20"/>
              <w:lang w:val="fr-CA"/>
            </w:rPr>
          </w:pPr>
          <w:r w:rsidRPr="00BA6468">
            <w:rPr>
              <w:sz w:val="20"/>
              <w:szCs w:val="20"/>
              <w:lang w:val="fr-CA"/>
            </w:rPr>
            <w:t>REQUÊTES</w:t>
          </w:r>
        </w:p>
      </w:tc>
    </w:tr>
  </w:tbl>
  <w:p w:rsidR="002F3DF0" w:rsidRDefault="002F3DF0"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2F3DF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2F3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2F3D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2F3D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F3DF0" w:rsidRPr="0044776A" w:rsidTr="00245129">
      <w:tc>
        <w:tcPr>
          <w:tcW w:w="4290" w:type="dxa"/>
          <w:tcMar>
            <w:left w:w="0" w:type="dxa"/>
            <w:right w:w="0" w:type="dxa"/>
          </w:tcMar>
        </w:tcPr>
        <w:p w:rsidR="002F3DF0" w:rsidRPr="0044776A" w:rsidRDefault="002F3DF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F3DF0" w:rsidRPr="0044776A" w:rsidRDefault="002F3DF0" w:rsidP="002E2327">
          <w:pPr>
            <w:keepNext/>
            <w:keepLines/>
            <w:tabs>
              <w:tab w:val="left" w:pos="-1440"/>
              <w:tab w:val="left" w:pos="-720"/>
            </w:tabs>
            <w:jc w:val="center"/>
            <w:rPr>
              <w:sz w:val="20"/>
              <w:szCs w:val="20"/>
            </w:rPr>
          </w:pPr>
        </w:p>
        <w:p w:rsidR="002F3DF0" w:rsidRPr="0044776A" w:rsidRDefault="002F3DF0" w:rsidP="002E2327">
          <w:pPr>
            <w:keepNext/>
            <w:keepLines/>
            <w:tabs>
              <w:tab w:val="left" w:pos="-1440"/>
              <w:tab w:val="left" w:pos="-720"/>
            </w:tabs>
            <w:jc w:val="center"/>
            <w:rPr>
              <w:sz w:val="20"/>
              <w:szCs w:val="20"/>
            </w:rPr>
          </w:pPr>
        </w:p>
        <w:p w:rsidR="002F3DF0" w:rsidRPr="0044776A" w:rsidRDefault="002F3DF0" w:rsidP="002E2327">
          <w:pPr>
            <w:keepNext/>
            <w:keepLines/>
            <w:tabs>
              <w:tab w:val="left" w:pos="-1440"/>
              <w:tab w:val="left" w:pos="-720"/>
            </w:tabs>
            <w:jc w:val="center"/>
            <w:rPr>
              <w:sz w:val="20"/>
              <w:szCs w:val="20"/>
            </w:rPr>
          </w:pPr>
        </w:p>
      </w:tc>
      <w:tc>
        <w:tcPr>
          <w:tcW w:w="4320" w:type="dxa"/>
          <w:tcMar>
            <w:left w:w="0" w:type="dxa"/>
            <w:right w:w="0" w:type="dxa"/>
          </w:tcMar>
        </w:tcPr>
        <w:p w:rsidR="002F3DF0" w:rsidRPr="0044776A" w:rsidRDefault="002F3DF0" w:rsidP="002E2327">
          <w:pPr>
            <w:keepLines/>
            <w:rPr>
              <w:sz w:val="20"/>
              <w:szCs w:val="20"/>
              <w:lang w:val="fr-CA"/>
            </w:rPr>
          </w:pPr>
          <w:r w:rsidRPr="0044776A">
            <w:rPr>
              <w:sz w:val="20"/>
              <w:szCs w:val="20"/>
              <w:lang w:val="fr-CA"/>
            </w:rPr>
            <w:t>DEMANDES D'AUTORISATION D'APPEL DÉPOSÉES</w:t>
          </w:r>
        </w:p>
      </w:tc>
    </w:tr>
  </w:tbl>
  <w:p w:rsidR="002F3DF0" w:rsidRDefault="002F3D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2F3D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F3DF0" w:rsidRPr="00A33CF8" w:rsidTr="00245129">
      <w:tc>
        <w:tcPr>
          <w:tcW w:w="4200" w:type="dxa"/>
          <w:tcMar>
            <w:left w:w="0" w:type="dxa"/>
            <w:right w:w="0" w:type="dxa"/>
          </w:tcMar>
        </w:tcPr>
        <w:p w:rsidR="002F3DF0" w:rsidRPr="0044776A" w:rsidRDefault="002F3DF0" w:rsidP="0044776A">
          <w:pPr>
            <w:keepNext/>
            <w:keepLines/>
            <w:widowControl w:val="0"/>
            <w:rPr>
              <w:sz w:val="20"/>
              <w:szCs w:val="20"/>
            </w:rPr>
          </w:pPr>
          <w:r>
            <w:rPr>
              <w:sz w:val="20"/>
              <w:szCs w:val="20"/>
            </w:rPr>
            <w:t>APPLICATIONS FOR LEAVE</w:t>
          </w:r>
        </w:p>
        <w:p w:rsidR="002F3DF0" w:rsidRPr="0044776A" w:rsidRDefault="002F3DF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F3DF0" w:rsidRPr="0044776A" w:rsidRDefault="002F3DF0" w:rsidP="0044776A">
          <w:pPr>
            <w:keepNext/>
            <w:keepLines/>
            <w:widowControl w:val="0"/>
            <w:jc w:val="center"/>
            <w:rPr>
              <w:sz w:val="20"/>
              <w:szCs w:val="20"/>
            </w:rPr>
          </w:pPr>
        </w:p>
        <w:p w:rsidR="002F3DF0" w:rsidRPr="0044776A" w:rsidRDefault="002F3DF0" w:rsidP="0044776A">
          <w:pPr>
            <w:keepNext/>
            <w:keepLines/>
            <w:widowControl w:val="0"/>
            <w:jc w:val="center"/>
            <w:rPr>
              <w:sz w:val="20"/>
              <w:szCs w:val="20"/>
            </w:rPr>
          </w:pPr>
        </w:p>
        <w:p w:rsidR="002F3DF0" w:rsidRPr="0044776A" w:rsidRDefault="002F3DF0" w:rsidP="0044776A">
          <w:pPr>
            <w:keepNext/>
            <w:keepLines/>
            <w:widowControl w:val="0"/>
            <w:jc w:val="center"/>
            <w:rPr>
              <w:sz w:val="20"/>
              <w:szCs w:val="20"/>
            </w:rPr>
          </w:pPr>
        </w:p>
      </w:tc>
      <w:tc>
        <w:tcPr>
          <w:tcW w:w="4080" w:type="dxa"/>
          <w:tcMar>
            <w:left w:w="0" w:type="dxa"/>
            <w:right w:w="0" w:type="dxa"/>
          </w:tcMar>
        </w:tcPr>
        <w:p w:rsidR="002F3DF0" w:rsidRPr="0044776A" w:rsidRDefault="002F3DF0" w:rsidP="0044776A">
          <w:pPr>
            <w:keepLines/>
            <w:widowControl w:val="0"/>
            <w:rPr>
              <w:sz w:val="20"/>
              <w:szCs w:val="20"/>
              <w:lang w:val="fr-CA"/>
            </w:rPr>
          </w:pPr>
          <w:r w:rsidRPr="0044776A">
            <w:rPr>
              <w:sz w:val="20"/>
              <w:szCs w:val="20"/>
              <w:lang w:val="fr-CA"/>
            </w:rPr>
            <w:t>DEMANDES SOUMISES À LA COUR DEPUIS LA DERNIÈRE PARUTION</w:t>
          </w:r>
        </w:p>
        <w:p w:rsidR="002F3DF0" w:rsidRPr="0044776A" w:rsidRDefault="002F3DF0" w:rsidP="0044776A">
          <w:pPr>
            <w:widowControl w:val="0"/>
            <w:rPr>
              <w:sz w:val="20"/>
              <w:szCs w:val="20"/>
              <w:lang w:val="fr-CA"/>
            </w:rPr>
          </w:pPr>
        </w:p>
      </w:tc>
    </w:tr>
  </w:tbl>
  <w:p w:rsidR="002F3DF0" w:rsidRPr="002E2327" w:rsidRDefault="002F3DF0">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F0" w:rsidRDefault="002F3DF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F3DF0" w:rsidRPr="00A33CF8">
      <w:tc>
        <w:tcPr>
          <w:tcW w:w="4200" w:type="dxa"/>
          <w:tcMar>
            <w:left w:w="0" w:type="dxa"/>
            <w:right w:w="0" w:type="dxa"/>
          </w:tcMar>
        </w:tcPr>
        <w:p w:rsidR="002F3DF0" w:rsidRDefault="002F3D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F3DF0" w:rsidRDefault="002F3D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F3DF0" w:rsidRDefault="002F3DF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F3DF0" w:rsidRPr="00FF6BA5" w:rsidRDefault="002F3DF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F3DF0" w:rsidRPr="00FF6BA5" w:rsidRDefault="002F3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F3DF0" w:rsidRPr="00FF6BA5" w:rsidRDefault="002F3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F3DF0" w:rsidRPr="00FF6BA5" w:rsidRDefault="002F3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F3DF0" w:rsidRPr="00A33CF8" w:rsidTr="00245129">
      <w:tc>
        <w:tcPr>
          <w:tcW w:w="4200" w:type="dxa"/>
          <w:tcMar>
            <w:left w:w="0" w:type="dxa"/>
            <w:right w:w="0" w:type="dxa"/>
          </w:tcMar>
        </w:tcPr>
        <w:p w:rsidR="002F3DF0" w:rsidRPr="00755F22" w:rsidRDefault="002F3D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2F3DF0" w:rsidRPr="00755F22" w:rsidRDefault="002F3D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2F3DF0" w:rsidRPr="00755F22" w:rsidRDefault="002F3DF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F3DF0" w:rsidRPr="00755F22" w:rsidRDefault="002F3DF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F3DF0" w:rsidRPr="00755F22" w:rsidRDefault="002F3DF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F3DF0" w:rsidRPr="00755F22" w:rsidRDefault="002F3DF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2F3DF0" w:rsidRPr="00FF6BA5" w:rsidRDefault="002F3DF0"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0905"/>
  </w:hdrShapeDefaults>
  <w:footnotePr>
    <w:footnote w:id="-1"/>
    <w:footnote w:id="0"/>
  </w:footnotePr>
  <w:endnotePr>
    <w:endnote w:id="-1"/>
    <w:endnote w:id="0"/>
  </w:endnotePr>
  <w:compat>
    <w:compatSetting w:name="compatibilityMode" w:uri="http://schemas.microsoft.com/office/word" w:val="12"/>
  </w:compat>
  <w:rsids>
    <w:rsidRoot w:val="000116BD"/>
    <w:rsid w:val="000116BD"/>
    <w:rsid w:val="00020DC3"/>
    <w:rsid w:val="00021E85"/>
    <w:rsid w:val="0003223B"/>
    <w:rsid w:val="000327B2"/>
    <w:rsid w:val="0004528B"/>
    <w:rsid w:val="00064FBA"/>
    <w:rsid w:val="00087A11"/>
    <w:rsid w:val="00091FA6"/>
    <w:rsid w:val="00096BD9"/>
    <w:rsid w:val="000A3030"/>
    <w:rsid w:val="000B3C9A"/>
    <w:rsid w:val="000B40A2"/>
    <w:rsid w:val="000B4624"/>
    <w:rsid w:val="000C0ACD"/>
    <w:rsid w:val="000C0D2A"/>
    <w:rsid w:val="000C5CE8"/>
    <w:rsid w:val="000D7DF4"/>
    <w:rsid w:val="000E2959"/>
    <w:rsid w:val="000F0B60"/>
    <w:rsid w:val="00102926"/>
    <w:rsid w:val="0010587F"/>
    <w:rsid w:val="00111C6B"/>
    <w:rsid w:val="0012102B"/>
    <w:rsid w:val="0013369E"/>
    <w:rsid w:val="00164E6D"/>
    <w:rsid w:val="00183454"/>
    <w:rsid w:val="001834CE"/>
    <w:rsid w:val="001B157C"/>
    <w:rsid w:val="001B4006"/>
    <w:rsid w:val="001B5C23"/>
    <w:rsid w:val="001D0D5F"/>
    <w:rsid w:val="001D6B8C"/>
    <w:rsid w:val="001F1F83"/>
    <w:rsid w:val="001F40DF"/>
    <w:rsid w:val="001F6B2D"/>
    <w:rsid w:val="002021A9"/>
    <w:rsid w:val="002139A7"/>
    <w:rsid w:val="00215F7C"/>
    <w:rsid w:val="0022323B"/>
    <w:rsid w:val="0023221C"/>
    <w:rsid w:val="00233E21"/>
    <w:rsid w:val="002410B8"/>
    <w:rsid w:val="00242AEE"/>
    <w:rsid w:val="00245129"/>
    <w:rsid w:val="00245879"/>
    <w:rsid w:val="00267FD5"/>
    <w:rsid w:val="00274D34"/>
    <w:rsid w:val="00283ED8"/>
    <w:rsid w:val="002868D0"/>
    <w:rsid w:val="00295B21"/>
    <w:rsid w:val="002A008C"/>
    <w:rsid w:val="002A27D1"/>
    <w:rsid w:val="002A4AFA"/>
    <w:rsid w:val="002B2DB4"/>
    <w:rsid w:val="002B334C"/>
    <w:rsid w:val="002B516C"/>
    <w:rsid w:val="002D1795"/>
    <w:rsid w:val="002D72EB"/>
    <w:rsid w:val="002E225E"/>
    <w:rsid w:val="002E2327"/>
    <w:rsid w:val="002E3583"/>
    <w:rsid w:val="002E5576"/>
    <w:rsid w:val="002F21A1"/>
    <w:rsid w:val="002F3DF0"/>
    <w:rsid w:val="00305B07"/>
    <w:rsid w:val="00313CAD"/>
    <w:rsid w:val="003150CF"/>
    <w:rsid w:val="00331B52"/>
    <w:rsid w:val="003359D3"/>
    <w:rsid w:val="00355967"/>
    <w:rsid w:val="00382C47"/>
    <w:rsid w:val="00384384"/>
    <w:rsid w:val="003849AF"/>
    <w:rsid w:val="003866AE"/>
    <w:rsid w:val="0038677C"/>
    <w:rsid w:val="003A2557"/>
    <w:rsid w:val="003A48B6"/>
    <w:rsid w:val="003B01A3"/>
    <w:rsid w:val="003B3977"/>
    <w:rsid w:val="003C1946"/>
    <w:rsid w:val="003E1D4C"/>
    <w:rsid w:val="003F00F1"/>
    <w:rsid w:val="004007E0"/>
    <w:rsid w:val="004137A0"/>
    <w:rsid w:val="00422D9A"/>
    <w:rsid w:val="00422F28"/>
    <w:rsid w:val="00432989"/>
    <w:rsid w:val="00440E24"/>
    <w:rsid w:val="0044776A"/>
    <w:rsid w:val="004577C0"/>
    <w:rsid w:val="00460AFC"/>
    <w:rsid w:val="0047471F"/>
    <w:rsid w:val="004B195E"/>
    <w:rsid w:val="004B66B4"/>
    <w:rsid w:val="004B7F60"/>
    <w:rsid w:val="004C1AAC"/>
    <w:rsid w:val="004E1E0A"/>
    <w:rsid w:val="004F090E"/>
    <w:rsid w:val="00501F3C"/>
    <w:rsid w:val="0050453D"/>
    <w:rsid w:val="00507CE2"/>
    <w:rsid w:val="0052229C"/>
    <w:rsid w:val="00527CC7"/>
    <w:rsid w:val="00544619"/>
    <w:rsid w:val="00571CA4"/>
    <w:rsid w:val="00582136"/>
    <w:rsid w:val="005B0736"/>
    <w:rsid w:val="005C6840"/>
    <w:rsid w:val="005D26A6"/>
    <w:rsid w:val="005F1ED8"/>
    <w:rsid w:val="005F263E"/>
    <w:rsid w:val="00600252"/>
    <w:rsid w:val="00612A40"/>
    <w:rsid w:val="0062714A"/>
    <w:rsid w:val="0064163E"/>
    <w:rsid w:val="006635B0"/>
    <w:rsid w:val="00675479"/>
    <w:rsid w:val="00680709"/>
    <w:rsid w:val="00681F61"/>
    <w:rsid w:val="00696BF9"/>
    <w:rsid w:val="00697C62"/>
    <w:rsid w:val="006A329B"/>
    <w:rsid w:val="006A7EB8"/>
    <w:rsid w:val="006B03FF"/>
    <w:rsid w:val="006B3620"/>
    <w:rsid w:val="006B6926"/>
    <w:rsid w:val="006C3F47"/>
    <w:rsid w:val="006C5F7A"/>
    <w:rsid w:val="006E06AF"/>
    <w:rsid w:val="006F350F"/>
    <w:rsid w:val="00702050"/>
    <w:rsid w:val="00732DB7"/>
    <w:rsid w:val="0074238B"/>
    <w:rsid w:val="00745EF7"/>
    <w:rsid w:val="00755F22"/>
    <w:rsid w:val="00766E4A"/>
    <w:rsid w:val="007820CE"/>
    <w:rsid w:val="00782AE4"/>
    <w:rsid w:val="00790981"/>
    <w:rsid w:val="0079724F"/>
    <w:rsid w:val="007A3EAE"/>
    <w:rsid w:val="007C04FC"/>
    <w:rsid w:val="007C3DB0"/>
    <w:rsid w:val="007C47C2"/>
    <w:rsid w:val="007D3E0F"/>
    <w:rsid w:val="007E4282"/>
    <w:rsid w:val="007E596D"/>
    <w:rsid w:val="007F387B"/>
    <w:rsid w:val="00802863"/>
    <w:rsid w:val="008112A9"/>
    <w:rsid w:val="00815B3C"/>
    <w:rsid w:val="0081610A"/>
    <w:rsid w:val="0082783A"/>
    <w:rsid w:val="00830DF8"/>
    <w:rsid w:val="00831CA9"/>
    <w:rsid w:val="00850E1F"/>
    <w:rsid w:val="0085476B"/>
    <w:rsid w:val="0086340B"/>
    <w:rsid w:val="00882E8C"/>
    <w:rsid w:val="00890FEB"/>
    <w:rsid w:val="00895E7E"/>
    <w:rsid w:val="008A5C1A"/>
    <w:rsid w:val="008D292F"/>
    <w:rsid w:val="008E03DC"/>
    <w:rsid w:val="008F1116"/>
    <w:rsid w:val="00902E51"/>
    <w:rsid w:val="00924065"/>
    <w:rsid w:val="00930D68"/>
    <w:rsid w:val="00932DB4"/>
    <w:rsid w:val="00941A4B"/>
    <w:rsid w:val="00946242"/>
    <w:rsid w:val="0095096B"/>
    <w:rsid w:val="00951BFE"/>
    <w:rsid w:val="00962B33"/>
    <w:rsid w:val="00970CD3"/>
    <w:rsid w:val="009723FA"/>
    <w:rsid w:val="00984546"/>
    <w:rsid w:val="00996510"/>
    <w:rsid w:val="009A78C4"/>
    <w:rsid w:val="009D1F15"/>
    <w:rsid w:val="009D555E"/>
    <w:rsid w:val="009F3024"/>
    <w:rsid w:val="009F39BA"/>
    <w:rsid w:val="00A0355E"/>
    <w:rsid w:val="00A33CF8"/>
    <w:rsid w:val="00A375D1"/>
    <w:rsid w:val="00A51D10"/>
    <w:rsid w:val="00A52A83"/>
    <w:rsid w:val="00A6552C"/>
    <w:rsid w:val="00A87207"/>
    <w:rsid w:val="00A935AA"/>
    <w:rsid w:val="00A956D3"/>
    <w:rsid w:val="00AB2201"/>
    <w:rsid w:val="00AB3B9A"/>
    <w:rsid w:val="00AD1D34"/>
    <w:rsid w:val="00AD3259"/>
    <w:rsid w:val="00AF1715"/>
    <w:rsid w:val="00AF3904"/>
    <w:rsid w:val="00B010C0"/>
    <w:rsid w:val="00B053CF"/>
    <w:rsid w:val="00B228C0"/>
    <w:rsid w:val="00B243C4"/>
    <w:rsid w:val="00B4740D"/>
    <w:rsid w:val="00B61629"/>
    <w:rsid w:val="00B70797"/>
    <w:rsid w:val="00B7374B"/>
    <w:rsid w:val="00B90DC0"/>
    <w:rsid w:val="00BA116A"/>
    <w:rsid w:val="00BA5582"/>
    <w:rsid w:val="00BA6468"/>
    <w:rsid w:val="00BB1D44"/>
    <w:rsid w:val="00BD06DA"/>
    <w:rsid w:val="00BD2F08"/>
    <w:rsid w:val="00BD4217"/>
    <w:rsid w:val="00BF25F3"/>
    <w:rsid w:val="00C11A38"/>
    <w:rsid w:val="00C1697B"/>
    <w:rsid w:val="00C21644"/>
    <w:rsid w:val="00C21CB5"/>
    <w:rsid w:val="00C30E0D"/>
    <w:rsid w:val="00C429BE"/>
    <w:rsid w:val="00C46376"/>
    <w:rsid w:val="00C50A5C"/>
    <w:rsid w:val="00C50FDF"/>
    <w:rsid w:val="00C63381"/>
    <w:rsid w:val="00C67CF8"/>
    <w:rsid w:val="00C73D06"/>
    <w:rsid w:val="00C73E1B"/>
    <w:rsid w:val="00C759B4"/>
    <w:rsid w:val="00C77713"/>
    <w:rsid w:val="00C85BB7"/>
    <w:rsid w:val="00CA2DEA"/>
    <w:rsid w:val="00CB3520"/>
    <w:rsid w:val="00CB43D5"/>
    <w:rsid w:val="00CC4D84"/>
    <w:rsid w:val="00CE198A"/>
    <w:rsid w:val="00CF08C8"/>
    <w:rsid w:val="00D004FC"/>
    <w:rsid w:val="00D63CA9"/>
    <w:rsid w:val="00D64901"/>
    <w:rsid w:val="00D76BDF"/>
    <w:rsid w:val="00D818B6"/>
    <w:rsid w:val="00D862C1"/>
    <w:rsid w:val="00D93B50"/>
    <w:rsid w:val="00D94028"/>
    <w:rsid w:val="00D94670"/>
    <w:rsid w:val="00DA46F6"/>
    <w:rsid w:val="00DC1E68"/>
    <w:rsid w:val="00DD0B49"/>
    <w:rsid w:val="00DE0502"/>
    <w:rsid w:val="00DE349D"/>
    <w:rsid w:val="00E06DFA"/>
    <w:rsid w:val="00E20A0A"/>
    <w:rsid w:val="00E240C2"/>
    <w:rsid w:val="00E356C7"/>
    <w:rsid w:val="00E41A5A"/>
    <w:rsid w:val="00E45FE4"/>
    <w:rsid w:val="00E5029A"/>
    <w:rsid w:val="00E61012"/>
    <w:rsid w:val="00E64FA7"/>
    <w:rsid w:val="00E770CB"/>
    <w:rsid w:val="00E903A1"/>
    <w:rsid w:val="00E940EB"/>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0CA2"/>
    <w:rsid w:val="00FA316E"/>
    <w:rsid w:val="00FA3373"/>
    <w:rsid w:val="00FA59EF"/>
    <w:rsid w:val="00FB19A2"/>
    <w:rsid w:val="00FC1AE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0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962B3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F3DF0"/>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fr/qc/qcca/doc/2014/2014qcca1919/2014qcca1919.html" TargetMode="External"/><Relationship Id="rId39" Type="http://schemas.openxmlformats.org/officeDocument/2006/relationships/hyperlink" Target="http://www.canlii.org/en/ca/fca/doc/2014/2014fca230/2014fca230.html" TargetMode="External"/><Relationship Id="rId21" Type="http://schemas.openxmlformats.org/officeDocument/2006/relationships/header" Target="header6.xml"/><Relationship Id="rId34" Type="http://schemas.openxmlformats.org/officeDocument/2006/relationships/hyperlink" Target="http://www.canlii.org/en/ns/nssc/doc/2012/2012nssc330/2012nssc330.html" TargetMode="External"/><Relationship Id="rId42" Type="http://schemas.openxmlformats.org/officeDocument/2006/relationships/hyperlink" Target="http://www.canlii.org/en/ca/fca/doc/2014/2014fca232/2014fca232.html" TargetMode="External"/><Relationship Id="rId47" Type="http://schemas.openxmlformats.org/officeDocument/2006/relationships/hyperlink" Target="http://canlii.ca/t/gf1dp" TargetMode="External"/><Relationship Id="rId50" Type="http://schemas.openxmlformats.org/officeDocument/2006/relationships/hyperlink" Target="http://www.canlii.org/en/ca/fca/doc/2014/2014fca98/2014fca98.html?resultIndex=1" TargetMode="External"/><Relationship Id="rId55" Type="http://schemas.openxmlformats.org/officeDocument/2006/relationships/hyperlink" Target="http://canlii.ca/t/g1l7j" TargetMode="External"/><Relationship Id="rId63" Type="http://schemas.openxmlformats.org/officeDocument/2006/relationships/hyperlink" Target="http://canlii.ca/t/g202z" TargetMode="External"/><Relationship Id="rId68" Type="http://schemas.openxmlformats.org/officeDocument/2006/relationships/hyperlink" Target="http://canlii.ca/t/g7whb" TargetMode="External"/><Relationship Id="rId76" Type="http://schemas.openxmlformats.org/officeDocument/2006/relationships/footer" Target="footer10.xml"/><Relationship Id="rId84"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msat.gov.ab.ca/appeals/pdf/Order_No.257.pdf"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en/ab/abca/doc/2014/2014abca288/2014abca288.html?searchUrlHash=AAAAAQANMjAxNCBBQkNBIDI4OAAAAAAB&amp;resultIndex=1" TargetMode="External"/><Relationship Id="rId37" Type="http://schemas.openxmlformats.org/officeDocument/2006/relationships/hyperlink" Target="http://www.canlii.org/en/ns/nssc/doc/2012/2012nssc330/2012nssc330.html" TargetMode="External"/><Relationship Id="rId40" Type="http://schemas.openxmlformats.org/officeDocument/2006/relationships/hyperlink" Target="http://www.canlii.org/en/ca/fca/doc/2014/2014fca230/2014fca230.html" TargetMode="External"/><Relationship Id="rId45" Type="http://schemas.openxmlformats.org/officeDocument/2006/relationships/hyperlink" Target="http://www.canlii.org/en/sk/skqb/doc/2012/2012skqb504/2012skqb504.html" TargetMode="External"/><Relationship Id="rId53" Type="http://schemas.openxmlformats.org/officeDocument/2006/relationships/hyperlink" Target="http://canlii.ca/t/g8kn6" TargetMode="External"/><Relationship Id="rId58" Type="http://schemas.openxmlformats.org/officeDocument/2006/relationships/hyperlink" Target="http://canlii.ca/t/g8kmt" TargetMode="External"/><Relationship Id="rId66" Type="http://schemas.openxmlformats.org/officeDocument/2006/relationships/hyperlink" Target="http://canlii.ca/t/gfd0q" TargetMode="External"/><Relationship Id="rId74" Type="http://schemas.openxmlformats.org/officeDocument/2006/relationships/footer" Target="footer9.xml"/><Relationship Id="rId79"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hyperlink" Target="http://canlii.ca/t/g83j0" TargetMode="External"/><Relationship Id="rId82" Type="http://schemas.openxmlformats.org/officeDocument/2006/relationships/footer" Target="footer1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fr/qc/qccs/doc/2014/2014qccs100/2014qccs100.html?resultIndex=1" TargetMode="External"/><Relationship Id="rId30" Type="http://schemas.openxmlformats.org/officeDocument/2006/relationships/hyperlink" Target="http://www.canlii.org/en/ab/abca/doc/2014/2014abca288/2014abca288.html?searchUrlHash=AAAAAQANMjAxNCBBQkNBIDI4OAAAAAAB&amp;resultIndex=1" TargetMode="External"/><Relationship Id="rId35" Type="http://schemas.openxmlformats.org/officeDocument/2006/relationships/hyperlink" Target="http://www.canlii.org/en/ns/nsca/doc/2014/2014nsca92/2014nsca92.html" TargetMode="External"/><Relationship Id="rId43" Type="http://schemas.openxmlformats.org/officeDocument/2006/relationships/hyperlink" Target="http://www.canlii.org/en/sk/skqb/doc/2012/2012skqb504/2012skqb504.html" TargetMode="External"/><Relationship Id="rId48" Type="http://schemas.openxmlformats.org/officeDocument/2006/relationships/hyperlink" Target="http://canlii.ca/t/gf1dp" TargetMode="External"/><Relationship Id="rId56" Type="http://schemas.openxmlformats.org/officeDocument/2006/relationships/hyperlink" Target="http://canlii.ca/t/g8kmt" TargetMode="External"/><Relationship Id="rId64" Type="http://schemas.openxmlformats.org/officeDocument/2006/relationships/hyperlink" Target="http://canlii.ca/t/g7whb" TargetMode="External"/><Relationship Id="rId69" Type="http://schemas.openxmlformats.org/officeDocument/2006/relationships/hyperlink" Target="http://canlii.ca/t/g84d6" TargetMode="External"/><Relationship Id="rId77" Type="http://schemas.openxmlformats.org/officeDocument/2006/relationships/header" Target="header11.xml"/><Relationship Id="rId8" Type="http://schemas.openxmlformats.org/officeDocument/2006/relationships/image" Target="media/image1.wmf"/><Relationship Id="rId51" Type="http://schemas.openxmlformats.org/officeDocument/2006/relationships/hyperlink" Target="http://www.canlii.org/en/ca/fct/doc/2013/2013fc643/2013fc643.html" TargetMode="External"/><Relationship Id="rId72" Type="http://schemas.openxmlformats.org/officeDocument/2006/relationships/header" Target="header9.xml"/><Relationship Id="rId80" Type="http://schemas.openxmlformats.org/officeDocument/2006/relationships/footer" Target="footer1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fr/qc/qccs/doc/2014/2014qccs100/2014qccs100.html?resultIndex=1" TargetMode="External"/><Relationship Id="rId33" Type="http://schemas.openxmlformats.org/officeDocument/2006/relationships/hyperlink" Target="http://www.canlii.org/en/ns/laws/stat/sns-2008-c-39/latest/sns-2008-c-39.html" TargetMode="External"/><Relationship Id="rId38" Type="http://schemas.openxmlformats.org/officeDocument/2006/relationships/hyperlink" Target="http://www.canlii.org/en/ns/nsca/doc/2014/2014nsca92/2014nsca92.html" TargetMode="External"/><Relationship Id="rId46" Type="http://schemas.openxmlformats.org/officeDocument/2006/relationships/hyperlink" Target="http://www.canlii.org/en/sk/skca/doc/2014/2014skca107/2014skca107.html?resultIndex=1" TargetMode="External"/><Relationship Id="rId59" Type="http://schemas.openxmlformats.org/officeDocument/2006/relationships/hyperlink" Target="http://canlii.ca/t/g83j0" TargetMode="External"/><Relationship Id="rId67" Type="http://schemas.openxmlformats.org/officeDocument/2006/relationships/hyperlink" Target="http://canlii.ca/t/g202z" TargetMode="External"/><Relationship Id="rId20" Type="http://schemas.openxmlformats.org/officeDocument/2006/relationships/footer" Target="footer5.xml"/><Relationship Id="rId41" Type="http://schemas.openxmlformats.org/officeDocument/2006/relationships/hyperlink" Target="http://www.canlii.org/en/ca/fca/doc/2014/2014fca232/2014fca232.html" TargetMode="External"/><Relationship Id="rId54" Type="http://schemas.openxmlformats.org/officeDocument/2006/relationships/hyperlink" Target="http://canlii.ca/t/g8kn6" TargetMode="External"/><Relationship Id="rId62" Type="http://schemas.openxmlformats.org/officeDocument/2006/relationships/hyperlink" Target="http://canlii.ca/t/g8kn5" TargetMode="External"/><Relationship Id="rId70" Type="http://schemas.openxmlformats.org/officeDocument/2006/relationships/hyperlink" Target="http://canlii.ca/t/gfd0q" TargetMode="External"/><Relationship Id="rId75" Type="http://schemas.openxmlformats.org/officeDocument/2006/relationships/header" Target="header10.xml"/><Relationship Id="rId83"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fr/qc/qcca/doc/2014/2014qcca1919/2014qcca1919.html" TargetMode="External"/><Relationship Id="rId36" Type="http://schemas.openxmlformats.org/officeDocument/2006/relationships/hyperlink" Target="http://www.canlii.org/en/ns/laws/stat/sns-2008-c-39/latest/sns-2008-c-39.html" TargetMode="External"/><Relationship Id="rId49" Type="http://schemas.openxmlformats.org/officeDocument/2006/relationships/hyperlink" Target="http://www.canlii.org/en/ca/fct/doc/2013/2013fc643/2013fc643.html" TargetMode="External"/><Relationship Id="rId57" Type="http://schemas.openxmlformats.org/officeDocument/2006/relationships/hyperlink" Target="http://canlii.ca/t/g1l7j" TargetMode="External"/><Relationship Id="rId10" Type="http://schemas.openxmlformats.org/officeDocument/2006/relationships/hyperlink" Target="http://www.scc-csc.ca" TargetMode="External"/><Relationship Id="rId31" Type="http://schemas.openxmlformats.org/officeDocument/2006/relationships/hyperlink" Target="http://www.msat.gov.ab.ca/appeals/pdf/Order_No.257.pdf" TargetMode="External"/><Relationship Id="rId44" Type="http://schemas.openxmlformats.org/officeDocument/2006/relationships/hyperlink" Target="http://www.canlii.org/en/sk/skca/doc/2014/2014skca107/2014skca107.html?resultIndex=1" TargetMode="External"/><Relationship Id="rId52" Type="http://schemas.openxmlformats.org/officeDocument/2006/relationships/hyperlink" Target="http://www.canlii.org/en/ca/fca/doc/2014/2014fca98/2014fca98.html?resultIndex=1" TargetMode="External"/><Relationship Id="rId60" Type="http://schemas.openxmlformats.org/officeDocument/2006/relationships/hyperlink" Target="http://canlii.ca/t/g8kn5" TargetMode="External"/><Relationship Id="rId65" Type="http://schemas.openxmlformats.org/officeDocument/2006/relationships/hyperlink" Target="http://canlii.ca/t/g84d6" TargetMode="External"/><Relationship Id="rId73" Type="http://schemas.openxmlformats.org/officeDocument/2006/relationships/footer" Target="footer8.xml"/><Relationship Id="rId78" Type="http://schemas.openxmlformats.org/officeDocument/2006/relationships/header" Target="header12.xml"/><Relationship Id="rId81" Type="http://schemas.openxmlformats.org/officeDocument/2006/relationships/header" Target="header13.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97928-69E4-4669-83EF-14C650DE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13347</Words>
  <Characters>76082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2015-03-31T17:31:00Z</dcterms:created>
  <dcterms:modified xsi:type="dcterms:W3CDTF">2015-11-26T21:54:00Z</dcterms:modified>
</cp:coreProperties>
</file>