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bookmarkEnd w:id="0"/>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417673"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417673"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417673"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417673"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417673" w:rsidTr="002E5576">
        <w:tc>
          <w:tcPr>
            <w:tcW w:w="4518" w:type="dxa"/>
          </w:tcPr>
          <w:p w:rsidR="00BF25F3" w:rsidRPr="002E2327" w:rsidRDefault="00A26E00"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A26E00"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417673"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417673"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w:t>
              </w:r>
              <w:r w:rsidR="00417673">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w:t>
              </w:r>
              <w:r w:rsidR="00417673">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FC545F" w:rsidP="00F0068D">
      <w:pPr>
        <w:pBdr>
          <w:bottom w:val="single" w:sz="6" w:space="1" w:color="auto"/>
        </w:pBdr>
        <w:tabs>
          <w:tab w:val="center" w:pos="4680"/>
          <w:tab w:val="right" w:pos="9360"/>
        </w:tabs>
        <w:rPr>
          <w:lang w:val="fr-CA"/>
        </w:rPr>
      </w:pPr>
      <w:r>
        <w:rPr>
          <w:lang w:val="fr-CA"/>
        </w:rPr>
        <w:t>April</w:t>
      </w:r>
      <w:r w:rsidR="00440E24" w:rsidRPr="00675479">
        <w:rPr>
          <w:lang w:val="fr-CA"/>
        </w:rPr>
        <w:t xml:space="preserve"> </w:t>
      </w:r>
      <w:r>
        <w:rPr>
          <w:lang w:val="fr-CA"/>
        </w:rPr>
        <w:t>24</w:t>
      </w:r>
      <w:r w:rsidR="00440E24" w:rsidRPr="00675479">
        <w:rPr>
          <w:lang w:val="fr-CA"/>
        </w:rPr>
        <w:t>, 201</w:t>
      </w:r>
      <w:r w:rsidR="00020DC3">
        <w:rPr>
          <w:lang w:val="fr-CA"/>
        </w:rPr>
        <w:t>5</w:t>
      </w:r>
      <w:r w:rsidR="00F0068D" w:rsidRPr="00675479">
        <w:rPr>
          <w:lang w:val="fr-CA"/>
        </w:rPr>
        <w:tab/>
      </w:r>
      <w:r w:rsidR="00265F92">
        <w:rPr>
          <w:lang w:val="fr-CA"/>
        </w:rPr>
        <w:t>696</w:t>
      </w:r>
      <w:r w:rsidR="00F0068D" w:rsidRPr="00675479">
        <w:rPr>
          <w:lang w:val="fr-CA"/>
        </w:rPr>
        <w:t xml:space="preserve"> - </w:t>
      </w:r>
      <w:r w:rsidR="005D13F2">
        <w:rPr>
          <w:lang w:val="fr-CA"/>
        </w:rPr>
        <w:t>751</w:t>
      </w:r>
      <w:r w:rsidR="00440E24" w:rsidRPr="00675479">
        <w:rPr>
          <w:lang w:val="fr-CA"/>
        </w:rPr>
        <w:tab/>
      </w:r>
      <w:r w:rsidR="00440E24" w:rsidRPr="002E2327">
        <w:rPr>
          <w:lang w:val="fr-CA"/>
        </w:rPr>
        <w:t>Le</w:t>
      </w:r>
      <w:r w:rsidR="00C73D06">
        <w:rPr>
          <w:lang w:val="fr-CA"/>
        </w:rPr>
        <w:t xml:space="preserve"> </w:t>
      </w:r>
      <w:r>
        <w:rPr>
          <w:lang w:val="fr-CA"/>
        </w:rPr>
        <w:t>24</w:t>
      </w:r>
      <w:r w:rsidR="00C73D06">
        <w:rPr>
          <w:lang w:val="fr-CA"/>
        </w:rPr>
        <w:t xml:space="preserve"> </w:t>
      </w:r>
      <w:r w:rsidR="00440E24" w:rsidRPr="002E2327">
        <w:rPr>
          <w:lang w:val="fr-CA"/>
        </w:rPr>
        <w:t>av</w:t>
      </w:r>
      <w:r w:rsidR="00C73D06">
        <w:rPr>
          <w:lang w:val="fr-CA"/>
        </w:rPr>
        <w:t>r</w:t>
      </w:r>
      <w:r>
        <w:rPr>
          <w:lang w:val="fr-CA"/>
        </w:rPr>
        <w:t>il</w:t>
      </w:r>
      <w:r w:rsidR="00440E24" w:rsidRPr="002E2327">
        <w:rPr>
          <w:lang w:val="fr-CA"/>
        </w:rPr>
        <w:t xml:space="preserve"> 201</w:t>
      </w:r>
      <w:r w:rsidR="00020DC3">
        <w:rPr>
          <w:lang w:val="fr-CA"/>
        </w:rPr>
        <w:t>5</w:t>
      </w:r>
    </w:p>
    <w:p w:rsidR="00440E24" w:rsidRPr="00675479" w:rsidRDefault="00440E24" w:rsidP="00440E24">
      <w:pPr>
        <w:pBdr>
          <w:bottom w:val="single" w:sz="6" w:space="1" w:color="auto"/>
        </w:pBdr>
        <w:tabs>
          <w:tab w:val="right" w:pos="9360"/>
        </w:tabs>
        <w:rPr>
          <w:lang w:val="fr-CA"/>
        </w:rPr>
      </w:pPr>
    </w:p>
    <w:p w:rsidR="00440E24" w:rsidRPr="00FC545F" w:rsidRDefault="00440E24" w:rsidP="00440E24">
      <w:pPr>
        <w:pBdr>
          <w:bottom w:val="single" w:sz="6" w:space="1" w:color="auto"/>
        </w:pBdr>
        <w:tabs>
          <w:tab w:val="right" w:pos="9360"/>
        </w:tabs>
        <w:rPr>
          <w:sz w:val="18"/>
          <w:szCs w:val="18"/>
          <w:lang w:val="fr-CA"/>
        </w:rPr>
      </w:pPr>
      <w:r w:rsidRPr="00FC545F">
        <w:rPr>
          <w:sz w:val="18"/>
          <w:szCs w:val="18"/>
          <w:lang w:val="fr-CA"/>
        </w:rPr>
        <w:t>© Supreme Court of Canada (201</w:t>
      </w:r>
      <w:r w:rsidR="00020DC3" w:rsidRPr="00FC545F">
        <w:rPr>
          <w:sz w:val="18"/>
          <w:szCs w:val="18"/>
          <w:lang w:val="fr-CA"/>
        </w:rPr>
        <w:t>5</w:t>
      </w:r>
      <w:r w:rsidRPr="00FC545F">
        <w:rPr>
          <w:sz w:val="18"/>
          <w:szCs w:val="18"/>
          <w:lang w:val="fr-CA"/>
        </w:rPr>
        <w:t>)</w:t>
      </w:r>
      <w:r w:rsidRPr="00FC545F">
        <w:rPr>
          <w:sz w:val="18"/>
          <w:szCs w:val="18"/>
          <w:lang w:val="fr-CA"/>
        </w:rPr>
        <w:tab/>
        <w:t>© Cour suprême du Canada (201</w:t>
      </w:r>
      <w:r w:rsidR="00020DC3" w:rsidRPr="00FC545F">
        <w:rPr>
          <w:sz w:val="18"/>
          <w:szCs w:val="18"/>
          <w:lang w:val="fr-CA"/>
        </w:rPr>
        <w:t>5</w:t>
      </w:r>
      <w:r w:rsidRPr="00FC545F">
        <w:rPr>
          <w:sz w:val="18"/>
          <w:szCs w:val="18"/>
          <w:lang w:val="fr-CA"/>
        </w:rPr>
        <w:t>)</w:t>
      </w:r>
    </w:p>
    <w:p w:rsidR="00440E24"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1763F8" w:rsidRPr="001763F8" w:rsidRDefault="001763F8" w:rsidP="00440E24">
      <w:pPr>
        <w:pBdr>
          <w:bottom w:val="single" w:sz="6" w:space="1" w:color="auto"/>
        </w:pBdr>
        <w:tabs>
          <w:tab w:val="right" w:pos="9360"/>
        </w:tabs>
        <w:rPr>
          <w:szCs w:val="24"/>
          <w:lang w:val="fr-CA"/>
        </w:rPr>
      </w:pPr>
    </w:p>
    <w:p w:rsidR="00CC4BCE" w:rsidRDefault="00CC4BCE">
      <w:pPr>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417673"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Oral hearing ordered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A87207" w:rsidRPr="002E2327" w:rsidRDefault="0095096B" w:rsidP="00CC4BCE">
            <w:pPr>
              <w:tabs>
                <w:tab w:val="right" w:pos="9360"/>
              </w:tabs>
              <w:rPr>
                <w:rFonts w:cs="Times New Roman"/>
                <w:sz w:val="20"/>
                <w:szCs w:val="20"/>
              </w:rPr>
            </w:pPr>
            <w:r w:rsidRPr="002E2327">
              <w:rPr>
                <w:rFonts w:cs="Times New Roman"/>
                <w:sz w:val="20"/>
                <w:szCs w:val="20"/>
              </w:rPr>
              <w:t>Headnotes of recent judgments</w:t>
            </w:r>
          </w:p>
        </w:tc>
        <w:tc>
          <w:tcPr>
            <w:tcW w:w="1980" w:type="dxa"/>
          </w:tcPr>
          <w:p w:rsidR="0095096B" w:rsidRPr="002E2327" w:rsidRDefault="00265F92" w:rsidP="0095096B">
            <w:pPr>
              <w:jc w:val="center"/>
              <w:rPr>
                <w:rFonts w:cs="Times New Roman"/>
                <w:sz w:val="20"/>
                <w:szCs w:val="20"/>
              </w:rPr>
            </w:pPr>
            <w:r>
              <w:rPr>
                <w:rFonts w:cs="Times New Roman"/>
                <w:sz w:val="20"/>
                <w:szCs w:val="20"/>
              </w:rPr>
              <w:t xml:space="preserve">696 </w:t>
            </w:r>
            <w:r w:rsidR="00A26E00" w:rsidRPr="002E2327">
              <w:rPr>
                <w:rFonts w:cs="Times New Roman"/>
                <w:sz w:val="20"/>
                <w:szCs w:val="20"/>
              </w:rPr>
              <w:fldChar w:fldCharType="begin"/>
            </w:r>
            <w:r w:rsidR="0095096B" w:rsidRPr="002E2327">
              <w:rPr>
                <w:rFonts w:cs="Times New Roman"/>
                <w:sz w:val="20"/>
                <w:szCs w:val="20"/>
              </w:rPr>
              <w:instrText xml:space="preserve"> SEQ CHAPTER \h \r 1</w:instrText>
            </w:r>
            <w:r w:rsidR="00A26E00"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697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D13F2" w:rsidP="0095096B">
            <w:pPr>
              <w:jc w:val="center"/>
              <w:rPr>
                <w:rFonts w:cs="Times New Roman"/>
                <w:sz w:val="20"/>
                <w:szCs w:val="20"/>
              </w:rPr>
            </w:pPr>
            <w:r>
              <w:rPr>
                <w:rFonts w:cs="Times New Roman"/>
                <w:sz w:val="20"/>
                <w:szCs w:val="20"/>
              </w:rPr>
              <w:t>698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D13F2" w:rsidP="0095096B">
            <w:pPr>
              <w:jc w:val="center"/>
              <w:rPr>
                <w:rFonts w:cs="Times New Roman"/>
                <w:sz w:val="20"/>
                <w:szCs w:val="20"/>
              </w:rPr>
            </w:pPr>
            <w:r>
              <w:rPr>
                <w:rFonts w:cs="Times New Roman"/>
                <w:sz w:val="20"/>
                <w:szCs w:val="20"/>
              </w:rPr>
              <w:t xml:space="preserve">699 </w:t>
            </w:r>
            <w:r w:rsidR="0095096B" w:rsidRPr="002E2327">
              <w:rPr>
                <w:rFonts w:cs="Times New Roman"/>
                <w:sz w:val="20"/>
                <w:szCs w:val="20"/>
              </w:rPr>
              <w:t>-</w:t>
            </w:r>
            <w:r>
              <w:rPr>
                <w:rFonts w:cs="Times New Roman"/>
                <w:sz w:val="20"/>
                <w:szCs w:val="20"/>
              </w:rPr>
              <w:t xml:space="preserve"> 700</w:t>
            </w:r>
          </w:p>
          <w:p w:rsidR="0095096B" w:rsidRPr="002E2327" w:rsidRDefault="0095096B" w:rsidP="0095096B">
            <w:pPr>
              <w:jc w:val="center"/>
              <w:rPr>
                <w:rFonts w:cs="Times New Roman"/>
                <w:sz w:val="20"/>
                <w:szCs w:val="20"/>
              </w:rPr>
            </w:pPr>
          </w:p>
          <w:p w:rsidR="0095096B" w:rsidRPr="002E2327" w:rsidRDefault="005D13F2" w:rsidP="0095096B">
            <w:pPr>
              <w:jc w:val="center"/>
              <w:rPr>
                <w:rFonts w:cs="Times New Roman"/>
                <w:sz w:val="20"/>
                <w:szCs w:val="20"/>
              </w:rPr>
            </w:pPr>
            <w:r>
              <w:rPr>
                <w:rFonts w:cs="Times New Roman"/>
                <w:sz w:val="20"/>
                <w:szCs w:val="20"/>
              </w:rPr>
              <w:t xml:space="preserve">701 </w:t>
            </w:r>
            <w:r w:rsidR="0095096B" w:rsidRPr="002E2327">
              <w:rPr>
                <w:rFonts w:cs="Times New Roman"/>
                <w:sz w:val="20"/>
                <w:szCs w:val="20"/>
              </w:rPr>
              <w:t>-</w:t>
            </w:r>
            <w:r>
              <w:rPr>
                <w:rFonts w:cs="Times New Roman"/>
                <w:sz w:val="20"/>
                <w:szCs w:val="20"/>
              </w:rPr>
              <w:t xml:space="preserve"> 734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56336" w:rsidP="0095096B">
            <w:pPr>
              <w:jc w:val="center"/>
              <w:rPr>
                <w:rFonts w:cs="Times New Roman"/>
                <w:sz w:val="20"/>
                <w:szCs w:val="20"/>
              </w:rPr>
            </w:pPr>
            <w:r>
              <w:rPr>
                <w:rFonts w:cs="Times New Roman"/>
                <w:sz w:val="20"/>
                <w:szCs w:val="20"/>
              </w:rPr>
              <w:t xml:space="preserve">735 </w:t>
            </w:r>
            <w:r w:rsidR="0095096B" w:rsidRPr="002E2327">
              <w:rPr>
                <w:rFonts w:cs="Times New Roman"/>
                <w:sz w:val="20"/>
                <w:szCs w:val="20"/>
              </w:rPr>
              <w:t>-</w:t>
            </w:r>
            <w:r>
              <w:rPr>
                <w:rFonts w:cs="Times New Roman"/>
                <w:sz w:val="20"/>
                <w:szCs w:val="20"/>
              </w:rPr>
              <w:t xml:space="preserve"> 739</w:t>
            </w:r>
          </w:p>
          <w:p w:rsidR="0095096B" w:rsidRPr="002E2327" w:rsidRDefault="0095096B" w:rsidP="0095096B">
            <w:pPr>
              <w:jc w:val="center"/>
              <w:rPr>
                <w:rFonts w:cs="Times New Roman"/>
                <w:sz w:val="20"/>
                <w:szCs w:val="20"/>
              </w:rPr>
            </w:pPr>
          </w:p>
          <w:p w:rsidR="0095096B" w:rsidRPr="002E2327" w:rsidRDefault="00C56336" w:rsidP="0095096B">
            <w:pPr>
              <w:jc w:val="center"/>
              <w:rPr>
                <w:rFonts w:cs="Times New Roman"/>
                <w:sz w:val="20"/>
                <w:szCs w:val="20"/>
              </w:rPr>
            </w:pPr>
            <w:r>
              <w:rPr>
                <w:rFonts w:cs="Times New Roman"/>
                <w:sz w:val="20"/>
                <w:szCs w:val="20"/>
              </w:rPr>
              <w:t>740</w:t>
            </w:r>
          </w:p>
          <w:p w:rsidR="0095096B" w:rsidRPr="002E2327" w:rsidRDefault="0095096B" w:rsidP="0095096B">
            <w:pPr>
              <w:jc w:val="center"/>
              <w:rPr>
                <w:rFonts w:cs="Times New Roman"/>
                <w:sz w:val="20"/>
                <w:szCs w:val="20"/>
              </w:rPr>
            </w:pPr>
          </w:p>
          <w:p w:rsidR="00CC4BCE" w:rsidRDefault="00CC4BCE" w:rsidP="0095096B">
            <w:pPr>
              <w:jc w:val="center"/>
              <w:rPr>
                <w:rFonts w:cs="Times New Roman"/>
                <w:sz w:val="20"/>
                <w:szCs w:val="20"/>
              </w:rPr>
            </w:pPr>
          </w:p>
          <w:p w:rsidR="0095096B" w:rsidRPr="002E2327" w:rsidRDefault="00C56336" w:rsidP="0095096B">
            <w:pPr>
              <w:jc w:val="center"/>
              <w:rPr>
                <w:rFonts w:cs="Times New Roman"/>
                <w:sz w:val="20"/>
                <w:szCs w:val="20"/>
              </w:rPr>
            </w:pPr>
            <w:r>
              <w:rPr>
                <w:rFonts w:cs="Times New Roman"/>
                <w:sz w:val="20"/>
                <w:szCs w:val="20"/>
              </w:rPr>
              <w:t xml:space="preserve">741 </w:t>
            </w:r>
            <w:r w:rsidR="0095096B" w:rsidRPr="002E2327">
              <w:rPr>
                <w:rFonts w:cs="Times New Roman"/>
                <w:sz w:val="20"/>
                <w:szCs w:val="20"/>
              </w:rPr>
              <w:t>-</w:t>
            </w:r>
            <w:r>
              <w:rPr>
                <w:rFonts w:cs="Times New Roman"/>
                <w:sz w:val="20"/>
                <w:szCs w:val="20"/>
              </w:rPr>
              <w:t xml:space="preserve"> 743</w:t>
            </w:r>
          </w:p>
          <w:p w:rsidR="0095096B" w:rsidRPr="002E2327" w:rsidRDefault="0095096B" w:rsidP="0095096B">
            <w:pPr>
              <w:jc w:val="center"/>
              <w:rPr>
                <w:rFonts w:cs="Times New Roman"/>
                <w:sz w:val="20"/>
                <w:szCs w:val="20"/>
              </w:rPr>
            </w:pPr>
          </w:p>
          <w:p w:rsidR="00CC4BCE" w:rsidRDefault="00CC4BCE" w:rsidP="0095096B">
            <w:pPr>
              <w:jc w:val="center"/>
              <w:rPr>
                <w:rFonts w:cs="Times New Roman"/>
                <w:sz w:val="20"/>
                <w:szCs w:val="20"/>
              </w:rPr>
            </w:pPr>
          </w:p>
          <w:p w:rsidR="0095096B" w:rsidRPr="002E2327" w:rsidRDefault="00C56336" w:rsidP="0095096B">
            <w:pPr>
              <w:jc w:val="center"/>
              <w:rPr>
                <w:rFonts w:cs="Times New Roman"/>
                <w:sz w:val="20"/>
                <w:szCs w:val="20"/>
              </w:rPr>
            </w:pPr>
            <w:r>
              <w:rPr>
                <w:rFonts w:cs="Times New Roman"/>
                <w:sz w:val="20"/>
                <w:szCs w:val="20"/>
              </w:rPr>
              <w:t>744</w:t>
            </w:r>
          </w:p>
          <w:p w:rsidR="0095096B" w:rsidRPr="002E2327" w:rsidRDefault="0095096B" w:rsidP="0095096B">
            <w:pPr>
              <w:jc w:val="center"/>
              <w:rPr>
                <w:rFonts w:cs="Times New Roman"/>
                <w:sz w:val="20"/>
                <w:szCs w:val="20"/>
              </w:rPr>
            </w:pPr>
          </w:p>
          <w:p w:rsidR="00CC4BCE" w:rsidRDefault="00CC4BCE" w:rsidP="0095096B">
            <w:pPr>
              <w:jc w:val="center"/>
              <w:rPr>
                <w:rFonts w:cs="Times New Roman"/>
                <w:sz w:val="20"/>
                <w:szCs w:val="20"/>
              </w:rPr>
            </w:pPr>
          </w:p>
          <w:p w:rsidR="00A87207" w:rsidRPr="002E2327" w:rsidRDefault="00C56336" w:rsidP="00CC4BCE">
            <w:pPr>
              <w:jc w:val="center"/>
              <w:rPr>
                <w:rFonts w:cs="Times New Roman"/>
                <w:sz w:val="20"/>
                <w:szCs w:val="20"/>
              </w:rPr>
            </w:pPr>
            <w:r>
              <w:rPr>
                <w:rFonts w:cs="Times New Roman"/>
                <w:sz w:val="20"/>
                <w:szCs w:val="20"/>
              </w:rPr>
              <w:t xml:space="preserve">745 </w:t>
            </w:r>
            <w:r w:rsidR="0095096B" w:rsidRPr="002E2327">
              <w:rPr>
                <w:rFonts w:cs="Times New Roman"/>
                <w:sz w:val="20"/>
                <w:szCs w:val="20"/>
              </w:rPr>
              <w:t>-</w:t>
            </w:r>
            <w:r>
              <w:rPr>
                <w:rFonts w:cs="Times New Roman"/>
                <w:sz w:val="20"/>
                <w:szCs w:val="20"/>
              </w:rPr>
              <w:t xml:space="preserve"> 751</w:t>
            </w:r>
          </w:p>
        </w:tc>
        <w:tc>
          <w:tcPr>
            <w:tcW w:w="3888" w:type="dxa"/>
          </w:tcPr>
          <w:p w:rsidR="0095096B" w:rsidRPr="002E2327" w:rsidRDefault="00A26E00"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Audience ordonnée</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A87207" w:rsidRPr="002E2327" w:rsidRDefault="0095096B" w:rsidP="00CC4BCE">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tc>
      </w:tr>
    </w:tbl>
    <w:p w:rsidR="0095096B" w:rsidRDefault="0095096B" w:rsidP="0095096B">
      <w:pPr>
        <w:tabs>
          <w:tab w:val="right" w:pos="9360"/>
        </w:tabs>
        <w:rPr>
          <w:sz w:val="20"/>
          <w:szCs w:val="20"/>
          <w:lang w:val="fr-CA"/>
        </w:rPr>
      </w:pPr>
    </w:p>
    <w:p w:rsidR="001D3E4B" w:rsidRDefault="001D3E4B" w:rsidP="0095096B">
      <w:pPr>
        <w:tabs>
          <w:tab w:val="right" w:pos="9360"/>
        </w:tabs>
        <w:rPr>
          <w:sz w:val="20"/>
          <w:szCs w:val="20"/>
          <w:lang w:val="fr-CA"/>
        </w:rPr>
      </w:pPr>
    </w:p>
    <w:p w:rsidR="001D3E4B" w:rsidRDefault="001D3E4B" w:rsidP="0095096B">
      <w:pPr>
        <w:tabs>
          <w:tab w:val="right" w:pos="9360"/>
        </w:tabs>
        <w:rPr>
          <w:sz w:val="20"/>
          <w:szCs w:val="20"/>
          <w:lang w:val="fr-CA"/>
        </w:rPr>
      </w:pPr>
    </w:p>
    <w:p w:rsidR="001D3E4B" w:rsidRDefault="001D3E4B" w:rsidP="0095096B">
      <w:pPr>
        <w:tabs>
          <w:tab w:val="right" w:pos="9360"/>
        </w:tabs>
        <w:rPr>
          <w:sz w:val="20"/>
          <w:szCs w:val="20"/>
          <w:lang w:val="fr-CA"/>
        </w:rPr>
      </w:pPr>
    </w:p>
    <w:p w:rsidR="001D3E4B" w:rsidRPr="00832D97" w:rsidRDefault="001D3E4B" w:rsidP="0095096B">
      <w:pPr>
        <w:tabs>
          <w:tab w:val="right" w:pos="9360"/>
        </w:tabs>
        <w:rPr>
          <w:sz w:val="20"/>
          <w:szCs w:val="20"/>
          <w:lang w:val="fr-CA"/>
        </w:rPr>
      </w:pPr>
    </w:p>
    <w:tbl>
      <w:tblPr>
        <w:tblStyle w:val="TableGrid"/>
        <w:tblW w:w="0" w:type="auto"/>
        <w:tblLook w:val="04A0" w:firstRow="1" w:lastRow="0" w:firstColumn="1" w:lastColumn="0" w:noHBand="0" w:noVBand="1"/>
      </w:tblPr>
      <w:tblGrid>
        <w:gridCol w:w="9576"/>
      </w:tblGrid>
      <w:tr w:rsidR="0079724F" w:rsidRPr="00417673"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297967" w:rsidRPr="00C21644" w:rsidTr="003B3977">
        <w:tc>
          <w:tcPr>
            <w:tcW w:w="4320" w:type="dxa"/>
            <w:shd w:val="clear" w:color="auto" w:fill="auto"/>
          </w:tcPr>
          <w:p w:rsidR="00297967" w:rsidRPr="00A935AA" w:rsidRDefault="00297967" w:rsidP="005F1ED8">
            <w:pPr>
              <w:rPr>
                <w:b/>
                <w:sz w:val="20"/>
                <w:szCs w:val="20"/>
              </w:rPr>
            </w:pPr>
            <w:r>
              <w:rPr>
                <w:b/>
                <w:sz w:val="20"/>
                <w:szCs w:val="20"/>
              </w:rPr>
              <w:t>T.M.</w:t>
            </w:r>
          </w:p>
          <w:p w:rsidR="00297967" w:rsidRDefault="00297967" w:rsidP="005F1ED8">
            <w:pPr>
              <w:tabs>
                <w:tab w:val="left" w:pos="-1440"/>
                <w:tab w:val="left" w:pos="-720"/>
              </w:tabs>
              <w:rPr>
                <w:sz w:val="20"/>
                <w:szCs w:val="20"/>
              </w:rPr>
            </w:pPr>
            <w:r w:rsidRPr="00A935AA">
              <w:rPr>
                <w:sz w:val="20"/>
                <w:szCs w:val="20"/>
              </w:rPr>
              <w:tab/>
            </w:r>
            <w:r>
              <w:rPr>
                <w:sz w:val="20"/>
                <w:szCs w:val="20"/>
              </w:rPr>
              <w:t>T.M.</w:t>
            </w:r>
          </w:p>
          <w:p w:rsidR="00297967" w:rsidRPr="0072344A" w:rsidRDefault="00297967" w:rsidP="005F1ED8">
            <w:pPr>
              <w:tabs>
                <w:tab w:val="left" w:pos="-1440"/>
                <w:tab w:val="left" w:pos="-720"/>
              </w:tabs>
              <w:rPr>
                <w:sz w:val="20"/>
                <w:szCs w:val="20"/>
              </w:rPr>
            </w:pPr>
          </w:p>
          <w:p w:rsidR="00297967" w:rsidRPr="0072344A" w:rsidRDefault="00297967" w:rsidP="005F1ED8">
            <w:pPr>
              <w:tabs>
                <w:tab w:val="left" w:pos="-1440"/>
                <w:tab w:val="left" w:pos="-720"/>
              </w:tabs>
              <w:rPr>
                <w:sz w:val="20"/>
                <w:szCs w:val="20"/>
              </w:rPr>
            </w:pPr>
            <w:r w:rsidRPr="0072344A">
              <w:rPr>
                <w:sz w:val="20"/>
                <w:szCs w:val="20"/>
              </w:rPr>
              <w:tab/>
              <w:t>v. (36358)</w:t>
            </w:r>
          </w:p>
          <w:p w:rsidR="00297967" w:rsidRPr="0072344A" w:rsidRDefault="00297967" w:rsidP="005F1ED8">
            <w:pPr>
              <w:tabs>
                <w:tab w:val="left" w:pos="-1440"/>
                <w:tab w:val="left" w:pos="-720"/>
              </w:tabs>
              <w:rPr>
                <w:sz w:val="20"/>
                <w:szCs w:val="20"/>
              </w:rPr>
            </w:pPr>
          </w:p>
          <w:p w:rsidR="00297967" w:rsidRPr="00A935AA" w:rsidRDefault="00297967" w:rsidP="005F1ED8">
            <w:pPr>
              <w:tabs>
                <w:tab w:val="left" w:pos="-1440"/>
                <w:tab w:val="left" w:pos="-720"/>
              </w:tabs>
              <w:rPr>
                <w:b/>
                <w:sz w:val="20"/>
                <w:szCs w:val="20"/>
              </w:rPr>
            </w:pPr>
            <w:r w:rsidRPr="00297967">
              <w:rPr>
                <w:b/>
                <w:sz w:val="20"/>
                <w:szCs w:val="20"/>
              </w:rPr>
              <w:t>Her Majesty the Queen</w:t>
            </w:r>
            <w:r w:rsidRPr="00297967">
              <w:rPr>
                <w:sz w:val="20"/>
                <w:szCs w:val="20"/>
              </w:rPr>
              <w:t xml:space="preserve"> </w:t>
            </w:r>
            <w:r w:rsidRPr="00A935AA">
              <w:rPr>
                <w:b/>
                <w:sz w:val="20"/>
                <w:szCs w:val="20"/>
              </w:rPr>
              <w:t>(</w:t>
            </w:r>
            <w:r>
              <w:rPr>
                <w:b/>
                <w:sz w:val="20"/>
                <w:szCs w:val="20"/>
              </w:rPr>
              <w:t>Ont</w:t>
            </w:r>
            <w:r w:rsidRPr="00A935AA">
              <w:rPr>
                <w:b/>
                <w:sz w:val="20"/>
                <w:szCs w:val="20"/>
              </w:rPr>
              <w:t>.)</w:t>
            </w:r>
          </w:p>
          <w:p w:rsidR="00297967" w:rsidRPr="00A935AA" w:rsidRDefault="00297967" w:rsidP="005F1ED8">
            <w:pPr>
              <w:tabs>
                <w:tab w:val="left" w:pos="-1440"/>
                <w:tab w:val="left" w:pos="-720"/>
              </w:tabs>
              <w:rPr>
                <w:sz w:val="20"/>
                <w:szCs w:val="20"/>
              </w:rPr>
            </w:pPr>
            <w:r w:rsidRPr="00A935AA">
              <w:rPr>
                <w:sz w:val="20"/>
                <w:szCs w:val="20"/>
              </w:rPr>
              <w:tab/>
            </w:r>
            <w:r>
              <w:rPr>
                <w:sz w:val="20"/>
                <w:szCs w:val="20"/>
              </w:rPr>
              <w:t>Jocelyn Speyer</w:t>
            </w:r>
          </w:p>
          <w:p w:rsidR="00297967" w:rsidRPr="00A935AA" w:rsidRDefault="00297967" w:rsidP="005F1ED8">
            <w:pPr>
              <w:tabs>
                <w:tab w:val="left" w:pos="-1440"/>
                <w:tab w:val="left" w:pos="-720"/>
              </w:tabs>
              <w:rPr>
                <w:sz w:val="20"/>
                <w:szCs w:val="20"/>
              </w:rPr>
            </w:pPr>
            <w:r w:rsidRPr="00A935AA">
              <w:rPr>
                <w:sz w:val="20"/>
                <w:szCs w:val="20"/>
              </w:rPr>
              <w:tab/>
            </w:r>
            <w:r>
              <w:rPr>
                <w:sz w:val="20"/>
                <w:szCs w:val="20"/>
              </w:rPr>
              <w:t>A.G. of Ontario</w:t>
            </w:r>
          </w:p>
          <w:p w:rsidR="00297967" w:rsidRPr="00A935AA" w:rsidRDefault="00297967" w:rsidP="005F1ED8">
            <w:pPr>
              <w:tabs>
                <w:tab w:val="left" w:pos="-1440"/>
                <w:tab w:val="left" w:pos="-720"/>
              </w:tabs>
              <w:rPr>
                <w:sz w:val="20"/>
                <w:szCs w:val="20"/>
              </w:rPr>
            </w:pPr>
          </w:p>
          <w:p w:rsidR="00297967" w:rsidRPr="00A935AA" w:rsidRDefault="00297967" w:rsidP="00297967">
            <w:pPr>
              <w:rPr>
                <w:sz w:val="20"/>
                <w:szCs w:val="20"/>
              </w:rPr>
            </w:pPr>
            <w:r w:rsidRPr="00A935AA">
              <w:rPr>
                <w:sz w:val="20"/>
                <w:szCs w:val="20"/>
              </w:rPr>
              <w:t xml:space="preserve">FILING DATE: </w:t>
            </w:r>
            <w:r>
              <w:rPr>
                <w:sz w:val="20"/>
                <w:szCs w:val="20"/>
              </w:rPr>
              <w:t>13</w:t>
            </w:r>
            <w:r w:rsidRPr="00A935AA">
              <w:rPr>
                <w:sz w:val="20"/>
                <w:szCs w:val="20"/>
              </w:rPr>
              <w:t>.</w:t>
            </w:r>
            <w:r>
              <w:rPr>
                <w:sz w:val="20"/>
                <w:szCs w:val="20"/>
              </w:rPr>
              <w:t>02</w:t>
            </w:r>
            <w:r w:rsidRPr="00A935AA">
              <w:rPr>
                <w:sz w:val="20"/>
                <w:szCs w:val="20"/>
              </w:rPr>
              <w:t>.201</w:t>
            </w:r>
            <w:r>
              <w:rPr>
                <w:sz w:val="20"/>
                <w:szCs w:val="20"/>
              </w:rPr>
              <w:t>5</w:t>
            </w:r>
            <w:r w:rsidR="00417673">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97967" w:rsidRPr="00A935AA" w:rsidRDefault="00297967" w:rsidP="00242AEE">
            <w:pPr>
              <w:jc w:val="center"/>
              <w:rPr>
                <w:sz w:val="20"/>
                <w:szCs w:val="20"/>
              </w:rPr>
            </w:pPr>
          </w:p>
          <w:p w:rsidR="00297967" w:rsidRPr="00A935AA" w:rsidRDefault="00297967" w:rsidP="00242AEE">
            <w:pPr>
              <w:jc w:val="center"/>
              <w:rPr>
                <w:sz w:val="20"/>
                <w:szCs w:val="20"/>
              </w:rPr>
            </w:pPr>
          </w:p>
          <w:p w:rsidR="00297967" w:rsidRPr="00A935AA" w:rsidRDefault="00297967" w:rsidP="00242AEE">
            <w:pPr>
              <w:jc w:val="center"/>
              <w:rPr>
                <w:sz w:val="20"/>
                <w:szCs w:val="20"/>
              </w:rPr>
            </w:pPr>
          </w:p>
          <w:p w:rsidR="00297967" w:rsidRPr="00A935AA" w:rsidRDefault="00297967" w:rsidP="00242AEE">
            <w:pPr>
              <w:jc w:val="center"/>
              <w:rPr>
                <w:sz w:val="20"/>
                <w:szCs w:val="20"/>
              </w:rPr>
            </w:pPr>
          </w:p>
          <w:p w:rsidR="00297967" w:rsidRPr="00A935AA" w:rsidRDefault="00297967" w:rsidP="00242AEE">
            <w:pPr>
              <w:jc w:val="center"/>
              <w:rPr>
                <w:sz w:val="20"/>
                <w:szCs w:val="20"/>
              </w:rPr>
            </w:pPr>
          </w:p>
          <w:p w:rsidR="00297967" w:rsidRPr="00A935AA" w:rsidRDefault="00297967" w:rsidP="00242AEE">
            <w:pPr>
              <w:jc w:val="center"/>
              <w:rPr>
                <w:sz w:val="20"/>
                <w:szCs w:val="20"/>
              </w:rPr>
            </w:pPr>
          </w:p>
          <w:p w:rsidR="00297967" w:rsidRPr="00A935AA" w:rsidRDefault="00297967" w:rsidP="00242AEE">
            <w:pPr>
              <w:jc w:val="center"/>
              <w:rPr>
                <w:sz w:val="20"/>
                <w:szCs w:val="20"/>
              </w:rPr>
            </w:pPr>
          </w:p>
          <w:p w:rsidR="00297967" w:rsidRPr="00A935AA" w:rsidRDefault="00297967" w:rsidP="00242AEE">
            <w:pPr>
              <w:jc w:val="center"/>
              <w:rPr>
                <w:sz w:val="20"/>
                <w:szCs w:val="20"/>
              </w:rPr>
            </w:pPr>
          </w:p>
          <w:p w:rsidR="00297967" w:rsidRPr="00A935AA" w:rsidRDefault="00297967" w:rsidP="00242AEE">
            <w:pPr>
              <w:jc w:val="center"/>
              <w:rPr>
                <w:sz w:val="20"/>
                <w:szCs w:val="20"/>
              </w:rPr>
            </w:pPr>
          </w:p>
          <w:p w:rsidR="00297967" w:rsidRPr="00A935AA" w:rsidRDefault="00297967" w:rsidP="00242AEE">
            <w:pPr>
              <w:jc w:val="center"/>
              <w:rPr>
                <w:sz w:val="20"/>
                <w:szCs w:val="20"/>
              </w:rPr>
            </w:pPr>
          </w:p>
          <w:p w:rsidR="00297967" w:rsidRPr="00A935AA" w:rsidRDefault="00297967" w:rsidP="00242AEE">
            <w:pPr>
              <w:jc w:val="center"/>
              <w:rPr>
                <w:sz w:val="20"/>
                <w:szCs w:val="20"/>
              </w:rPr>
            </w:pPr>
          </w:p>
          <w:p w:rsidR="00297967" w:rsidRPr="00A935AA" w:rsidRDefault="00297967" w:rsidP="00242AEE">
            <w:pPr>
              <w:jc w:val="center"/>
              <w:rPr>
                <w:sz w:val="20"/>
                <w:szCs w:val="20"/>
              </w:rPr>
            </w:pPr>
          </w:p>
        </w:tc>
        <w:tc>
          <w:tcPr>
            <w:tcW w:w="4320" w:type="dxa"/>
            <w:shd w:val="clear" w:color="auto" w:fill="auto"/>
          </w:tcPr>
          <w:p w:rsidR="00297967" w:rsidRPr="00A935AA" w:rsidRDefault="00434755" w:rsidP="0072344A">
            <w:pPr>
              <w:rPr>
                <w:b/>
                <w:sz w:val="20"/>
                <w:szCs w:val="20"/>
              </w:rPr>
            </w:pPr>
            <w:r>
              <w:rPr>
                <w:b/>
                <w:sz w:val="20"/>
                <w:szCs w:val="20"/>
              </w:rPr>
              <w:t>Bradley Reckless</w:t>
            </w:r>
          </w:p>
          <w:p w:rsidR="00297967" w:rsidRPr="00A935AA" w:rsidRDefault="00297967" w:rsidP="0072344A">
            <w:pPr>
              <w:tabs>
                <w:tab w:val="left" w:pos="-1440"/>
                <w:tab w:val="left" w:pos="-720"/>
              </w:tabs>
              <w:rPr>
                <w:sz w:val="20"/>
                <w:szCs w:val="20"/>
              </w:rPr>
            </w:pPr>
            <w:r w:rsidRPr="00A935AA">
              <w:rPr>
                <w:sz w:val="20"/>
                <w:szCs w:val="20"/>
              </w:rPr>
              <w:tab/>
            </w:r>
            <w:r w:rsidR="00434755">
              <w:rPr>
                <w:sz w:val="20"/>
                <w:szCs w:val="20"/>
              </w:rPr>
              <w:t>Bradley Reckless</w:t>
            </w:r>
          </w:p>
          <w:p w:rsidR="00297967" w:rsidRPr="00A935AA" w:rsidRDefault="00297967" w:rsidP="0072344A">
            <w:pPr>
              <w:tabs>
                <w:tab w:val="left" w:pos="-1440"/>
                <w:tab w:val="left" w:pos="-720"/>
              </w:tabs>
              <w:rPr>
                <w:sz w:val="20"/>
                <w:szCs w:val="20"/>
              </w:rPr>
            </w:pPr>
          </w:p>
          <w:p w:rsidR="00297967" w:rsidRPr="00A935AA" w:rsidRDefault="00297967" w:rsidP="0072344A">
            <w:pPr>
              <w:tabs>
                <w:tab w:val="left" w:pos="-1440"/>
                <w:tab w:val="left" w:pos="-720"/>
              </w:tabs>
              <w:rPr>
                <w:sz w:val="20"/>
                <w:szCs w:val="20"/>
              </w:rPr>
            </w:pPr>
            <w:r w:rsidRPr="00A935AA">
              <w:rPr>
                <w:sz w:val="20"/>
                <w:szCs w:val="20"/>
              </w:rPr>
              <w:tab/>
              <w:t>v. (3</w:t>
            </w:r>
            <w:r w:rsidR="00434755">
              <w:rPr>
                <w:sz w:val="20"/>
                <w:szCs w:val="20"/>
              </w:rPr>
              <w:t>63</w:t>
            </w:r>
            <w:r>
              <w:rPr>
                <w:sz w:val="20"/>
                <w:szCs w:val="20"/>
              </w:rPr>
              <w:t>5</w:t>
            </w:r>
            <w:r w:rsidR="00434755">
              <w:rPr>
                <w:sz w:val="20"/>
                <w:szCs w:val="20"/>
              </w:rPr>
              <w:t>6</w:t>
            </w:r>
            <w:r w:rsidRPr="00A935AA">
              <w:rPr>
                <w:sz w:val="20"/>
                <w:szCs w:val="20"/>
              </w:rPr>
              <w:t>)</w:t>
            </w:r>
          </w:p>
          <w:p w:rsidR="00297967" w:rsidRPr="00A935AA" w:rsidRDefault="00297967" w:rsidP="0072344A">
            <w:pPr>
              <w:tabs>
                <w:tab w:val="left" w:pos="-1440"/>
                <w:tab w:val="left" w:pos="-720"/>
              </w:tabs>
              <w:rPr>
                <w:sz w:val="20"/>
                <w:szCs w:val="20"/>
              </w:rPr>
            </w:pPr>
          </w:p>
          <w:p w:rsidR="00297967" w:rsidRPr="00A935AA" w:rsidRDefault="00434755" w:rsidP="0072344A">
            <w:pPr>
              <w:tabs>
                <w:tab w:val="left" w:pos="-1440"/>
                <w:tab w:val="left" w:pos="-720"/>
              </w:tabs>
              <w:rPr>
                <w:b/>
                <w:sz w:val="20"/>
                <w:szCs w:val="20"/>
              </w:rPr>
            </w:pPr>
            <w:r>
              <w:rPr>
                <w:b/>
                <w:sz w:val="20"/>
                <w:szCs w:val="20"/>
              </w:rPr>
              <w:t xml:space="preserve">Bank of Montreal </w:t>
            </w:r>
            <w:r w:rsidR="00297967" w:rsidRPr="00A935AA">
              <w:rPr>
                <w:b/>
                <w:sz w:val="20"/>
                <w:szCs w:val="20"/>
              </w:rPr>
              <w:t>(</w:t>
            </w:r>
            <w:r w:rsidR="00297967">
              <w:rPr>
                <w:b/>
                <w:sz w:val="20"/>
                <w:szCs w:val="20"/>
              </w:rPr>
              <w:t>Ont</w:t>
            </w:r>
            <w:r w:rsidR="00297967" w:rsidRPr="00A935AA">
              <w:rPr>
                <w:b/>
                <w:sz w:val="20"/>
                <w:szCs w:val="20"/>
              </w:rPr>
              <w:t>.)</w:t>
            </w:r>
          </w:p>
          <w:p w:rsidR="00297967" w:rsidRPr="00A935AA" w:rsidRDefault="00297967" w:rsidP="0072344A">
            <w:pPr>
              <w:tabs>
                <w:tab w:val="left" w:pos="-1440"/>
                <w:tab w:val="left" w:pos="-720"/>
              </w:tabs>
              <w:rPr>
                <w:sz w:val="20"/>
                <w:szCs w:val="20"/>
              </w:rPr>
            </w:pPr>
            <w:r w:rsidRPr="00A935AA">
              <w:rPr>
                <w:sz w:val="20"/>
                <w:szCs w:val="20"/>
              </w:rPr>
              <w:tab/>
            </w:r>
            <w:r w:rsidR="003077B4">
              <w:rPr>
                <w:sz w:val="20"/>
                <w:szCs w:val="20"/>
              </w:rPr>
              <w:t>Michael T. Collis</w:t>
            </w:r>
          </w:p>
          <w:p w:rsidR="00297967" w:rsidRPr="00A935AA" w:rsidRDefault="00297967" w:rsidP="0072344A">
            <w:pPr>
              <w:tabs>
                <w:tab w:val="left" w:pos="-1440"/>
                <w:tab w:val="left" w:pos="-720"/>
              </w:tabs>
              <w:rPr>
                <w:sz w:val="20"/>
                <w:szCs w:val="20"/>
              </w:rPr>
            </w:pPr>
            <w:r w:rsidRPr="00A935AA">
              <w:rPr>
                <w:sz w:val="20"/>
                <w:szCs w:val="20"/>
              </w:rPr>
              <w:tab/>
            </w:r>
            <w:r w:rsidR="003077B4">
              <w:rPr>
                <w:sz w:val="20"/>
                <w:szCs w:val="20"/>
              </w:rPr>
              <w:t xml:space="preserve">Reubenstein, Seigel </w:t>
            </w:r>
          </w:p>
          <w:p w:rsidR="00297967" w:rsidRPr="00A935AA" w:rsidRDefault="00297967" w:rsidP="0072344A">
            <w:pPr>
              <w:tabs>
                <w:tab w:val="left" w:pos="-1440"/>
                <w:tab w:val="left" w:pos="-720"/>
              </w:tabs>
              <w:rPr>
                <w:sz w:val="20"/>
                <w:szCs w:val="20"/>
              </w:rPr>
            </w:pPr>
          </w:p>
          <w:p w:rsidR="00297967" w:rsidRPr="00A935AA" w:rsidRDefault="00297967" w:rsidP="003077B4">
            <w:pPr>
              <w:rPr>
                <w:sz w:val="20"/>
                <w:szCs w:val="20"/>
              </w:rPr>
            </w:pPr>
            <w:r w:rsidRPr="00A935AA">
              <w:rPr>
                <w:sz w:val="20"/>
                <w:szCs w:val="20"/>
              </w:rPr>
              <w:t>FILING DATE: 2</w:t>
            </w:r>
            <w:r w:rsidR="003077B4">
              <w:rPr>
                <w:sz w:val="20"/>
                <w:szCs w:val="20"/>
              </w:rPr>
              <w:t>3</w:t>
            </w:r>
            <w:r w:rsidRPr="00A935AA">
              <w:rPr>
                <w:sz w:val="20"/>
                <w:szCs w:val="20"/>
              </w:rPr>
              <w:t>.0</w:t>
            </w:r>
            <w:r w:rsidR="003077B4">
              <w:rPr>
                <w:sz w:val="20"/>
                <w:szCs w:val="20"/>
              </w:rPr>
              <w:t>3</w:t>
            </w:r>
            <w:r w:rsidRPr="00A935AA">
              <w:rPr>
                <w:sz w:val="20"/>
                <w:szCs w:val="20"/>
              </w:rPr>
              <w:t>.201</w:t>
            </w:r>
            <w:r>
              <w:rPr>
                <w:sz w:val="20"/>
                <w:szCs w:val="20"/>
              </w:rPr>
              <w:t>5</w:t>
            </w:r>
            <w:r w:rsidR="00417673">
              <w:rPr>
                <w:sz w:val="20"/>
                <w:szCs w:val="20"/>
                <w:lang w:val="fr-CA"/>
              </w:rPr>
              <w:pict>
                <v:rect id="_x0000_i1026" style="width:108pt;height:1pt" o:hrpct="0" o:hralign="center" o:hrstd="t" o:hrnoshade="t" o:hr="t" fillcolor="black [3213]" stroked="f"/>
              </w:pict>
            </w:r>
          </w:p>
        </w:tc>
      </w:tr>
      <w:tr w:rsidR="00C21644" w:rsidRPr="00A935AA" w:rsidTr="003B3977">
        <w:tc>
          <w:tcPr>
            <w:tcW w:w="4320" w:type="dxa"/>
            <w:shd w:val="clear" w:color="auto" w:fill="auto"/>
          </w:tcPr>
          <w:p w:rsidR="00C21644" w:rsidRPr="00434755" w:rsidRDefault="0072344A" w:rsidP="003B3977">
            <w:pPr>
              <w:rPr>
                <w:b/>
                <w:sz w:val="20"/>
                <w:szCs w:val="20"/>
              </w:rPr>
            </w:pPr>
            <w:r>
              <w:rPr>
                <w:b/>
                <w:sz w:val="20"/>
                <w:szCs w:val="20"/>
              </w:rPr>
              <w:t>Chief Jesse John Simon et al.</w:t>
            </w:r>
          </w:p>
          <w:p w:rsidR="00C21644" w:rsidRPr="00434755" w:rsidRDefault="00C21644" w:rsidP="003B3977">
            <w:pPr>
              <w:tabs>
                <w:tab w:val="left" w:pos="-1440"/>
                <w:tab w:val="left" w:pos="-720"/>
              </w:tabs>
              <w:rPr>
                <w:sz w:val="20"/>
                <w:szCs w:val="20"/>
              </w:rPr>
            </w:pPr>
            <w:r w:rsidRPr="00434755">
              <w:rPr>
                <w:sz w:val="20"/>
                <w:szCs w:val="20"/>
              </w:rPr>
              <w:tab/>
            </w:r>
            <w:r w:rsidR="0072344A">
              <w:rPr>
                <w:sz w:val="20"/>
                <w:szCs w:val="20"/>
              </w:rPr>
              <w:t>Naiomi Metallic</w:t>
            </w:r>
          </w:p>
          <w:p w:rsidR="00C21644" w:rsidRPr="00434755" w:rsidRDefault="00C21644" w:rsidP="003B3977">
            <w:pPr>
              <w:tabs>
                <w:tab w:val="left" w:pos="-1440"/>
                <w:tab w:val="left" w:pos="-720"/>
              </w:tabs>
              <w:rPr>
                <w:sz w:val="20"/>
                <w:szCs w:val="20"/>
              </w:rPr>
            </w:pPr>
            <w:r w:rsidRPr="00434755">
              <w:rPr>
                <w:sz w:val="20"/>
                <w:szCs w:val="20"/>
              </w:rPr>
              <w:tab/>
            </w:r>
            <w:r w:rsidR="0072344A">
              <w:rPr>
                <w:sz w:val="20"/>
                <w:szCs w:val="20"/>
              </w:rPr>
              <w:t>Burchells LLP</w:t>
            </w:r>
          </w:p>
          <w:p w:rsidR="00C21644" w:rsidRPr="00434755" w:rsidRDefault="00C21644" w:rsidP="003B3977">
            <w:pPr>
              <w:tabs>
                <w:tab w:val="left" w:pos="-1440"/>
                <w:tab w:val="left" w:pos="-720"/>
              </w:tabs>
              <w:rPr>
                <w:sz w:val="20"/>
                <w:szCs w:val="20"/>
              </w:rPr>
            </w:pPr>
          </w:p>
          <w:p w:rsidR="00C21644" w:rsidRPr="00A935AA" w:rsidRDefault="00C21644" w:rsidP="003B3977">
            <w:pPr>
              <w:tabs>
                <w:tab w:val="left" w:pos="-1440"/>
                <w:tab w:val="left" w:pos="-720"/>
              </w:tabs>
              <w:rPr>
                <w:sz w:val="20"/>
                <w:szCs w:val="20"/>
              </w:rPr>
            </w:pPr>
            <w:r w:rsidRPr="00434755">
              <w:rPr>
                <w:sz w:val="20"/>
                <w:szCs w:val="20"/>
              </w:rPr>
              <w:tab/>
            </w:r>
            <w:r w:rsidRPr="00A935AA">
              <w:rPr>
                <w:sz w:val="20"/>
                <w:szCs w:val="20"/>
              </w:rPr>
              <w:t>v. (3</w:t>
            </w:r>
            <w:r w:rsidR="0072344A">
              <w:rPr>
                <w:sz w:val="20"/>
                <w:szCs w:val="20"/>
              </w:rPr>
              <w:t>63</w:t>
            </w:r>
            <w:r>
              <w:rPr>
                <w:sz w:val="20"/>
                <w:szCs w:val="20"/>
              </w:rPr>
              <w:t>5</w:t>
            </w:r>
            <w:r w:rsidR="0072344A">
              <w:rPr>
                <w:sz w:val="20"/>
                <w:szCs w:val="20"/>
              </w:rPr>
              <w:t>2</w:t>
            </w:r>
            <w:r w:rsidRPr="00A935AA">
              <w:rPr>
                <w:sz w:val="20"/>
                <w:szCs w:val="20"/>
              </w:rPr>
              <w:t>)</w:t>
            </w:r>
          </w:p>
          <w:p w:rsidR="00C21644" w:rsidRPr="00A935AA" w:rsidRDefault="00C21644" w:rsidP="003B3977">
            <w:pPr>
              <w:tabs>
                <w:tab w:val="left" w:pos="-1440"/>
                <w:tab w:val="left" w:pos="-720"/>
              </w:tabs>
              <w:rPr>
                <w:sz w:val="20"/>
                <w:szCs w:val="20"/>
              </w:rPr>
            </w:pPr>
          </w:p>
          <w:p w:rsidR="00C21644" w:rsidRPr="00A935AA" w:rsidRDefault="0072344A" w:rsidP="003B3977">
            <w:pPr>
              <w:tabs>
                <w:tab w:val="left" w:pos="-1440"/>
                <w:tab w:val="left" w:pos="-720"/>
              </w:tabs>
              <w:rPr>
                <w:b/>
                <w:sz w:val="20"/>
                <w:szCs w:val="20"/>
              </w:rPr>
            </w:pPr>
            <w:r>
              <w:rPr>
                <w:b/>
                <w:sz w:val="20"/>
                <w:szCs w:val="20"/>
              </w:rPr>
              <w:t xml:space="preserve">Attorney General of Canada </w:t>
            </w:r>
            <w:r w:rsidR="00C21644" w:rsidRPr="00A935AA">
              <w:rPr>
                <w:b/>
                <w:sz w:val="20"/>
                <w:szCs w:val="20"/>
              </w:rPr>
              <w:t>(</w:t>
            </w:r>
            <w:r>
              <w:rPr>
                <w:b/>
                <w:sz w:val="20"/>
                <w:szCs w:val="20"/>
              </w:rPr>
              <w:t>F.C</w:t>
            </w:r>
            <w:r w:rsidR="00C21644" w:rsidRPr="00A935AA">
              <w:rPr>
                <w:b/>
                <w:sz w:val="20"/>
                <w:szCs w:val="20"/>
              </w:rPr>
              <w:t>.)</w:t>
            </w:r>
          </w:p>
          <w:p w:rsidR="00C21644" w:rsidRPr="00A935AA" w:rsidRDefault="00C21644" w:rsidP="003B3977">
            <w:pPr>
              <w:tabs>
                <w:tab w:val="left" w:pos="-1440"/>
                <w:tab w:val="left" w:pos="-720"/>
              </w:tabs>
              <w:rPr>
                <w:sz w:val="20"/>
                <w:szCs w:val="20"/>
              </w:rPr>
            </w:pPr>
            <w:r w:rsidRPr="00A935AA">
              <w:rPr>
                <w:sz w:val="20"/>
                <w:szCs w:val="20"/>
              </w:rPr>
              <w:tab/>
            </w:r>
            <w:r w:rsidR="0072344A">
              <w:rPr>
                <w:sz w:val="20"/>
                <w:szCs w:val="20"/>
              </w:rPr>
              <w:t>Reinhold M. Endres, Q.C.</w:t>
            </w:r>
          </w:p>
          <w:p w:rsidR="00C21644" w:rsidRPr="00A935AA" w:rsidRDefault="00C21644" w:rsidP="003B3977">
            <w:pPr>
              <w:tabs>
                <w:tab w:val="left" w:pos="-1440"/>
                <w:tab w:val="left" w:pos="-720"/>
              </w:tabs>
              <w:rPr>
                <w:sz w:val="20"/>
                <w:szCs w:val="20"/>
              </w:rPr>
            </w:pPr>
            <w:r w:rsidRPr="00A935AA">
              <w:rPr>
                <w:sz w:val="20"/>
                <w:szCs w:val="20"/>
              </w:rPr>
              <w:tab/>
            </w:r>
            <w:r w:rsidR="0072344A">
              <w:rPr>
                <w:sz w:val="20"/>
                <w:szCs w:val="20"/>
              </w:rPr>
              <w:t>A.G. of Canada</w:t>
            </w:r>
          </w:p>
          <w:p w:rsidR="00C21644" w:rsidRPr="00A935AA" w:rsidRDefault="00C21644" w:rsidP="003B3977">
            <w:pPr>
              <w:tabs>
                <w:tab w:val="left" w:pos="-1440"/>
                <w:tab w:val="left" w:pos="-720"/>
              </w:tabs>
              <w:rPr>
                <w:sz w:val="20"/>
                <w:szCs w:val="20"/>
              </w:rPr>
            </w:pPr>
          </w:p>
          <w:p w:rsidR="00C21644" w:rsidRPr="00A935AA" w:rsidRDefault="00C21644" w:rsidP="0072344A">
            <w:pPr>
              <w:rPr>
                <w:sz w:val="20"/>
                <w:szCs w:val="20"/>
              </w:rPr>
            </w:pPr>
            <w:r w:rsidRPr="00A935AA">
              <w:rPr>
                <w:sz w:val="20"/>
                <w:szCs w:val="20"/>
              </w:rPr>
              <w:t>FILING DATE: 2</w:t>
            </w:r>
            <w:r w:rsidR="0072344A">
              <w:rPr>
                <w:sz w:val="20"/>
                <w:szCs w:val="20"/>
              </w:rPr>
              <w:t>3</w:t>
            </w:r>
            <w:r w:rsidRPr="00A935AA">
              <w:rPr>
                <w:sz w:val="20"/>
                <w:szCs w:val="20"/>
              </w:rPr>
              <w:t>.0</w:t>
            </w:r>
            <w:r w:rsidR="0072344A">
              <w:rPr>
                <w:sz w:val="20"/>
                <w:szCs w:val="20"/>
              </w:rPr>
              <w:t>3</w:t>
            </w:r>
            <w:r w:rsidRPr="00A935AA">
              <w:rPr>
                <w:sz w:val="20"/>
                <w:szCs w:val="20"/>
              </w:rPr>
              <w:t>.201</w:t>
            </w:r>
            <w:r w:rsidR="00297967">
              <w:rPr>
                <w:sz w:val="20"/>
                <w:szCs w:val="20"/>
              </w:rPr>
              <w:t>5</w:t>
            </w:r>
            <w:r w:rsidR="00417673">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72344A" w:rsidRDefault="0072344A" w:rsidP="003B3977">
            <w:pPr>
              <w:keepNext/>
              <w:keepLines/>
              <w:tabs>
                <w:tab w:val="left" w:pos="-1440"/>
                <w:tab w:val="left" w:pos="-720"/>
              </w:tabs>
              <w:rPr>
                <w:b/>
                <w:sz w:val="20"/>
                <w:szCs w:val="20"/>
                <w:lang w:val="fr-CA"/>
              </w:rPr>
            </w:pPr>
            <w:r w:rsidRPr="0072344A">
              <w:rPr>
                <w:b/>
                <w:sz w:val="20"/>
                <w:szCs w:val="20"/>
                <w:lang w:val="fr-CA"/>
              </w:rPr>
              <w:t>Lynne M. Quarmby et al.</w:t>
            </w:r>
          </w:p>
          <w:p w:rsidR="00C21644" w:rsidRPr="0072344A" w:rsidRDefault="00C21644" w:rsidP="003B3977">
            <w:pPr>
              <w:keepNext/>
              <w:keepLines/>
              <w:tabs>
                <w:tab w:val="left" w:pos="-1440"/>
                <w:tab w:val="left" w:pos="-720"/>
              </w:tabs>
              <w:rPr>
                <w:sz w:val="20"/>
                <w:szCs w:val="20"/>
              </w:rPr>
            </w:pPr>
            <w:r w:rsidRPr="0072344A">
              <w:rPr>
                <w:sz w:val="20"/>
                <w:szCs w:val="20"/>
                <w:lang w:val="fr-CA"/>
              </w:rPr>
              <w:tab/>
            </w:r>
            <w:r w:rsidR="0072344A" w:rsidRPr="0072344A">
              <w:rPr>
                <w:sz w:val="20"/>
                <w:szCs w:val="20"/>
              </w:rPr>
              <w:t xml:space="preserve">David J. </w:t>
            </w:r>
            <w:r w:rsidR="0072344A">
              <w:rPr>
                <w:sz w:val="20"/>
                <w:szCs w:val="20"/>
              </w:rPr>
              <w:t>Ma</w:t>
            </w:r>
            <w:r w:rsidR="0072344A" w:rsidRPr="0072344A">
              <w:rPr>
                <w:sz w:val="20"/>
                <w:szCs w:val="20"/>
              </w:rPr>
              <w:t>rt</w:t>
            </w:r>
            <w:r w:rsidR="0072344A">
              <w:rPr>
                <w:sz w:val="20"/>
                <w:szCs w:val="20"/>
              </w:rPr>
              <w:t>in</w:t>
            </w:r>
          </w:p>
          <w:p w:rsidR="00C21644" w:rsidRPr="0072344A" w:rsidRDefault="00C21644" w:rsidP="003B3977">
            <w:pPr>
              <w:keepNext/>
              <w:keepLines/>
              <w:tabs>
                <w:tab w:val="left" w:pos="-1440"/>
                <w:tab w:val="left" w:pos="-720"/>
              </w:tabs>
              <w:rPr>
                <w:sz w:val="20"/>
                <w:szCs w:val="20"/>
              </w:rPr>
            </w:pPr>
            <w:r w:rsidRPr="0072344A">
              <w:rPr>
                <w:sz w:val="20"/>
                <w:szCs w:val="20"/>
              </w:rPr>
              <w:tab/>
            </w:r>
            <w:r w:rsidR="0072344A">
              <w:rPr>
                <w:sz w:val="20"/>
                <w:szCs w:val="20"/>
              </w:rPr>
              <w:t>Martin &amp; Associates</w:t>
            </w:r>
          </w:p>
          <w:p w:rsidR="00C21644" w:rsidRPr="0072344A" w:rsidRDefault="00C21644" w:rsidP="003B3977">
            <w:pPr>
              <w:keepNext/>
              <w:keepLines/>
              <w:tabs>
                <w:tab w:val="left" w:pos="-1440"/>
                <w:tab w:val="left" w:pos="-720"/>
              </w:tabs>
              <w:rPr>
                <w:sz w:val="20"/>
                <w:szCs w:val="20"/>
              </w:rPr>
            </w:pPr>
          </w:p>
          <w:p w:rsidR="00C21644" w:rsidRPr="00A935AA" w:rsidRDefault="00C21644" w:rsidP="003B3977">
            <w:pPr>
              <w:keepNext/>
              <w:keepLines/>
              <w:tabs>
                <w:tab w:val="left" w:pos="-1440"/>
                <w:tab w:val="left" w:pos="-720"/>
              </w:tabs>
              <w:rPr>
                <w:sz w:val="20"/>
                <w:szCs w:val="20"/>
              </w:rPr>
            </w:pPr>
            <w:r w:rsidRPr="0072344A">
              <w:rPr>
                <w:sz w:val="20"/>
                <w:szCs w:val="20"/>
              </w:rPr>
              <w:tab/>
            </w:r>
            <w:r w:rsidRPr="00A935AA">
              <w:rPr>
                <w:sz w:val="20"/>
                <w:szCs w:val="20"/>
              </w:rPr>
              <w:t>v. (3</w:t>
            </w:r>
            <w:r w:rsidR="0072344A">
              <w:rPr>
                <w:sz w:val="20"/>
                <w:szCs w:val="20"/>
              </w:rPr>
              <w:t>63</w:t>
            </w:r>
            <w:r>
              <w:rPr>
                <w:sz w:val="20"/>
                <w:szCs w:val="20"/>
              </w:rPr>
              <w:t>5</w:t>
            </w:r>
            <w:r w:rsidR="0072344A">
              <w:rPr>
                <w:sz w:val="20"/>
                <w:szCs w:val="20"/>
              </w:rPr>
              <w:t>3</w:t>
            </w:r>
            <w:r w:rsidRPr="00A935AA">
              <w:rPr>
                <w:sz w:val="20"/>
                <w:szCs w:val="20"/>
              </w:rPr>
              <w:t>)</w:t>
            </w:r>
          </w:p>
          <w:p w:rsidR="00C21644" w:rsidRPr="00A935AA" w:rsidRDefault="00C21644" w:rsidP="003B3977">
            <w:pPr>
              <w:keepNext/>
              <w:keepLines/>
              <w:tabs>
                <w:tab w:val="left" w:pos="-1440"/>
                <w:tab w:val="left" w:pos="-720"/>
              </w:tabs>
              <w:rPr>
                <w:sz w:val="20"/>
                <w:szCs w:val="20"/>
              </w:rPr>
            </w:pPr>
          </w:p>
          <w:p w:rsidR="00C21644" w:rsidRPr="00A935AA" w:rsidRDefault="0072344A" w:rsidP="003B3977">
            <w:pPr>
              <w:keepNext/>
              <w:keepLines/>
              <w:tabs>
                <w:tab w:val="left" w:pos="-1440"/>
                <w:tab w:val="left" w:pos="-720"/>
              </w:tabs>
              <w:rPr>
                <w:b/>
                <w:sz w:val="20"/>
                <w:szCs w:val="20"/>
              </w:rPr>
            </w:pPr>
            <w:r>
              <w:rPr>
                <w:b/>
                <w:sz w:val="20"/>
                <w:szCs w:val="20"/>
              </w:rPr>
              <w:t xml:space="preserve">Attorney General of Canada et al. </w:t>
            </w:r>
            <w:r w:rsidR="00C21644" w:rsidRPr="00A935AA">
              <w:rPr>
                <w:b/>
                <w:sz w:val="20"/>
                <w:szCs w:val="20"/>
              </w:rPr>
              <w:t>(</w:t>
            </w:r>
            <w:r>
              <w:rPr>
                <w:b/>
                <w:sz w:val="20"/>
                <w:szCs w:val="20"/>
              </w:rPr>
              <w:t>F</w:t>
            </w:r>
            <w:r w:rsidR="00C21644">
              <w:rPr>
                <w:b/>
                <w:sz w:val="20"/>
                <w:szCs w:val="20"/>
              </w:rPr>
              <w:t>.C</w:t>
            </w:r>
            <w:r w:rsidR="00C21644" w:rsidRPr="00A935AA">
              <w:rPr>
                <w:b/>
                <w:sz w:val="20"/>
                <w:szCs w:val="20"/>
              </w:rPr>
              <w:t>.)</w:t>
            </w:r>
          </w:p>
          <w:p w:rsidR="00C21644" w:rsidRPr="00A935AA" w:rsidRDefault="00C21644" w:rsidP="003B3977">
            <w:pPr>
              <w:keepNext/>
              <w:keepLines/>
              <w:tabs>
                <w:tab w:val="left" w:pos="-1440"/>
                <w:tab w:val="left" w:pos="-720"/>
              </w:tabs>
              <w:rPr>
                <w:sz w:val="20"/>
                <w:szCs w:val="20"/>
              </w:rPr>
            </w:pPr>
            <w:r w:rsidRPr="00A935AA">
              <w:rPr>
                <w:sz w:val="20"/>
                <w:szCs w:val="20"/>
              </w:rPr>
              <w:tab/>
            </w:r>
            <w:r w:rsidR="0072344A" w:rsidRPr="0072344A">
              <w:rPr>
                <w:sz w:val="20"/>
                <w:szCs w:val="20"/>
              </w:rPr>
              <w:t>Michael Doherty</w:t>
            </w:r>
          </w:p>
          <w:p w:rsidR="00C21644" w:rsidRPr="00A935AA" w:rsidRDefault="00C21644" w:rsidP="003B3977">
            <w:pPr>
              <w:keepNext/>
              <w:keepLines/>
              <w:tabs>
                <w:tab w:val="left" w:pos="-1440"/>
                <w:tab w:val="left" w:pos="-720"/>
              </w:tabs>
              <w:rPr>
                <w:sz w:val="20"/>
                <w:szCs w:val="20"/>
              </w:rPr>
            </w:pPr>
            <w:r w:rsidRPr="00A935AA">
              <w:rPr>
                <w:sz w:val="20"/>
                <w:szCs w:val="20"/>
              </w:rPr>
              <w:tab/>
            </w:r>
            <w:r w:rsidR="0072344A">
              <w:rPr>
                <w:sz w:val="20"/>
                <w:szCs w:val="20"/>
              </w:rPr>
              <w:t>A.G. of Canada</w:t>
            </w:r>
          </w:p>
          <w:p w:rsidR="00C21644" w:rsidRPr="00A935AA" w:rsidRDefault="00C21644" w:rsidP="003B3977">
            <w:pPr>
              <w:keepNext/>
              <w:keepLines/>
              <w:tabs>
                <w:tab w:val="left" w:pos="-1440"/>
                <w:tab w:val="left" w:pos="-720"/>
              </w:tabs>
              <w:rPr>
                <w:sz w:val="20"/>
                <w:szCs w:val="20"/>
              </w:rPr>
            </w:pPr>
          </w:p>
          <w:p w:rsidR="00C21644" w:rsidRPr="00A935AA" w:rsidRDefault="00C21644" w:rsidP="0072344A">
            <w:pPr>
              <w:rPr>
                <w:sz w:val="20"/>
                <w:szCs w:val="20"/>
              </w:rPr>
            </w:pPr>
            <w:r w:rsidRPr="00A935AA">
              <w:rPr>
                <w:sz w:val="20"/>
                <w:szCs w:val="20"/>
              </w:rPr>
              <w:t>FILING DATE: 2</w:t>
            </w:r>
            <w:r w:rsidR="0072344A">
              <w:rPr>
                <w:sz w:val="20"/>
                <w:szCs w:val="20"/>
              </w:rPr>
              <w:t>3</w:t>
            </w:r>
            <w:r w:rsidRPr="00A935AA">
              <w:rPr>
                <w:sz w:val="20"/>
                <w:szCs w:val="20"/>
              </w:rPr>
              <w:t>.0</w:t>
            </w:r>
            <w:r w:rsidR="0072344A">
              <w:rPr>
                <w:sz w:val="20"/>
                <w:szCs w:val="20"/>
              </w:rPr>
              <w:t>3</w:t>
            </w:r>
            <w:r w:rsidRPr="00A935AA">
              <w:rPr>
                <w:sz w:val="20"/>
                <w:szCs w:val="20"/>
              </w:rPr>
              <w:t>.201</w:t>
            </w:r>
            <w:r w:rsidR="00297967">
              <w:rPr>
                <w:sz w:val="20"/>
                <w:szCs w:val="20"/>
              </w:rPr>
              <w:t>5</w:t>
            </w:r>
            <w:r w:rsidR="00417673">
              <w:rPr>
                <w:sz w:val="20"/>
                <w:szCs w:val="20"/>
                <w:lang w:val="fr-CA"/>
              </w:rPr>
              <w:pict>
                <v:rect id="_x0000_i1028" style="width:108pt;height:1pt" o:hrpct="0" o:hralign="center" o:hrstd="t" o:hrnoshade="t" o:hr="t" fillcolor="black [3213]" stroked="f"/>
              </w:pict>
            </w:r>
          </w:p>
        </w:tc>
      </w:tr>
      <w:tr w:rsidR="00C21644" w:rsidRPr="00A935AA" w:rsidTr="003B3977">
        <w:tc>
          <w:tcPr>
            <w:tcW w:w="4320" w:type="dxa"/>
            <w:shd w:val="clear" w:color="auto" w:fill="auto"/>
          </w:tcPr>
          <w:p w:rsidR="00C21644" w:rsidRPr="00A935AA" w:rsidRDefault="0072344A" w:rsidP="005F1ED8">
            <w:pPr>
              <w:rPr>
                <w:b/>
                <w:sz w:val="20"/>
                <w:szCs w:val="20"/>
              </w:rPr>
            </w:pPr>
            <w:r>
              <w:rPr>
                <w:b/>
                <w:sz w:val="20"/>
                <w:szCs w:val="20"/>
              </w:rPr>
              <w:t>Joseph Wilson</w:t>
            </w:r>
          </w:p>
          <w:p w:rsidR="00C21644" w:rsidRPr="00A935AA" w:rsidRDefault="00C21644" w:rsidP="005F1ED8">
            <w:pPr>
              <w:tabs>
                <w:tab w:val="left" w:pos="-1440"/>
                <w:tab w:val="left" w:pos="-720"/>
              </w:tabs>
              <w:rPr>
                <w:sz w:val="20"/>
                <w:szCs w:val="20"/>
              </w:rPr>
            </w:pPr>
            <w:r w:rsidRPr="00A935AA">
              <w:rPr>
                <w:sz w:val="20"/>
                <w:szCs w:val="20"/>
              </w:rPr>
              <w:tab/>
            </w:r>
            <w:r w:rsidR="0072344A">
              <w:rPr>
                <w:sz w:val="20"/>
                <w:szCs w:val="20"/>
              </w:rPr>
              <w:t>James A. LeNoury</w:t>
            </w:r>
          </w:p>
          <w:p w:rsidR="00C21644" w:rsidRPr="00A935AA" w:rsidRDefault="00C21644" w:rsidP="005F1ED8">
            <w:pPr>
              <w:tabs>
                <w:tab w:val="left" w:pos="-1440"/>
                <w:tab w:val="left" w:pos="-720"/>
              </w:tabs>
              <w:rPr>
                <w:sz w:val="20"/>
                <w:szCs w:val="20"/>
              </w:rPr>
            </w:pPr>
            <w:r w:rsidRPr="00A935AA">
              <w:rPr>
                <w:sz w:val="20"/>
                <w:szCs w:val="20"/>
              </w:rPr>
              <w:tab/>
            </w:r>
            <w:r w:rsidR="0072344A">
              <w:rPr>
                <w:sz w:val="20"/>
                <w:szCs w:val="20"/>
              </w:rPr>
              <w:t>Lenoury Law</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72344A">
              <w:rPr>
                <w:sz w:val="20"/>
                <w:szCs w:val="20"/>
              </w:rPr>
              <w:t>63</w:t>
            </w:r>
            <w:r>
              <w:rPr>
                <w:sz w:val="20"/>
                <w:szCs w:val="20"/>
              </w:rPr>
              <w:t>5</w:t>
            </w:r>
            <w:r w:rsidR="0072344A">
              <w:rPr>
                <w:sz w:val="20"/>
                <w:szCs w:val="20"/>
              </w:rPr>
              <w:t>4</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72344A" w:rsidP="005F1ED8">
            <w:pPr>
              <w:tabs>
                <w:tab w:val="left" w:pos="-1440"/>
                <w:tab w:val="left" w:pos="-720"/>
              </w:tabs>
              <w:rPr>
                <w:b/>
                <w:sz w:val="20"/>
                <w:szCs w:val="20"/>
              </w:rPr>
            </w:pPr>
            <w:r>
              <w:rPr>
                <w:b/>
                <w:sz w:val="20"/>
                <w:szCs w:val="20"/>
              </w:rPr>
              <w:t xml:space="preserve">Atomic Energy of Canada Limited </w:t>
            </w:r>
            <w:r w:rsidR="00C21644" w:rsidRPr="00A935AA">
              <w:rPr>
                <w:b/>
                <w:sz w:val="20"/>
                <w:szCs w:val="20"/>
              </w:rPr>
              <w:t>(</w:t>
            </w:r>
            <w:r>
              <w:rPr>
                <w:b/>
                <w:sz w:val="20"/>
                <w:szCs w:val="20"/>
              </w:rPr>
              <w:t>F</w:t>
            </w:r>
            <w:r w:rsidR="00C21644" w:rsidRPr="00A935AA">
              <w:rPr>
                <w:b/>
                <w:sz w:val="20"/>
                <w:szCs w:val="20"/>
              </w:rPr>
              <w:t>.</w:t>
            </w:r>
            <w:r>
              <w:rPr>
                <w:b/>
                <w:sz w:val="20"/>
                <w:szCs w:val="20"/>
              </w:rPr>
              <w:t>C.</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72344A">
              <w:rPr>
                <w:sz w:val="20"/>
                <w:szCs w:val="20"/>
              </w:rPr>
              <w:t>Ronald M. Snyder</w:t>
            </w:r>
          </w:p>
          <w:p w:rsidR="00C21644" w:rsidRPr="00A935AA" w:rsidRDefault="00C21644" w:rsidP="005F1ED8">
            <w:pPr>
              <w:tabs>
                <w:tab w:val="left" w:pos="-1440"/>
                <w:tab w:val="left" w:pos="-720"/>
              </w:tabs>
              <w:rPr>
                <w:sz w:val="20"/>
                <w:szCs w:val="20"/>
              </w:rPr>
            </w:pPr>
            <w:r w:rsidRPr="00A935AA">
              <w:rPr>
                <w:sz w:val="20"/>
                <w:szCs w:val="20"/>
              </w:rPr>
              <w:tab/>
            </w:r>
            <w:r w:rsidR="0072344A">
              <w:rPr>
                <w:sz w:val="20"/>
                <w:szCs w:val="20"/>
              </w:rPr>
              <w:t xml:space="preserve">Fogler, Rubinoff </w:t>
            </w:r>
          </w:p>
          <w:p w:rsidR="00C21644" w:rsidRPr="00A935AA" w:rsidRDefault="00C21644" w:rsidP="005F1ED8">
            <w:pPr>
              <w:tabs>
                <w:tab w:val="left" w:pos="-1440"/>
                <w:tab w:val="left" w:pos="-720"/>
              </w:tabs>
              <w:rPr>
                <w:sz w:val="20"/>
                <w:szCs w:val="20"/>
              </w:rPr>
            </w:pPr>
          </w:p>
          <w:p w:rsidR="00C21644" w:rsidRPr="00A935AA" w:rsidRDefault="00C21644" w:rsidP="0072344A">
            <w:pPr>
              <w:rPr>
                <w:sz w:val="20"/>
                <w:szCs w:val="20"/>
              </w:rPr>
            </w:pPr>
            <w:r w:rsidRPr="00A935AA">
              <w:rPr>
                <w:sz w:val="20"/>
                <w:szCs w:val="20"/>
              </w:rPr>
              <w:t>FILING DATE: 2</w:t>
            </w:r>
            <w:r w:rsidR="0072344A">
              <w:rPr>
                <w:sz w:val="20"/>
                <w:szCs w:val="20"/>
              </w:rPr>
              <w:t>3</w:t>
            </w:r>
            <w:r w:rsidRPr="00A935AA">
              <w:rPr>
                <w:sz w:val="20"/>
                <w:szCs w:val="20"/>
              </w:rPr>
              <w:t>.0</w:t>
            </w:r>
            <w:r w:rsidR="0072344A">
              <w:rPr>
                <w:sz w:val="20"/>
                <w:szCs w:val="20"/>
              </w:rPr>
              <w:t>3</w:t>
            </w:r>
            <w:r w:rsidRPr="00A935AA">
              <w:rPr>
                <w:sz w:val="20"/>
                <w:szCs w:val="20"/>
              </w:rPr>
              <w:t>.201</w:t>
            </w:r>
            <w:r w:rsidR="00297967">
              <w:rPr>
                <w:sz w:val="20"/>
                <w:szCs w:val="20"/>
              </w:rPr>
              <w:t>5</w:t>
            </w:r>
            <w:r w:rsidR="00417673">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A935AA" w:rsidRDefault="0072344A" w:rsidP="005F1ED8">
            <w:pPr>
              <w:rPr>
                <w:b/>
                <w:sz w:val="20"/>
                <w:szCs w:val="20"/>
              </w:rPr>
            </w:pPr>
            <w:r>
              <w:rPr>
                <w:b/>
                <w:sz w:val="20"/>
                <w:szCs w:val="20"/>
              </w:rPr>
              <w:t>Van-Than Nguyen</w:t>
            </w:r>
          </w:p>
          <w:p w:rsidR="00C21644" w:rsidRPr="00A935AA" w:rsidRDefault="00C21644" w:rsidP="005F1ED8">
            <w:pPr>
              <w:tabs>
                <w:tab w:val="left" w:pos="-1440"/>
                <w:tab w:val="left" w:pos="-720"/>
              </w:tabs>
              <w:rPr>
                <w:sz w:val="20"/>
                <w:szCs w:val="20"/>
              </w:rPr>
            </w:pPr>
            <w:r w:rsidRPr="00A935AA">
              <w:rPr>
                <w:sz w:val="20"/>
                <w:szCs w:val="20"/>
              </w:rPr>
              <w:tab/>
            </w:r>
            <w:r w:rsidR="0072344A">
              <w:rPr>
                <w:sz w:val="20"/>
                <w:szCs w:val="20"/>
              </w:rPr>
              <w:t>Van-Than Nguyen</w:t>
            </w:r>
          </w:p>
          <w:p w:rsidR="00C21644" w:rsidRPr="00A935AA" w:rsidRDefault="00C21644" w:rsidP="005F1ED8">
            <w:pPr>
              <w:tabs>
                <w:tab w:val="left" w:pos="-1440"/>
                <w:tab w:val="left" w:pos="-720"/>
              </w:tabs>
              <w:rPr>
                <w:sz w:val="20"/>
                <w:szCs w:val="20"/>
              </w:rPr>
            </w:pPr>
          </w:p>
          <w:p w:rsidR="00C21644" w:rsidRPr="0072344A" w:rsidRDefault="00C21644" w:rsidP="005F1ED8">
            <w:pPr>
              <w:tabs>
                <w:tab w:val="left" w:pos="-1440"/>
                <w:tab w:val="left" w:pos="-720"/>
              </w:tabs>
              <w:rPr>
                <w:sz w:val="20"/>
                <w:szCs w:val="20"/>
                <w:lang w:val="fr-CA"/>
              </w:rPr>
            </w:pPr>
            <w:r w:rsidRPr="00A935AA">
              <w:rPr>
                <w:sz w:val="20"/>
                <w:szCs w:val="20"/>
              </w:rPr>
              <w:tab/>
            </w:r>
            <w:r w:rsidR="0072344A" w:rsidRPr="0072344A">
              <w:rPr>
                <w:sz w:val="20"/>
                <w:szCs w:val="20"/>
                <w:lang w:val="fr-CA"/>
              </w:rPr>
              <w:t>c</w:t>
            </w:r>
            <w:r w:rsidRPr="0072344A">
              <w:rPr>
                <w:sz w:val="20"/>
                <w:szCs w:val="20"/>
                <w:lang w:val="fr-CA"/>
              </w:rPr>
              <w:t>. (3</w:t>
            </w:r>
            <w:r w:rsidR="0072344A" w:rsidRPr="0072344A">
              <w:rPr>
                <w:sz w:val="20"/>
                <w:szCs w:val="20"/>
                <w:lang w:val="fr-CA"/>
              </w:rPr>
              <w:t>63</w:t>
            </w:r>
            <w:r w:rsidRPr="0072344A">
              <w:rPr>
                <w:sz w:val="20"/>
                <w:szCs w:val="20"/>
                <w:lang w:val="fr-CA"/>
              </w:rPr>
              <w:t>5</w:t>
            </w:r>
            <w:r w:rsidR="0072344A" w:rsidRPr="0072344A">
              <w:rPr>
                <w:sz w:val="20"/>
                <w:szCs w:val="20"/>
                <w:lang w:val="fr-CA"/>
              </w:rPr>
              <w:t>7</w:t>
            </w:r>
            <w:r w:rsidRPr="0072344A">
              <w:rPr>
                <w:sz w:val="20"/>
                <w:szCs w:val="20"/>
                <w:lang w:val="fr-CA"/>
              </w:rPr>
              <w:t>)</w:t>
            </w:r>
          </w:p>
          <w:p w:rsidR="00C21644" w:rsidRPr="0072344A" w:rsidRDefault="00C21644" w:rsidP="005F1ED8">
            <w:pPr>
              <w:tabs>
                <w:tab w:val="left" w:pos="-1440"/>
                <w:tab w:val="left" w:pos="-720"/>
              </w:tabs>
              <w:rPr>
                <w:sz w:val="20"/>
                <w:szCs w:val="20"/>
                <w:lang w:val="fr-CA"/>
              </w:rPr>
            </w:pPr>
          </w:p>
          <w:p w:rsidR="00C21644" w:rsidRPr="0072344A" w:rsidRDefault="0072344A" w:rsidP="005F1ED8">
            <w:pPr>
              <w:tabs>
                <w:tab w:val="left" w:pos="-1440"/>
                <w:tab w:val="left" w:pos="-720"/>
              </w:tabs>
              <w:rPr>
                <w:b/>
                <w:sz w:val="20"/>
                <w:szCs w:val="20"/>
                <w:lang w:val="fr-CA"/>
              </w:rPr>
            </w:pPr>
            <w:r w:rsidRPr="0072344A">
              <w:rPr>
                <w:b/>
                <w:sz w:val="20"/>
                <w:szCs w:val="20"/>
                <w:lang w:val="fr-CA"/>
              </w:rPr>
              <w:t xml:space="preserve">Ace INA Insurance </w:t>
            </w:r>
            <w:r w:rsidR="00C21644" w:rsidRPr="0072344A">
              <w:rPr>
                <w:b/>
                <w:sz w:val="20"/>
                <w:szCs w:val="20"/>
                <w:lang w:val="fr-CA"/>
              </w:rPr>
              <w:t>(</w:t>
            </w:r>
            <w:r w:rsidRPr="0072344A">
              <w:rPr>
                <w:b/>
                <w:sz w:val="20"/>
                <w:szCs w:val="20"/>
                <w:lang w:val="fr-CA"/>
              </w:rPr>
              <w:t>Qc</w:t>
            </w:r>
            <w:r w:rsidR="00C21644" w:rsidRPr="0072344A">
              <w:rPr>
                <w:b/>
                <w:sz w:val="20"/>
                <w:szCs w:val="20"/>
                <w:lang w:val="fr-CA"/>
              </w:rPr>
              <w:t>)</w:t>
            </w:r>
          </w:p>
          <w:p w:rsidR="00C21644" w:rsidRPr="0072344A" w:rsidRDefault="00C21644" w:rsidP="005F1ED8">
            <w:pPr>
              <w:tabs>
                <w:tab w:val="left" w:pos="-1440"/>
                <w:tab w:val="left" w:pos="-720"/>
              </w:tabs>
              <w:rPr>
                <w:sz w:val="20"/>
                <w:szCs w:val="20"/>
                <w:lang w:val="fr-CA"/>
              </w:rPr>
            </w:pPr>
            <w:r w:rsidRPr="0072344A">
              <w:rPr>
                <w:sz w:val="20"/>
                <w:szCs w:val="20"/>
                <w:lang w:val="fr-CA"/>
              </w:rPr>
              <w:tab/>
            </w:r>
            <w:r w:rsidR="0072344A" w:rsidRPr="0072344A">
              <w:rPr>
                <w:sz w:val="20"/>
                <w:szCs w:val="20"/>
                <w:lang w:val="fr-CA"/>
              </w:rPr>
              <w:t>Élisabeth Laroche</w:t>
            </w:r>
          </w:p>
          <w:p w:rsidR="00C21644" w:rsidRPr="0072344A" w:rsidRDefault="00C21644" w:rsidP="005F1ED8">
            <w:pPr>
              <w:tabs>
                <w:tab w:val="left" w:pos="-1440"/>
                <w:tab w:val="left" w:pos="-720"/>
              </w:tabs>
              <w:rPr>
                <w:sz w:val="20"/>
                <w:szCs w:val="20"/>
              </w:rPr>
            </w:pPr>
            <w:r w:rsidRPr="0072344A">
              <w:rPr>
                <w:sz w:val="20"/>
                <w:szCs w:val="20"/>
                <w:lang w:val="fr-CA"/>
              </w:rPr>
              <w:tab/>
            </w:r>
            <w:r w:rsidR="0072344A" w:rsidRPr="0072344A">
              <w:rPr>
                <w:sz w:val="20"/>
                <w:szCs w:val="20"/>
              </w:rPr>
              <w:t>Robinson Sheppard Shapiro</w:t>
            </w:r>
          </w:p>
          <w:p w:rsidR="00C21644" w:rsidRPr="0072344A" w:rsidRDefault="00C21644" w:rsidP="005F1ED8">
            <w:pPr>
              <w:tabs>
                <w:tab w:val="left" w:pos="-1440"/>
                <w:tab w:val="left" w:pos="-720"/>
              </w:tabs>
              <w:rPr>
                <w:sz w:val="20"/>
                <w:szCs w:val="20"/>
              </w:rPr>
            </w:pPr>
          </w:p>
          <w:p w:rsidR="00C21644" w:rsidRPr="00A935AA" w:rsidRDefault="00C21644" w:rsidP="0072344A">
            <w:pPr>
              <w:rPr>
                <w:sz w:val="20"/>
                <w:szCs w:val="20"/>
              </w:rPr>
            </w:pPr>
            <w:r w:rsidRPr="00A935AA">
              <w:rPr>
                <w:sz w:val="20"/>
                <w:szCs w:val="20"/>
              </w:rPr>
              <w:t>DATE</w:t>
            </w:r>
            <w:r w:rsidR="0072344A">
              <w:rPr>
                <w:sz w:val="20"/>
                <w:szCs w:val="20"/>
              </w:rPr>
              <w:t xml:space="preserve"> DE PRODUCTION </w:t>
            </w:r>
            <w:r w:rsidRPr="00A935AA">
              <w:rPr>
                <w:sz w:val="20"/>
                <w:szCs w:val="20"/>
              </w:rPr>
              <w:t>: 2</w:t>
            </w:r>
            <w:r w:rsidR="0072344A">
              <w:rPr>
                <w:sz w:val="20"/>
                <w:szCs w:val="20"/>
              </w:rPr>
              <w:t>3</w:t>
            </w:r>
            <w:r w:rsidRPr="00A935AA">
              <w:rPr>
                <w:sz w:val="20"/>
                <w:szCs w:val="20"/>
              </w:rPr>
              <w:t>.0</w:t>
            </w:r>
            <w:r w:rsidR="0072344A">
              <w:rPr>
                <w:sz w:val="20"/>
                <w:szCs w:val="20"/>
              </w:rPr>
              <w:t>3</w:t>
            </w:r>
            <w:r w:rsidRPr="00A935AA">
              <w:rPr>
                <w:sz w:val="20"/>
                <w:szCs w:val="20"/>
              </w:rPr>
              <w:t>.201</w:t>
            </w:r>
            <w:r w:rsidR="00297967">
              <w:rPr>
                <w:sz w:val="20"/>
                <w:szCs w:val="20"/>
              </w:rPr>
              <w:t>5</w:t>
            </w:r>
            <w:r w:rsidR="00417673">
              <w:rPr>
                <w:sz w:val="20"/>
                <w:szCs w:val="20"/>
                <w:lang w:val="fr-CA"/>
              </w:rPr>
              <w:pict>
                <v:rect id="_x0000_i1030" style="width:108pt;height:1pt" o:hrpct="0" o:hralign="center" o:hrstd="t" o:hrnoshade="t" o:hr="t" fillcolor="black [3213]" stroked="f"/>
              </w:pict>
            </w:r>
          </w:p>
        </w:tc>
      </w:tr>
      <w:tr w:rsidR="00965342" w:rsidRPr="00A935AA" w:rsidTr="003B3977">
        <w:trPr>
          <w:cantSplit/>
        </w:trPr>
        <w:tc>
          <w:tcPr>
            <w:tcW w:w="4320" w:type="dxa"/>
            <w:shd w:val="clear" w:color="auto" w:fill="auto"/>
          </w:tcPr>
          <w:p w:rsidR="00965342" w:rsidRDefault="00965342" w:rsidP="005F1ED8">
            <w:pPr>
              <w:rPr>
                <w:b/>
                <w:sz w:val="20"/>
                <w:szCs w:val="20"/>
              </w:rPr>
            </w:pPr>
          </w:p>
          <w:p w:rsidR="00965342" w:rsidRPr="00A935AA" w:rsidRDefault="00965342" w:rsidP="005F1ED8">
            <w:pPr>
              <w:rPr>
                <w:b/>
                <w:sz w:val="20"/>
                <w:szCs w:val="20"/>
              </w:rPr>
            </w:pPr>
            <w:r>
              <w:rPr>
                <w:b/>
                <w:sz w:val="20"/>
                <w:szCs w:val="20"/>
              </w:rPr>
              <w:t>Hakima Bakiri</w:t>
            </w:r>
          </w:p>
          <w:p w:rsidR="00965342" w:rsidRPr="00A935AA" w:rsidRDefault="00965342" w:rsidP="005F1ED8">
            <w:pPr>
              <w:tabs>
                <w:tab w:val="left" w:pos="-1440"/>
                <w:tab w:val="left" w:pos="-720"/>
              </w:tabs>
              <w:rPr>
                <w:sz w:val="20"/>
                <w:szCs w:val="20"/>
              </w:rPr>
            </w:pPr>
            <w:r w:rsidRPr="00A935AA">
              <w:rPr>
                <w:sz w:val="20"/>
                <w:szCs w:val="20"/>
              </w:rPr>
              <w:tab/>
            </w:r>
            <w:r>
              <w:rPr>
                <w:sz w:val="20"/>
                <w:szCs w:val="20"/>
              </w:rPr>
              <w:t>Hakima Bakiri</w:t>
            </w:r>
          </w:p>
          <w:p w:rsidR="00965342" w:rsidRPr="00A935AA" w:rsidRDefault="00965342" w:rsidP="005F1ED8">
            <w:pPr>
              <w:tabs>
                <w:tab w:val="left" w:pos="-1440"/>
                <w:tab w:val="left" w:pos="-720"/>
              </w:tabs>
              <w:rPr>
                <w:sz w:val="20"/>
                <w:szCs w:val="20"/>
              </w:rPr>
            </w:pPr>
          </w:p>
          <w:p w:rsidR="00965342" w:rsidRPr="0078217E" w:rsidRDefault="00965342" w:rsidP="005F1ED8">
            <w:pPr>
              <w:tabs>
                <w:tab w:val="left" w:pos="-1440"/>
                <w:tab w:val="left" w:pos="-720"/>
              </w:tabs>
              <w:rPr>
                <w:sz w:val="20"/>
                <w:szCs w:val="20"/>
              </w:rPr>
            </w:pPr>
            <w:r w:rsidRPr="00A935AA">
              <w:rPr>
                <w:sz w:val="20"/>
                <w:szCs w:val="20"/>
              </w:rPr>
              <w:tab/>
            </w:r>
            <w:r w:rsidRPr="0078217E">
              <w:rPr>
                <w:sz w:val="20"/>
                <w:szCs w:val="20"/>
              </w:rPr>
              <w:t>v. (36365)</w:t>
            </w:r>
          </w:p>
          <w:p w:rsidR="00965342" w:rsidRPr="0078217E" w:rsidRDefault="00965342" w:rsidP="005F1ED8">
            <w:pPr>
              <w:tabs>
                <w:tab w:val="left" w:pos="-1440"/>
                <w:tab w:val="left" w:pos="-720"/>
              </w:tabs>
              <w:rPr>
                <w:sz w:val="20"/>
                <w:szCs w:val="20"/>
              </w:rPr>
            </w:pPr>
          </w:p>
          <w:p w:rsidR="00965342" w:rsidRPr="00965342" w:rsidRDefault="00965342" w:rsidP="005F1ED8">
            <w:pPr>
              <w:tabs>
                <w:tab w:val="left" w:pos="-1440"/>
                <w:tab w:val="left" w:pos="-720"/>
              </w:tabs>
              <w:rPr>
                <w:b/>
                <w:sz w:val="20"/>
                <w:szCs w:val="20"/>
                <w:lang w:val="fr-CA"/>
              </w:rPr>
            </w:pPr>
            <w:r w:rsidRPr="00965342">
              <w:rPr>
                <w:b/>
                <w:sz w:val="20"/>
                <w:szCs w:val="20"/>
                <w:lang w:val="fr-CA"/>
              </w:rPr>
              <w:t>Commission of Occupational Injuries et al.</w:t>
            </w:r>
            <w:r>
              <w:rPr>
                <w:b/>
                <w:sz w:val="20"/>
                <w:szCs w:val="20"/>
                <w:lang w:val="fr-CA"/>
              </w:rPr>
              <w:t xml:space="preserve"> </w:t>
            </w:r>
            <w:r w:rsidRPr="00965342">
              <w:rPr>
                <w:b/>
                <w:sz w:val="20"/>
                <w:szCs w:val="20"/>
                <w:lang w:val="fr-CA"/>
              </w:rPr>
              <w:t>(</w:t>
            </w:r>
            <w:r>
              <w:rPr>
                <w:b/>
                <w:sz w:val="20"/>
                <w:szCs w:val="20"/>
                <w:lang w:val="fr-CA"/>
              </w:rPr>
              <w:t>Que</w:t>
            </w:r>
            <w:r w:rsidRPr="00965342">
              <w:rPr>
                <w:b/>
                <w:sz w:val="20"/>
                <w:szCs w:val="20"/>
                <w:lang w:val="fr-CA"/>
              </w:rPr>
              <w:t>.)</w:t>
            </w:r>
          </w:p>
          <w:p w:rsidR="00965342" w:rsidRPr="00965342" w:rsidRDefault="00965342" w:rsidP="005F1ED8">
            <w:pPr>
              <w:tabs>
                <w:tab w:val="left" w:pos="-1440"/>
                <w:tab w:val="left" w:pos="-720"/>
              </w:tabs>
              <w:rPr>
                <w:sz w:val="20"/>
                <w:szCs w:val="20"/>
                <w:lang w:val="fr-CA"/>
              </w:rPr>
            </w:pPr>
            <w:r w:rsidRPr="00965342">
              <w:rPr>
                <w:sz w:val="20"/>
                <w:szCs w:val="20"/>
                <w:lang w:val="fr-CA"/>
              </w:rPr>
              <w:tab/>
            </w:r>
            <w:r w:rsidR="00E36DCC">
              <w:rPr>
                <w:sz w:val="20"/>
                <w:szCs w:val="20"/>
                <w:lang w:val="fr-CA"/>
              </w:rPr>
              <w:t>E</w:t>
            </w:r>
            <w:r>
              <w:rPr>
                <w:sz w:val="20"/>
                <w:szCs w:val="20"/>
                <w:lang w:val="fr-CA"/>
              </w:rPr>
              <w:t>dith Charbonneau</w:t>
            </w:r>
          </w:p>
          <w:p w:rsidR="00965342" w:rsidRPr="00965342" w:rsidRDefault="00965342" w:rsidP="005F1ED8">
            <w:pPr>
              <w:tabs>
                <w:tab w:val="left" w:pos="-1440"/>
                <w:tab w:val="left" w:pos="-720"/>
              </w:tabs>
              <w:rPr>
                <w:sz w:val="20"/>
                <w:szCs w:val="20"/>
                <w:lang w:val="fr-CA"/>
              </w:rPr>
            </w:pPr>
            <w:r w:rsidRPr="00965342">
              <w:rPr>
                <w:sz w:val="20"/>
                <w:szCs w:val="20"/>
                <w:lang w:val="fr-CA"/>
              </w:rPr>
              <w:tab/>
            </w:r>
            <w:r>
              <w:rPr>
                <w:sz w:val="20"/>
                <w:szCs w:val="20"/>
                <w:lang w:val="fr-CA"/>
              </w:rPr>
              <w:t>Commission des lésions professionnelles</w:t>
            </w:r>
          </w:p>
          <w:p w:rsidR="00965342" w:rsidRPr="00965342" w:rsidRDefault="00965342" w:rsidP="005F1ED8">
            <w:pPr>
              <w:tabs>
                <w:tab w:val="left" w:pos="-1440"/>
                <w:tab w:val="left" w:pos="-720"/>
              </w:tabs>
              <w:rPr>
                <w:sz w:val="20"/>
                <w:szCs w:val="20"/>
                <w:lang w:val="fr-CA"/>
              </w:rPr>
            </w:pPr>
          </w:p>
          <w:p w:rsidR="00965342" w:rsidRPr="00965342" w:rsidRDefault="00965342" w:rsidP="00965342">
            <w:pPr>
              <w:rPr>
                <w:sz w:val="20"/>
                <w:szCs w:val="20"/>
                <w:lang w:val="fr-CA"/>
              </w:rPr>
            </w:pPr>
            <w:r w:rsidRPr="00965342">
              <w:rPr>
                <w:sz w:val="20"/>
                <w:szCs w:val="20"/>
                <w:lang w:val="fr-CA"/>
              </w:rPr>
              <w:t>FILING DATE: 2</w:t>
            </w:r>
            <w:r>
              <w:rPr>
                <w:sz w:val="20"/>
                <w:szCs w:val="20"/>
                <w:lang w:val="fr-CA"/>
              </w:rPr>
              <w:t>4</w:t>
            </w:r>
            <w:r w:rsidRPr="00965342">
              <w:rPr>
                <w:sz w:val="20"/>
                <w:szCs w:val="20"/>
                <w:lang w:val="fr-CA"/>
              </w:rPr>
              <w:t>.0</w:t>
            </w:r>
            <w:r>
              <w:rPr>
                <w:sz w:val="20"/>
                <w:szCs w:val="20"/>
                <w:lang w:val="fr-CA"/>
              </w:rPr>
              <w:t>3</w:t>
            </w:r>
            <w:r w:rsidRPr="00965342">
              <w:rPr>
                <w:sz w:val="20"/>
                <w:szCs w:val="20"/>
                <w:lang w:val="fr-CA"/>
              </w:rPr>
              <w:t>.2015</w:t>
            </w:r>
            <w:r w:rsidR="00417673">
              <w:rPr>
                <w:sz w:val="20"/>
                <w:szCs w:val="20"/>
                <w:lang w:val="fr-CA"/>
              </w:rPr>
              <w:pict>
                <v:rect id="_x0000_i1031" style="width:108pt;height:1pt" o:hrpct="0" o:hralign="center" o:hrstd="t" o:hrnoshade="t" o:hr="t" fillcolor="black [3213]" stroked="f"/>
              </w:pict>
            </w:r>
          </w:p>
        </w:tc>
        <w:tc>
          <w:tcPr>
            <w:tcW w:w="1181" w:type="dxa"/>
            <w:shd w:val="clear" w:color="auto" w:fill="auto"/>
          </w:tcPr>
          <w:p w:rsidR="00965342" w:rsidRPr="00965342" w:rsidRDefault="00965342" w:rsidP="00242AEE">
            <w:pPr>
              <w:jc w:val="center"/>
              <w:rPr>
                <w:sz w:val="20"/>
                <w:szCs w:val="20"/>
                <w:lang w:val="fr-CA"/>
              </w:rPr>
            </w:pPr>
          </w:p>
          <w:p w:rsidR="00965342" w:rsidRPr="00965342" w:rsidRDefault="00965342" w:rsidP="00242AEE">
            <w:pPr>
              <w:jc w:val="center"/>
              <w:rPr>
                <w:sz w:val="20"/>
                <w:szCs w:val="20"/>
                <w:lang w:val="fr-CA"/>
              </w:rPr>
            </w:pPr>
          </w:p>
          <w:p w:rsidR="00965342" w:rsidRPr="00965342" w:rsidRDefault="00965342" w:rsidP="00242AEE">
            <w:pPr>
              <w:jc w:val="center"/>
              <w:rPr>
                <w:sz w:val="20"/>
                <w:szCs w:val="20"/>
                <w:lang w:val="fr-CA"/>
              </w:rPr>
            </w:pPr>
          </w:p>
          <w:p w:rsidR="00965342" w:rsidRPr="00965342" w:rsidRDefault="00965342" w:rsidP="00242AEE">
            <w:pPr>
              <w:jc w:val="center"/>
              <w:rPr>
                <w:sz w:val="20"/>
                <w:szCs w:val="20"/>
                <w:lang w:val="fr-CA"/>
              </w:rPr>
            </w:pPr>
          </w:p>
          <w:p w:rsidR="00965342" w:rsidRPr="00965342" w:rsidRDefault="00965342" w:rsidP="00242AEE">
            <w:pPr>
              <w:jc w:val="center"/>
              <w:rPr>
                <w:sz w:val="20"/>
                <w:szCs w:val="20"/>
                <w:lang w:val="fr-CA"/>
              </w:rPr>
            </w:pPr>
          </w:p>
          <w:p w:rsidR="00965342" w:rsidRPr="00965342" w:rsidRDefault="00965342" w:rsidP="00242AEE">
            <w:pPr>
              <w:jc w:val="center"/>
              <w:rPr>
                <w:sz w:val="20"/>
                <w:szCs w:val="20"/>
                <w:lang w:val="fr-CA"/>
              </w:rPr>
            </w:pPr>
          </w:p>
          <w:p w:rsidR="00965342" w:rsidRPr="00965342" w:rsidRDefault="00965342" w:rsidP="00242AEE">
            <w:pPr>
              <w:jc w:val="center"/>
              <w:rPr>
                <w:sz w:val="20"/>
                <w:szCs w:val="20"/>
                <w:lang w:val="fr-CA"/>
              </w:rPr>
            </w:pPr>
          </w:p>
          <w:p w:rsidR="00965342" w:rsidRPr="00965342" w:rsidRDefault="00965342" w:rsidP="00242AEE">
            <w:pPr>
              <w:jc w:val="center"/>
              <w:rPr>
                <w:sz w:val="20"/>
                <w:szCs w:val="20"/>
                <w:lang w:val="fr-CA"/>
              </w:rPr>
            </w:pPr>
          </w:p>
          <w:p w:rsidR="00965342" w:rsidRPr="00965342" w:rsidRDefault="00965342" w:rsidP="00242AEE">
            <w:pPr>
              <w:jc w:val="center"/>
              <w:rPr>
                <w:sz w:val="20"/>
                <w:szCs w:val="20"/>
                <w:lang w:val="fr-CA"/>
              </w:rPr>
            </w:pPr>
          </w:p>
          <w:p w:rsidR="00965342" w:rsidRPr="00965342" w:rsidRDefault="00965342" w:rsidP="00242AEE">
            <w:pPr>
              <w:jc w:val="center"/>
              <w:rPr>
                <w:sz w:val="20"/>
                <w:szCs w:val="20"/>
                <w:lang w:val="fr-CA"/>
              </w:rPr>
            </w:pPr>
          </w:p>
          <w:p w:rsidR="00965342" w:rsidRDefault="00965342" w:rsidP="00242AEE">
            <w:pPr>
              <w:jc w:val="center"/>
              <w:rPr>
                <w:sz w:val="20"/>
                <w:szCs w:val="20"/>
                <w:lang w:val="fr-CA"/>
              </w:rPr>
            </w:pPr>
          </w:p>
          <w:p w:rsidR="00965342" w:rsidRPr="00965342" w:rsidRDefault="00965342" w:rsidP="00242AEE">
            <w:pPr>
              <w:jc w:val="center"/>
              <w:rPr>
                <w:sz w:val="20"/>
                <w:szCs w:val="20"/>
                <w:lang w:val="fr-CA"/>
              </w:rPr>
            </w:pPr>
          </w:p>
          <w:p w:rsidR="00965342" w:rsidRPr="00965342" w:rsidRDefault="00965342" w:rsidP="00242AEE">
            <w:pPr>
              <w:jc w:val="center"/>
              <w:rPr>
                <w:sz w:val="20"/>
                <w:szCs w:val="20"/>
                <w:lang w:val="fr-CA"/>
              </w:rPr>
            </w:pPr>
          </w:p>
          <w:p w:rsidR="00965342" w:rsidRPr="00965342" w:rsidRDefault="00965342" w:rsidP="00242AEE">
            <w:pPr>
              <w:jc w:val="center"/>
              <w:rPr>
                <w:sz w:val="20"/>
                <w:szCs w:val="20"/>
                <w:lang w:val="fr-CA"/>
              </w:rPr>
            </w:pPr>
          </w:p>
        </w:tc>
        <w:tc>
          <w:tcPr>
            <w:tcW w:w="4320" w:type="dxa"/>
            <w:shd w:val="clear" w:color="auto" w:fill="auto"/>
          </w:tcPr>
          <w:p w:rsidR="00965342" w:rsidRPr="0078217E" w:rsidRDefault="00965342" w:rsidP="00965342">
            <w:pPr>
              <w:rPr>
                <w:sz w:val="20"/>
                <w:szCs w:val="20"/>
                <w:lang w:val="fr-CA"/>
              </w:rPr>
            </w:pPr>
            <w:r w:rsidRPr="0078217E">
              <w:rPr>
                <w:b/>
                <w:sz w:val="20"/>
                <w:szCs w:val="20"/>
                <w:lang w:val="fr-CA"/>
              </w:rPr>
              <w:t>Tong Sang Lai</w:t>
            </w:r>
          </w:p>
          <w:p w:rsidR="00965342" w:rsidRPr="0078217E" w:rsidRDefault="00965342" w:rsidP="00965342">
            <w:pPr>
              <w:rPr>
                <w:sz w:val="20"/>
                <w:szCs w:val="20"/>
                <w:lang w:val="fr-CA"/>
              </w:rPr>
            </w:pPr>
            <w:r w:rsidRPr="0078217E">
              <w:rPr>
                <w:sz w:val="20"/>
                <w:szCs w:val="20"/>
                <w:lang w:val="fr-CA"/>
              </w:rPr>
              <w:tab/>
              <w:t>Peter A. Chapman</w:t>
            </w:r>
          </w:p>
          <w:p w:rsidR="00965342" w:rsidRDefault="00965342" w:rsidP="00965342">
            <w:pPr>
              <w:rPr>
                <w:sz w:val="20"/>
                <w:szCs w:val="20"/>
              </w:rPr>
            </w:pPr>
            <w:r w:rsidRPr="0078217E">
              <w:rPr>
                <w:sz w:val="20"/>
                <w:szCs w:val="20"/>
                <w:lang w:val="fr-CA"/>
              </w:rPr>
              <w:tab/>
            </w:r>
            <w:r>
              <w:rPr>
                <w:sz w:val="20"/>
                <w:szCs w:val="20"/>
              </w:rPr>
              <w:t>Chen &amp; Leung</w:t>
            </w:r>
          </w:p>
          <w:p w:rsidR="00965342" w:rsidRDefault="00965342" w:rsidP="00965342">
            <w:pPr>
              <w:rPr>
                <w:sz w:val="20"/>
                <w:szCs w:val="20"/>
              </w:rPr>
            </w:pPr>
          </w:p>
          <w:p w:rsidR="00965342" w:rsidRDefault="00965342" w:rsidP="00965342">
            <w:pPr>
              <w:rPr>
                <w:sz w:val="20"/>
                <w:szCs w:val="20"/>
              </w:rPr>
            </w:pPr>
            <w:r>
              <w:rPr>
                <w:sz w:val="20"/>
                <w:szCs w:val="20"/>
              </w:rPr>
              <w:tab/>
              <w:t>v. (36361)</w:t>
            </w:r>
          </w:p>
          <w:p w:rsidR="00965342" w:rsidRDefault="00965342" w:rsidP="00965342">
            <w:pPr>
              <w:rPr>
                <w:sz w:val="20"/>
                <w:szCs w:val="20"/>
              </w:rPr>
            </w:pPr>
          </w:p>
          <w:p w:rsidR="00965342" w:rsidRDefault="00965342" w:rsidP="00965342">
            <w:pPr>
              <w:rPr>
                <w:sz w:val="20"/>
                <w:szCs w:val="20"/>
              </w:rPr>
            </w:pPr>
            <w:r>
              <w:rPr>
                <w:b/>
                <w:sz w:val="20"/>
                <w:szCs w:val="20"/>
              </w:rPr>
              <w:t>Minister of Public Safety and Emergency Preparedness</w:t>
            </w:r>
            <w:r w:rsidR="00832D97">
              <w:rPr>
                <w:b/>
                <w:sz w:val="20"/>
                <w:szCs w:val="20"/>
              </w:rPr>
              <w:t xml:space="preserve"> (F.C.)</w:t>
            </w:r>
          </w:p>
          <w:p w:rsidR="00965342" w:rsidRDefault="00965342" w:rsidP="00965342">
            <w:pPr>
              <w:rPr>
                <w:sz w:val="20"/>
                <w:szCs w:val="20"/>
              </w:rPr>
            </w:pPr>
            <w:r>
              <w:rPr>
                <w:sz w:val="20"/>
                <w:szCs w:val="20"/>
              </w:rPr>
              <w:tab/>
              <w:t>William F. Pentney, Q.C.</w:t>
            </w:r>
          </w:p>
          <w:p w:rsidR="00965342" w:rsidRDefault="00965342" w:rsidP="00965342">
            <w:pPr>
              <w:rPr>
                <w:sz w:val="20"/>
                <w:szCs w:val="20"/>
              </w:rPr>
            </w:pPr>
            <w:r>
              <w:rPr>
                <w:sz w:val="20"/>
                <w:szCs w:val="20"/>
              </w:rPr>
              <w:tab/>
              <w:t>R. Keith Reimer</w:t>
            </w:r>
          </w:p>
          <w:p w:rsidR="00965342" w:rsidRDefault="00965342" w:rsidP="00965342">
            <w:pPr>
              <w:rPr>
                <w:sz w:val="20"/>
                <w:szCs w:val="20"/>
              </w:rPr>
            </w:pPr>
          </w:p>
          <w:p w:rsidR="00965342" w:rsidRPr="00965342" w:rsidRDefault="00965342" w:rsidP="00965342">
            <w:pPr>
              <w:rPr>
                <w:sz w:val="20"/>
                <w:szCs w:val="20"/>
              </w:rPr>
            </w:pPr>
            <w:r w:rsidRPr="00A935AA">
              <w:rPr>
                <w:sz w:val="20"/>
                <w:szCs w:val="20"/>
              </w:rPr>
              <w:t>FILING DATE: 2</w:t>
            </w:r>
            <w:r>
              <w:rPr>
                <w:sz w:val="20"/>
                <w:szCs w:val="20"/>
              </w:rPr>
              <w:t>6</w:t>
            </w:r>
            <w:r w:rsidRPr="00A935AA">
              <w:rPr>
                <w:sz w:val="20"/>
                <w:szCs w:val="20"/>
              </w:rPr>
              <w:t>.0</w:t>
            </w:r>
            <w:r>
              <w:rPr>
                <w:sz w:val="20"/>
                <w:szCs w:val="20"/>
              </w:rPr>
              <w:t>3</w:t>
            </w:r>
            <w:r w:rsidRPr="00A935AA">
              <w:rPr>
                <w:sz w:val="20"/>
                <w:szCs w:val="20"/>
              </w:rPr>
              <w:t>.201</w:t>
            </w:r>
            <w:r>
              <w:rPr>
                <w:sz w:val="20"/>
                <w:szCs w:val="20"/>
              </w:rPr>
              <w:t>5</w:t>
            </w:r>
            <w:r w:rsidR="00417673">
              <w:rPr>
                <w:sz w:val="20"/>
                <w:szCs w:val="20"/>
                <w:lang w:val="fr-CA"/>
              </w:rPr>
              <w:pict>
                <v:rect id="_x0000_i1032" style="width:108pt;height:1pt" o:hrpct="0" o:hralign="center" o:hrstd="t" o:hrnoshade="t" o:hr="t" fillcolor="black [3213]" stroked="f"/>
              </w:pict>
            </w:r>
          </w:p>
        </w:tc>
      </w:tr>
      <w:tr w:rsidR="00965342" w:rsidRPr="00965342" w:rsidTr="003B3977">
        <w:trPr>
          <w:cantSplit/>
        </w:trPr>
        <w:tc>
          <w:tcPr>
            <w:tcW w:w="4320" w:type="dxa"/>
            <w:shd w:val="clear" w:color="auto" w:fill="auto"/>
          </w:tcPr>
          <w:p w:rsidR="00965342" w:rsidRPr="00965342" w:rsidRDefault="00965342" w:rsidP="005F1ED8">
            <w:pPr>
              <w:rPr>
                <w:b/>
                <w:sz w:val="20"/>
                <w:szCs w:val="20"/>
                <w:lang w:val="fr-CA"/>
              </w:rPr>
            </w:pPr>
            <w:r w:rsidRPr="00965342">
              <w:rPr>
                <w:b/>
                <w:sz w:val="20"/>
                <w:szCs w:val="20"/>
                <w:lang w:val="fr-CA"/>
              </w:rPr>
              <w:lastRenderedPageBreak/>
              <w:t>Lawrence Klepper</w:t>
            </w:r>
          </w:p>
          <w:p w:rsidR="00965342" w:rsidRPr="00965342" w:rsidRDefault="00965342" w:rsidP="005F1ED8">
            <w:pPr>
              <w:tabs>
                <w:tab w:val="left" w:pos="-1440"/>
                <w:tab w:val="left" w:pos="-720"/>
              </w:tabs>
              <w:rPr>
                <w:sz w:val="20"/>
                <w:szCs w:val="20"/>
                <w:lang w:val="fr-CA"/>
              </w:rPr>
            </w:pPr>
            <w:r w:rsidRPr="00965342">
              <w:rPr>
                <w:sz w:val="20"/>
                <w:szCs w:val="20"/>
                <w:lang w:val="fr-CA"/>
              </w:rPr>
              <w:tab/>
              <w:t>Dominique Pion</w:t>
            </w:r>
          </w:p>
          <w:p w:rsidR="00965342" w:rsidRPr="00965342" w:rsidRDefault="00965342" w:rsidP="005F1ED8">
            <w:pPr>
              <w:tabs>
                <w:tab w:val="left" w:pos="-1440"/>
                <w:tab w:val="left" w:pos="-720"/>
              </w:tabs>
              <w:rPr>
                <w:sz w:val="20"/>
                <w:szCs w:val="20"/>
                <w:lang w:val="fr-CA"/>
              </w:rPr>
            </w:pPr>
            <w:r w:rsidRPr="00965342">
              <w:rPr>
                <w:sz w:val="20"/>
                <w:szCs w:val="20"/>
                <w:lang w:val="fr-CA"/>
              </w:rPr>
              <w:tab/>
            </w:r>
            <w:r>
              <w:rPr>
                <w:sz w:val="20"/>
                <w:szCs w:val="20"/>
                <w:lang w:val="fr-CA"/>
              </w:rPr>
              <w:t>Dominique Pion Avocat</w:t>
            </w:r>
          </w:p>
          <w:p w:rsidR="00965342" w:rsidRPr="00965342" w:rsidRDefault="00965342" w:rsidP="005F1ED8">
            <w:pPr>
              <w:tabs>
                <w:tab w:val="left" w:pos="-1440"/>
                <w:tab w:val="left" w:pos="-720"/>
              </w:tabs>
              <w:rPr>
                <w:sz w:val="20"/>
                <w:szCs w:val="20"/>
                <w:lang w:val="fr-CA"/>
              </w:rPr>
            </w:pPr>
          </w:p>
          <w:p w:rsidR="00965342" w:rsidRPr="00965342" w:rsidRDefault="00965342" w:rsidP="005F1ED8">
            <w:pPr>
              <w:tabs>
                <w:tab w:val="left" w:pos="-1440"/>
                <w:tab w:val="left" w:pos="-720"/>
              </w:tabs>
              <w:rPr>
                <w:sz w:val="20"/>
                <w:szCs w:val="20"/>
                <w:lang w:val="fr-CA"/>
              </w:rPr>
            </w:pPr>
            <w:r w:rsidRPr="00965342">
              <w:rPr>
                <w:sz w:val="20"/>
                <w:szCs w:val="20"/>
                <w:lang w:val="fr-CA"/>
              </w:rPr>
              <w:tab/>
            </w:r>
            <w:r>
              <w:rPr>
                <w:sz w:val="20"/>
                <w:szCs w:val="20"/>
                <w:lang w:val="fr-CA"/>
              </w:rPr>
              <w:t>c</w:t>
            </w:r>
            <w:r w:rsidRPr="00965342">
              <w:rPr>
                <w:sz w:val="20"/>
                <w:szCs w:val="20"/>
                <w:lang w:val="fr-CA"/>
              </w:rPr>
              <w:t>. (3</w:t>
            </w:r>
            <w:r>
              <w:rPr>
                <w:sz w:val="20"/>
                <w:szCs w:val="20"/>
                <w:lang w:val="fr-CA"/>
              </w:rPr>
              <w:t>6362</w:t>
            </w:r>
            <w:r w:rsidRPr="00965342">
              <w:rPr>
                <w:sz w:val="20"/>
                <w:szCs w:val="20"/>
                <w:lang w:val="fr-CA"/>
              </w:rPr>
              <w:t>)</w:t>
            </w:r>
          </w:p>
          <w:p w:rsidR="00965342" w:rsidRPr="00965342" w:rsidRDefault="00965342" w:rsidP="005F1ED8">
            <w:pPr>
              <w:tabs>
                <w:tab w:val="left" w:pos="-1440"/>
                <w:tab w:val="left" w:pos="-720"/>
              </w:tabs>
              <w:rPr>
                <w:sz w:val="20"/>
                <w:szCs w:val="20"/>
                <w:lang w:val="fr-CA"/>
              </w:rPr>
            </w:pPr>
          </w:p>
          <w:p w:rsidR="00965342" w:rsidRPr="00965342" w:rsidRDefault="00965342" w:rsidP="005F1ED8">
            <w:pPr>
              <w:tabs>
                <w:tab w:val="left" w:pos="-1440"/>
                <w:tab w:val="left" w:pos="-720"/>
              </w:tabs>
              <w:rPr>
                <w:b/>
                <w:sz w:val="20"/>
                <w:szCs w:val="20"/>
                <w:lang w:val="fr-CA"/>
              </w:rPr>
            </w:pPr>
            <w:r>
              <w:rPr>
                <w:b/>
                <w:sz w:val="20"/>
                <w:szCs w:val="20"/>
                <w:lang w:val="fr-CA"/>
              </w:rPr>
              <w:t xml:space="preserve">Ville de Westmount </w:t>
            </w:r>
            <w:r w:rsidRPr="00965342">
              <w:rPr>
                <w:b/>
                <w:sz w:val="20"/>
                <w:szCs w:val="20"/>
                <w:lang w:val="fr-CA"/>
              </w:rPr>
              <w:t>(</w:t>
            </w:r>
            <w:r>
              <w:rPr>
                <w:b/>
                <w:sz w:val="20"/>
                <w:szCs w:val="20"/>
                <w:lang w:val="fr-CA"/>
              </w:rPr>
              <w:t>Qc</w:t>
            </w:r>
            <w:r w:rsidRPr="00965342">
              <w:rPr>
                <w:b/>
                <w:sz w:val="20"/>
                <w:szCs w:val="20"/>
                <w:lang w:val="fr-CA"/>
              </w:rPr>
              <w:t>)</w:t>
            </w:r>
          </w:p>
          <w:p w:rsidR="00965342" w:rsidRPr="00965342" w:rsidRDefault="00965342" w:rsidP="005F1ED8">
            <w:pPr>
              <w:tabs>
                <w:tab w:val="left" w:pos="-1440"/>
                <w:tab w:val="left" w:pos="-720"/>
              </w:tabs>
              <w:rPr>
                <w:sz w:val="20"/>
                <w:szCs w:val="20"/>
                <w:lang w:val="fr-CA"/>
              </w:rPr>
            </w:pPr>
            <w:r w:rsidRPr="00965342">
              <w:rPr>
                <w:sz w:val="20"/>
                <w:szCs w:val="20"/>
                <w:lang w:val="fr-CA"/>
              </w:rPr>
              <w:tab/>
            </w:r>
            <w:r>
              <w:rPr>
                <w:sz w:val="20"/>
                <w:szCs w:val="20"/>
                <w:lang w:val="fr-CA"/>
              </w:rPr>
              <w:t>Marie-Christine Bourget</w:t>
            </w:r>
          </w:p>
          <w:p w:rsidR="00965342" w:rsidRPr="00965342" w:rsidRDefault="00965342" w:rsidP="005F1ED8">
            <w:pPr>
              <w:tabs>
                <w:tab w:val="left" w:pos="-1440"/>
                <w:tab w:val="left" w:pos="-720"/>
              </w:tabs>
              <w:rPr>
                <w:sz w:val="20"/>
                <w:szCs w:val="20"/>
                <w:lang w:val="fr-CA"/>
              </w:rPr>
            </w:pPr>
            <w:r w:rsidRPr="00965342">
              <w:rPr>
                <w:sz w:val="20"/>
                <w:szCs w:val="20"/>
                <w:lang w:val="fr-CA"/>
              </w:rPr>
              <w:tab/>
            </w:r>
            <w:r>
              <w:rPr>
                <w:sz w:val="20"/>
                <w:szCs w:val="20"/>
                <w:lang w:val="fr-CA"/>
              </w:rPr>
              <w:t>Poupart &amp; Poupart</w:t>
            </w:r>
          </w:p>
          <w:p w:rsidR="00965342" w:rsidRPr="00965342" w:rsidRDefault="00965342" w:rsidP="005F1ED8">
            <w:pPr>
              <w:tabs>
                <w:tab w:val="left" w:pos="-1440"/>
                <w:tab w:val="left" w:pos="-720"/>
              </w:tabs>
              <w:rPr>
                <w:sz w:val="20"/>
                <w:szCs w:val="20"/>
                <w:lang w:val="fr-CA"/>
              </w:rPr>
            </w:pPr>
          </w:p>
          <w:p w:rsidR="00965342" w:rsidRPr="00965342" w:rsidRDefault="00965342" w:rsidP="00965342">
            <w:pPr>
              <w:rPr>
                <w:sz w:val="20"/>
                <w:szCs w:val="20"/>
                <w:lang w:val="fr-CA"/>
              </w:rPr>
            </w:pPr>
            <w:r w:rsidRPr="00806A5B">
              <w:rPr>
                <w:sz w:val="20"/>
                <w:szCs w:val="20"/>
                <w:lang w:val="fr-CA"/>
              </w:rPr>
              <w:t>DATE DE PRODUCTION</w:t>
            </w:r>
            <w:r>
              <w:rPr>
                <w:sz w:val="20"/>
                <w:szCs w:val="20"/>
                <w:lang w:val="fr-CA"/>
              </w:rPr>
              <w:t xml:space="preserve"> </w:t>
            </w:r>
            <w:r w:rsidRPr="00965342">
              <w:rPr>
                <w:sz w:val="20"/>
                <w:szCs w:val="20"/>
                <w:lang w:val="fr-CA"/>
              </w:rPr>
              <w:t>: 2</w:t>
            </w:r>
            <w:r>
              <w:rPr>
                <w:sz w:val="20"/>
                <w:szCs w:val="20"/>
                <w:lang w:val="fr-CA"/>
              </w:rPr>
              <w:t>7</w:t>
            </w:r>
            <w:r w:rsidRPr="00965342">
              <w:rPr>
                <w:sz w:val="20"/>
                <w:szCs w:val="20"/>
                <w:lang w:val="fr-CA"/>
              </w:rPr>
              <w:t>.0</w:t>
            </w:r>
            <w:r>
              <w:rPr>
                <w:sz w:val="20"/>
                <w:szCs w:val="20"/>
                <w:lang w:val="fr-CA"/>
              </w:rPr>
              <w:t>3</w:t>
            </w:r>
            <w:r w:rsidRPr="00965342">
              <w:rPr>
                <w:sz w:val="20"/>
                <w:szCs w:val="20"/>
                <w:lang w:val="fr-CA"/>
              </w:rPr>
              <w:t>.2015</w:t>
            </w:r>
            <w:r w:rsidR="00417673">
              <w:rPr>
                <w:sz w:val="20"/>
                <w:szCs w:val="20"/>
                <w:lang w:val="fr-CA"/>
              </w:rPr>
              <w:pict>
                <v:rect id="_x0000_i1033" style="width:108pt;height:1pt" o:hrpct="0" o:hralign="center" o:hrstd="t" o:hrnoshade="t" o:hr="t" fillcolor="black [3213]" stroked="f"/>
              </w:pict>
            </w:r>
          </w:p>
        </w:tc>
        <w:tc>
          <w:tcPr>
            <w:tcW w:w="1181" w:type="dxa"/>
            <w:shd w:val="clear" w:color="auto" w:fill="auto"/>
          </w:tcPr>
          <w:p w:rsidR="00965342" w:rsidRPr="00965342" w:rsidRDefault="00965342" w:rsidP="00242AEE">
            <w:pPr>
              <w:jc w:val="center"/>
              <w:rPr>
                <w:sz w:val="20"/>
                <w:szCs w:val="20"/>
                <w:lang w:val="fr-CA"/>
              </w:rPr>
            </w:pPr>
          </w:p>
          <w:p w:rsidR="00965342" w:rsidRPr="00965342" w:rsidRDefault="00965342" w:rsidP="00242AEE">
            <w:pPr>
              <w:jc w:val="center"/>
              <w:rPr>
                <w:sz w:val="20"/>
                <w:szCs w:val="20"/>
                <w:lang w:val="fr-CA"/>
              </w:rPr>
            </w:pPr>
          </w:p>
          <w:p w:rsidR="00965342" w:rsidRPr="00965342" w:rsidRDefault="00965342" w:rsidP="00242AEE">
            <w:pPr>
              <w:jc w:val="center"/>
              <w:rPr>
                <w:sz w:val="20"/>
                <w:szCs w:val="20"/>
                <w:lang w:val="fr-CA"/>
              </w:rPr>
            </w:pPr>
          </w:p>
          <w:p w:rsidR="00965342" w:rsidRPr="00965342" w:rsidRDefault="00965342" w:rsidP="00242AEE">
            <w:pPr>
              <w:jc w:val="center"/>
              <w:rPr>
                <w:sz w:val="20"/>
                <w:szCs w:val="20"/>
                <w:lang w:val="fr-CA"/>
              </w:rPr>
            </w:pPr>
          </w:p>
          <w:p w:rsidR="00965342" w:rsidRPr="00965342" w:rsidRDefault="00965342" w:rsidP="00242AEE">
            <w:pPr>
              <w:jc w:val="center"/>
              <w:rPr>
                <w:sz w:val="20"/>
                <w:szCs w:val="20"/>
                <w:lang w:val="fr-CA"/>
              </w:rPr>
            </w:pPr>
          </w:p>
          <w:p w:rsidR="00965342" w:rsidRPr="00965342" w:rsidRDefault="00965342" w:rsidP="00242AEE">
            <w:pPr>
              <w:jc w:val="center"/>
              <w:rPr>
                <w:sz w:val="20"/>
                <w:szCs w:val="20"/>
                <w:lang w:val="fr-CA"/>
              </w:rPr>
            </w:pPr>
          </w:p>
          <w:p w:rsidR="00965342" w:rsidRPr="00965342" w:rsidRDefault="00965342" w:rsidP="00242AEE">
            <w:pPr>
              <w:jc w:val="center"/>
              <w:rPr>
                <w:sz w:val="20"/>
                <w:szCs w:val="20"/>
                <w:lang w:val="fr-CA"/>
              </w:rPr>
            </w:pPr>
          </w:p>
          <w:p w:rsidR="00965342" w:rsidRPr="00965342" w:rsidRDefault="00965342" w:rsidP="00242AEE">
            <w:pPr>
              <w:jc w:val="center"/>
              <w:rPr>
                <w:sz w:val="20"/>
                <w:szCs w:val="20"/>
                <w:lang w:val="fr-CA"/>
              </w:rPr>
            </w:pPr>
          </w:p>
          <w:p w:rsidR="00965342" w:rsidRPr="00965342" w:rsidRDefault="00965342" w:rsidP="00242AEE">
            <w:pPr>
              <w:jc w:val="center"/>
              <w:rPr>
                <w:sz w:val="20"/>
                <w:szCs w:val="20"/>
                <w:lang w:val="fr-CA"/>
              </w:rPr>
            </w:pPr>
          </w:p>
          <w:p w:rsidR="00965342" w:rsidRPr="00965342" w:rsidRDefault="00965342" w:rsidP="00242AEE">
            <w:pPr>
              <w:jc w:val="center"/>
              <w:rPr>
                <w:sz w:val="20"/>
                <w:szCs w:val="20"/>
                <w:lang w:val="fr-CA"/>
              </w:rPr>
            </w:pPr>
          </w:p>
          <w:p w:rsidR="00965342" w:rsidRPr="00965342" w:rsidRDefault="00965342" w:rsidP="00242AEE">
            <w:pPr>
              <w:jc w:val="center"/>
              <w:rPr>
                <w:sz w:val="20"/>
                <w:szCs w:val="20"/>
                <w:lang w:val="fr-CA"/>
              </w:rPr>
            </w:pPr>
          </w:p>
          <w:p w:rsidR="00965342" w:rsidRPr="00965342" w:rsidRDefault="00965342" w:rsidP="00242AEE">
            <w:pPr>
              <w:jc w:val="center"/>
              <w:rPr>
                <w:sz w:val="20"/>
                <w:szCs w:val="20"/>
                <w:lang w:val="fr-CA"/>
              </w:rPr>
            </w:pPr>
          </w:p>
          <w:p w:rsidR="00965342" w:rsidRPr="00965342" w:rsidRDefault="00965342" w:rsidP="00242AEE">
            <w:pPr>
              <w:jc w:val="center"/>
              <w:rPr>
                <w:sz w:val="20"/>
                <w:szCs w:val="20"/>
                <w:lang w:val="fr-CA"/>
              </w:rPr>
            </w:pPr>
          </w:p>
        </w:tc>
        <w:tc>
          <w:tcPr>
            <w:tcW w:w="4320" w:type="dxa"/>
            <w:shd w:val="clear" w:color="auto" w:fill="auto"/>
          </w:tcPr>
          <w:p w:rsidR="00965342" w:rsidRPr="0078217E" w:rsidRDefault="00965342" w:rsidP="005F1ED8">
            <w:pPr>
              <w:rPr>
                <w:b/>
                <w:sz w:val="20"/>
                <w:szCs w:val="20"/>
              </w:rPr>
            </w:pPr>
            <w:r w:rsidRPr="0078217E">
              <w:rPr>
                <w:b/>
                <w:sz w:val="20"/>
                <w:szCs w:val="20"/>
              </w:rPr>
              <w:t>Tajedin Getahun</w:t>
            </w:r>
          </w:p>
          <w:p w:rsidR="00965342" w:rsidRPr="0078217E" w:rsidRDefault="00965342" w:rsidP="005F1ED8">
            <w:pPr>
              <w:tabs>
                <w:tab w:val="left" w:pos="-1440"/>
                <w:tab w:val="left" w:pos="-720"/>
              </w:tabs>
              <w:rPr>
                <w:sz w:val="20"/>
                <w:szCs w:val="20"/>
              </w:rPr>
            </w:pPr>
            <w:r w:rsidRPr="0078217E">
              <w:rPr>
                <w:sz w:val="20"/>
                <w:szCs w:val="20"/>
              </w:rPr>
              <w:tab/>
              <w:t>J. Thomas Curry</w:t>
            </w:r>
          </w:p>
          <w:p w:rsidR="00965342" w:rsidRPr="0078217E" w:rsidRDefault="00965342" w:rsidP="005F1ED8">
            <w:pPr>
              <w:tabs>
                <w:tab w:val="left" w:pos="-1440"/>
                <w:tab w:val="left" w:pos="-720"/>
              </w:tabs>
              <w:rPr>
                <w:sz w:val="20"/>
                <w:szCs w:val="20"/>
              </w:rPr>
            </w:pPr>
            <w:r w:rsidRPr="0078217E">
              <w:rPr>
                <w:sz w:val="20"/>
                <w:szCs w:val="20"/>
              </w:rPr>
              <w:tab/>
              <w:t xml:space="preserve">Lenczner Slaght Royce Smith Griffin </w:t>
            </w:r>
            <w:r w:rsidRPr="0078217E">
              <w:rPr>
                <w:sz w:val="20"/>
                <w:szCs w:val="20"/>
              </w:rPr>
              <w:tab/>
              <w:t>LLP</w:t>
            </w:r>
          </w:p>
          <w:p w:rsidR="00965342" w:rsidRPr="0078217E" w:rsidRDefault="00965342" w:rsidP="005F1ED8">
            <w:pPr>
              <w:tabs>
                <w:tab w:val="left" w:pos="-1440"/>
                <w:tab w:val="left" w:pos="-720"/>
              </w:tabs>
              <w:rPr>
                <w:sz w:val="20"/>
                <w:szCs w:val="20"/>
              </w:rPr>
            </w:pPr>
          </w:p>
          <w:p w:rsidR="00965342" w:rsidRPr="00965342" w:rsidRDefault="00965342" w:rsidP="005F1ED8">
            <w:pPr>
              <w:tabs>
                <w:tab w:val="left" w:pos="-1440"/>
                <w:tab w:val="left" w:pos="-720"/>
              </w:tabs>
              <w:rPr>
                <w:sz w:val="20"/>
                <w:szCs w:val="20"/>
                <w:lang w:val="fr-CA"/>
              </w:rPr>
            </w:pPr>
            <w:r w:rsidRPr="0078217E">
              <w:rPr>
                <w:sz w:val="20"/>
                <w:szCs w:val="20"/>
              </w:rPr>
              <w:tab/>
            </w:r>
            <w:r w:rsidRPr="00965342">
              <w:rPr>
                <w:sz w:val="20"/>
                <w:szCs w:val="20"/>
                <w:lang w:val="fr-CA"/>
              </w:rPr>
              <w:t>v. (3</w:t>
            </w:r>
            <w:r>
              <w:rPr>
                <w:sz w:val="20"/>
                <w:szCs w:val="20"/>
                <w:lang w:val="fr-CA"/>
              </w:rPr>
              <w:t>6363</w:t>
            </w:r>
            <w:r w:rsidRPr="00965342">
              <w:rPr>
                <w:sz w:val="20"/>
                <w:szCs w:val="20"/>
                <w:lang w:val="fr-CA"/>
              </w:rPr>
              <w:t>)</w:t>
            </w:r>
          </w:p>
          <w:p w:rsidR="00965342" w:rsidRPr="00965342" w:rsidRDefault="00965342" w:rsidP="005F1ED8">
            <w:pPr>
              <w:tabs>
                <w:tab w:val="left" w:pos="-1440"/>
                <w:tab w:val="left" w:pos="-720"/>
              </w:tabs>
              <w:rPr>
                <w:sz w:val="20"/>
                <w:szCs w:val="20"/>
                <w:lang w:val="fr-CA"/>
              </w:rPr>
            </w:pPr>
          </w:p>
          <w:p w:rsidR="00965342" w:rsidRPr="00965342" w:rsidRDefault="00965342" w:rsidP="005F1ED8">
            <w:pPr>
              <w:tabs>
                <w:tab w:val="left" w:pos="-1440"/>
                <w:tab w:val="left" w:pos="-720"/>
              </w:tabs>
              <w:rPr>
                <w:b/>
                <w:sz w:val="20"/>
                <w:szCs w:val="20"/>
                <w:lang w:val="fr-CA"/>
              </w:rPr>
            </w:pPr>
            <w:r>
              <w:rPr>
                <w:b/>
                <w:sz w:val="20"/>
                <w:szCs w:val="20"/>
                <w:lang w:val="fr-CA"/>
              </w:rPr>
              <w:t xml:space="preserve">Blake Moore </w:t>
            </w:r>
            <w:r w:rsidRPr="00965342">
              <w:rPr>
                <w:b/>
                <w:sz w:val="20"/>
                <w:szCs w:val="20"/>
                <w:lang w:val="fr-CA"/>
              </w:rPr>
              <w:t>(Ont.)</w:t>
            </w:r>
          </w:p>
          <w:p w:rsidR="00965342" w:rsidRPr="00965342" w:rsidRDefault="00965342" w:rsidP="005F1ED8">
            <w:pPr>
              <w:tabs>
                <w:tab w:val="left" w:pos="-1440"/>
                <w:tab w:val="left" w:pos="-720"/>
              </w:tabs>
              <w:rPr>
                <w:sz w:val="20"/>
                <w:szCs w:val="20"/>
              </w:rPr>
            </w:pPr>
            <w:r w:rsidRPr="00965342">
              <w:rPr>
                <w:sz w:val="20"/>
                <w:szCs w:val="20"/>
                <w:lang w:val="fr-CA"/>
              </w:rPr>
              <w:tab/>
            </w:r>
            <w:r w:rsidRPr="00965342">
              <w:rPr>
                <w:sz w:val="20"/>
                <w:szCs w:val="20"/>
              </w:rPr>
              <w:t>Paul J. Pape</w:t>
            </w:r>
          </w:p>
          <w:p w:rsidR="00965342" w:rsidRPr="00965342" w:rsidRDefault="00965342" w:rsidP="005F1ED8">
            <w:pPr>
              <w:tabs>
                <w:tab w:val="left" w:pos="-1440"/>
                <w:tab w:val="left" w:pos="-720"/>
              </w:tabs>
              <w:rPr>
                <w:sz w:val="20"/>
                <w:szCs w:val="20"/>
              </w:rPr>
            </w:pPr>
            <w:r w:rsidRPr="00965342">
              <w:rPr>
                <w:sz w:val="20"/>
                <w:szCs w:val="20"/>
              </w:rPr>
              <w:tab/>
              <w:t>Pape Barristers</w:t>
            </w:r>
          </w:p>
          <w:p w:rsidR="00965342" w:rsidRPr="00965342" w:rsidRDefault="00965342" w:rsidP="005F1ED8">
            <w:pPr>
              <w:tabs>
                <w:tab w:val="left" w:pos="-1440"/>
                <w:tab w:val="left" w:pos="-720"/>
              </w:tabs>
              <w:rPr>
                <w:sz w:val="20"/>
                <w:szCs w:val="20"/>
              </w:rPr>
            </w:pPr>
          </w:p>
          <w:p w:rsidR="00965342" w:rsidRPr="00965342" w:rsidRDefault="00965342" w:rsidP="00965342">
            <w:pPr>
              <w:rPr>
                <w:sz w:val="20"/>
                <w:szCs w:val="20"/>
              </w:rPr>
            </w:pPr>
            <w:r w:rsidRPr="00965342">
              <w:rPr>
                <w:sz w:val="20"/>
                <w:szCs w:val="20"/>
              </w:rPr>
              <w:t>FILING DATE: 30.03.2015</w:t>
            </w:r>
            <w:r w:rsidR="00417673">
              <w:rPr>
                <w:sz w:val="20"/>
                <w:szCs w:val="20"/>
                <w:lang w:val="fr-CA"/>
              </w:rPr>
              <w:pict>
                <v:rect id="_x0000_i1034" style="width:108pt;height:1pt" o:hrpct="0" o:hralign="center" o:hrstd="t" o:hrnoshade="t" o:hr="t" fillcolor="black [3213]" stroked="f"/>
              </w:pict>
            </w:r>
          </w:p>
        </w:tc>
      </w:tr>
      <w:tr w:rsidR="00965342" w:rsidRPr="00A935AA" w:rsidTr="003B3977">
        <w:trPr>
          <w:cantSplit/>
        </w:trPr>
        <w:tc>
          <w:tcPr>
            <w:tcW w:w="4320" w:type="dxa"/>
            <w:shd w:val="clear" w:color="auto" w:fill="auto"/>
          </w:tcPr>
          <w:p w:rsidR="00965342" w:rsidRPr="0078217E" w:rsidRDefault="00965342" w:rsidP="005F1ED8">
            <w:pPr>
              <w:rPr>
                <w:b/>
                <w:sz w:val="20"/>
                <w:szCs w:val="20"/>
              </w:rPr>
            </w:pPr>
            <w:r w:rsidRPr="0078217E">
              <w:rPr>
                <w:b/>
                <w:sz w:val="20"/>
                <w:szCs w:val="20"/>
              </w:rPr>
              <w:t>Curtis Bonnell</w:t>
            </w:r>
          </w:p>
          <w:p w:rsidR="00965342" w:rsidRPr="0078217E" w:rsidRDefault="00965342" w:rsidP="005F1ED8">
            <w:pPr>
              <w:tabs>
                <w:tab w:val="left" w:pos="-1440"/>
                <w:tab w:val="left" w:pos="-720"/>
              </w:tabs>
              <w:rPr>
                <w:sz w:val="20"/>
                <w:szCs w:val="20"/>
              </w:rPr>
            </w:pPr>
            <w:r w:rsidRPr="0078217E">
              <w:rPr>
                <w:sz w:val="20"/>
                <w:szCs w:val="20"/>
              </w:rPr>
              <w:tab/>
              <w:t>Margaret Gallagher</w:t>
            </w:r>
          </w:p>
          <w:p w:rsidR="00965342" w:rsidRPr="0078217E" w:rsidRDefault="00965342" w:rsidP="005F1ED8">
            <w:pPr>
              <w:tabs>
                <w:tab w:val="left" w:pos="-1440"/>
                <w:tab w:val="left" w:pos="-720"/>
              </w:tabs>
              <w:rPr>
                <w:sz w:val="20"/>
                <w:szCs w:val="20"/>
              </w:rPr>
            </w:pPr>
            <w:r w:rsidRPr="0078217E">
              <w:rPr>
                <w:sz w:val="20"/>
                <w:szCs w:val="20"/>
              </w:rPr>
              <w:tab/>
              <w:t xml:space="preserve">New Brunswick Legal Aid Services </w:t>
            </w:r>
            <w:r w:rsidRPr="0078217E">
              <w:rPr>
                <w:sz w:val="20"/>
                <w:szCs w:val="20"/>
              </w:rPr>
              <w:tab/>
              <w:t>Commission</w:t>
            </w:r>
          </w:p>
          <w:p w:rsidR="00965342" w:rsidRPr="0078217E" w:rsidRDefault="00965342" w:rsidP="005F1ED8">
            <w:pPr>
              <w:tabs>
                <w:tab w:val="left" w:pos="-1440"/>
                <w:tab w:val="left" w:pos="-720"/>
              </w:tabs>
              <w:rPr>
                <w:sz w:val="20"/>
                <w:szCs w:val="20"/>
              </w:rPr>
            </w:pPr>
          </w:p>
          <w:p w:rsidR="00965342" w:rsidRPr="00965342" w:rsidRDefault="00965342" w:rsidP="005F1ED8">
            <w:pPr>
              <w:tabs>
                <w:tab w:val="left" w:pos="-1440"/>
                <w:tab w:val="left" w:pos="-720"/>
              </w:tabs>
              <w:rPr>
                <w:sz w:val="20"/>
                <w:szCs w:val="20"/>
              </w:rPr>
            </w:pPr>
            <w:r w:rsidRPr="0078217E">
              <w:rPr>
                <w:sz w:val="20"/>
                <w:szCs w:val="20"/>
              </w:rPr>
              <w:tab/>
            </w:r>
            <w:r w:rsidRPr="00965342">
              <w:rPr>
                <w:sz w:val="20"/>
                <w:szCs w:val="20"/>
              </w:rPr>
              <w:t>v. (36364)</w:t>
            </w:r>
          </w:p>
          <w:p w:rsidR="00965342" w:rsidRPr="00965342" w:rsidRDefault="00965342" w:rsidP="005F1ED8">
            <w:pPr>
              <w:tabs>
                <w:tab w:val="left" w:pos="-1440"/>
                <w:tab w:val="left" w:pos="-720"/>
              </w:tabs>
              <w:rPr>
                <w:sz w:val="20"/>
                <w:szCs w:val="20"/>
              </w:rPr>
            </w:pPr>
          </w:p>
          <w:p w:rsidR="00965342" w:rsidRPr="00965342" w:rsidRDefault="00965342" w:rsidP="005F1ED8">
            <w:pPr>
              <w:tabs>
                <w:tab w:val="left" w:pos="-1440"/>
                <w:tab w:val="left" w:pos="-720"/>
              </w:tabs>
              <w:rPr>
                <w:b/>
                <w:sz w:val="20"/>
                <w:szCs w:val="20"/>
              </w:rPr>
            </w:pPr>
            <w:r w:rsidRPr="00965342">
              <w:rPr>
                <w:b/>
                <w:sz w:val="20"/>
                <w:szCs w:val="20"/>
              </w:rPr>
              <w:t>Her Majesty the Queen (</w:t>
            </w:r>
            <w:r w:rsidR="0025127B">
              <w:rPr>
                <w:b/>
                <w:sz w:val="20"/>
                <w:szCs w:val="20"/>
              </w:rPr>
              <w:t>N.B</w:t>
            </w:r>
            <w:r w:rsidRPr="00965342">
              <w:rPr>
                <w:b/>
                <w:sz w:val="20"/>
                <w:szCs w:val="20"/>
              </w:rPr>
              <w:t>.)</w:t>
            </w:r>
          </w:p>
          <w:p w:rsidR="00965342" w:rsidRPr="00965342" w:rsidRDefault="00965342" w:rsidP="005F1ED8">
            <w:pPr>
              <w:tabs>
                <w:tab w:val="left" w:pos="-1440"/>
                <w:tab w:val="left" w:pos="-720"/>
              </w:tabs>
              <w:rPr>
                <w:sz w:val="20"/>
                <w:szCs w:val="20"/>
              </w:rPr>
            </w:pPr>
            <w:r w:rsidRPr="00965342">
              <w:rPr>
                <w:sz w:val="20"/>
                <w:szCs w:val="20"/>
              </w:rPr>
              <w:tab/>
            </w:r>
            <w:r>
              <w:rPr>
                <w:sz w:val="20"/>
                <w:szCs w:val="20"/>
              </w:rPr>
              <w:t>Cameron H. Gunn, Q.C.</w:t>
            </w:r>
          </w:p>
          <w:p w:rsidR="00965342" w:rsidRPr="00965342" w:rsidRDefault="00965342" w:rsidP="005F1ED8">
            <w:pPr>
              <w:tabs>
                <w:tab w:val="left" w:pos="-1440"/>
                <w:tab w:val="left" w:pos="-720"/>
              </w:tabs>
              <w:rPr>
                <w:sz w:val="20"/>
                <w:szCs w:val="20"/>
              </w:rPr>
            </w:pPr>
            <w:r w:rsidRPr="00965342">
              <w:rPr>
                <w:sz w:val="20"/>
                <w:szCs w:val="20"/>
              </w:rPr>
              <w:tab/>
            </w:r>
            <w:r>
              <w:rPr>
                <w:sz w:val="20"/>
                <w:szCs w:val="20"/>
              </w:rPr>
              <w:t xml:space="preserve">Public Prosecution Service of New </w:t>
            </w:r>
            <w:r>
              <w:rPr>
                <w:sz w:val="20"/>
                <w:szCs w:val="20"/>
              </w:rPr>
              <w:tab/>
              <w:t>Brunswick</w:t>
            </w:r>
          </w:p>
          <w:p w:rsidR="00965342" w:rsidRPr="00965342" w:rsidRDefault="00965342" w:rsidP="005F1ED8">
            <w:pPr>
              <w:tabs>
                <w:tab w:val="left" w:pos="-1440"/>
                <w:tab w:val="left" w:pos="-720"/>
              </w:tabs>
              <w:rPr>
                <w:sz w:val="20"/>
                <w:szCs w:val="20"/>
              </w:rPr>
            </w:pPr>
          </w:p>
          <w:p w:rsidR="00965342" w:rsidRPr="00965342" w:rsidRDefault="00965342" w:rsidP="00965342">
            <w:pPr>
              <w:rPr>
                <w:sz w:val="20"/>
                <w:szCs w:val="20"/>
                <w:lang w:val="fr-CA"/>
              </w:rPr>
            </w:pPr>
            <w:r w:rsidRPr="00965342">
              <w:rPr>
                <w:sz w:val="20"/>
                <w:szCs w:val="20"/>
                <w:lang w:val="fr-CA"/>
              </w:rPr>
              <w:t xml:space="preserve">FILING DATE: </w:t>
            </w:r>
            <w:r>
              <w:rPr>
                <w:sz w:val="20"/>
                <w:szCs w:val="20"/>
                <w:lang w:val="fr-CA"/>
              </w:rPr>
              <w:t>30</w:t>
            </w:r>
            <w:r w:rsidRPr="00965342">
              <w:rPr>
                <w:sz w:val="20"/>
                <w:szCs w:val="20"/>
                <w:lang w:val="fr-CA"/>
              </w:rPr>
              <w:t>.0</w:t>
            </w:r>
            <w:r>
              <w:rPr>
                <w:sz w:val="20"/>
                <w:szCs w:val="20"/>
                <w:lang w:val="fr-CA"/>
              </w:rPr>
              <w:t>3</w:t>
            </w:r>
            <w:r w:rsidRPr="00965342">
              <w:rPr>
                <w:sz w:val="20"/>
                <w:szCs w:val="20"/>
                <w:lang w:val="fr-CA"/>
              </w:rPr>
              <w:t>.2015</w:t>
            </w:r>
            <w:r w:rsidR="00417673">
              <w:rPr>
                <w:sz w:val="20"/>
                <w:szCs w:val="20"/>
                <w:lang w:val="fr-CA"/>
              </w:rPr>
              <w:pict>
                <v:rect id="_x0000_i1035" style="width:108pt;height:1pt" o:hrpct="0" o:hralign="center" o:hrstd="t" o:hrnoshade="t" o:hr="t" fillcolor="black [3213]" stroked="f"/>
              </w:pict>
            </w:r>
          </w:p>
        </w:tc>
        <w:tc>
          <w:tcPr>
            <w:tcW w:w="1181" w:type="dxa"/>
            <w:shd w:val="clear" w:color="auto" w:fill="auto"/>
          </w:tcPr>
          <w:p w:rsidR="00965342" w:rsidRPr="00965342" w:rsidRDefault="00965342" w:rsidP="00242AEE">
            <w:pPr>
              <w:jc w:val="center"/>
              <w:rPr>
                <w:sz w:val="20"/>
                <w:szCs w:val="20"/>
                <w:lang w:val="fr-CA"/>
              </w:rPr>
            </w:pPr>
          </w:p>
          <w:p w:rsidR="00965342" w:rsidRPr="00965342" w:rsidRDefault="00965342" w:rsidP="00242AEE">
            <w:pPr>
              <w:jc w:val="center"/>
              <w:rPr>
                <w:sz w:val="20"/>
                <w:szCs w:val="20"/>
                <w:lang w:val="fr-CA"/>
              </w:rPr>
            </w:pPr>
          </w:p>
          <w:p w:rsidR="00965342" w:rsidRPr="00965342" w:rsidRDefault="00965342" w:rsidP="00242AEE">
            <w:pPr>
              <w:jc w:val="center"/>
              <w:rPr>
                <w:sz w:val="20"/>
                <w:szCs w:val="20"/>
                <w:lang w:val="fr-CA"/>
              </w:rPr>
            </w:pPr>
          </w:p>
          <w:p w:rsidR="00965342" w:rsidRPr="00965342" w:rsidRDefault="00965342" w:rsidP="00242AEE">
            <w:pPr>
              <w:jc w:val="center"/>
              <w:rPr>
                <w:sz w:val="20"/>
                <w:szCs w:val="20"/>
                <w:lang w:val="fr-CA"/>
              </w:rPr>
            </w:pPr>
          </w:p>
          <w:p w:rsidR="00965342" w:rsidRPr="00965342" w:rsidRDefault="00965342" w:rsidP="00242AEE">
            <w:pPr>
              <w:jc w:val="center"/>
              <w:rPr>
                <w:sz w:val="20"/>
                <w:szCs w:val="20"/>
                <w:lang w:val="fr-CA"/>
              </w:rPr>
            </w:pPr>
          </w:p>
          <w:p w:rsidR="00965342" w:rsidRPr="00965342" w:rsidRDefault="00965342" w:rsidP="00242AEE">
            <w:pPr>
              <w:jc w:val="center"/>
              <w:rPr>
                <w:sz w:val="20"/>
                <w:szCs w:val="20"/>
                <w:lang w:val="fr-CA"/>
              </w:rPr>
            </w:pPr>
          </w:p>
          <w:p w:rsidR="00965342" w:rsidRPr="00965342" w:rsidRDefault="00965342" w:rsidP="00242AEE">
            <w:pPr>
              <w:jc w:val="center"/>
              <w:rPr>
                <w:sz w:val="20"/>
                <w:szCs w:val="20"/>
                <w:lang w:val="fr-CA"/>
              </w:rPr>
            </w:pPr>
          </w:p>
          <w:p w:rsidR="00965342" w:rsidRPr="00965342" w:rsidRDefault="00965342" w:rsidP="00242AEE">
            <w:pPr>
              <w:jc w:val="center"/>
              <w:rPr>
                <w:sz w:val="20"/>
                <w:szCs w:val="20"/>
                <w:lang w:val="fr-CA"/>
              </w:rPr>
            </w:pPr>
          </w:p>
          <w:p w:rsidR="00965342" w:rsidRPr="00965342" w:rsidRDefault="00965342" w:rsidP="00242AEE">
            <w:pPr>
              <w:jc w:val="center"/>
              <w:rPr>
                <w:sz w:val="20"/>
                <w:szCs w:val="20"/>
                <w:lang w:val="fr-CA"/>
              </w:rPr>
            </w:pPr>
          </w:p>
          <w:p w:rsidR="00965342" w:rsidRPr="00965342" w:rsidRDefault="00965342" w:rsidP="00242AEE">
            <w:pPr>
              <w:jc w:val="center"/>
              <w:rPr>
                <w:sz w:val="20"/>
                <w:szCs w:val="20"/>
                <w:lang w:val="fr-CA"/>
              </w:rPr>
            </w:pPr>
          </w:p>
          <w:p w:rsidR="00965342" w:rsidRDefault="00965342" w:rsidP="00242AEE">
            <w:pPr>
              <w:jc w:val="center"/>
              <w:rPr>
                <w:sz w:val="20"/>
                <w:szCs w:val="20"/>
                <w:lang w:val="fr-CA"/>
              </w:rPr>
            </w:pPr>
          </w:p>
          <w:p w:rsidR="00E36DCC" w:rsidRDefault="00E36DCC" w:rsidP="00242AEE">
            <w:pPr>
              <w:jc w:val="center"/>
              <w:rPr>
                <w:sz w:val="20"/>
                <w:szCs w:val="20"/>
                <w:lang w:val="fr-CA"/>
              </w:rPr>
            </w:pPr>
          </w:p>
          <w:p w:rsidR="00E36DCC" w:rsidRPr="00965342" w:rsidRDefault="00E36DCC" w:rsidP="00242AEE">
            <w:pPr>
              <w:jc w:val="center"/>
              <w:rPr>
                <w:sz w:val="20"/>
                <w:szCs w:val="20"/>
                <w:lang w:val="fr-CA"/>
              </w:rPr>
            </w:pPr>
          </w:p>
          <w:p w:rsidR="00965342" w:rsidRPr="00965342" w:rsidRDefault="00965342" w:rsidP="00242AEE">
            <w:pPr>
              <w:jc w:val="center"/>
              <w:rPr>
                <w:sz w:val="20"/>
                <w:szCs w:val="20"/>
                <w:lang w:val="fr-CA"/>
              </w:rPr>
            </w:pPr>
          </w:p>
          <w:p w:rsidR="00965342" w:rsidRPr="00965342" w:rsidRDefault="00965342" w:rsidP="00242AEE">
            <w:pPr>
              <w:jc w:val="center"/>
              <w:rPr>
                <w:sz w:val="20"/>
                <w:szCs w:val="20"/>
                <w:lang w:val="fr-CA"/>
              </w:rPr>
            </w:pPr>
          </w:p>
        </w:tc>
        <w:tc>
          <w:tcPr>
            <w:tcW w:w="4320" w:type="dxa"/>
            <w:shd w:val="clear" w:color="auto" w:fill="auto"/>
          </w:tcPr>
          <w:p w:rsidR="00E36DCC" w:rsidRPr="0078217E" w:rsidRDefault="00E36DCC" w:rsidP="00965342">
            <w:pPr>
              <w:keepNext/>
              <w:keepLines/>
              <w:tabs>
                <w:tab w:val="left" w:pos="-1440"/>
                <w:tab w:val="left" w:pos="-720"/>
              </w:tabs>
              <w:rPr>
                <w:b/>
                <w:sz w:val="20"/>
                <w:szCs w:val="20"/>
              </w:rPr>
            </w:pPr>
          </w:p>
          <w:p w:rsidR="00965342" w:rsidRPr="00E36DCC" w:rsidRDefault="00E36DCC" w:rsidP="00965342">
            <w:pPr>
              <w:keepNext/>
              <w:keepLines/>
              <w:tabs>
                <w:tab w:val="left" w:pos="-1440"/>
                <w:tab w:val="left" w:pos="-720"/>
              </w:tabs>
              <w:rPr>
                <w:b/>
                <w:sz w:val="20"/>
                <w:szCs w:val="20"/>
              </w:rPr>
            </w:pPr>
            <w:r w:rsidRPr="00E36DCC">
              <w:rPr>
                <w:b/>
                <w:sz w:val="20"/>
                <w:szCs w:val="20"/>
              </w:rPr>
              <w:t>F</w:t>
            </w:r>
            <w:r w:rsidR="00965342" w:rsidRPr="00E36DCC">
              <w:rPr>
                <w:b/>
                <w:sz w:val="20"/>
                <w:szCs w:val="20"/>
              </w:rPr>
              <w:t>re</w:t>
            </w:r>
            <w:r w:rsidRPr="00E36DCC">
              <w:rPr>
                <w:b/>
                <w:sz w:val="20"/>
                <w:szCs w:val="20"/>
              </w:rPr>
              <w:t>derick Bernard Anthony Prosser</w:t>
            </w:r>
          </w:p>
          <w:p w:rsidR="00965342" w:rsidRPr="00E36DCC" w:rsidRDefault="00E36DCC" w:rsidP="00965342">
            <w:pPr>
              <w:keepNext/>
              <w:keepLines/>
              <w:tabs>
                <w:tab w:val="left" w:pos="-1440"/>
                <w:tab w:val="left" w:pos="-720"/>
              </w:tabs>
              <w:rPr>
                <w:sz w:val="20"/>
                <w:szCs w:val="20"/>
              </w:rPr>
            </w:pPr>
            <w:r w:rsidRPr="00E36DCC">
              <w:rPr>
                <w:sz w:val="20"/>
                <w:szCs w:val="20"/>
              </w:rPr>
              <w:tab/>
              <w:t>James J. Matheson</w:t>
            </w:r>
          </w:p>
          <w:p w:rsidR="00965342" w:rsidRPr="0078217E" w:rsidRDefault="00965342" w:rsidP="00965342">
            <w:pPr>
              <w:keepNext/>
              <w:keepLines/>
              <w:tabs>
                <w:tab w:val="left" w:pos="-1440"/>
                <w:tab w:val="left" w:pos="-720"/>
              </w:tabs>
              <w:rPr>
                <w:sz w:val="20"/>
                <w:szCs w:val="20"/>
              </w:rPr>
            </w:pPr>
          </w:p>
          <w:p w:rsidR="00965342" w:rsidRPr="0078217E" w:rsidRDefault="00965342" w:rsidP="00965342">
            <w:pPr>
              <w:keepNext/>
              <w:keepLines/>
              <w:tabs>
                <w:tab w:val="left" w:pos="-1440"/>
                <w:tab w:val="left" w:pos="-720"/>
              </w:tabs>
              <w:rPr>
                <w:sz w:val="20"/>
                <w:szCs w:val="20"/>
              </w:rPr>
            </w:pPr>
            <w:r w:rsidRPr="0078217E">
              <w:rPr>
                <w:sz w:val="20"/>
                <w:szCs w:val="20"/>
              </w:rPr>
              <w:tab/>
            </w:r>
            <w:r w:rsidR="00E36DCC" w:rsidRPr="0078217E">
              <w:rPr>
                <w:sz w:val="20"/>
                <w:szCs w:val="20"/>
              </w:rPr>
              <w:t>v</w:t>
            </w:r>
            <w:r w:rsidRPr="0078217E">
              <w:rPr>
                <w:sz w:val="20"/>
                <w:szCs w:val="20"/>
              </w:rPr>
              <w:t>. (36</w:t>
            </w:r>
            <w:r w:rsidR="00E36DCC" w:rsidRPr="0078217E">
              <w:rPr>
                <w:sz w:val="20"/>
                <w:szCs w:val="20"/>
              </w:rPr>
              <w:t>3</w:t>
            </w:r>
            <w:r w:rsidRPr="0078217E">
              <w:rPr>
                <w:sz w:val="20"/>
                <w:szCs w:val="20"/>
              </w:rPr>
              <w:t>7</w:t>
            </w:r>
            <w:r w:rsidR="00E36DCC" w:rsidRPr="0078217E">
              <w:rPr>
                <w:sz w:val="20"/>
                <w:szCs w:val="20"/>
              </w:rPr>
              <w:t>0</w:t>
            </w:r>
            <w:r w:rsidRPr="0078217E">
              <w:rPr>
                <w:sz w:val="20"/>
                <w:szCs w:val="20"/>
              </w:rPr>
              <w:t>)</w:t>
            </w:r>
          </w:p>
          <w:p w:rsidR="00965342" w:rsidRPr="0078217E" w:rsidRDefault="00965342" w:rsidP="00965342">
            <w:pPr>
              <w:keepNext/>
              <w:keepLines/>
              <w:tabs>
                <w:tab w:val="left" w:pos="-1440"/>
                <w:tab w:val="left" w:pos="-720"/>
              </w:tabs>
              <w:rPr>
                <w:sz w:val="20"/>
                <w:szCs w:val="20"/>
              </w:rPr>
            </w:pPr>
          </w:p>
          <w:p w:rsidR="00965342" w:rsidRPr="00E36DCC" w:rsidRDefault="00E36DCC" w:rsidP="00965342">
            <w:pPr>
              <w:keepNext/>
              <w:keepLines/>
              <w:tabs>
                <w:tab w:val="left" w:pos="-1440"/>
                <w:tab w:val="left" w:pos="-720"/>
              </w:tabs>
              <w:rPr>
                <w:b/>
                <w:sz w:val="20"/>
                <w:szCs w:val="20"/>
              </w:rPr>
            </w:pPr>
            <w:r w:rsidRPr="00E36DCC">
              <w:rPr>
                <w:b/>
                <w:sz w:val="20"/>
                <w:szCs w:val="20"/>
              </w:rPr>
              <w:t xml:space="preserve">Her </w:t>
            </w:r>
            <w:r w:rsidR="00965342" w:rsidRPr="00E36DCC">
              <w:rPr>
                <w:b/>
                <w:sz w:val="20"/>
                <w:szCs w:val="20"/>
              </w:rPr>
              <w:t>Majest</w:t>
            </w:r>
            <w:r w:rsidRPr="00E36DCC">
              <w:rPr>
                <w:b/>
                <w:sz w:val="20"/>
                <w:szCs w:val="20"/>
              </w:rPr>
              <w:t>y th</w:t>
            </w:r>
            <w:r w:rsidR="00965342" w:rsidRPr="00E36DCC">
              <w:rPr>
                <w:b/>
                <w:sz w:val="20"/>
                <w:szCs w:val="20"/>
              </w:rPr>
              <w:t>e</w:t>
            </w:r>
            <w:r w:rsidRPr="00E36DCC">
              <w:rPr>
                <w:b/>
                <w:sz w:val="20"/>
                <w:szCs w:val="20"/>
              </w:rPr>
              <w:t xml:space="preserve"> Qu</w:t>
            </w:r>
            <w:r w:rsidR="00965342" w:rsidRPr="00E36DCC">
              <w:rPr>
                <w:b/>
                <w:sz w:val="20"/>
                <w:szCs w:val="20"/>
              </w:rPr>
              <w:t>e</w:t>
            </w:r>
            <w:r w:rsidRPr="00E36DCC">
              <w:rPr>
                <w:b/>
                <w:sz w:val="20"/>
                <w:szCs w:val="20"/>
              </w:rPr>
              <w:t>en</w:t>
            </w:r>
            <w:r w:rsidR="00965342" w:rsidRPr="00E36DCC">
              <w:rPr>
                <w:b/>
                <w:sz w:val="20"/>
                <w:szCs w:val="20"/>
              </w:rPr>
              <w:t xml:space="preserve"> (</w:t>
            </w:r>
            <w:r w:rsidRPr="00E36DCC">
              <w:rPr>
                <w:b/>
                <w:sz w:val="20"/>
                <w:szCs w:val="20"/>
              </w:rPr>
              <w:t>N.B.</w:t>
            </w:r>
            <w:r w:rsidR="00965342" w:rsidRPr="00E36DCC">
              <w:rPr>
                <w:b/>
                <w:sz w:val="20"/>
                <w:szCs w:val="20"/>
              </w:rPr>
              <w:t>)</w:t>
            </w:r>
          </w:p>
          <w:p w:rsidR="00E36DCC" w:rsidRPr="00965342" w:rsidRDefault="00965342" w:rsidP="00E36DCC">
            <w:pPr>
              <w:tabs>
                <w:tab w:val="left" w:pos="-1440"/>
                <w:tab w:val="left" w:pos="-720"/>
              </w:tabs>
              <w:rPr>
                <w:sz w:val="20"/>
                <w:szCs w:val="20"/>
              </w:rPr>
            </w:pPr>
            <w:r w:rsidRPr="00E36DCC">
              <w:rPr>
                <w:sz w:val="20"/>
                <w:szCs w:val="20"/>
              </w:rPr>
              <w:tab/>
            </w:r>
            <w:r w:rsidR="00E36DCC">
              <w:rPr>
                <w:sz w:val="20"/>
                <w:szCs w:val="20"/>
              </w:rPr>
              <w:t>Cameron H. Gunn, Q.C.</w:t>
            </w:r>
          </w:p>
          <w:p w:rsidR="00E36DCC" w:rsidRPr="00965342" w:rsidRDefault="00E36DCC" w:rsidP="00E36DCC">
            <w:pPr>
              <w:tabs>
                <w:tab w:val="left" w:pos="-1440"/>
                <w:tab w:val="left" w:pos="-720"/>
              </w:tabs>
              <w:rPr>
                <w:sz w:val="20"/>
                <w:szCs w:val="20"/>
              </w:rPr>
            </w:pPr>
            <w:r w:rsidRPr="00965342">
              <w:rPr>
                <w:sz w:val="20"/>
                <w:szCs w:val="20"/>
              </w:rPr>
              <w:tab/>
            </w:r>
            <w:r>
              <w:rPr>
                <w:sz w:val="20"/>
                <w:szCs w:val="20"/>
              </w:rPr>
              <w:t xml:space="preserve">Public Prosecution Service of New </w:t>
            </w:r>
            <w:r>
              <w:rPr>
                <w:sz w:val="20"/>
                <w:szCs w:val="20"/>
              </w:rPr>
              <w:tab/>
              <w:t>Brunswick</w:t>
            </w:r>
          </w:p>
          <w:p w:rsidR="00965342" w:rsidRPr="00E36DCC" w:rsidRDefault="00965342" w:rsidP="00965342">
            <w:pPr>
              <w:keepNext/>
              <w:keepLines/>
              <w:tabs>
                <w:tab w:val="left" w:pos="-1440"/>
                <w:tab w:val="left" w:pos="-720"/>
              </w:tabs>
              <w:rPr>
                <w:sz w:val="20"/>
                <w:szCs w:val="20"/>
              </w:rPr>
            </w:pPr>
          </w:p>
          <w:p w:rsidR="00965342" w:rsidRPr="00806A5B" w:rsidRDefault="00E36DCC" w:rsidP="00965342">
            <w:pPr>
              <w:rPr>
                <w:sz w:val="20"/>
                <w:szCs w:val="20"/>
                <w:lang w:val="fr-CA"/>
              </w:rPr>
            </w:pPr>
            <w:r w:rsidRPr="00965342">
              <w:rPr>
                <w:sz w:val="20"/>
                <w:szCs w:val="20"/>
                <w:lang w:val="fr-CA"/>
              </w:rPr>
              <w:t xml:space="preserve">FILING DATE: </w:t>
            </w:r>
            <w:r>
              <w:rPr>
                <w:sz w:val="20"/>
                <w:szCs w:val="20"/>
                <w:lang w:val="fr-CA"/>
              </w:rPr>
              <w:t>30</w:t>
            </w:r>
            <w:r w:rsidRPr="00965342">
              <w:rPr>
                <w:sz w:val="20"/>
                <w:szCs w:val="20"/>
                <w:lang w:val="fr-CA"/>
              </w:rPr>
              <w:t>.0</w:t>
            </w:r>
            <w:r>
              <w:rPr>
                <w:sz w:val="20"/>
                <w:szCs w:val="20"/>
                <w:lang w:val="fr-CA"/>
              </w:rPr>
              <w:t>3</w:t>
            </w:r>
            <w:r w:rsidRPr="00965342">
              <w:rPr>
                <w:sz w:val="20"/>
                <w:szCs w:val="20"/>
                <w:lang w:val="fr-CA"/>
              </w:rPr>
              <w:t>.2015</w:t>
            </w:r>
            <w:r w:rsidR="00417673">
              <w:rPr>
                <w:sz w:val="20"/>
                <w:szCs w:val="20"/>
                <w:lang w:val="fr-CA"/>
              </w:rPr>
              <w:pict>
                <v:rect id="_x0000_i1036" style="width:108pt;height:1pt" o:hrpct="0" o:hralign="center" o:hrstd="t" o:hrnoshade="t" o:hr="t" fillcolor="black [3213]" stroked="f"/>
              </w:pict>
            </w: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265F92">
          <w:headerReference w:type="default" r:id="rId17"/>
          <w:footerReference w:type="default" r:id="rId18"/>
          <w:headerReference w:type="first" r:id="rId19"/>
          <w:footerReference w:type="first" r:id="rId20"/>
          <w:pgSz w:w="12240" w:h="15840"/>
          <w:pgMar w:top="720" w:right="965" w:bottom="1080" w:left="1656" w:header="706" w:footer="706" w:gutter="0"/>
          <w:pgNumType w:start="696"/>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417673"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204D62" w:rsidP="00CB3520">
      <w:pPr>
        <w:widowControl w:val="0"/>
        <w:rPr>
          <w:b/>
          <w:sz w:val="20"/>
          <w:szCs w:val="20"/>
        </w:rPr>
      </w:pPr>
      <w:r>
        <w:rPr>
          <w:b/>
          <w:sz w:val="20"/>
          <w:szCs w:val="20"/>
        </w:rPr>
        <w:t>APRIL 20</w:t>
      </w:r>
      <w:r w:rsidR="00CB3520" w:rsidRPr="00C50A5C">
        <w:rPr>
          <w:b/>
          <w:sz w:val="20"/>
          <w:szCs w:val="20"/>
        </w:rPr>
        <w:t>, 201</w:t>
      </w:r>
      <w:r w:rsidR="00020DC3">
        <w:rPr>
          <w:b/>
          <w:sz w:val="20"/>
          <w:szCs w:val="20"/>
        </w:rPr>
        <w:t>5</w:t>
      </w:r>
      <w:r w:rsidR="00CB3520" w:rsidRPr="00C50A5C">
        <w:rPr>
          <w:b/>
          <w:sz w:val="20"/>
          <w:szCs w:val="20"/>
        </w:rPr>
        <w:t xml:space="preserve"> / LE </w:t>
      </w:r>
      <w:r w:rsidR="00CB3520">
        <w:rPr>
          <w:b/>
          <w:sz w:val="20"/>
          <w:szCs w:val="20"/>
        </w:rPr>
        <w:t>2</w:t>
      </w:r>
      <w:r>
        <w:rPr>
          <w:b/>
          <w:sz w:val="20"/>
          <w:szCs w:val="20"/>
        </w:rPr>
        <w:t>0</w:t>
      </w:r>
      <w:r w:rsidR="00CB3520">
        <w:rPr>
          <w:b/>
          <w:sz w:val="20"/>
          <w:szCs w:val="20"/>
        </w:rPr>
        <w:t xml:space="preserve"> </w:t>
      </w:r>
      <w:r>
        <w:rPr>
          <w:b/>
          <w:sz w:val="20"/>
          <w:szCs w:val="20"/>
        </w:rPr>
        <w:t xml:space="preserve">AVRIL </w:t>
      </w:r>
      <w:r w:rsidR="00CB3520" w:rsidRPr="00C50A5C">
        <w:rPr>
          <w:b/>
          <w:sz w:val="20"/>
          <w:szCs w:val="20"/>
        </w:rPr>
        <w:t>201</w:t>
      </w:r>
      <w:r w:rsidR="00020DC3">
        <w:rPr>
          <w:b/>
          <w:sz w:val="20"/>
          <w:szCs w:val="20"/>
        </w:rPr>
        <w:t>5</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sidR="00FA3373">
        <w:rPr>
          <w:b/>
          <w:sz w:val="20"/>
          <w:szCs w:val="20"/>
        </w:rPr>
        <w:t>Wagner</w:t>
      </w:r>
      <w:r w:rsidRPr="00C50A5C">
        <w:rPr>
          <w:b/>
          <w:sz w:val="20"/>
          <w:szCs w:val="20"/>
        </w:rPr>
        <w:t xml:space="preserve"> and </w:t>
      </w:r>
      <w:r w:rsidR="00FA3373">
        <w:rPr>
          <w:b/>
          <w:sz w:val="20"/>
          <w:szCs w:val="20"/>
        </w:rPr>
        <w:t xml:space="preserve">Gascon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sidR="00FA3373">
        <w:rPr>
          <w:b/>
          <w:sz w:val="20"/>
          <w:szCs w:val="20"/>
          <w:lang w:val="fr-CA"/>
        </w:rPr>
        <w:t>Wagner</w:t>
      </w:r>
      <w:r w:rsidRPr="00C50A5C">
        <w:rPr>
          <w:b/>
          <w:sz w:val="20"/>
          <w:szCs w:val="20"/>
          <w:lang w:val="fr-CA"/>
        </w:rPr>
        <w:t xml:space="preserve"> et </w:t>
      </w:r>
      <w:r w:rsidR="00FA3373">
        <w:rPr>
          <w:b/>
          <w:sz w:val="20"/>
          <w:szCs w:val="20"/>
          <w:lang w:val="fr-CA"/>
        </w:rPr>
        <w:t>Gascon</w:t>
      </w:r>
    </w:p>
    <w:p w:rsidR="00CB3520" w:rsidRPr="00C50A5C" w:rsidRDefault="00CB3520" w:rsidP="00CB3520">
      <w:pPr>
        <w:widowControl w:val="0"/>
        <w:rPr>
          <w:sz w:val="20"/>
          <w:szCs w:val="20"/>
          <w:lang w:val="fr-CA"/>
        </w:rPr>
      </w:pPr>
    </w:p>
    <w:p w:rsidR="00CB3520" w:rsidRPr="00204D62" w:rsidRDefault="00204D62" w:rsidP="00204D62">
      <w:pPr>
        <w:pStyle w:val="ListParagraph"/>
        <w:widowControl w:val="0"/>
        <w:numPr>
          <w:ilvl w:val="0"/>
          <w:numId w:val="1"/>
        </w:numPr>
        <w:ind w:hanging="720"/>
        <w:jc w:val="both"/>
        <w:rPr>
          <w:sz w:val="20"/>
          <w:szCs w:val="20"/>
        </w:rPr>
      </w:pPr>
      <w:r w:rsidRPr="00204D62">
        <w:rPr>
          <w:i/>
          <w:sz w:val="20"/>
          <w:szCs w:val="20"/>
        </w:rPr>
        <w:t>Karl-Heinz Arthur Lilgert v. Her Majesty the Queen</w:t>
      </w:r>
      <w:r w:rsidRPr="00204D62">
        <w:rPr>
          <w:sz w:val="20"/>
          <w:szCs w:val="20"/>
        </w:rPr>
        <w:t xml:space="preserve"> (B.C.) (Crim</w:t>
      </w:r>
      <w:r>
        <w:rPr>
          <w:sz w:val="20"/>
          <w:szCs w:val="20"/>
        </w:rPr>
        <w:t>.</w:t>
      </w:r>
      <w:r w:rsidRPr="00204D62">
        <w:rPr>
          <w:sz w:val="20"/>
          <w:szCs w:val="20"/>
        </w:rPr>
        <w:t>) (By Leave)</w:t>
      </w:r>
      <w:r>
        <w:rPr>
          <w:sz w:val="20"/>
          <w:szCs w:val="20"/>
        </w:rPr>
        <w:t xml:space="preserve"> (</w:t>
      </w:r>
      <w:r w:rsidRPr="00204D62">
        <w:rPr>
          <w:sz w:val="20"/>
          <w:szCs w:val="20"/>
        </w:rPr>
        <w:t>36287</w:t>
      </w:r>
      <w:r>
        <w:rPr>
          <w:sz w:val="20"/>
          <w:szCs w:val="20"/>
        </w:rPr>
        <w:t>)</w:t>
      </w:r>
    </w:p>
    <w:p w:rsidR="00CB3520" w:rsidRPr="00C50A5C" w:rsidRDefault="00CB3520" w:rsidP="00CB3520">
      <w:pPr>
        <w:widowControl w:val="0"/>
        <w:jc w:val="both"/>
        <w:rPr>
          <w:sz w:val="20"/>
          <w:szCs w:val="20"/>
        </w:rPr>
      </w:pPr>
    </w:p>
    <w:p w:rsidR="00CB3520" w:rsidRPr="00204D62" w:rsidRDefault="00204D62" w:rsidP="00204D62">
      <w:pPr>
        <w:pStyle w:val="ListParagraph"/>
        <w:widowControl w:val="0"/>
        <w:numPr>
          <w:ilvl w:val="0"/>
          <w:numId w:val="1"/>
        </w:numPr>
        <w:ind w:hanging="720"/>
        <w:jc w:val="both"/>
        <w:rPr>
          <w:sz w:val="20"/>
          <w:szCs w:val="20"/>
        </w:rPr>
      </w:pPr>
      <w:r w:rsidRPr="00204D62">
        <w:rPr>
          <w:i/>
          <w:sz w:val="20"/>
          <w:szCs w:val="20"/>
        </w:rPr>
        <w:t>Robert Warren Joseph Taylor v. Murray Summerville</w:t>
      </w:r>
      <w:r w:rsidR="00A75FA9">
        <w:rPr>
          <w:i/>
          <w:sz w:val="20"/>
          <w:szCs w:val="20"/>
        </w:rPr>
        <w:t xml:space="preserve"> </w:t>
      </w:r>
      <w:r w:rsidRPr="00B017E6">
        <w:rPr>
          <w:i/>
          <w:sz w:val="20"/>
          <w:szCs w:val="20"/>
          <w:lang w:val="en-US"/>
        </w:rPr>
        <w:t xml:space="preserve">et al. </w:t>
      </w:r>
      <w:r w:rsidRPr="00204D62">
        <w:rPr>
          <w:sz w:val="20"/>
          <w:szCs w:val="20"/>
        </w:rPr>
        <w:t>(Ont.) (Civil) (By Leave) (36273)</w:t>
      </w:r>
    </w:p>
    <w:p w:rsidR="00CB3520" w:rsidRPr="00C612D0" w:rsidRDefault="00CB3520" w:rsidP="00CB3520">
      <w:pPr>
        <w:widowControl w:val="0"/>
        <w:jc w:val="both"/>
        <w:rPr>
          <w:sz w:val="20"/>
          <w:szCs w:val="20"/>
        </w:rPr>
      </w:pPr>
    </w:p>
    <w:p w:rsidR="00CB3520" w:rsidRPr="009C5D38" w:rsidRDefault="00CB3520" w:rsidP="00CB3520">
      <w:pPr>
        <w:widowControl w:val="0"/>
        <w:rPr>
          <w:sz w:val="20"/>
          <w:szCs w:val="20"/>
        </w:rPr>
      </w:pPr>
    </w:p>
    <w:p w:rsidR="00CB3520" w:rsidRPr="00C50A5C" w:rsidRDefault="00CB3520" w:rsidP="00CB3520">
      <w:pPr>
        <w:widowControl w:val="0"/>
        <w:jc w:val="center"/>
        <w:rPr>
          <w:b/>
          <w:sz w:val="20"/>
          <w:szCs w:val="20"/>
        </w:rPr>
      </w:pPr>
      <w:r w:rsidRPr="00C50A5C">
        <w:rPr>
          <w:b/>
          <w:sz w:val="20"/>
          <w:szCs w:val="20"/>
        </w:rPr>
        <w:t xml:space="preserve">CORAM: </w:t>
      </w:r>
      <w:r w:rsidR="00FA3373">
        <w:rPr>
          <w:b/>
          <w:sz w:val="20"/>
          <w:szCs w:val="20"/>
        </w:rPr>
        <w:t>Abella</w:t>
      </w:r>
      <w:r w:rsidRPr="00C50A5C">
        <w:rPr>
          <w:b/>
          <w:sz w:val="20"/>
          <w:szCs w:val="20"/>
        </w:rPr>
        <w:t xml:space="preserve">, </w:t>
      </w:r>
      <w:r>
        <w:rPr>
          <w:b/>
          <w:sz w:val="20"/>
          <w:szCs w:val="20"/>
        </w:rPr>
        <w:t>Karakatsanis</w:t>
      </w:r>
      <w:r w:rsidRPr="00C50A5C">
        <w:rPr>
          <w:b/>
          <w:sz w:val="20"/>
          <w:szCs w:val="20"/>
        </w:rPr>
        <w:t xml:space="preserve"> and </w:t>
      </w:r>
      <w:r w:rsidR="00FA3373">
        <w:rPr>
          <w:b/>
          <w:sz w:val="20"/>
          <w:szCs w:val="20"/>
        </w:rPr>
        <w:t>Côté</w:t>
      </w:r>
      <w:r w:rsidRPr="00C50A5C">
        <w:rPr>
          <w:b/>
          <w:sz w:val="20"/>
          <w:szCs w:val="20"/>
        </w:rPr>
        <w:t xml:space="preserve"> 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FA3373">
        <w:rPr>
          <w:b/>
          <w:sz w:val="20"/>
          <w:szCs w:val="20"/>
          <w:lang w:val="fr-CA"/>
        </w:rPr>
        <w:t>Abella</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sidR="00FA3373">
        <w:rPr>
          <w:b/>
          <w:sz w:val="20"/>
          <w:szCs w:val="20"/>
          <w:lang w:val="fr-CA"/>
        </w:rPr>
        <w:t>Côté</w:t>
      </w:r>
    </w:p>
    <w:p w:rsidR="00CB3520" w:rsidRPr="00C16CB3" w:rsidRDefault="00CB3520" w:rsidP="00CB3520">
      <w:pPr>
        <w:widowControl w:val="0"/>
        <w:jc w:val="both"/>
        <w:rPr>
          <w:sz w:val="20"/>
          <w:szCs w:val="20"/>
          <w:lang w:val="fr-CA"/>
        </w:rPr>
      </w:pPr>
    </w:p>
    <w:p w:rsidR="00CB3520" w:rsidRPr="005D13F2" w:rsidRDefault="005D13F2" w:rsidP="00204D62">
      <w:pPr>
        <w:pStyle w:val="ListParagraph"/>
        <w:widowControl w:val="0"/>
        <w:numPr>
          <w:ilvl w:val="0"/>
          <w:numId w:val="1"/>
        </w:numPr>
        <w:ind w:hanging="720"/>
        <w:jc w:val="both"/>
        <w:rPr>
          <w:sz w:val="20"/>
          <w:szCs w:val="20"/>
          <w:lang w:val="en-US"/>
        </w:rPr>
      </w:pPr>
      <w:r>
        <w:rPr>
          <w:i/>
          <w:sz w:val="20"/>
          <w:szCs w:val="20"/>
        </w:rPr>
        <w:t>Chung Jin Park v. Her Majesty t</w:t>
      </w:r>
      <w:r w:rsidR="00204D62" w:rsidRPr="00204D62">
        <w:rPr>
          <w:i/>
          <w:sz w:val="20"/>
          <w:szCs w:val="20"/>
        </w:rPr>
        <w:t xml:space="preserve">he Queen </w:t>
      </w:r>
      <w:r w:rsidR="00204D62" w:rsidRPr="00204D62">
        <w:rPr>
          <w:sz w:val="20"/>
          <w:szCs w:val="20"/>
        </w:rPr>
        <w:t>(Ont.) (Crim</w:t>
      </w:r>
      <w:r w:rsidR="00204D62">
        <w:rPr>
          <w:sz w:val="20"/>
          <w:szCs w:val="20"/>
        </w:rPr>
        <w:t>.</w:t>
      </w:r>
      <w:r w:rsidR="00204D62" w:rsidRPr="00204D62">
        <w:rPr>
          <w:sz w:val="20"/>
          <w:szCs w:val="20"/>
        </w:rPr>
        <w:t>) (By Leave) (36330)</w:t>
      </w:r>
    </w:p>
    <w:p w:rsidR="00204D62" w:rsidRPr="005D13F2" w:rsidRDefault="00204D62" w:rsidP="00204D62">
      <w:pPr>
        <w:pStyle w:val="ListParagraph"/>
        <w:widowControl w:val="0"/>
        <w:ind w:left="0"/>
        <w:rPr>
          <w:sz w:val="20"/>
          <w:szCs w:val="20"/>
          <w:lang w:val="en-US"/>
        </w:rPr>
      </w:pPr>
    </w:p>
    <w:p w:rsidR="00CB3520" w:rsidRPr="00204D62" w:rsidRDefault="00204D62" w:rsidP="00204D62">
      <w:pPr>
        <w:pStyle w:val="ListParagraph"/>
        <w:widowControl w:val="0"/>
        <w:numPr>
          <w:ilvl w:val="0"/>
          <w:numId w:val="1"/>
        </w:numPr>
        <w:ind w:hanging="720"/>
        <w:jc w:val="both"/>
        <w:rPr>
          <w:sz w:val="20"/>
          <w:szCs w:val="20"/>
          <w:lang w:val="en-US"/>
        </w:rPr>
      </w:pPr>
      <w:r w:rsidRPr="00204D62">
        <w:rPr>
          <w:i/>
          <w:sz w:val="20"/>
          <w:szCs w:val="20"/>
          <w:lang w:val="en-US"/>
        </w:rPr>
        <w:t>EllisDon Corporation v. Ontario Sheet Metal Workers’ and Roofers’ Conference and International Brotherhood of Electrical Workers, Local 586 et al.</w:t>
      </w:r>
      <w:r w:rsidRPr="00204D62">
        <w:rPr>
          <w:sz w:val="20"/>
          <w:szCs w:val="20"/>
          <w:lang w:val="en-US"/>
        </w:rPr>
        <w:t xml:space="preserve"> (Ont.) (Civil) (By Leave) (36256)</w:t>
      </w:r>
    </w:p>
    <w:p w:rsidR="00CB3520" w:rsidRPr="00204D62" w:rsidRDefault="00CB3520" w:rsidP="00CB3520">
      <w:pPr>
        <w:widowControl w:val="0"/>
        <w:jc w:val="both"/>
        <w:rPr>
          <w:sz w:val="20"/>
          <w:szCs w:val="20"/>
          <w:lang w:val="en-US"/>
        </w:rPr>
      </w:pPr>
    </w:p>
    <w:p w:rsidR="00CB3520" w:rsidRPr="00087492" w:rsidRDefault="00087492" w:rsidP="00087492">
      <w:pPr>
        <w:pStyle w:val="ListParagraph"/>
        <w:widowControl w:val="0"/>
        <w:numPr>
          <w:ilvl w:val="0"/>
          <w:numId w:val="1"/>
        </w:numPr>
        <w:ind w:hanging="720"/>
        <w:jc w:val="both"/>
        <w:rPr>
          <w:sz w:val="20"/>
          <w:szCs w:val="20"/>
          <w:lang w:val="en-US"/>
        </w:rPr>
      </w:pPr>
      <w:r w:rsidRPr="00087492">
        <w:rPr>
          <w:i/>
          <w:sz w:val="20"/>
          <w:szCs w:val="20"/>
          <w:lang w:val="en-US"/>
        </w:rPr>
        <w:t>Rajinder Dheensaw v. Saanich Police Department, Chief Constable Michael Chadwick et al.</w:t>
      </w:r>
      <w:r w:rsidRPr="00087492">
        <w:rPr>
          <w:sz w:val="20"/>
          <w:szCs w:val="20"/>
          <w:lang w:val="en-US"/>
        </w:rPr>
        <w:t xml:space="preserve"> (B.C.) (Civil) (By Leave) </w:t>
      </w:r>
      <w:r>
        <w:rPr>
          <w:sz w:val="20"/>
          <w:szCs w:val="20"/>
          <w:lang w:val="en-US"/>
        </w:rPr>
        <w:t>(</w:t>
      </w:r>
      <w:r w:rsidRPr="00087492">
        <w:rPr>
          <w:sz w:val="20"/>
          <w:szCs w:val="20"/>
          <w:lang w:val="en-US"/>
        </w:rPr>
        <w:t>36322)</w:t>
      </w:r>
    </w:p>
    <w:p w:rsidR="00CB3520" w:rsidRPr="00087492" w:rsidRDefault="00CB3520" w:rsidP="00CB3520">
      <w:pPr>
        <w:widowControl w:val="0"/>
        <w:rPr>
          <w:sz w:val="20"/>
          <w:szCs w:val="20"/>
          <w:lang w:val="en-US"/>
        </w:rPr>
      </w:pPr>
    </w:p>
    <w:p w:rsidR="00CB3520" w:rsidRDefault="00CB3520" w:rsidP="00CB3520">
      <w:pPr>
        <w:widowControl w:val="0"/>
        <w:jc w:val="both"/>
        <w:rPr>
          <w:sz w:val="20"/>
          <w:szCs w:val="20"/>
        </w:rPr>
      </w:pPr>
    </w:p>
    <w:p w:rsidR="00CB3520" w:rsidRPr="00C50A5C" w:rsidRDefault="00CB3520" w:rsidP="00CB3520">
      <w:pPr>
        <w:widowControl w:val="0"/>
        <w:jc w:val="center"/>
        <w:rPr>
          <w:b/>
          <w:sz w:val="20"/>
          <w:szCs w:val="20"/>
        </w:rPr>
      </w:pPr>
      <w:r w:rsidRPr="00C50A5C">
        <w:rPr>
          <w:b/>
          <w:sz w:val="20"/>
          <w:szCs w:val="20"/>
        </w:rPr>
        <w:t xml:space="preserve">CORAM: </w:t>
      </w:r>
      <w:r w:rsidR="00FA3373">
        <w:rPr>
          <w:b/>
          <w:sz w:val="20"/>
          <w:szCs w:val="20"/>
        </w:rPr>
        <w:t>Rothstein</w:t>
      </w:r>
      <w:r>
        <w:rPr>
          <w:b/>
          <w:sz w:val="20"/>
          <w:szCs w:val="20"/>
        </w:rPr>
        <w:t>,</w:t>
      </w:r>
      <w:r w:rsidRPr="00C50A5C">
        <w:rPr>
          <w:b/>
          <w:sz w:val="20"/>
          <w:szCs w:val="20"/>
        </w:rPr>
        <w:t xml:space="preserve"> </w:t>
      </w:r>
      <w:r w:rsidR="00FA3373">
        <w:rPr>
          <w:b/>
          <w:sz w:val="20"/>
          <w:szCs w:val="20"/>
        </w:rPr>
        <w:t xml:space="preserve">Cromwell </w:t>
      </w:r>
      <w:r w:rsidRPr="00C50A5C">
        <w:rPr>
          <w:b/>
          <w:sz w:val="20"/>
          <w:szCs w:val="20"/>
        </w:rPr>
        <w:t xml:space="preserve">and </w:t>
      </w:r>
      <w:r>
        <w:rPr>
          <w:b/>
          <w:sz w:val="20"/>
          <w:szCs w:val="20"/>
        </w:rPr>
        <w:t>Moldaver</w:t>
      </w:r>
      <w:r w:rsidRPr="00C50A5C">
        <w:rPr>
          <w:b/>
          <w:sz w:val="20"/>
          <w:szCs w:val="20"/>
        </w:rPr>
        <w:t xml:space="preserve"> 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FA3373">
        <w:rPr>
          <w:b/>
          <w:sz w:val="20"/>
          <w:szCs w:val="20"/>
          <w:lang w:val="fr-CA"/>
        </w:rPr>
        <w:t>Rothstein</w:t>
      </w:r>
      <w:r w:rsidRPr="00C50A5C">
        <w:rPr>
          <w:b/>
          <w:sz w:val="20"/>
          <w:szCs w:val="20"/>
          <w:lang w:val="fr-CA"/>
        </w:rPr>
        <w:t xml:space="preserve">, </w:t>
      </w:r>
      <w:r w:rsidR="00FA3373">
        <w:rPr>
          <w:b/>
          <w:sz w:val="20"/>
          <w:szCs w:val="20"/>
          <w:lang w:val="fr-CA"/>
        </w:rPr>
        <w:t xml:space="preserve">Cromwell </w:t>
      </w:r>
      <w:r w:rsidRPr="00C50A5C">
        <w:rPr>
          <w:b/>
          <w:sz w:val="20"/>
          <w:szCs w:val="20"/>
          <w:lang w:val="fr-CA"/>
        </w:rPr>
        <w:t xml:space="preserve">et </w:t>
      </w:r>
      <w:r>
        <w:rPr>
          <w:b/>
          <w:sz w:val="20"/>
          <w:szCs w:val="20"/>
          <w:lang w:val="fr-CA"/>
        </w:rPr>
        <w:t>Moldaver</w:t>
      </w:r>
    </w:p>
    <w:p w:rsidR="00CB3520" w:rsidRPr="00A8251C" w:rsidRDefault="00CB3520" w:rsidP="00CB3520">
      <w:pPr>
        <w:widowControl w:val="0"/>
        <w:jc w:val="both"/>
        <w:rPr>
          <w:sz w:val="20"/>
          <w:szCs w:val="20"/>
          <w:lang w:val="fr-CA"/>
        </w:rPr>
      </w:pPr>
    </w:p>
    <w:p w:rsidR="00CB3520" w:rsidRPr="00087492" w:rsidRDefault="00087492" w:rsidP="00087492">
      <w:pPr>
        <w:pStyle w:val="ListParagraph"/>
        <w:widowControl w:val="0"/>
        <w:numPr>
          <w:ilvl w:val="0"/>
          <w:numId w:val="1"/>
        </w:numPr>
        <w:ind w:hanging="720"/>
        <w:jc w:val="both"/>
        <w:rPr>
          <w:sz w:val="20"/>
          <w:szCs w:val="20"/>
        </w:rPr>
      </w:pPr>
      <w:r w:rsidRPr="00087492">
        <w:rPr>
          <w:i/>
          <w:sz w:val="20"/>
          <w:szCs w:val="20"/>
        </w:rPr>
        <w:t xml:space="preserve">Diana Zabanah v. </w:t>
      </w:r>
      <w:r>
        <w:rPr>
          <w:i/>
          <w:sz w:val="20"/>
          <w:szCs w:val="20"/>
        </w:rPr>
        <w:t>Capital Direct Lending Corp.</w:t>
      </w:r>
      <w:r w:rsidRPr="00087492">
        <w:rPr>
          <w:i/>
          <w:sz w:val="20"/>
          <w:szCs w:val="20"/>
        </w:rPr>
        <w:t xml:space="preserve"> et al. </w:t>
      </w:r>
      <w:r w:rsidRPr="00087492">
        <w:rPr>
          <w:sz w:val="20"/>
          <w:szCs w:val="20"/>
        </w:rPr>
        <w:t>(Ont.) (Civil) (By Leave)</w:t>
      </w:r>
      <w:r>
        <w:rPr>
          <w:sz w:val="20"/>
          <w:szCs w:val="20"/>
        </w:rPr>
        <w:t xml:space="preserve"> (</w:t>
      </w:r>
      <w:r w:rsidRPr="00087492">
        <w:rPr>
          <w:sz w:val="20"/>
          <w:szCs w:val="20"/>
        </w:rPr>
        <w:t>36276</w:t>
      </w:r>
      <w:r>
        <w:rPr>
          <w:sz w:val="20"/>
          <w:szCs w:val="20"/>
        </w:rPr>
        <w:t>)</w:t>
      </w:r>
    </w:p>
    <w:p w:rsidR="00CB3520" w:rsidRPr="00115C9E" w:rsidRDefault="00CB3520" w:rsidP="00CB3520">
      <w:pPr>
        <w:widowControl w:val="0"/>
        <w:jc w:val="both"/>
        <w:rPr>
          <w:sz w:val="20"/>
          <w:szCs w:val="20"/>
        </w:rPr>
      </w:pPr>
    </w:p>
    <w:p w:rsidR="00CB3520" w:rsidRPr="00087492" w:rsidRDefault="00087492" w:rsidP="00087492">
      <w:pPr>
        <w:pStyle w:val="ListParagraph"/>
        <w:widowControl w:val="0"/>
        <w:numPr>
          <w:ilvl w:val="0"/>
          <w:numId w:val="1"/>
        </w:numPr>
        <w:ind w:hanging="720"/>
        <w:jc w:val="both"/>
        <w:rPr>
          <w:sz w:val="20"/>
          <w:szCs w:val="20"/>
        </w:rPr>
      </w:pPr>
      <w:r w:rsidRPr="00087492">
        <w:rPr>
          <w:i/>
          <w:sz w:val="20"/>
          <w:szCs w:val="20"/>
        </w:rPr>
        <w:t>Haruyo Taucar v. H</w:t>
      </w:r>
      <w:r>
        <w:rPr>
          <w:i/>
          <w:sz w:val="20"/>
          <w:szCs w:val="20"/>
        </w:rPr>
        <w:t>uman Rights Tribunal of Ontario</w:t>
      </w:r>
      <w:r w:rsidRPr="00087492">
        <w:rPr>
          <w:i/>
          <w:sz w:val="20"/>
          <w:szCs w:val="20"/>
        </w:rPr>
        <w:t xml:space="preserve"> et al.</w:t>
      </w:r>
      <w:r w:rsidRPr="00087492">
        <w:rPr>
          <w:sz w:val="20"/>
          <w:szCs w:val="20"/>
        </w:rPr>
        <w:t xml:space="preserve"> (Ont.) (Civil) (By Leave)</w:t>
      </w:r>
      <w:r>
        <w:rPr>
          <w:sz w:val="20"/>
          <w:szCs w:val="20"/>
        </w:rPr>
        <w:t xml:space="preserve"> (</w:t>
      </w:r>
      <w:r w:rsidRPr="00087492">
        <w:rPr>
          <w:sz w:val="20"/>
          <w:szCs w:val="20"/>
        </w:rPr>
        <w:t>36268</w:t>
      </w:r>
      <w:r>
        <w:rPr>
          <w:sz w:val="20"/>
          <w:szCs w:val="20"/>
        </w:rPr>
        <w:t>)</w:t>
      </w:r>
    </w:p>
    <w:p w:rsidR="00CB3520" w:rsidRPr="009C5D38" w:rsidRDefault="00CB3520" w:rsidP="00CB3520">
      <w:pPr>
        <w:widowControl w:val="0"/>
        <w:rPr>
          <w:i/>
          <w:sz w:val="20"/>
          <w:szCs w:val="20"/>
        </w:rPr>
      </w:pPr>
    </w:p>
    <w:p w:rsidR="002E2327" w:rsidRDefault="00417673" w:rsidP="002E2327">
      <w:pPr>
        <w:widowControl w:val="0"/>
        <w:rPr>
          <w:sz w:val="20"/>
          <w:szCs w:val="20"/>
        </w:rPr>
      </w:pPr>
      <w:r>
        <w:rPr>
          <w:sz w:val="20"/>
          <w:szCs w:val="20"/>
        </w:rPr>
        <w:pict>
          <v:rect id="_x0000_i1039" style="width:2in;height:1pt" o:hrpct="0" o:hralign="center" o:hrstd="t" o:hrnoshade="t" o:hr="t" fillcolor="black [3213]" stroked="f"/>
        </w:pict>
      </w:r>
    </w:p>
    <w:p w:rsidR="00D94028" w:rsidRDefault="00D94028" w:rsidP="002E2327">
      <w:pPr>
        <w:widowControl w:val="0"/>
        <w:rPr>
          <w:sz w:val="20"/>
          <w:szCs w:val="20"/>
        </w:rPr>
      </w:pPr>
    </w:p>
    <w:p w:rsidR="00B017E6" w:rsidRPr="00C50A5C" w:rsidRDefault="00B017E6" w:rsidP="00B017E6">
      <w:pPr>
        <w:widowControl w:val="0"/>
        <w:rPr>
          <w:b/>
          <w:sz w:val="20"/>
          <w:szCs w:val="20"/>
        </w:rPr>
      </w:pPr>
      <w:r>
        <w:rPr>
          <w:b/>
          <w:sz w:val="20"/>
          <w:szCs w:val="20"/>
        </w:rPr>
        <w:t>APRIL 21</w:t>
      </w:r>
      <w:r w:rsidRPr="00C50A5C">
        <w:rPr>
          <w:b/>
          <w:sz w:val="20"/>
          <w:szCs w:val="20"/>
        </w:rPr>
        <w:t>, 201</w:t>
      </w:r>
      <w:r>
        <w:rPr>
          <w:b/>
          <w:sz w:val="20"/>
          <w:szCs w:val="20"/>
        </w:rPr>
        <w:t>5</w:t>
      </w:r>
      <w:r w:rsidRPr="00C50A5C">
        <w:rPr>
          <w:b/>
          <w:sz w:val="20"/>
          <w:szCs w:val="20"/>
        </w:rPr>
        <w:t xml:space="preserve"> / LE </w:t>
      </w:r>
      <w:r>
        <w:rPr>
          <w:b/>
          <w:sz w:val="20"/>
          <w:szCs w:val="20"/>
        </w:rPr>
        <w:t xml:space="preserve">21 AVRIL </w:t>
      </w:r>
      <w:r w:rsidRPr="00C50A5C">
        <w:rPr>
          <w:b/>
          <w:sz w:val="20"/>
          <w:szCs w:val="20"/>
        </w:rPr>
        <w:t>201</w:t>
      </w:r>
      <w:r>
        <w:rPr>
          <w:b/>
          <w:sz w:val="20"/>
          <w:szCs w:val="20"/>
        </w:rPr>
        <w:t>5</w:t>
      </w:r>
    </w:p>
    <w:p w:rsidR="00B017E6" w:rsidRPr="00C50A5C" w:rsidRDefault="00B017E6" w:rsidP="00B017E6">
      <w:pPr>
        <w:widowControl w:val="0"/>
        <w:rPr>
          <w:b/>
          <w:sz w:val="20"/>
          <w:szCs w:val="20"/>
        </w:rPr>
      </w:pPr>
    </w:p>
    <w:p w:rsidR="00B017E6" w:rsidRPr="00C50A5C" w:rsidRDefault="00B017E6" w:rsidP="00B017E6">
      <w:pPr>
        <w:widowControl w:val="0"/>
        <w:jc w:val="center"/>
        <w:rPr>
          <w:b/>
          <w:sz w:val="20"/>
          <w:szCs w:val="20"/>
        </w:rPr>
      </w:pPr>
      <w:r w:rsidRPr="00C50A5C">
        <w:rPr>
          <w:b/>
          <w:sz w:val="20"/>
          <w:szCs w:val="20"/>
        </w:rPr>
        <w:t xml:space="preserve">CORAM: </w:t>
      </w:r>
      <w:r>
        <w:rPr>
          <w:b/>
          <w:sz w:val="20"/>
          <w:szCs w:val="20"/>
        </w:rPr>
        <w:t>Rothstein,</w:t>
      </w:r>
      <w:r w:rsidRPr="00C50A5C">
        <w:rPr>
          <w:b/>
          <w:sz w:val="20"/>
          <w:szCs w:val="20"/>
        </w:rPr>
        <w:t xml:space="preserve"> </w:t>
      </w:r>
      <w:r>
        <w:rPr>
          <w:b/>
          <w:sz w:val="20"/>
          <w:szCs w:val="20"/>
        </w:rPr>
        <w:t xml:space="preserve">Cromwell </w:t>
      </w:r>
      <w:r w:rsidRPr="00C50A5C">
        <w:rPr>
          <w:b/>
          <w:sz w:val="20"/>
          <w:szCs w:val="20"/>
        </w:rPr>
        <w:t xml:space="preserve">and </w:t>
      </w:r>
      <w:r>
        <w:rPr>
          <w:b/>
          <w:sz w:val="20"/>
          <w:szCs w:val="20"/>
        </w:rPr>
        <w:t>Moldaver</w:t>
      </w:r>
      <w:r w:rsidRPr="00C50A5C">
        <w:rPr>
          <w:b/>
          <w:sz w:val="20"/>
          <w:szCs w:val="20"/>
        </w:rPr>
        <w:t xml:space="preserve"> JJ.</w:t>
      </w:r>
    </w:p>
    <w:p w:rsidR="00B017E6" w:rsidRPr="00C50A5C" w:rsidRDefault="00B017E6" w:rsidP="00B017E6">
      <w:pPr>
        <w:widowControl w:val="0"/>
        <w:jc w:val="center"/>
        <w:rPr>
          <w:b/>
          <w:sz w:val="20"/>
          <w:szCs w:val="20"/>
          <w:lang w:val="fr-CA"/>
        </w:rPr>
      </w:pPr>
      <w:r w:rsidRPr="00C50A5C">
        <w:rPr>
          <w:b/>
          <w:sz w:val="20"/>
          <w:szCs w:val="20"/>
          <w:lang w:val="fr-CA"/>
        </w:rPr>
        <w:t xml:space="preserve">Les juges </w:t>
      </w:r>
      <w:r>
        <w:rPr>
          <w:b/>
          <w:sz w:val="20"/>
          <w:szCs w:val="20"/>
          <w:lang w:val="fr-CA"/>
        </w:rPr>
        <w:t>Rothstein</w:t>
      </w:r>
      <w:r w:rsidRPr="00C50A5C">
        <w:rPr>
          <w:b/>
          <w:sz w:val="20"/>
          <w:szCs w:val="20"/>
          <w:lang w:val="fr-CA"/>
        </w:rPr>
        <w:t xml:space="preserve">, </w:t>
      </w:r>
      <w:r>
        <w:rPr>
          <w:b/>
          <w:sz w:val="20"/>
          <w:szCs w:val="20"/>
          <w:lang w:val="fr-CA"/>
        </w:rPr>
        <w:t xml:space="preserve">Cromwell </w:t>
      </w:r>
      <w:r w:rsidRPr="00C50A5C">
        <w:rPr>
          <w:b/>
          <w:sz w:val="20"/>
          <w:szCs w:val="20"/>
          <w:lang w:val="fr-CA"/>
        </w:rPr>
        <w:t xml:space="preserve">et </w:t>
      </w:r>
      <w:r>
        <w:rPr>
          <w:b/>
          <w:sz w:val="20"/>
          <w:szCs w:val="20"/>
          <w:lang w:val="fr-CA"/>
        </w:rPr>
        <w:t>Moldaver</w:t>
      </w:r>
    </w:p>
    <w:p w:rsidR="00B017E6" w:rsidRPr="00A8251C" w:rsidRDefault="00B017E6" w:rsidP="00B017E6">
      <w:pPr>
        <w:widowControl w:val="0"/>
        <w:jc w:val="both"/>
        <w:rPr>
          <w:sz w:val="20"/>
          <w:szCs w:val="20"/>
          <w:lang w:val="fr-CA"/>
        </w:rPr>
      </w:pPr>
    </w:p>
    <w:p w:rsidR="00B017E6" w:rsidRPr="00B017E6" w:rsidRDefault="00B017E6" w:rsidP="00B017E6">
      <w:pPr>
        <w:pStyle w:val="ListParagraph"/>
        <w:widowControl w:val="0"/>
        <w:numPr>
          <w:ilvl w:val="0"/>
          <w:numId w:val="25"/>
        </w:numPr>
        <w:ind w:hanging="720"/>
        <w:jc w:val="both"/>
        <w:rPr>
          <w:sz w:val="20"/>
          <w:szCs w:val="20"/>
        </w:rPr>
      </w:pPr>
      <w:r w:rsidRPr="000E24CB">
        <w:rPr>
          <w:i/>
          <w:sz w:val="20"/>
          <w:szCs w:val="20"/>
          <w:lang w:val="fr-CA"/>
        </w:rPr>
        <w:t xml:space="preserve">Francis Mazhero v. Andrew Fox et al. </w:t>
      </w:r>
      <w:r w:rsidRPr="00B017E6">
        <w:rPr>
          <w:sz w:val="20"/>
          <w:szCs w:val="20"/>
        </w:rPr>
        <w:t>(F</w:t>
      </w:r>
      <w:r>
        <w:rPr>
          <w:sz w:val="20"/>
          <w:szCs w:val="20"/>
        </w:rPr>
        <w:t>.</w:t>
      </w:r>
      <w:r w:rsidRPr="00B017E6">
        <w:rPr>
          <w:sz w:val="20"/>
          <w:szCs w:val="20"/>
        </w:rPr>
        <w:t>C</w:t>
      </w:r>
      <w:r>
        <w:rPr>
          <w:sz w:val="20"/>
          <w:szCs w:val="20"/>
        </w:rPr>
        <w:t>.</w:t>
      </w:r>
      <w:r w:rsidRPr="00B017E6">
        <w:rPr>
          <w:sz w:val="20"/>
          <w:szCs w:val="20"/>
        </w:rPr>
        <w:t>) (Civil) (By Leave)</w:t>
      </w:r>
      <w:r>
        <w:rPr>
          <w:sz w:val="20"/>
          <w:szCs w:val="20"/>
        </w:rPr>
        <w:t xml:space="preserve"> (</w:t>
      </w:r>
      <w:r w:rsidRPr="00B017E6">
        <w:rPr>
          <w:sz w:val="20"/>
          <w:szCs w:val="20"/>
        </w:rPr>
        <w:t>36184</w:t>
      </w:r>
      <w:r>
        <w:rPr>
          <w:sz w:val="20"/>
          <w:szCs w:val="20"/>
        </w:rPr>
        <w:t>)</w:t>
      </w:r>
    </w:p>
    <w:p w:rsidR="00B017E6" w:rsidRPr="00115C9E" w:rsidRDefault="00B017E6" w:rsidP="00B017E6">
      <w:pPr>
        <w:widowControl w:val="0"/>
        <w:jc w:val="both"/>
        <w:rPr>
          <w:sz w:val="20"/>
          <w:szCs w:val="20"/>
        </w:rPr>
      </w:pPr>
    </w:p>
    <w:p w:rsidR="00B017E6" w:rsidRDefault="00B017E6" w:rsidP="002E2327">
      <w:pPr>
        <w:widowControl w:val="0"/>
        <w:rPr>
          <w:sz w:val="20"/>
          <w:szCs w:val="20"/>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44776A" w:rsidRPr="001D0D5F" w:rsidTr="00BA6468">
        <w:tc>
          <w:tcPr>
            <w:tcW w:w="4200" w:type="dxa"/>
            <w:shd w:val="clear" w:color="auto" w:fill="auto"/>
            <w:tcMar>
              <w:left w:w="0" w:type="dxa"/>
              <w:right w:w="0" w:type="dxa"/>
            </w:tcMar>
          </w:tcPr>
          <w:p w:rsidR="0044776A" w:rsidRPr="001D0D5F" w:rsidRDefault="0044776A" w:rsidP="0044776A">
            <w:pPr>
              <w:keepNext/>
              <w:keepLines/>
              <w:jc w:val="both"/>
              <w:rPr>
                <w:b/>
                <w:szCs w:val="24"/>
              </w:rPr>
            </w:pPr>
            <w:bookmarkStart w:id="1" w:name="QuickMark_1"/>
            <w:bookmarkEnd w:id="1"/>
            <w:r w:rsidRPr="001D0D5F">
              <w:rPr>
                <w:b/>
                <w:szCs w:val="24"/>
              </w:rPr>
              <w:lastRenderedPageBreak/>
              <w:t>ORAL HEARING ORDERED</w:t>
            </w:r>
          </w:p>
        </w:tc>
        <w:tc>
          <w:tcPr>
            <w:tcW w:w="1200" w:type="dxa"/>
            <w:shd w:val="clear" w:color="auto" w:fill="auto"/>
            <w:tcMar>
              <w:left w:w="0" w:type="dxa"/>
              <w:right w:w="0" w:type="dxa"/>
            </w:tcMar>
          </w:tcPr>
          <w:p w:rsidR="0044776A" w:rsidRPr="001D0D5F" w:rsidRDefault="0044776A" w:rsidP="0044776A">
            <w:pPr>
              <w:keepNext/>
              <w:keepLines/>
              <w:jc w:val="center"/>
              <w:rPr>
                <w:b/>
                <w:szCs w:val="24"/>
              </w:rPr>
            </w:pPr>
          </w:p>
          <w:p w:rsidR="0044776A" w:rsidRPr="001D0D5F" w:rsidRDefault="0044776A" w:rsidP="0044776A">
            <w:pPr>
              <w:keepNext/>
              <w:keepLines/>
              <w:jc w:val="center"/>
              <w:rPr>
                <w:b/>
                <w:szCs w:val="24"/>
              </w:rPr>
            </w:pPr>
          </w:p>
        </w:tc>
        <w:tc>
          <w:tcPr>
            <w:tcW w:w="4230" w:type="dxa"/>
            <w:shd w:val="clear" w:color="auto" w:fill="auto"/>
            <w:tcMar>
              <w:left w:w="0" w:type="dxa"/>
              <w:right w:w="0" w:type="dxa"/>
            </w:tcMar>
          </w:tcPr>
          <w:p w:rsidR="0044776A" w:rsidRPr="00B017E6" w:rsidRDefault="0044776A" w:rsidP="0044776A">
            <w:pPr>
              <w:keepLines/>
              <w:rPr>
                <w:szCs w:val="24"/>
                <w:lang w:val="en-US"/>
              </w:rPr>
            </w:pPr>
            <w:r w:rsidRPr="00B017E6">
              <w:rPr>
                <w:b/>
                <w:szCs w:val="24"/>
                <w:lang w:val="en-US"/>
              </w:rPr>
              <w:t>AUDIENCE ORDONNÉE</w:t>
            </w:r>
            <w:r w:rsidRPr="00B017E6">
              <w:rPr>
                <w:szCs w:val="24"/>
                <w:lang w:val="en-US"/>
              </w:rPr>
              <w:t xml:space="preserve"> </w:t>
            </w:r>
          </w:p>
        </w:tc>
      </w:tr>
    </w:tbl>
    <w:p w:rsidR="00A935AA" w:rsidRDefault="00A935AA" w:rsidP="0044776A">
      <w:pPr>
        <w:rPr>
          <w:b/>
          <w:sz w:val="20"/>
          <w:szCs w:val="20"/>
        </w:rPr>
      </w:pPr>
    </w:p>
    <w:p w:rsidR="001B157C" w:rsidRPr="00B017E6" w:rsidRDefault="00E52E9E" w:rsidP="001B157C">
      <w:pPr>
        <w:rPr>
          <w:b/>
          <w:sz w:val="20"/>
          <w:szCs w:val="20"/>
          <w:lang w:val="en-US"/>
        </w:rPr>
      </w:pPr>
      <w:r>
        <w:rPr>
          <w:b/>
          <w:sz w:val="20"/>
          <w:szCs w:val="20"/>
          <w:lang w:val="en-US"/>
        </w:rPr>
        <w:t>APRIL</w:t>
      </w:r>
      <w:r w:rsidR="001B157C" w:rsidRPr="00B017E6">
        <w:rPr>
          <w:b/>
          <w:sz w:val="20"/>
          <w:szCs w:val="20"/>
          <w:lang w:val="en-US"/>
        </w:rPr>
        <w:t xml:space="preserve"> 2</w:t>
      </w:r>
      <w:r>
        <w:rPr>
          <w:b/>
          <w:sz w:val="20"/>
          <w:szCs w:val="20"/>
          <w:lang w:val="en-US"/>
        </w:rPr>
        <w:t>3</w:t>
      </w:r>
      <w:r w:rsidR="001B157C" w:rsidRPr="00B017E6">
        <w:rPr>
          <w:b/>
          <w:sz w:val="20"/>
          <w:szCs w:val="20"/>
          <w:lang w:val="en-US"/>
        </w:rPr>
        <w:t>, 201</w:t>
      </w:r>
      <w:r>
        <w:rPr>
          <w:b/>
          <w:sz w:val="20"/>
          <w:szCs w:val="20"/>
          <w:lang w:val="en-US"/>
        </w:rPr>
        <w:t>5 / LE 23</w:t>
      </w:r>
      <w:r w:rsidR="001B157C" w:rsidRPr="00B017E6">
        <w:rPr>
          <w:b/>
          <w:sz w:val="20"/>
          <w:szCs w:val="20"/>
          <w:lang w:val="en-US"/>
        </w:rPr>
        <w:t xml:space="preserve"> </w:t>
      </w:r>
      <w:r>
        <w:rPr>
          <w:b/>
          <w:sz w:val="20"/>
          <w:szCs w:val="20"/>
          <w:lang w:val="en-US"/>
        </w:rPr>
        <w:t xml:space="preserve">AVRIL </w:t>
      </w:r>
      <w:r w:rsidR="001B157C" w:rsidRPr="00B017E6">
        <w:rPr>
          <w:b/>
          <w:sz w:val="20"/>
          <w:szCs w:val="20"/>
          <w:lang w:val="en-US"/>
        </w:rPr>
        <w:t>201</w:t>
      </w:r>
      <w:r>
        <w:rPr>
          <w:b/>
          <w:sz w:val="20"/>
          <w:szCs w:val="20"/>
          <w:lang w:val="en-US"/>
        </w:rPr>
        <w:t>5</w:t>
      </w:r>
    </w:p>
    <w:p w:rsidR="001B157C" w:rsidRPr="00B017E6" w:rsidRDefault="001B157C" w:rsidP="001B157C">
      <w:pPr>
        <w:rPr>
          <w:sz w:val="20"/>
          <w:szCs w:val="20"/>
          <w:lang w:val="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B157C" w:rsidRPr="00DD16F6" w:rsidTr="002A4AFA">
        <w:trPr>
          <w:cantSplit/>
        </w:trPr>
        <w:tc>
          <w:tcPr>
            <w:tcW w:w="1458" w:type="dxa"/>
          </w:tcPr>
          <w:p w:rsidR="001B157C" w:rsidRPr="00DD16F6" w:rsidRDefault="001B157C" w:rsidP="002A4AFA">
            <w:pPr>
              <w:rPr>
                <w:rFonts w:cs="Times New Roman"/>
                <w:sz w:val="20"/>
                <w:szCs w:val="20"/>
              </w:rPr>
            </w:pPr>
            <w:r>
              <w:rPr>
                <w:rStyle w:val="SCCFileNumberChar"/>
                <w:sz w:val="20"/>
                <w:szCs w:val="20"/>
              </w:rPr>
              <w:t>3</w:t>
            </w:r>
            <w:r w:rsidR="00814E43">
              <w:rPr>
                <w:rStyle w:val="SCCFileNumberChar"/>
                <w:sz w:val="20"/>
                <w:szCs w:val="20"/>
              </w:rPr>
              <w:t>6223</w:t>
            </w:r>
          </w:p>
          <w:p w:rsidR="001B157C" w:rsidRPr="00B017E6" w:rsidRDefault="001B157C" w:rsidP="002A4AFA">
            <w:pPr>
              <w:rPr>
                <w:rFonts w:cs="Times New Roman"/>
                <w:b/>
                <w:sz w:val="20"/>
                <w:szCs w:val="20"/>
                <w:lang w:val="en-US"/>
              </w:rPr>
            </w:pPr>
          </w:p>
        </w:tc>
        <w:tc>
          <w:tcPr>
            <w:tcW w:w="8118" w:type="dxa"/>
          </w:tcPr>
          <w:p w:rsidR="001B157C" w:rsidRPr="00814E43" w:rsidRDefault="00814E43" w:rsidP="002A4AFA">
            <w:pPr>
              <w:jc w:val="both"/>
              <w:rPr>
                <w:rStyle w:val="SCCLsocChar"/>
                <w:rFonts w:cs="Times New Roman"/>
                <w:sz w:val="20"/>
                <w:szCs w:val="20"/>
                <w:lang w:val="en-US"/>
              </w:rPr>
            </w:pPr>
            <w:r w:rsidRPr="00814E43">
              <w:rPr>
                <w:rFonts w:eastAsia="Calibri"/>
                <w:b/>
                <w:sz w:val="20"/>
                <w:u w:val="single"/>
              </w:rPr>
              <w:t xml:space="preserve">Canadian Pacific Railway Company </w:t>
            </w:r>
            <w:r w:rsidR="001B157C" w:rsidRPr="005A0423">
              <w:rPr>
                <w:rFonts w:eastAsia="Calibri"/>
                <w:b/>
                <w:sz w:val="20"/>
                <w:u w:val="single"/>
              </w:rPr>
              <w:t xml:space="preserve">v. </w:t>
            </w:r>
            <w:r w:rsidRPr="00814E43">
              <w:rPr>
                <w:rFonts w:eastAsia="Calibri"/>
                <w:b/>
                <w:sz w:val="20"/>
                <w:u w:val="single"/>
              </w:rPr>
              <w:t>Attorney General of Canada and Canadian Transportation Agency</w:t>
            </w:r>
            <w:r w:rsidR="001B157C">
              <w:rPr>
                <w:rFonts w:eastAsia="Calibri"/>
                <w:b/>
                <w:sz w:val="20"/>
              </w:rPr>
              <w:t xml:space="preserve"> </w:t>
            </w:r>
            <w:r w:rsidR="001B157C" w:rsidRPr="00EA4785">
              <w:rPr>
                <w:rFonts w:eastAsia="Calibri"/>
                <w:sz w:val="20"/>
              </w:rPr>
              <w:t>(</w:t>
            </w:r>
            <w:r>
              <w:rPr>
                <w:rFonts w:eastAsia="Calibri"/>
                <w:sz w:val="20"/>
              </w:rPr>
              <w:t>F.C.</w:t>
            </w:r>
            <w:r w:rsidR="001B157C" w:rsidRPr="00EA4785">
              <w:rPr>
                <w:rFonts w:eastAsia="Calibri"/>
                <w:sz w:val="20"/>
              </w:rPr>
              <w:t>) (C</w:t>
            </w:r>
            <w:r>
              <w:rPr>
                <w:rFonts w:eastAsia="Calibri"/>
                <w:sz w:val="20"/>
              </w:rPr>
              <w:t>ivil</w:t>
            </w:r>
            <w:r w:rsidR="001B157C" w:rsidRPr="00EA4785">
              <w:rPr>
                <w:rFonts w:eastAsia="Calibri"/>
                <w:sz w:val="20"/>
              </w:rPr>
              <w:t>) (By Leave)</w:t>
            </w:r>
          </w:p>
          <w:p w:rsidR="001B157C" w:rsidRPr="00DD16F6" w:rsidRDefault="001B157C" w:rsidP="002A4AFA">
            <w:pPr>
              <w:rPr>
                <w:rFonts w:cs="Times New Roman"/>
                <w:sz w:val="20"/>
                <w:szCs w:val="20"/>
              </w:rPr>
            </w:pPr>
          </w:p>
        </w:tc>
      </w:tr>
      <w:tr w:rsidR="001B157C" w:rsidRPr="00DD16F6" w:rsidTr="002A4AFA">
        <w:trPr>
          <w:cantSplit/>
        </w:trPr>
        <w:tc>
          <w:tcPr>
            <w:tcW w:w="1458" w:type="dxa"/>
          </w:tcPr>
          <w:p w:rsidR="001B157C" w:rsidRPr="00DD16F6" w:rsidRDefault="001B157C" w:rsidP="002A4AFA">
            <w:pPr>
              <w:rPr>
                <w:rFonts w:cs="Times New Roman"/>
                <w:sz w:val="20"/>
                <w:szCs w:val="20"/>
              </w:rPr>
            </w:pPr>
            <w:r w:rsidRPr="00DD16F6">
              <w:rPr>
                <w:rFonts w:cs="Times New Roman"/>
                <w:sz w:val="20"/>
                <w:szCs w:val="20"/>
              </w:rPr>
              <w:t>Coram :</w:t>
            </w:r>
          </w:p>
        </w:tc>
        <w:tc>
          <w:tcPr>
            <w:tcW w:w="8118" w:type="dxa"/>
          </w:tcPr>
          <w:p w:rsidR="001B157C" w:rsidRPr="00DD16F6" w:rsidRDefault="001B157C" w:rsidP="002A4AFA">
            <w:pPr>
              <w:rPr>
                <w:rFonts w:cs="Times New Roman"/>
                <w:sz w:val="20"/>
                <w:szCs w:val="20"/>
              </w:rPr>
            </w:pPr>
            <w:r w:rsidRPr="001B157C">
              <w:rPr>
                <w:rStyle w:val="SCCCoramChar"/>
                <w:rFonts w:cs="Times New Roman"/>
                <w:sz w:val="20"/>
                <w:szCs w:val="20"/>
                <w:lang w:val="en-CA"/>
              </w:rPr>
              <w:t xml:space="preserve">McLachlin C.J. and </w:t>
            </w:r>
            <w:r w:rsidR="00814E43">
              <w:rPr>
                <w:rStyle w:val="SCCCoramChar"/>
                <w:rFonts w:cs="Times New Roman"/>
                <w:sz w:val="20"/>
                <w:szCs w:val="20"/>
                <w:lang w:val="en-CA"/>
              </w:rPr>
              <w:t>Wagner</w:t>
            </w:r>
            <w:r w:rsidRPr="001B157C">
              <w:rPr>
                <w:rStyle w:val="SCCCoramChar"/>
                <w:rFonts w:cs="Times New Roman"/>
                <w:sz w:val="20"/>
                <w:szCs w:val="20"/>
                <w:lang w:val="en-CA"/>
              </w:rPr>
              <w:t xml:space="preserve"> and </w:t>
            </w:r>
            <w:r w:rsidR="00814E43">
              <w:rPr>
                <w:rStyle w:val="SCCCoramChar"/>
                <w:rFonts w:cs="Times New Roman"/>
                <w:sz w:val="20"/>
                <w:szCs w:val="20"/>
                <w:lang w:val="en-CA"/>
              </w:rPr>
              <w:t>Gascon</w:t>
            </w:r>
            <w:r w:rsidRPr="001B157C">
              <w:rPr>
                <w:rStyle w:val="SCCCoramChar"/>
                <w:rFonts w:cs="Times New Roman"/>
                <w:sz w:val="20"/>
                <w:szCs w:val="20"/>
                <w:lang w:val="en-CA"/>
              </w:rPr>
              <w:t> JJ.</w:t>
            </w:r>
          </w:p>
          <w:p w:rsidR="001B157C" w:rsidRPr="00DD16F6" w:rsidRDefault="001B157C" w:rsidP="002A4AFA">
            <w:pPr>
              <w:rPr>
                <w:rFonts w:cs="Times New Roman"/>
                <w:sz w:val="20"/>
                <w:szCs w:val="20"/>
                <w:u w:val="single"/>
              </w:rPr>
            </w:pPr>
          </w:p>
        </w:tc>
      </w:tr>
      <w:tr w:rsidR="001B157C" w:rsidRPr="00814E43" w:rsidTr="002A4AFA">
        <w:trPr>
          <w:cantSplit/>
        </w:trPr>
        <w:tc>
          <w:tcPr>
            <w:tcW w:w="9576" w:type="dxa"/>
            <w:gridSpan w:val="2"/>
          </w:tcPr>
          <w:p w:rsidR="00814E43" w:rsidRDefault="00814E43" w:rsidP="00814E43">
            <w:pPr>
              <w:pStyle w:val="SCCShortJudgment"/>
              <w:rPr>
                <w:szCs w:val="20"/>
                <w:lang w:val="fr-CA"/>
              </w:rPr>
            </w:pPr>
            <w:r w:rsidRPr="00814E43">
              <w:rPr>
                <w:szCs w:val="20"/>
              </w:rPr>
              <w:t>An oral hearing of the application for leave to appeal is ordered in accordance with s. 43(1)(</w:t>
            </w:r>
            <w:r w:rsidRPr="00814E43">
              <w:rPr>
                <w:i/>
                <w:szCs w:val="20"/>
              </w:rPr>
              <w:t>c</w:t>
            </w:r>
            <w:r w:rsidRPr="00814E43">
              <w:rPr>
                <w:szCs w:val="20"/>
              </w:rPr>
              <w:t xml:space="preserve">) of the </w:t>
            </w:r>
            <w:r w:rsidRPr="00814E43">
              <w:rPr>
                <w:i/>
                <w:szCs w:val="20"/>
              </w:rPr>
              <w:t>Supreme Court Act</w:t>
            </w:r>
            <w:r w:rsidRPr="00814E43">
              <w:rPr>
                <w:szCs w:val="20"/>
              </w:rPr>
              <w:t xml:space="preserve">. </w:t>
            </w:r>
            <w:r w:rsidRPr="00814E43">
              <w:rPr>
                <w:szCs w:val="20"/>
                <w:lang w:val="fr-CA"/>
              </w:rPr>
              <w:t>The hearing date will be fixed by the Registrar.</w:t>
            </w:r>
          </w:p>
          <w:p w:rsidR="00814E43" w:rsidRPr="00814E43" w:rsidRDefault="00814E43" w:rsidP="00814E43">
            <w:pPr>
              <w:rPr>
                <w:sz w:val="20"/>
                <w:szCs w:val="20"/>
                <w:lang w:val="fr-CA"/>
              </w:rPr>
            </w:pPr>
          </w:p>
          <w:p w:rsidR="00814E43" w:rsidRPr="00DD16F6" w:rsidRDefault="00814E43" w:rsidP="00DF729A">
            <w:pPr>
              <w:pStyle w:val="SCCShortJudgment"/>
              <w:rPr>
                <w:rFonts w:cs="Times New Roman"/>
                <w:szCs w:val="20"/>
                <w:lang w:val="fr-CA"/>
              </w:rPr>
            </w:pPr>
            <w:r w:rsidRPr="00814E43">
              <w:rPr>
                <w:szCs w:val="20"/>
                <w:lang w:val="fr-CA"/>
              </w:rPr>
              <w:t>La tenue d’une audience pour décider de la demande d’autorisation d’appel est ordonnée, conformément à l’article 43(1)(</w:t>
            </w:r>
            <w:r w:rsidRPr="00814E43">
              <w:rPr>
                <w:i/>
                <w:szCs w:val="20"/>
                <w:lang w:val="fr-CA"/>
              </w:rPr>
              <w:t>c</w:t>
            </w:r>
            <w:r w:rsidRPr="00814E43">
              <w:rPr>
                <w:szCs w:val="20"/>
                <w:lang w:val="fr-CA"/>
              </w:rPr>
              <w:t xml:space="preserve">) de la </w:t>
            </w:r>
            <w:r w:rsidRPr="00814E43">
              <w:rPr>
                <w:i/>
                <w:szCs w:val="20"/>
                <w:lang w:val="fr-CA"/>
              </w:rPr>
              <w:t>Loi sur la Cour suprême</w:t>
            </w:r>
            <w:r w:rsidRPr="00814E43">
              <w:rPr>
                <w:szCs w:val="20"/>
                <w:lang w:val="fr-CA"/>
              </w:rPr>
              <w:t xml:space="preserve">. La date d’audience sera fixée par le registraire.  </w:t>
            </w:r>
          </w:p>
        </w:tc>
      </w:tr>
    </w:tbl>
    <w:p w:rsidR="00DF729A" w:rsidRPr="0016547E" w:rsidRDefault="00DF729A" w:rsidP="00DF729A">
      <w:pPr>
        <w:rPr>
          <w:sz w:val="20"/>
          <w:szCs w:val="20"/>
          <w:lang w:val="fr-CA"/>
        </w:rPr>
      </w:pPr>
    </w:p>
    <w:p w:rsidR="00DF729A" w:rsidRPr="001B157C" w:rsidRDefault="00DF729A" w:rsidP="00DF729A">
      <w:pPr>
        <w:rPr>
          <w:sz w:val="20"/>
          <w:szCs w:val="20"/>
          <w:u w:val="single"/>
        </w:rPr>
      </w:pPr>
      <w:r w:rsidRPr="001B157C">
        <w:rPr>
          <w:sz w:val="20"/>
          <w:szCs w:val="20"/>
          <w:u w:val="single"/>
        </w:rPr>
        <w:t>CASE SUMMARY</w:t>
      </w:r>
    </w:p>
    <w:p w:rsidR="00DF729A" w:rsidRDefault="00DF729A" w:rsidP="00DF729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F729A" w:rsidRPr="00841E19" w:rsidTr="00E318FE">
        <w:tc>
          <w:tcPr>
            <w:tcW w:w="5000" w:type="pct"/>
            <w:gridSpan w:val="3"/>
          </w:tcPr>
          <w:p w:rsidR="00DF729A" w:rsidRPr="00841E19" w:rsidRDefault="00DF729A" w:rsidP="00E318FE">
            <w:pPr>
              <w:jc w:val="both"/>
              <w:rPr>
                <w:rFonts w:eastAsia="Calibri" w:cs="Times New Roman"/>
                <w:sz w:val="20"/>
                <w:szCs w:val="20"/>
              </w:rPr>
            </w:pPr>
            <w:r w:rsidRPr="00841E19">
              <w:rPr>
                <w:rFonts w:eastAsia="Calibri" w:cs="Times New Roman"/>
                <w:sz w:val="20"/>
                <w:szCs w:val="20"/>
              </w:rPr>
              <w:t>Administrative law — Canadian Transportation Agency — Independence of Agency — Fettering of discretion to pass regulations — Whether administrative bodies must be free from interference from the executive branch of government when exercising legislative as opposed to judicial functions — If so, the extent to which they must be free from interference in exercising those functions.</w:t>
            </w:r>
          </w:p>
        </w:tc>
      </w:tr>
      <w:tr w:rsidR="00DF729A" w:rsidRPr="00841E19" w:rsidTr="00E318FE">
        <w:tc>
          <w:tcPr>
            <w:tcW w:w="5000" w:type="pct"/>
            <w:gridSpan w:val="3"/>
          </w:tcPr>
          <w:p w:rsidR="00DF729A" w:rsidRPr="00841E19" w:rsidRDefault="00DF729A" w:rsidP="00E318FE">
            <w:pPr>
              <w:jc w:val="both"/>
              <w:rPr>
                <w:rFonts w:eastAsia="Calibri" w:cs="Times New Roman"/>
                <w:sz w:val="20"/>
                <w:szCs w:val="20"/>
              </w:rPr>
            </w:pPr>
          </w:p>
        </w:tc>
      </w:tr>
      <w:tr w:rsidR="00DF729A" w:rsidRPr="00841E19" w:rsidTr="00E318FE">
        <w:tc>
          <w:tcPr>
            <w:tcW w:w="5000" w:type="pct"/>
            <w:gridSpan w:val="3"/>
          </w:tcPr>
          <w:p w:rsidR="00DF729A" w:rsidRPr="00841E19" w:rsidRDefault="00DF729A" w:rsidP="00E318FE">
            <w:pPr>
              <w:jc w:val="both"/>
              <w:rPr>
                <w:rFonts w:eastAsia="Calibri" w:cs="Times New Roman"/>
                <w:sz w:val="20"/>
                <w:szCs w:val="20"/>
              </w:rPr>
            </w:pPr>
            <w:r w:rsidRPr="00841E19">
              <w:rPr>
                <w:rFonts w:eastAsia="Calibri" w:cs="Times New Roman"/>
                <w:sz w:val="20"/>
                <w:szCs w:val="20"/>
              </w:rPr>
              <w:t xml:space="preserve">In 2014, the federal government passed Bill C-30, which became the </w:t>
            </w:r>
            <w:r w:rsidRPr="00841E19">
              <w:rPr>
                <w:rFonts w:eastAsia="Calibri" w:cs="Times New Roman"/>
                <w:i/>
                <w:sz w:val="20"/>
                <w:szCs w:val="20"/>
              </w:rPr>
              <w:t>Fair Rail for Grain Farmers Act</w:t>
            </w:r>
            <w:r w:rsidRPr="00841E19">
              <w:rPr>
                <w:rFonts w:eastAsia="Calibri" w:cs="Times New Roman"/>
                <w:sz w:val="20"/>
                <w:szCs w:val="20"/>
              </w:rPr>
              <w:t>.  CP says that the proponents of Bill C-30 made numerous public pronouncements indicating that the government intended the Agency to use its expanded regulation-making power to increase the 30 km interswitching distance to 160 km for all commodities in the Prairie Provinces.  (“Interswitching” is a service whereby one railway company picks up a shipper’s traffic at the shipper’s siding facility and transports it to an interchange point with a second railway company.  The traffic is transferred to the tracks of the second railway company, and the line haul is completed.) CP alleges that Bill C-30 actually continued or extended the Agency’s discretion to make regulations.  It says that the Agency then made regulations echoing the Government’s stated intentions without engaging in an independent assessment of the need for or efficacy of extending the interswitching distance limit, or forming an opinion on what would have been an appropriate distance, or whether that distance ought to apply to all regions or all commodities.  CP also says that the Agency did not consult any affected parties on these issues.  The amendments also prescribed the rate to be paid to the railway company for interswitching.  In so amending the regulation, the Agency stated that it was required to prescribe new regulations to extend the interswitching distance from 30 km to 160 km for all commodities in the Prairie Provinces.</w:t>
            </w:r>
          </w:p>
          <w:p w:rsidR="00DF729A" w:rsidRPr="00841E19" w:rsidRDefault="00DF729A" w:rsidP="00E318FE">
            <w:pPr>
              <w:jc w:val="both"/>
              <w:rPr>
                <w:rFonts w:eastAsia="Calibri" w:cs="Times New Roman"/>
                <w:sz w:val="20"/>
                <w:szCs w:val="20"/>
              </w:rPr>
            </w:pPr>
          </w:p>
          <w:p w:rsidR="00DF729A" w:rsidRPr="00841E19" w:rsidRDefault="00DF729A" w:rsidP="00E318FE">
            <w:pPr>
              <w:jc w:val="both"/>
              <w:rPr>
                <w:rFonts w:eastAsia="Calibri" w:cs="Times New Roman"/>
                <w:sz w:val="20"/>
                <w:szCs w:val="20"/>
              </w:rPr>
            </w:pPr>
            <w:r w:rsidRPr="00841E19">
              <w:rPr>
                <w:rFonts w:eastAsia="Calibri" w:cs="Times New Roman"/>
                <w:sz w:val="20"/>
                <w:szCs w:val="20"/>
              </w:rPr>
              <w:t xml:space="preserve">The Federal Court of Appeal dismissed CP’s leave to appeal the </w:t>
            </w:r>
            <w:r w:rsidRPr="00841E19">
              <w:rPr>
                <w:rFonts w:eastAsia="Calibri" w:cs="Times New Roman"/>
                <w:i/>
                <w:sz w:val="20"/>
                <w:szCs w:val="20"/>
              </w:rPr>
              <w:t>Extended Interswitching Regulations</w:t>
            </w:r>
            <w:r w:rsidRPr="00841E19">
              <w:rPr>
                <w:rFonts w:eastAsia="Calibri" w:cs="Times New Roman"/>
                <w:sz w:val="20"/>
                <w:szCs w:val="20"/>
              </w:rPr>
              <w:t xml:space="preserve"> pursuant to s. 41 of the </w:t>
            </w:r>
            <w:r w:rsidRPr="00841E19">
              <w:rPr>
                <w:rFonts w:eastAsia="Calibri" w:cs="Times New Roman"/>
                <w:i/>
                <w:sz w:val="20"/>
                <w:szCs w:val="20"/>
              </w:rPr>
              <w:t>Canada Transportation Act</w:t>
            </w:r>
            <w:r w:rsidRPr="00841E19">
              <w:rPr>
                <w:rFonts w:eastAsia="Calibri" w:cs="Times New Roman"/>
                <w:sz w:val="20"/>
                <w:szCs w:val="20"/>
              </w:rPr>
              <w:t>, S.C. 1996, c. 10, without reasons.</w:t>
            </w:r>
          </w:p>
          <w:p w:rsidR="00DF729A" w:rsidRPr="00841E19" w:rsidRDefault="00DF729A" w:rsidP="00E318FE">
            <w:pPr>
              <w:jc w:val="both"/>
              <w:rPr>
                <w:rFonts w:eastAsia="Calibri" w:cs="Times New Roman"/>
                <w:sz w:val="20"/>
                <w:szCs w:val="20"/>
              </w:rPr>
            </w:pPr>
          </w:p>
        </w:tc>
      </w:tr>
      <w:tr w:rsidR="00DF729A" w:rsidRPr="00841E19" w:rsidTr="00E318FE">
        <w:tc>
          <w:tcPr>
            <w:tcW w:w="2427" w:type="pct"/>
          </w:tcPr>
          <w:p w:rsidR="00DF729A" w:rsidRPr="00841E19" w:rsidRDefault="00DF729A" w:rsidP="00E318FE">
            <w:pPr>
              <w:jc w:val="both"/>
              <w:rPr>
                <w:rFonts w:eastAsia="Calibri" w:cs="Times New Roman"/>
                <w:sz w:val="20"/>
                <w:szCs w:val="20"/>
              </w:rPr>
            </w:pPr>
            <w:r w:rsidRPr="00841E19">
              <w:rPr>
                <w:rFonts w:eastAsia="Calibri" w:cs="Times New Roman"/>
                <w:sz w:val="20"/>
                <w:szCs w:val="20"/>
              </w:rPr>
              <w:t>October 28, 2014</w:t>
            </w:r>
          </w:p>
          <w:p w:rsidR="00DF729A" w:rsidRPr="00841E19" w:rsidRDefault="00DF729A" w:rsidP="00E318FE">
            <w:pPr>
              <w:jc w:val="both"/>
              <w:rPr>
                <w:rFonts w:eastAsia="Calibri" w:cs="Times New Roman"/>
                <w:sz w:val="20"/>
                <w:szCs w:val="20"/>
              </w:rPr>
            </w:pPr>
            <w:r w:rsidRPr="00841E19">
              <w:rPr>
                <w:rFonts w:eastAsia="Calibri" w:cs="Times New Roman"/>
                <w:sz w:val="20"/>
                <w:szCs w:val="20"/>
              </w:rPr>
              <w:t>Federal Court of Appeal</w:t>
            </w:r>
          </w:p>
          <w:p w:rsidR="00DF729A" w:rsidRPr="00841E19" w:rsidRDefault="00DF729A" w:rsidP="00E318FE">
            <w:pPr>
              <w:jc w:val="both"/>
              <w:rPr>
                <w:rFonts w:eastAsia="Calibri" w:cs="Times New Roman"/>
                <w:sz w:val="20"/>
                <w:szCs w:val="20"/>
              </w:rPr>
            </w:pPr>
            <w:r w:rsidRPr="00841E19">
              <w:rPr>
                <w:rFonts w:eastAsia="Calibri" w:cs="Times New Roman"/>
                <w:sz w:val="20"/>
                <w:szCs w:val="20"/>
              </w:rPr>
              <w:t>(Noël, Dawson, Webb JJ.A.)</w:t>
            </w:r>
          </w:p>
          <w:p w:rsidR="00DF729A" w:rsidRPr="00841E19" w:rsidRDefault="00DF729A" w:rsidP="00E318FE">
            <w:pPr>
              <w:jc w:val="both"/>
              <w:rPr>
                <w:rFonts w:eastAsia="Calibri" w:cs="Times New Roman"/>
                <w:sz w:val="20"/>
                <w:szCs w:val="20"/>
              </w:rPr>
            </w:pPr>
          </w:p>
        </w:tc>
        <w:tc>
          <w:tcPr>
            <w:tcW w:w="243" w:type="pct"/>
          </w:tcPr>
          <w:p w:rsidR="00DF729A" w:rsidRPr="00841E19" w:rsidRDefault="00DF729A" w:rsidP="00E318FE">
            <w:pPr>
              <w:jc w:val="both"/>
              <w:rPr>
                <w:rFonts w:eastAsia="Calibri" w:cs="Times New Roman"/>
                <w:sz w:val="20"/>
                <w:szCs w:val="20"/>
              </w:rPr>
            </w:pPr>
          </w:p>
        </w:tc>
        <w:tc>
          <w:tcPr>
            <w:tcW w:w="2330" w:type="pct"/>
          </w:tcPr>
          <w:p w:rsidR="00DF729A" w:rsidRPr="00841E19" w:rsidRDefault="00DF729A" w:rsidP="00E318FE">
            <w:pPr>
              <w:jc w:val="both"/>
              <w:rPr>
                <w:rFonts w:eastAsia="Calibri" w:cs="Times New Roman"/>
                <w:sz w:val="20"/>
                <w:szCs w:val="20"/>
              </w:rPr>
            </w:pPr>
            <w:r w:rsidRPr="00841E19">
              <w:rPr>
                <w:rFonts w:eastAsia="Calibri" w:cs="Times New Roman"/>
                <w:sz w:val="20"/>
                <w:szCs w:val="20"/>
              </w:rPr>
              <w:t xml:space="preserve">Motion for leave to appeal </w:t>
            </w:r>
            <w:r w:rsidRPr="00841E19">
              <w:rPr>
                <w:rFonts w:eastAsia="Calibri" w:cs="Times New Roman"/>
                <w:i/>
                <w:sz w:val="20"/>
                <w:szCs w:val="20"/>
              </w:rPr>
              <w:t>Regulations Amending the Railway Interswitching Regulations</w:t>
            </w:r>
            <w:r w:rsidRPr="00841E19">
              <w:rPr>
                <w:rFonts w:eastAsia="Calibri" w:cs="Times New Roman"/>
                <w:sz w:val="20"/>
                <w:szCs w:val="20"/>
              </w:rPr>
              <w:t xml:space="preserve">, SOR/2014-193, under s. 41 of the </w:t>
            </w:r>
            <w:r w:rsidRPr="00841E19">
              <w:rPr>
                <w:rFonts w:eastAsia="Calibri" w:cs="Times New Roman"/>
                <w:i/>
                <w:sz w:val="20"/>
                <w:szCs w:val="20"/>
              </w:rPr>
              <w:t>Canada Transportation Act</w:t>
            </w:r>
            <w:r w:rsidRPr="00841E19">
              <w:rPr>
                <w:rFonts w:eastAsia="Calibri" w:cs="Times New Roman"/>
                <w:sz w:val="20"/>
                <w:szCs w:val="20"/>
              </w:rPr>
              <w:t>, S.C. 1996, c. 10, dismissed</w:t>
            </w:r>
          </w:p>
          <w:p w:rsidR="00DF729A" w:rsidRPr="00841E19" w:rsidRDefault="00DF729A" w:rsidP="00E318FE">
            <w:pPr>
              <w:jc w:val="both"/>
              <w:rPr>
                <w:rFonts w:eastAsia="Calibri" w:cs="Times New Roman"/>
                <w:sz w:val="20"/>
                <w:szCs w:val="20"/>
              </w:rPr>
            </w:pPr>
          </w:p>
        </w:tc>
      </w:tr>
      <w:tr w:rsidR="00DF729A" w:rsidRPr="00841E19" w:rsidTr="00E318FE">
        <w:tc>
          <w:tcPr>
            <w:tcW w:w="2427" w:type="pct"/>
          </w:tcPr>
          <w:p w:rsidR="00DF729A" w:rsidRPr="00841E19" w:rsidRDefault="00DF729A" w:rsidP="00E318FE">
            <w:pPr>
              <w:jc w:val="both"/>
              <w:rPr>
                <w:rFonts w:eastAsia="Calibri" w:cs="Times New Roman"/>
                <w:sz w:val="20"/>
                <w:szCs w:val="20"/>
              </w:rPr>
            </w:pPr>
            <w:r w:rsidRPr="00841E19">
              <w:rPr>
                <w:rFonts w:eastAsia="Calibri" w:cs="Times New Roman"/>
                <w:sz w:val="20"/>
                <w:szCs w:val="20"/>
              </w:rPr>
              <w:t>December 23, 2014</w:t>
            </w:r>
          </w:p>
          <w:p w:rsidR="00DF729A" w:rsidRPr="00841E19" w:rsidRDefault="00DF729A" w:rsidP="00E318FE">
            <w:pPr>
              <w:jc w:val="both"/>
              <w:rPr>
                <w:rFonts w:eastAsia="Calibri" w:cs="Times New Roman"/>
                <w:sz w:val="20"/>
                <w:szCs w:val="20"/>
              </w:rPr>
            </w:pPr>
            <w:r w:rsidRPr="00841E19">
              <w:rPr>
                <w:rFonts w:eastAsia="Calibri" w:cs="Times New Roman"/>
                <w:sz w:val="20"/>
                <w:szCs w:val="20"/>
              </w:rPr>
              <w:t>Supreme Court of Canada</w:t>
            </w:r>
          </w:p>
        </w:tc>
        <w:tc>
          <w:tcPr>
            <w:tcW w:w="243" w:type="pct"/>
          </w:tcPr>
          <w:p w:rsidR="00DF729A" w:rsidRPr="00841E19" w:rsidRDefault="00DF729A" w:rsidP="00E318FE">
            <w:pPr>
              <w:jc w:val="both"/>
              <w:rPr>
                <w:rFonts w:eastAsia="Calibri" w:cs="Times New Roman"/>
                <w:sz w:val="20"/>
                <w:szCs w:val="20"/>
              </w:rPr>
            </w:pPr>
          </w:p>
        </w:tc>
        <w:tc>
          <w:tcPr>
            <w:tcW w:w="2330" w:type="pct"/>
          </w:tcPr>
          <w:p w:rsidR="00DF729A" w:rsidRPr="00841E19" w:rsidRDefault="00DF729A" w:rsidP="00E318FE">
            <w:pPr>
              <w:jc w:val="both"/>
              <w:rPr>
                <w:rFonts w:eastAsia="Calibri" w:cs="Times New Roman"/>
                <w:sz w:val="20"/>
                <w:szCs w:val="20"/>
              </w:rPr>
            </w:pPr>
            <w:r w:rsidRPr="00841E19">
              <w:rPr>
                <w:rFonts w:eastAsia="Calibri" w:cs="Times New Roman"/>
                <w:sz w:val="20"/>
                <w:szCs w:val="20"/>
              </w:rPr>
              <w:t>Application for leave to appeal filed</w:t>
            </w:r>
          </w:p>
          <w:p w:rsidR="00DF729A" w:rsidRPr="00841E19" w:rsidRDefault="00DF729A" w:rsidP="00E318FE">
            <w:pPr>
              <w:jc w:val="both"/>
              <w:rPr>
                <w:rFonts w:eastAsia="Calibri" w:cs="Times New Roman"/>
                <w:sz w:val="20"/>
                <w:szCs w:val="20"/>
              </w:rPr>
            </w:pPr>
          </w:p>
        </w:tc>
      </w:tr>
    </w:tbl>
    <w:p w:rsidR="00DF729A" w:rsidRPr="00841E19" w:rsidRDefault="00DF729A" w:rsidP="00DF729A">
      <w:pPr>
        <w:jc w:val="both"/>
        <w:rPr>
          <w:rFonts w:eastAsia="Calibri" w:cs="Times New Roman"/>
          <w:sz w:val="20"/>
          <w:szCs w:val="20"/>
        </w:rPr>
      </w:pPr>
    </w:p>
    <w:p w:rsidR="00DF729A" w:rsidRPr="00C50A5C" w:rsidRDefault="00417673" w:rsidP="00DF729A">
      <w:pPr>
        <w:rPr>
          <w:sz w:val="20"/>
          <w:szCs w:val="20"/>
        </w:rPr>
      </w:pPr>
      <w:r>
        <w:rPr>
          <w:sz w:val="20"/>
          <w:szCs w:val="20"/>
          <w:lang w:val="fr-CA"/>
        </w:rPr>
        <w:pict>
          <v:rect id="_x0000_i1042" style="width:2in;height:1pt" o:hrpct="0" o:hralign="center" o:hrstd="t" o:hrnoshade="t" o:hr="t" fillcolor="black [3213]" stroked="f"/>
        </w:pict>
      </w:r>
    </w:p>
    <w:p w:rsidR="00DF729A" w:rsidRDefault="00DF729A" w:rsidP="00DF729A">
      <w:pPr>
        <w:rPr>
          <w:sz w:val="20"/>
          <w:szCs w:val="20"/>
        </w:rPr>
      </w:pPr>
    </w:p>
    <w:p w:rsidR="00DF729A" w:rsidRPr="001B157C" w:rsidRDefault="00DF729A" w:rsidP="00DF729A">
      <w:pPr>
        <w:rPr>
          <w:sz w:val="20"/>
          <w:szCs w:val="20"/>
          <w:u w:val="single"/>
          <w:lang w:val="fr-CA"/>
        </w:rPr>
      </w:pPr>
      <w:r w:rsidRPr="001B157C">
        <w:rPr>
          <w:sz w:val="20"/>
          <w:szCs w:val="20"/>
          <w:u w:val="single"/>
          <w:lang w:val="fr-CA"/>
        </w:rPr>
        <w:t>RÉSUMÉ DE L’AFFAIRE</w:t>
      </w:r>
    </w:p>
    <w:p w:rsidR="00DF729A" w:rsidRPr="00841E19" w:rsidRDefault="00DF729A" w:rsidP="00DF729A">
      <w:pPr>
        <w:jc w:val="both"/>
        <w:rPr>
          <w:rFonts w:eastAsia="Calibri"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F729A" w:rsidRPr="00417673" w:rsidTr="00E318FE">
        <w:tc>
          <w:tcPr>
            <w:tcW w:w="5000" w:type="pct"/>
            <w:gridSpan w:val="3"/>
          </w:tcPr>
          <w:p w:rsidR="00DF729A" w:rsidRPr="00841E19" w:rsidRDefault="00DF729A" w:rsidP="00E318FE">
            <w:pPr>
              <w:jc w:val="both"/>
              <w:rPr>
                <w:rFonts w:eastAsia="Calibri" w:cs="Times New Roman"/>
                <w:sz w:val="20"/>
                <w:szCs w:val="20"/>
                <w:lang w:val="fr-CA"/>
              </w:rPr>
            </w:pPr>
            <w:r w:rsidRPr="00841E19">
              <w:rPr>
                <w:rFonts w:eastAsia="Calibri" w:cs="Times New Roman"/>
                <w:sz w:val="20"/>
                <w:szCs w:val="20"/>
                <w:lang w:val="fr-CA"/>
              </w:rPr>
              <w:t xml:space="preserve">Droit administratif — Office des transports du Canada — Indépendance de l’Office — Entrave à l’exercice du pouvoir </w:t>
            </w:r>
            <w:r w:rsidRPr="00841E19">
              <w:rPr>
                <w:rFonts w:eastAsia="Calibri" w:cs="Times New Roman"/>
                <w:sz w:val="20"/>
                <w:szCs w:val="20"/>
                <w:lang w:val="fr-CA"/>
              </w:rPr>
              <w:lastRenderedPageBreak/>
              <w:t>discrétionnaire de prendre des règlements — Les organismes administratifs doivent-ils être libres de toute intervention du pouvoir exécutif dans l’exercice de fonctions législatives, par opposition aux fonctions judiciaires? — Dans l’affirmative, dans quelle mesure doivent-ils être libres de toute intervention dans l’exercice de ces fonctions?</w:t>
            </w:r>
          </w:p>
        </w:tc>
      </w:tr>
      <w:tr w:rsidR="00DF729A" w:rsidRPr="00417673" w:rsidTr="00E318FE">
        <w:tc>
          <w:tcPr>
            <w:tcW w:w="5000" w:type="pct"/>
            <w:gridSpan w:val="3"/>
          </w:tcPr>
          <w:p w:rsidR="00DF729A" w:rsidRPr="00841E19" w:rsidRDefault="00DF729A" w:rsidP="00E318FE">
            <w:pPr>
              <w:jc w:val="both"/>
              <w:rPr>
                <w:rFonts w:eastAsia="Calibri" w:cs="Times New Roman"/>
                <w:sz w:val="20"/>
                <w:szCs w:val="20"/>
                <w:lang w:val="fr-CA"/>
              </w:rPr>
            </w:pPr>
          </w:p>
        </w:tc>
      </w:tr>
      <w:tr w:rsidR="00DF729A" w:rsidRPr="00417673" w:rsidTr="00E318FE">
        <w:tc>
          <w:tcPr>
            <w:tcW w:w="5000" w:type="pct"/>
            <w:gridSpan w:val="3"/>
          </w:tcPr>
          <w:p w:rsidR="00DF729A" w:rsidRPr="00841E19" w:rsidRDefault="00DF729A" w:rsidP="00E318FE">
            <w:pPr>
              <w:jc w:val="both"/>
              <w:rPr>
                <w:rFonts w:eastAsia="Calibri" w:cs="Times New Roman"/>
                <w:sz w:val="20"/>
                <w:szCs w:val="20"/>
                <w:lang w:val="fr-CA"/>
              </w:rPr>
            </w:pPr>
            <w:r w:rsidRPr="00841E19">
              <w:rPr>
                <w:rFonts w:eastAsia="Calibri" w:cs="Times New Roman"/>
                <w:sz w:val="20"/>
                <w:szCs w:val="20"/>
                <w:lang w:val="fr-CA"/>
              </w:rPr>
              <w:t xml:space="preserve">En 2014, le gouvernement a adopté le projet de loi C-30, qui est devenu la </w:t>
            </w:r>
            <w:r w:rsidRPr="00841E19">
              <w:rPr>
                <w:rFonts w:eastAsia="Calibri" w:cs="Times New Roman"/>
                <w:i/>
                <w:sz w:val="20"/>
                <w:szCs w:val="20"/>
                <w:lang w:val="fr-CA"/>
              </w:rPr>
              <w:t>Loi sur le transport ferroviaire équitable pour les producteurs de grain</w:t>
            </w:r>
            <w:r w:rsidRPr="00841E19">
              <w:rPr>
                <w:rFonts w:eastAsia="Calibri" w:cs="Times New Roman"/>
                <w:sz w:val="20"/>
                <w:szCs w:val="20"/>
                <w:lang w:val="fr-CA"/>
              </w:rPr>
              <w:t>.  CP affirme que les promoteurs du projet de loi C-30 ont fait plusieurs déclarations publiques laissant entendre que le gouvernement voulait que l’Office exerce son pouvoir plus étendu de prendre des règlements pour repousser la distance d’interconnexion de 30 km à 160 km pour toutes les marchandises dans les provinces des Prairies.  (L’« interconnexion du trafic ferroviaire » est un service par lequel une compagnie de chemin de fer ramasse le trafic d’un expéditeur à la voie d’évitement de l’expéditeur et les transporte à un point d’échange avec une deuxième compagnie de chemin de fer.  Le trafic est transféré sur la voie de la deuxième compagnie de chemin de fer et la ligne de voiturage est complétée.)  CP allègue qu’en fait, le projet de loi C-30 maintient ou étend le pouvoir discrétionnaire de prendre des règlements.  CP affirme que l’Office a ensuite pris un règlement qui a fait écho aux intentions déclarées du gouvernement sans procéder à une évaluation indépendante du besoin de repousser la limite de distance d’interconnexion ou de l’efficacité d’une telle mesure, et sans se faire sa propre idée de ce qu’aurait été une distance appropriée, ou sur la question de savoir si cette distance devait s’appliquer à toutes les régions ou à toutes les marchandises.  CP affirme également que l’Office n’a pas consulté les parties touchées sur ces questions.  Les modifications prescrivaient également le prix payable à la compagnie de chemin de fer pour l’interconnexion.  En modifiant ainsi le règlement, l’Office a affirmé qu’il devait prendre un nouveau règlement pour repousser la distance d’interconnexion de 30 km à 160 km pour toutes les marchandises dans les provinces des Prairies.</w:t>
            </w:r>
          </w:p>
          <w:p w:rsidR="00DF729A" w:rsidRPr="00841E19" w:rsidRDefault="00DF729A" w:rsidP="00E318FE">
            <w:pPr>
              <w:jc w:val="both"/>
              <w:rPr>
                <w:rFonts w:eastAsia="Calibri" w:cs="Times New Roman"/>
                <w:sz w:val="20"/>
                <w:szCs w:val="20"/>
                <w:lang w:val="fr-CA"/>
              </w:rPr>
            </w:pPr>
          </w:p>
          <w:p w:rsidR="00DF729A" w:rsidRPr="00841E19" w:rsidRDefault="00DF729A" w:rsidP="00E318FE">
            <w:pPr>
              <w:jc w:val="both"/>
              <w:rPr>
                <w:rFonts w:eastAsia="Calibri" w:cs="Times New Roman"/>
                <w:sz w:val="20"/>
                <w:szCs w:val="20"/>
                <w:lang w:val="fr-CA"/>
              </w:rPr>
            </w:pPr>
            <w:r w:rsidRPr="00841E19">
              <w:rPr>
                <w:rFonts w:eastAsia="Calibri" w:cs="Times New Roman"/>
                <w:sz w:val="20"/>
                <w:szCs w:val="20"/>
                <w:lang w:val="fr-CA"/>
              </w:rPr>
              <w:t xml:space="preserve">La Cour d’appel fédérale a rejeté la demande de CP en autorisation d’appel du </w:t>
            </w:r>
            <w:r w:rsidRPr="00841E19">
              <w:rPr>
                <w:rFonts w:eastAsia="Calibri" w:cs="Times New Roman"/>
                <w:i/>
                <w:sz w:val="20"/>
                <w:szCs w:val="20"/>
                <w:lang w:val="fr-CA"/>
              </w:rPr>
              <w:t>Règlement modifiant le Règlement sur l’interconnexion du trafic ferroviaire</w:t>
            </w:r>
            <w:r w:rsidRPr="00841E19">
              <w:rPr>
                <w:rFonts w:eastAsia="Calibri" w:cs="Times New Roman"/>
                <w:sz w:val="20"/>
                <w:szCs w:val="20"/>
                <w:lang w:val="fr-CA"/>
              </w:rPr>
              <w:t xml:space="preserve"> présentée en application de l’art. 41 de la </w:t>
            </w:r>
            <w:r w:rsidRPr="00841E19">
              <w:rPr>
                <w:rFonts w:eastAsia="Calibri" w:cs="Times New Roman"/>
                <w:i/>
                <w:sz w:val="20"/>
                <w:szCs w:val="20"/>
                <w:lang w:val="fr-CA"/>
              </w:rPr>
              <w:t>Loi sur les transports au Canada</w:t>
            </w:r>
            <w:r w:rsidRPr="00841E19">
              <w:rPr>
                <w:rFonts w:eastAsia="Calibri" w:cs="Times New Roman"/>
                <w:sz w:val="20"/>
                <w:szCs w:val="20"/>
                <w:lang w:val="fr-CA"/>
              </w:rPr>
              <w:t>, L.C. 1996, ch. 10, sans donner de motifs.</w:t>
            </w:r>
          </w:p>
          <w:p w:rsidR="00DF729A" w:rsidRPr="00841E19" w:rsidRDefault="00DF729A" w:rsidP="00E318FE">
            <w:pPr>
              <w:jc w:val="both"/>
              <w:rPr>
                <w:rFonts w:eastAsia="Calibri" w:cs="Times New Roman"/>
                <w:sz w:val="20"/>
                <w:szCs w:val="20"/>
                <w:lang w:val="fr-CA"/>
              </w:rPr>
            </w:pPr>
          </w:p>
        </w:tc>
      </w:tr>
      <w:tr w:rsidR="00DF729A" w:rsidRPr="00417673" w:rsidTr="00E318FE">
        <w:tc>
          <w:tcPr>
            <w:tcW w:w="2427" w:type="pct"/>
          </w:tcPr>
          <w:p w:rsidR="00DF729A" w:rsidRPr="00841E19" w:rsidRDefault="00DF729A" w:rsidP="00E318FE">
            <w:pPr>
              <w:jc w:val="both"/>
              <w:rPr>
                <w:rFonts w:eastAsia="Calibri" w:cs="Times New Roman"/>
                <w:sz w:val="20"/>
                <w:szCs w:val="20"/>
                <w:lang w:val="fr-CA"/>
              </w:rPr>
            </w:pPr>
            <w:r w:rsidRPr="00841E19">
              <w:rPr>
                <w:rFonts w:eastAsia="Calibri" w:cs="Times New Roman"/>
                <w:sz w:val="20"/>
                <w:szCs w:val="20"/>
                <w:lang w:val="fr-CA"/>
              </w:rPr>
              <w:t>28 octobre 2014</w:t>
            </w:r>
          </w:p>
          <w:p w:rsidR="00DF729A" w:rsidRPr="00841E19" w:rsidRDefault="00DF729A" w:rsidP="00E318FE">
            <w:pPr>
              <w:jc w:val="both"/>
              <w:rPr>
                <w:rFonts w:eastAsia="Calibri" w:cs="Times New Roman"/>
                <w:sz w:val="20"/>
                <w:szCs w:val="20"/>
                <w:lang w:val="fr-CA"/>
              </w:rPr>
            </w:pPr>
            <w:r w:rsidRPr="00841E19">
              <w:rPr>
                <w:rFonts w:eastAsia="Calibri" w:cs="Times New Roman"/>
                <w:sz w:val="20"/>
                <w:szCs w:val="20"/>
                <w:lang w:val="fr-CA"/>
              </w:rPr>
              <w:t>Cour d’appel fédérale</w:t>
            </w:r>
          </w:p>
          <w:p w:rsidR="00DF729A" w:rsidRPr="00841E19" w:rsidRDefault="00DF729A" w:rsidP="00E318FE">
            <w:pPr>
              <w:jc w:val="both"/>
              <w:rPr>
                <w:rFonts w:eastAsia="Calibri" w:cs="Times New Roman"/>
                <w:sz w:val="20"/>
                <w:szCs w:val="20"/>
                <w:lang w:val="fr-CA"/>
              </w:rPr>
            </w:pPr>
            <w:r w:rsidRPr="00841E19">
              <w:rPr>
                <w:rFonts w:eastAsia="Calibri" w:cs="Times New Roman"/>
                <w:sz w:val="20"/>
                <w:szCs w:val="20"/>
                <w:lang w:val="fr-CA"/>
              </w:rPr>
              <w:t>(Juges Noël, Dawson et Webb)</w:t>
            </w:r>
          </w:p>
          <w:p w:rsidR="00DF729A" w:rsidRPr="00841E19" w:rsidRDefault="00DF729A" w:rsidP="00E318FE">
            <w:pPr>
              <w:jc w:val="both"/>
              <w:rPr>
                <w:rFonts w:eastAsia="Calibri" w:cs="Times New Roman"/>
                <w:sz w:val="20"/>
                <w:szCs w:val="20"/>
                <w:lang w:val="fr-CA"/>
              </w:rPr>
            </w:pPr>
          </w:p>
        </w:tc>
        <w:tc>
          <w:tcPr>
            <w:tcW w:w="243" w:type="pct"/>
          </w:tcPr>
          <w:p w:rsidR="00DF729A" w:rsidRPr="00841E19" w:rsidRDefault="00DF729A" w:rsidP="00E318FE">
            <w:pPr>
              <w:jc w:val="both"/>
              <w:rPr>
                <w:rFonts w:eastAsia="Calibri" w:cs="Times New Roman"/>
                <w:sz w:val="20"/>
                <w:szCs w:val="20"/>
                <w:lang w:val="fr-CA"/>
              </w:rPr>
            </w:pPr>
          </w:p>
        </w:tc>
        <w:tc>
          <w:tcPr>
            <w:tcW w:w="2330" w:type="pct"/>
          </w:tcPr>
          <w:p w:rsidR="00DF729A" w:rsidRPr="00841E19" w:rsidRDefault="00DF729A" w:rsidP="00E318FE">
            <w:pPr>
              <w:jc w:val="both"/>
              <w:rPr>
                <w:rFonts w:eastAsia="Calibri" w:cs="Times New Roman"/>
                <w:sz w:val="20"/>
                <w:szCs w:val="20"/>
                <w:lang w:val="fr-CA"/>
              </w:rPr>
            </w:pPr>
            <w:r w:rsidRPr="00841E19">
              <w:rPr>
                <w:rFonts w:eastAsia="Calibri" w:cs="Times New Roman"/>
                <w:sz w:val="20"/>
                <w:szCs w:val="20"/>
                <w:lang w:val="fr-CA"/>
              </w:rPr>
              <w:t xml:space="preserve">Rejet de la requête en autorisation d’appel du </w:t>
            </w:r>
            <w:r w:rsidRPr="00841E19">
              <w:rPr>
                <w:rFonts w:eastAsia="Calibri" w:cs="Times New Roman"/>
                <w:i/>
                <w:sz w:val="20"/>
                <w:szCs w:val="20"/>
                <w:lang w:val="fr-CA"/>
              </w:rPr>
              <w:t>Règlement modifiant le Règlement sur l’interconnexion du trafic ferroviaire</w:t>
            </w:r>
            <w:r w:rsidRPr="00841E19">
              <w:rPr>
                <w:rFonts w:eastAsia="Calibri" w:cs="Times New Roman"/>
                <w:sz w:val="20"/>
                <w:szCs w:val="20"/>
                <w:lang w:val="fr-CA"/>
              </w:rPr>
              <w:t xml:space="preserve">, DORS/2014-193, prprésentée en application de l’art. 41 de la </w:t>
            </w:r>
            <w:r w:rsidRPr="00841E19">
              <w:rPr>
                <w:rFonts w:eastAsia="Calibri" w:cs="Times New Roman"/>
                <w:i/>
                <w:sz w:val="20"/>
                <w:szCs w:val="20"/>
                <w:lang w:val="fr-CA"/>
              </w:rPr>
              <w:t>Loi sur les transports au Canada</w:t>
            </w:r>
            <w:r w:rsidRPr="00841E19">
              <w:rPr>
                <w:rFonts w:eastAsia="Calibri" w:cs="Times New Roman"/>
                <w:sz w:val="20"/>
                <w:szCs w:val="20"/>
                <w:lang w:val="fr-CA"/>
              </w:rPr>
              <w:t>, L.C. 1996, ch. 10</w:t>
            </w:r>
          </w:p>
          <w:p w:rsidR="00DF729A" w:rsidRPr="00841E19" w:rsidRDefault="00DF729A" w:rsidP="00E318FE">
            <w:pPr>
              <w:jc w:val="both"/>
              <w:rPr>
                <w:rFonts w:eastAsia="Calibri" w:cs="Times New Roman"/>
                <w:sz w:val="20"/>
                <w:szCs w:val="20"/>
                <w:lang w:val="fr-CA"/>
              </w:rPr>
            </w:pPr>
          </w:p>
        </w:tc>
      </w:tr>
      <w:tr w:rsidR="00DF729A" w:rsidRPr="00417673" w:rsidTr="00E318FE">
        <w:tc>
          <w:tcPr>
            <w:tcW w:w="2427" w:type="pct"/>
          </w:tcPr>
          <w:p w:rsidR="00DF729A" w:rsidRPr="00841E19" w:rsidRDefault="00DF729A" w:rsidP="00E318FE">
            <w:pPr>
              <w:jc w:val="both"/>
              <w:rPr>
                <w:rFonts w:eastAsia="Calibri" w:cs="Times New Roman"/>
                <w:sz w:val="20"/>
                <w:szCs w:val="20"/>
                <w:lang w:val="fr-CA"/>
              </w:rPr>
            </w:pPr>
            <w:r w:rsidRPr="00841E19">
              <w:rPr>
                <w:rFonts w:eastAsia="Calibri" w:cs="Times New Roman"/>
                <w:sz w:val="20"/>
                <w:szCs w:val="20"/>
                <w:lang w:val="fr-CA"/>
              </w:rPr>
              <w:t>23 décembre 2014</w:t>
            </w:r>
          </w:p>
          <w:p w:rsidR="00DF729A" w:rsidRPr="00841E19" w:rsidRDefault="00DF729A" w:rsidP="00E318FE">
            <w:pPr>
              <w:jc w:val="both"/>
              <w:rPr>
                <w:rFonts w:eastAsia="Calibri" w:cs="Times New Roman"/>
                <w:sz w:val="20"/>
                <w:szCs w:val="20"/>
                <w:lang w:val="fr-CA"/>
              </w:rPr>
            </w:pPr>
            <w:r w:rsidRPr="00841E19">
              <w:rPr>
                <w:rFonts w:eastAsia="Calibri" w:cs="Times New Roman"/>
                <w:sz w:val="20"/>
                <w:szCs w:val="20"/>
                <w:lang w:val="fr-CA"/>
              </w:rPr>
              <w:t>Cour suprême du Canada</w:t>
            </w:r>
          </w:p>
        </w:tc>
        <w:tc>
          <w:tcPr>
            <w:tcW w:w="243" w:type="pct"/>
          </w:tcPr>
          <w:p w:rsidR="00DF729A" w:rsidRPr="00841E19" w:rsidRDefault="00DF729A" w:rsidP="00E318FE">
            <w:pPr>
              <w:jc w:val="both"/>
              <w:rPr>
                <w:rFonts w:eastAsia="Calibri" w:cs="Times New Roman"/>
                <w:sz w:val="20"/>
                <w:szCs w:val="20"/>
                <w:lang w:val="fr-CA"/>
              </w:rPr>
            </w:pPr>
          </w:p>
        </w:tc>
        <w:tc>
          <w:tcPr>
            <w:tcW w:w="2330" w:type="pct"/>
          </w:tcPr>
          <w:p w:rsidR="00DF729A" w:rsidRPr="00841E19" w:rsidRDefault="00DF729A" w:rsidP="00E318FE">
            <w:pPr>
              <w:jc w:val="both"/>
              <w:rPr>
                <w:rFonts w:eastAsia="Calibri" w:cs="Times New Roman"/>
                <w:sz w:val="20"/>
                <w:szCs w:val="20"/>
                <w:lang w:val="fr-CA"/>
              </w:rPr>
            </w:pPr>
            <w:r w:rsidRPr="00841E19">
              <w:rPr>
                <w:rFonts w:eastAsia="Calibri" w:cs="Times New Roman"/>
                <w:sz w:val="20"/>
                <w:szCs w:val="20"/>
                <w:lang w:val="fr-CA"/>
              </w:rPr>
              <w:t>Dépôt de la demande d’autorisation d’appel</w:t>
            </w:r>
          </w:p>
          <w:p w:rsidR="00DF729A" w:rsidRPr="00841E19" w:rsidRDefault="00DF729A" w:rsidP="00E318FE">
            <w:pPr>
              <w:jc w:val="both"/>
              <w:rPr>
                <w:rFonts w:eastAsia="Calibri" w:cs="Times New Roman"/>
                <w:sz w:val="20"/>
                <w:szCs w:val="20"/>
                <w:lang w:val="fr-CA"/>
              </w:rPr>
            </w:pPr>
          </w:p>
        </w:tc>
      </w:tr>
    </w:tbl>
    <w:p w:rsidR="00DF729A" w:rsidRPr="00204D62" w:rsidRDefault="00DF729A" w:rsidP="00DF729A">
      <w:pPr>
        <w:jc w:val="both"/>
        <w:rPr>
          <w:rFonts w:eastAsia="Calibri" w:cs="Times New Roman"/>
          <w:sz w:val="20"/>
          <w:szCs w:val="20"/>
          <w:lang w:val="fr-CA"/>
        </w:rPr>
      </w:pPr>
    </w:p>
    <w:p w:rsidR="00DF729A" w:rsidRPr="00C50A5C" w:rsidRDefault="00417673" w:rsidP="00DF729A">
      <w:pPr>
        <w:rPr>
          <w:sz w:val="20"/>
          <w:szCs w:val="20"/>
        </w:rPr>
      </w:pPr>
      <w:r>
        <w:rPr>
          <w:sz w:val="20"/>
          <w:szCs w:val="20"/>
          <w:lang w:val="fr-CA"/>
        </w:rPr>
        <w:pict>
          <v:rect id="_x0000_i1043" style="width:2in;height:1pt" o:hrpct="0" o:hralign="center" o:hrstd="t" o:hrnoshade="t" o:hr="t" fillcolor="black [3213]" stroked="f"/>
        </w:pict>
      </w:r>
    </w:p>
    <w:p w:rsidR="001B157C" w:rsidRDefault="001B157C" w:rsidP="001B157C">
      <w:pPr>
        <w:rPr>
          <w:sz w:val="20"/>
          <w:szCs w:val="20"/>
          <w:lang w:val="fr-CA"/>
        </w:rPr>
      </w:pPr>
    </w:p>
    <w:p w:rsidR="001B157C" w:rsidRPr="005F2D90" w:rsidRDefault="001B157C" w:rsidP="001B157C">
      <w:pPr>
        <w:rPr>
          <w:sz w:val="20"/>
          <w:szCs w:val="20"/>
          <w:lang w:val="fr-CA"/>
        </w:rPr>
      </w:pPr>
    </w:p>
    <w:p w:rsidR="002E2327" w:rsidRPr="00C50A5C" w:rsidRDefault="002E2327" w:rsidP="002E2327">
      <w:pPr>
        <w:widowControl w:val="0"/>
        <w:spacing w:line="0" w:lineRule="atLeast"/>
        <w:rPr>
          <w:sz w:val="20"/>
          <w:szCs w:val="20"/>
        </w:rPr>
      </w:pPr>
    </w:p>
    <w:p w:rsidR="00675479" w:rsidRPr="00C50A5C" w:rsidRDefault="00675479" w:rsidP="002E2327">
      <w:pPr>
        <w:widowControl w:val="0"/>
        <w:spacing w:line="0" w:lineRule="atLeast"/>
        <w:rPr>
          <w:sz w:val="20"/>
          <w:szCs w:val="20"/>
          <w:lang w:val="fr-CA"/>
        </w:rPr>
      </w:pPr>
    </w:p>
    <w:p w:rsidR="00432989" w:rsidRPr="00C50A5C" w:rsidRDefault="00432989" w:rsidP="002E2327">
      <w:pPr>
        <w:widowControl w:val="0"/>
        <w:spacing w:line="0" w:lineRule="atLeast"/>
        <w:rPr>
          <w:sz w:val="20"/>
          <w:szCs w:val="20"/>
          <w:lang w:val="fr-CA"/>
        </w:rPr>
        <w:sectPr w:rsidR="00432989" w:rsidRPr="00C50A5C" w:rsidSect="0044776A">
          <w:headerReference w:type="default" r:id="rId25"/>
          <w:footerReference w:type="default" r:id="rId26"/>
          <w:headerReference w:type="first" r:id="rId27"/>
          <w:footerReference w:type="first" r:id="rId28"/>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417673" w:rsidTr="00ED7E83">
        <w:tc>
          <w:tcPr>
            <w:tcW w:w="4200" w:type="dxa"/>
            <w:tcMar>
              <w:left w:w="0" w:type="dxa"/>
              <w:right w:w="0" w:type="dxa"/>
            </w:tcMar>
          </w:tcPr>
          <w:p w:rsidR="008D292F" w:rsidRPr="001D0D5F" w:rsidRDefault="008D292F" w:rsidP="00ED7E83">
            <w:pPr>
              <w:keepNext/>
              <w:keepLines/>
              <w:jc w:val="both"/>
              <w:rPr>
                <w:b/>
                <w:szCs w:val="24"/>
              </w:rPr>
            </w:pPr>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7065AB" w:rsidP="000E2959">
      <w:pPr>
        <w:rPr>
          <w:b/>
          <w:sz w:val="20"/>
          <w:szCs w:val="20"/>
        </w:rPr>
      </w:pPr>
      <w:r>
        <w:rPr>
          <w:b/>
          <w:sz w:val="20"/>
          <w:szCs w:val="20"/>
        </w:rPr>
        <w:t>APRIL</w:t>
      </w:r>
      <w:r w:rsidR="000E2959" w:rsidRPr="00C50A5C">
        <w:rPr>
          <w:b/>
          <w:sz w:val="20"/>
          <w:szCs w:val="20"/>
        </w:rPr>
        <w:t xml:space="preserve"> 2</w:t>
      </w:r>
      <w:r>
        <w:rPr>
          <w:b/>
          <w:sz w:val="20"/>
          <w:szCs w:val="20"/>
        </w:rPr>
        <w:t>3</w:t>
      </w:r>
      <w:r w:rsidR="000E2959" w:rsidRPr="00C50A5C">
        <w:rPr>
          <w:b/>
          <w:sz w:val="20"/>
          <w:szCs w:val="20"/>
        </w:rPr>
        <w:t>, 201</w:t>
      </w:r>
      <w:r w:rsidR="00681F61">
        <w:rPr>
          <w:b/>
          <w:sz w:val="20"/>
          <w:szCs w:val="20"/>
        </w:rPr>
        <w:t>5</w:t>
      </w:r>
      <w:r w:rsidR="000E2959" w:rsidRPr="00C50A5C">
        <w:rPr>
          <w:b/>
          <w:sz w:val="20"/>
          <w:szCs w:val="20"/>
        </w:rPr>
        <w:t xml:space="preserve"> / LE 2</w:t>
      </w:r>
      <w:r>
        <w:rPr>
          <w:b/>
          <w:sz w:val="20"/>
          <w:szCs w:val="20"/>
        </w:rPr>
        <w:t>3</w:t>
      </w:r>
      <w:r w:rsidR="000E2959" w:rsidRPr="00C50A5C">
        <w:rPr>
          <w:b/>
          <w:sz w:val="20"/>
          <w:szCs w:val="20"/>
        </w:rPr>
        <w:t xml:space="preserve"> </w:t>
      </w:r>
      <w:r>
        <w:rPr>
          <w:b/>
          <w:sz w:val="20"/>
          <w:szCs w:val="20"/>
        </w:rPr>
        <w:t xml:space="preserve">AVRIL </w:t>
      </w:r>
      <w:r w:rsidR="000E2959" w:rsidRPr="00C50A5C">
        <w:rPr>
          <w:b/>
          <w:sz w:val="20"/>
          <w:szCs w:val="20"/>
        </w:rPr>
        <w:t>201</w:t>
      </w:r>
      <w:r w:rsidR="00681F61">
        <w:rPr>
          <w:b/>
          <w:sz w:val="20"/>
          <w:szCs w:val="20"/>
        </w:rPr>
        <w:t>5</w:t>
      </w:r>
    </w:p>
    <w:p w:rsidR="000E2959" w:rsidRDefault="000E2959" w:rsidP="00102938">
      <w:pPr>
        <w:jc w:val="both"/>
        <w:rPr>
          <w:sz w:val="20"/>
          <w:szCs w:val="20"/>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318FE" w:rsidRPr="00E318FE" w:rsidTr="00E318FE">
        <w:trPr>
          <w:cantSplit/>
        </w:trPr>
        <w:tc>
          <w:tcPr>
            <w:tcW w:w="1458" w:type="dxa"/>
          </w:tcPr>
          <w:p w:rsidR="00E318FE" w:rsidRPr="00E318FE" w:rsidRDefault="00E318FE" w:rsidP="00102938">
            <w:pPr>
              <w:jc w:val="both"/>
              <w:rPr>
                <w:sz w:val="20"/>
              </w:rPr>
            </w:pPr>
            <w:r w:rsidRPr="00E318FE">
              <w:rPr>
                <w:b/>
                <w:sz w:val="20"/>
                <w:lang w:val="fr-CA"/>
              </w:rPr>
              <w:t>36153</w:t>
            </w:r>
          </w:p>
          <w:p w:rsidR="00E318FE" w:rsidRPr="00E318FE" w:rsidRDefault="00E318FE" w:rsidP="00102938">
            <w:pPr>
              <w:jc w:val="both"/>
              <w:rPr>
                <w:b/>
                <w:sz w:val="20"/>
                <w:lang w:val="fr-CA"/>
              </w:rPr>
            </w:pPr>
          </w:p>
        </w:tc>
        <w:tc>
          <w:tcPr>
            <w:tcW w:w="8118" w:type="dxa"/>
          </w:tcPr>
          <w:p w:rsidR="00E318FE" w:rsidRPr="00E318FE" w:rsidRDefault="00E318FE" w:rsidP="00102938">
            <w:pPr>
              <w:jc w:val="both"/>
              <w:rPr>
                <w:sz w:val="20"/>
              </w:rPr>
            </w:pPr>
            <w:r w:rsidRPr="00E318FE">
              <w:rPr>
                <w:b/>
                <w:sz w:val="20"/>
                <w:u w:val="single"/>
                <w:lang w:val="en-US"/>
              </w:rPr>
              <w:t>Ryan Glenn Ziegler v. Her Majesty the Queen</w:t>
            </w:r>
            <w:r w:rsidRPr="00E318FE">
              <w:rPr>
                <w:sz w:val="20"/>
              </w:rPr>
              <w:t xml:space="preserve"> (B.C.) (Criminal) (By Leave)</w:t>
            </w:r>
          </w:p>
          <w:p w:rsidR="00E318FE" w:rsidRPr="00E318FE" w:rsidRDefault="00E318FE" w:rsidP="00102938">
            <w:pPr>
              <w:jc w:val="both"/>
              <w:rPr>
                <w:sz w:val="20"/>
              </w:rPr>
            </w:pPr>
          </w:p>
        </w:tc>
      </w:tr>
      <w:tr w:rsidR="00E318FE" w:rsidRPr="00E318FE" w:rsidTr="00E318FE">
        <w:trPr>
          <w:cantSplit/>
        </w:trPr>
        <w:tc>
          <w:tcPr>
            <w:tcW w:w="1458" w:type="dxa"/>
          </w:tcPr>
          <w:p w:rsidR="00E318FE" w:rsidRPr="00E318FE" w:rsidRDefault="00E318FE" w:rsidP="00102938">
            <w:pPr>
              <w:jc w:val="both"/>
              <w:rPr>
                <w:sz w:val="20"/>
              </w:rPr>
            </w:pPr>
            <w:r w:rsidRPr="00E318FE">
              <w:rPr>
                <w:sz w:val="20"/>
              </w:rPr>
              <w:t>Coram :</w:t>
            </w:r>
          </w:p>
        </w:tc>
        <w:tc>
          <w:tcPr>
            <w:tcW w:w="8118" w:type="dxa"/>
          </w:tcPr>
          <w:p w:rsidR="00E318FE" w:rsidRPr="00E318FE" w:rsidRDefault="00E318FE" w:rsidP="00102938">
            <w:pPr>
              <w:jc w:val="both"/>
              <w:rPr>
                <w:sz w:val="20"/>
              </w:rPr>
            </w:pPr>
            <w:r w:rsidRPr="00E318FE">
              <w:rPr>
                <w:sz w:val="20"/>
                <w:u w:val="single"/>
                <w:lang w:val="en-US"/>
              </w:rPr>
              <w:t>McLachlin C.J. and Wagner and Gascon JJ.</w:t>
            </w:r>
          </w:p>
          <w:p w:rsidR="00E318FE" w:rsidRPr="00E318FE" w:rsidRDefault="00E318FE" w:rsidP="00102938">
            <w:pPr>
              <w:jc w:val="both"/>
              <w:rPr>
                <w:sz w:val="20"/>
                <w:u w:val="single"/>
              </w:rPr>
            </w:pPr>
          </w:p>
        </w:tc>
      </w:tr>
      <w:tr w:rsidR="00E318FE" w:rsidRPr="00417673" w:rsidTr="00E318FE">
        <w:trPr>
          <w:cantSplit/>
        </w:trPr>
        <w:tc>
          <w:tcPr>
            <w:tcW w:w="9576" w:type="dxa"/>
            <w:gridSpan w:val="2"/>
          </w:tcPr>
          <w:p w:rsidR="00E318FE" w:rsidRPr="00E318FE" w:rsidRDefault="00E318FE" w:rsidP="00102938">
            <w:pPr>
              <w:ind w:firstLine="720"/>
              <w:jc w:val="both"/>
              <w:rPr>
                <w:sz w:val="20"/>
              </w:rPr>
            </w:pPr>
            <w:r w:rsidRPr="00E318FE">
              <w:rPr>
                <w:sz w:val="20"/>
              </w:rPr>
              <w:t>The motion for an extension of time to serve and file the application for leave to appeal is granted.  The motion to appoint counsel is dismissed. The application for leave to appeal from the judgment of the Court of Appeal for British Columbia (Vancouver), Number CA037842, 2012 BCCA 353, dated August 22, 2012, is dismissed.</w:t>
            </w:r>
          </w:p>
          <w:p w:rsidR="00E318FE" w:rsidRPr="00E318FE" w:rsidRDefault="00E318FE" w:rsidP="00102938">
            <w:pPr>
              <w:jc w:val="both"/>
              <w:rPr>
                <w:sz w:val="20"/>
              </w:rPr>
            </w:pPr>
          </w:p>
          <w:p w:rsidR="00E318FE" w:rsidRPr="00E318FE" w:rsidRDefault="00E318FE" w:rsidP="00102938">
            <w:pPr>
              <w:ind w:firstLine="720"/>
              <w:jc w:val="both"/>
              <w:rPr>
                <w:sz w:val="20"/>
                <w:lang w:val="fr-CA"/>
              </w:rPr>
            </w:pPr>
            <w:r w:rsidRPr="00E318FE">
              <w:rPr>
                <w:sz w:val="20"/>
                <w:lang w:val="fr-CA"/>
              </w:rPr>
              <w:t>La requête en prorogation du délai de signification et de dépôt de la demande d’autorisation d’appel est accueillie. La requête en nomination d’un procureur est rejetée.  La demande d’autorisation d’appel de l’arrêt de la Cour d’appel de la Colombie-Britannique (Vancouver), numéro CA037842, 2012 BCCA 353, daté du 22 août 2012, est rejetée.</w:t>
            </w:r>
          </w:p>
        </w:tc>
      </w:tr>
    </w:tbl>
    <w:p w:rsidR="00841E19" w:rsidRPr="00E318FE" w:rsidRDefault="00841E19" w:rsidP="00102938">
      <w:pPr>
        <w:jc w:val="both"/>
        <w:rPr>
          <w:sz w:val="20"/>
          <w:szCs w:val="20"/>
          <w:lang w:val="fr-CA"/>
        </w:rPr>
      </w:pPr>
    </w:p>
    <w:p w:rsidR="00841E19" w:rsidRPr="001B157C" w:rsidRDefault="00841E19" w:rsidP="00102938">
      <w:pPr>
        <w:jc w:val="both"/>
        <w:rPr>
          <w:sz w:val="20"/>
          <w:szCs w:val="20"/>
          <w:u w:val="single"/>
        </w:rPr>
      </w:pPr>
      <w:r w:rsidRPr="001B157C">
        <w:rPr>
          <w:sz w:val="20"/>
          <w:szCs w:val="20"/>
          <w:u w:val="single"/>
        </w:rPr>
        <w:t>CASE SUMMARY</w:t>
      </w:r>
    </w:p>
    <w:p w:rsidR="00841E19" w:rsidRDefault="00841E19" w:rsidP="00102938">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41E19" w:rsidRPr="00841E19" w:rsidTr="00841E19">
        <w:tc>
          <w:tcPr>
            <w:tcW w:w="5000" w:type="pct"/>
            <w:gridSpan w:val="3"/>
          </w:tcPr>
          <w:p w:rsidR="00841E19" w:rsidRPr="00841E19" w:rsidRDefault="00841E19" w:rsidP="00102938">
            <w:pPr>
              <w:jc w:val="both"/>
              <w:rPr>
                <w:rFonts w:eastAsia="Calibri" w:cs="Times New Roman"/>
                <w:smallCaps/>
                <w:sz w:val="20"/>
                <w:szCs w:val="20"/>
              </w:rPr>
            </w:pPr>
            <w:r w:rsidRPr="00841E19">
              <w:rPr>
                <w:rFonts w:eastAsia="Calibri" w:cs="Times New Roman"/>
                <w:smallCaps/>
                <w:sz w:val="20"/>
                <w:szCs w:val="20"/>
              </w:rPr>
              <w:t xml:space="preserve">(Publication </w:t>
            </w:r>
            <w:r w:rsidR="001D3E4B">
              <w:rPr>
                <w:rFonts w:eastAsia="Calibri" w:cs="Times New Roman"/>
                <w:smallCaps/>
                <w:sz w:val="20"/>
                <w:szCs w:val="20"/>
              </w:rPr>
              <w:t>B</w:t>
            </w:r>
            <w:r w:rsidRPr="00841E19">
              <w:rPr>
                <w:rFonts w:eastAsia="Calibri" w:cs="Times New Roman"/>
                <w:smallCaps/>
                <w:sz w:val="20"/>
                <w:szCs w:val="20"/>
              </w:rPr>
              <w:t xml:space="preserve">an in </w:t>
            </w:r>
            <w:r w:rsidR="001D3E4B">
              <w:rPr>
                <w:rFonts w:eastAsia="Calibri" w:cs="Times New Roman"/>
                <w:smallCaps/>
                <w:sz w:val="20"/>
                <w:szCs w:val="20"/>
              </w:rPr>
              <w:t>C</w:t>
            </w:r>
            <w:r w:rsidRPr="00841E19">
              <w:rPr>
                <w:rFonts w:eastAsia="Calibri" w:cs="Times New Roman"/>
                <w:smallCaps/>
                <w:sz w:val="20"/>
                <w:szCs w:val="20"/>
              </w:rPr>
              <w:t>ase)</w:t>
            </w:r>
          </w:p>
          <w:p w:rsidR="00841E19" w:rsidRPr="00841E19" w:rsidRDefault="00841E19" w:rsidP="00102938">
            <w:pPr>
              <w:jc w:val="both"/>
              <w:rPr>
                <w:rFonts w:eastAsia="Calibri" w:cs="Times New Roman"/>
                <w:sz w:val="20"/>
                <w:szCs w:val="20"/>
              </w:rPr>
            </w:pPr>
          </w:p>
          <w:p w:rsidR="00841E19" w:rsidRPr="00841E19" w:rsidRDefault="00841E19" w:rsidP="00102938">
            <w:pPr>
              <w:jc w:val="both"/>
              <w:rPr>
                <w:rFonts w:eastAsia="Calibri" w:cs="Times New Roman"/>
                <w:sz w:val="20"/>
                <w:szCs w:val="20"/>
              </w:rPr>
            </w:pPr>
            <w:r w:rsidRPr="00841E19">
              <w:rPr>
                <w:rFonts w:eastAsia="Calibri" w:cs="Times New Roman"/>
                <w:sz w:val="20"/>
                <w:szCs w:val="20"/>
              </w:rPr>
              <w:t>Criminal law – Dangerous offender – Applicant designated a dangerous offender – Court of Appeal dismissing appeal from designation despite errors committed by trial judge with respect to evidence that could be relied upon – Whether Court of Appeal erred in dismissing applicant’s appeal?</w:t>
            </w:r>
          </w:p>
        </w:tc>
      </w:tr>
      <w:tr w:rsidR="00841E19" w:rsidRPr="00841E19" w:rsidTr="00841E19">
        <w:tc>
          <w:tcPr>
            <w:tcW w:w="5000" w:type="pct"/>
            <w:gridSpan w:val="3"/>
          </w:tcPr>
          <w:p w:rsidR="00841E19" w:rsidRPr="00841E19" w:rsidRDefault="00841E19" w:rsidP="00102938">
            <w:pPr>
              <w:jc w:val="both"/>
              <w:rPr>
                <w:rFonts w:eastAsia="Calibri" w:cs="Times New Roman"/>
                <w:sz w:val="20"/>
                <w:szCs w:val="20"/>
              </w:rPr>
            </w:pPr>
          </w:p>
        </w:tc>
      </w:tr>
      <w:tr w:rsidR="00841E19" w:rsidRPr="00841E19" w:rsidTr="00841E19">
        <w:tc>
          <w:tcPr>
            <w:tcW w:w="5000" w:type="pct"/>
            <w:gridSpan w:val="3"/>
          </w:tcPr>
          <w:p w:rsidR="00841E19" w:rsidRPr="00841E19" w:rsidRDefault="00841E19" w:rsidP="00102938">
            <w:pPr>
              <w:jc w:val="both"/>
              <w:rPr>
                <w:rFonts w:eastAsia="Calibri" w:cs="Times New Roman"/>
                <w:sz w:val="20"/>
                <w:szCs w:val="20"/>
              </w:rPr>
            </w:pPr>
            <w:r w:rsidRPr="00841E19">
              <w:rPr>
                <w:rFonts w:eastAsia="Calibri" w:cs="Times New Roman"/>
                <w:sz w:val="20"/>
                <w:szCs w:val="20"/>
              </w:rPr>
              <w:t xml:space="preserve">In 2007, the applicant was charged with, and convicted of, sexual assault after having cupped the breast of a female ambulance attendant while alighting from an ambulance following his transport to hospital due to a suspected drug overdose.  At the time, the applicant was on probation following the completion of a custodial sentence imposed for two similar sexual assaults on law enforcement personnel in December 2005.  His criminal record – which began when he was a minor – included convictions for roughly 100 offences.  Among other those convictions were convictions for sexual assaults, assaults, indecent acts, and numerous failures to comply with probation orders or recognizances or undertakings. </w:t>
            </w:r>
          </w:p>
          <w:p w:rsidR="00841E19" w:rsidRPr="00841E19" w:rsidRDefault="00841E19" w:rsidP="00102938">
            <w:pPr>
              <w:jc w:val="both"/>
              <w:rPr>
                <w:rFonts w:eastAsia="Calibri" w:cs="Times New Roman"/>
                <w:sz w:val="20"/>
                <w:szCs w:val="20"/>
              </w:rPr>
            </w:pPr>
          </w:p>
          <w:p w:rsidR="00841E19" w:rsidRPr="00841E19" w:rsidRDefault="00841E19" w:rsidP="00102938">
            <w:pPr>
              <w:jc w:val="both"/>
              <w:rPr>
                <w:rFonts w:eastAsia="Calibri" w:cs="Times New Roman"/>
                <w:sz w:val="20"/>
                <w:szCs w:val="20"/>
              </w:rPr>
            </w:pPr>
            <w:r w:rsidRPr="00841E19">
              <w:rPr>
                <w:rFonts w:eastAsia="Calibri" w:cs="Times New Roman"/>
                <w:sz w:val="20"/>
                <w:szCs w:val="20"/>
              </w:rPr>
              <w:t xml:space="preserve">Following the applicant’s conviction, the Crown applied under s. 753 of the </w:t>
            </w:r>
            <w:r w:rsidRPr="00841E19">
              <w:rPr>
                <w:rFonts w:eastAsia="Calibri" w:cs="Times New Roman"/>
                <w:i/>
                <w:sz w:val="20"/>
                <w:szCs w:val="20"/>
              </w:rPr>
              <w:t>Criminal Code</w:t>
            </w:r>
            <w:r w:rsidRPr="00841E19">
              <w:rPr>
                <w:rFonts w:eastAsia="Calibri" w:cs="Times New Roman"/>
                <w:sz w:val="20"/>
                <w:szCs w:val="20"/>
              </w:rPr>
              <w:t xml:space="preserve"> to have him designated a dangerous offender and, if designated, the Crown sought a sentence of an indeterminate period of detention in a federal penitentiary. </w:t>
            </w:r>
          </w:p>
          <w:p w:rsidR="00841E19" w:rsidRPr="00841E19" w:rsidRDefault="00841E19" w:rsidP="00102938">
            <w:pPr>
              <w:jc w:val="both"/>
              <w:rPr>
                <w:rFonts w:eastAsia="Calibri" w:cs="Times New Roman"/>
                <w:sz w:val="20"/>
                <w:szCs w:val="20"/>
              </w:rPr>
            </w:pPr>
          </w:p>
        </w:tc>
      </w:tr>
      <w:tr w:rsidR="00841E19" w:rsidRPr="00841E19" w:rsidTr="00841E19">
        <w:tc>
          <w:tcPr>
            <w:tcW w:w="2427" w:type="pct"/>
          </w:tcPr>
          <w:p w:rsidR="00841E19" w:rsidRPr="00841E19" w:rsidRDefault="00841E19" w:rsidP="00102938">
            <w:pPr>
              <w:jc w:val="both"/>
              <w:rPr>
                <w:rFonts w:eastAsia="Calibri" w:cs="Times New Roman"/>
                <w:sz w:val="20"/>
                <w:szCs w:val="20"/>
              </w:rPr>
            </w:pPr>
            <w:r w:rsidRPr="00841E19">
              <w:rPr>
                <w:rFonts w:eastAsia="Calibri" w:cs="Times New Roman"/>
                <w:sz w:val="20"/>
                <w:szCs w:val="20"/>
              </w:rPr>
              <w:t>January 16, 2008</w:t>
            </w:r>
          </w:p>
          <w:p w:rsidR="00841E19" w:rsidRPr="00841E19" w:rsidRDefault="00841E19" w:rsidP="00102938">
            <w:pPr>
              <w:jc w:val="both"/>
              <w:rPr>
                <w:rFonts w:eastAsia="Calibri" w:cs="Times New Roman"/>
                <w:sz w:val="20"/>
                <w:szCs w:val="20"/>
              </w:rPr>
            </w:pPr>
            <w:r w:rsidRPr="00841E19">
              <w:rPr>
                <w:rFonts w:eastAsia="Calibri" w:cs="Times New Roman"/>
                <w:sz w:val="20"/>
                <w:szCs w:val="20"/>
              </w:rPr>
              <w:t>Provincial Court of British Columbia</w:t>
            </w:r>
          </w:p>
          <w:p w:rsidR="00841E19" w:rsidRPr="00841E19" w:rsidRDefault="00841E19" w:rsidP="00102938">
            <w:pPr>
              <w:jc w:val="both"/>
              <w:rPr>
                <w:rFonts w:eastAsia="Calibri" w:cs="Times New Roman"/>
                <w:sz w:val="20"/>
                <w:szCs w:val="20"/>
              </w:rPr>
            </w:pPr>
            <w:r w:rsidRPr="00841E19">
              <w:rPr>
                <w:rFonts w:eastAsia="Calibri" w:cs="Times New Roman"/>
                <w:sz w:val="20"/>
                <w:szCs w:val="20"/>
              </w:rPr>
              <w:t>(Dyer J.)</w:t>
            </w:r>
          </w:p>
          <w:p w:rsidR="00841E19" w:rsidRPr="00841E19" w:rsidRDefault="00417673" w:rsidP="00102938">
            <w:pPr>
              <w:jc w:val="both"/>
              <w:rPr>
                <w:rFonts w:eastAsia="Calibri" w:cs="Times New Roman"/>
                <w:sz w:val="20"/>
                <w:szCs w:val="20"/>
              </w:rPr>
            </w:pPr>
            <w:hyperlink r:id="rId29" w:history="1">
              <w:r w:rsidR="00841E19" w:rsidRPr="00841E19">
                <w:rPr>
                  <w:rFonts w:eastAsia="Calibri" w:cs="Times New Roman"/>
                  <w:color w:val="0000FF"/>
                  <w:sz w:val="20"/>
                  <w:szCs w:val="20"/>
                  <w:u w:val="single"/>
                </w:rPr>
                <w:t>2008 BCPC 0031</w:t>
              </w:r>
            </w:hyperlink>
          </w:p>
          <w:p w:rsidR="00841E19" w:rsidRPr="00841E19" w:rsidRDefault="00841E19" w:rsidP="00102938">
            <w:pPr>
              <w:jc w:val="both"/>
              <w:rPr>
                <w:rFonts w:eastAsia="Calibri" w:cs="Times New Roman"/>
                <w:sz w:val="20"/>
                <w:szCs w:val="20"/>
              </w:rPr>
            </w:pPr>
          </w:p>
        </w:tc>
        <w:tc>
          <w:tcPr>
            <w:tcW w:w="243" w:type="pct"/>
          </w:tcPr>
          <w:p w:rsidR="00841E19" w:rsidRPr="00841E19" w:rsidRDefault="00841E19" w:rsidP="00102938">
            <w:pPr>
              <w:jc w:val="both"/>
              <w:rPr>
                <w:rFonts w:eastAsia="Calibri" w:cs="Times New Roman"/>
                <w:sz w:val="20"/>
                <w:szCs w:val="20"/>
              </w:rPr>
            </w:pPr>
          </w:p>
        </w:tc>
        <w:tc>
          <w:tcPr>
            <w:tcW w:w="2330" w:type="pct"/>
          </w:tcPr>
          <w:p w:rsidR="00841E19" w:rsidRPr="00841E19" w:rsidRDefault="00841E19" w:rsidP="00102938">
            <w:pPr>
              <w:jc w:val="both"/>
              <w:rPr>
                <w:rFonts w:eastAsia="Calibri" w:cs="Times New Roman"/>
                <w:sz w:val="20"/>
                <w:szCs w:val="20"/>
              </w:rPr>
            </w:pPr>
            <w:r w:rsidRPr="00841E19">
              <w:rPr>
                <w:rFonts w:eastAsia="Calibri" w:cs="Times New Roman"/>
                <w:sz w:val="20"/>
                <w:szCs w:val="20"/>
              </w:rPr>
              <w:t>Applicant convicted of sexual assault, pursuant to s. 271 of the</w:t>
            </w:r>
            <w:r w:rsidRPr="00841E19">
              <w:rPr>
                <w:rFonts w:eastAsia="Calibri" w:cs="Times New Roman"/>
                <w:i/>
                <w:sz w:val="20"/>
                <w:szCs w:val="20"/>
              </w:rPr>
              <w:t xml:space="preserve"> Criminal Code</w:t>
            </w:r>
          </w:p>
          <w:p w:rsidR="00841E19" w:rsidRPr="00841E19" w:rsidRDefault="00841E19" w:rsidP="00102938">
            <w:pPr>
              <w:jc w:val="both"/>
              <w:rPr>
                <w:rFonts w:eastAsia="Calibri" w:cs="Times New Roman"/>
                <w:sz w:val="20"/>
                <w:szCs w:val="20"/>
              </w:rPr>
            </w:pPr>
          </w:p>
        </w:tc>
      </w:tr>
      <w:tr w:rsidR="00841E19" w:rsidRPr="00841E19" w:rsidTr="00841E19">
        <w:tc>
          <w:tcPr>
            <w:tcW w:w="2427" w:type="pct"/>
          </w:tcPr>
          <w:p w:rsidR="00841E19" w:rsidRPr="00841E19" w:rsidRDefault="00841E19" w:rsidP="00102938">
            <w:pPr>
              <w:jc w:val="both"/>
              <w:rPr>
                <w:rFonts w:eastAsia="Calibri" w:cs="Times New Roman"/>
                <w:sz w:val="20"/>
                <w:szCs w:val="20"/>
              </w:rPr>
            </w:pPr>
            <w:r w:rsidRPr="00841E19">
              <w:rPr>
                <w:rFonts w:eastAsia="Calibri" w:cs="Times New Roman"/>
                <w:sz w:val="20"/>
                <w:szCs w:val="20"/>
              </w:rPr>
              <w:t>January 14, 2010</w:t>
            </w:r>
          </w:p>
          <w:p w:rsidR="00841E19" w:rsidRPr="00841E19" w:rsidRDefault="00841E19" w:rsidP="00102938">
            <w:pPr>
              <w:jc w:val="both"/>
              <w:rPr>
                <w:rFonts w:eastAsia="Calibri" w:cs="Times New Roman"/>
                <w:sz w:val="20"/>
                <w:szCs w:val="20"/>
              </w:rPr>
            </w:pPr>
            <w:r w:rsidRPr="00841E19">
              <w:rPr>
                <w:rFonts w:eastAsia="Calibri" w:cs="Times New Roman"/>
                <w:sz w:val="20"/>
                <w:szCs w:val="20"/>
              </w:rPr>
              <w:t>Provincial Court of British Columbia</w:t>
            </w:r>
          </w:p>
          <w:p w:rsidR="00841E19" w:rsidRPr="00841E19" w:rsidRDefault="00841E19" w:rsidP="00102938">
            <w:pPr>
              <w:jc w:val="both"/>
              <w:rPr>
                <w:rFonts w:eastAsia="Calibri" w:cs="Times New Roman"/>
                <w:sz w:val="20"/>
                <w:szCs w:val="20"/>
              </w:rPr>
            </w:pPr>
            <w:r w:rsidRPr="00841E19">
              <w:rPr>
                <w:rFonts w:eastAsia="Calibri" w:cs="Times New Roman"/>
                <w:sz w:val="20"/>
                <w:szCs w:val="20"/>
              </w:rPr>
              <w:t>(Dyer J.)</w:t>
            </w:r>
          </w:p>
          <w:p w:rsidR="00841E19" w:rsidRPr="00841E19" w:rsidRDefault="00841E19" w:rsidP="00102938">
            <w:pPr>
              <w:jc w:val="both"/>
              <w:rPr>
                <w:rFonts w:eastAsia="Calibri" w:cs="Times New Roman"/>
                <w:sz w:val="20"/>
                <w:szCs w:val="20"/>
              </w:rPr>
            </w:pPr>
            <w:r w:rsidRPr="00841E19">
              <w:rPr>
                <w:rFonts w:eastAsia="Calibri" w:cs="Times New Roman"/>
                <w:sz w:val="20"/>
                <w:szCs w:val="20"/>
              </w:rPr>
              <w:t>Court File No. 77560-1</w:t>
            </w:r>
          </w:p>
          <w:p w:rsidR="00841E19" w:rsidRPr="00841E19" w:rsidRDefault="00841E19" w:rsidP="00102938">
            <w:pPr>
              <w:jc w:val="both"/>
              <w:rPr>
                <w:rFonts w:eastAsia="Calibri" w:cs="Times New Roman"/>
                <w:sz w:val="20"/>
                <w:szCs w:val="20"/>
              </w:rPr>
            </w:pPr>
          </w:p>
        </w:tc>
        <w:tc>
          <w:tcPr>
            <w:tcW w:w="243" w:type="pct"/>
          </w:tcPr>
          <w:p w:rsidR="00841E19" w:rsidRPr="00841E19" w:rsidRDefault="00841E19" w:rsidP="00102938">
            <w:pPr>
              <w:jc w:val="both"/>
              <w:rPr>
                <w:rFonts w:eastAsia="Calibri" w:cs="Times New Roman"/>
                <w:sz w:val="20"/>
                <w:szCs w:val="20"/>
              </w:rPr>
            </w:pPr>
          </w:p>
        </w:tc>
        <w:tc>
          <w:tcPr>
            <w:tcW w:w="2330" w:type="pct"/>
          </w:tcPr>
          <w:p w:rsidR="00841E19" w:rsidRPr="00841E19" w:rsidRDefault="00841E19" w:rsidP="00102938">
            <w:pPr>
              <w:jc w:val="both"/>
              <w:rPr>
                <w:rFonts w:eastAsia="Calibri" w:cs="Times New Roman"/>
                <w:sz w:val="20"/>
                <w:szCs w:val="20"/>
              </w:rPr>
            </w:pPr>
            <w:r w:rsidRPr="00841E19">
              <w:rPr>
                <w:rFonts w:eastAsia="Calibri" w:cs="Times New Roman"/>
                <w:sz w:val="20"/>
                <w:szCs w:val="20"/>
              </w:rPr>
              <w:t xml:space="preserve">Applicant designated a dangerous offender pursuant to s. 753(1)(b) of the </w:t>
            </w:r>
            <w:r w:rsidRPr="00841E19">
              <w:rPr>
                <w:rFonts w:eastAsia="Calibri" w:cs="Times New Roman"/>
                <w:i/>
                <w:sz w:val="20"/>
                <w:szCs w:val="20"/>
              </w:rPr>
              <w:t>Criminal Code</w:t>
            </w:r>
            <w:r w:rsidRPr="00841E19">
              <w:rPr>
                <w:rFonts w:eastAsia="Calibri" w:cs="Times New Roman"/>
                <w:sz w:val="20"/>
                <w:szCs w:val="20"/>
              </w:rPr>
              <w:t>; Indeterminate period of detention in a federal penitentiary, imposed</w:t>
            </w:r>
          </w:p>
        </w:tc>
      </w:tr>
    </w:tbl>
    <w:p w:rsidR="00102938" w:rsidRDefault="00102938" w:rsidP="00102938">
      <w:pPr>
        <w:jc w:val="both"/>
      </w:pPr>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41E19" w:rsidRPr="00841E19" w:rsidTr="00841E19">
        <w:tc>
          <w:tcPr>
            <w:tcW w:w="2427" w:type="pct"/>
          </w:tcPr>
          <w:p w:rsidR="00841E19" w:rsidRPr="00841E19" w:rsidRDefault="00841E19" w:rsidP="00102938">
            <w:pPr>
              <w:jc w:val="both"/>
              <w:rPr>
                <w:rFonts w:eastAsia="Calibri" w:cs="Times New Roman"/>
                <w:sz w:val="20"/>
                <w:szCs w:val="20"/>
              </w:rPr>
            </w:pPr>
            <w:r w:rsidRPr="00841E19">
              <w:rPr>
                <w:rFonts w:eastAsia="Calibri" w:cs="Times New Roman"/>
                <w:sz w:val="20"/>
                <w:szCs w:val="20"/>
              </w:rPr>
              <w:lastRenderedPageBreak/>
              <w:t>August 22, 2012</w:t>
            </w:r>
          </w:p>
          <w:p w:rsidR="00841E19" w:rsidRPr="00841E19" w:rsidRDefault="00841E19" w:rsidP="00102938">
            <w:pPr>
              <w:jc w:val="both"/>
              <w:rPr>
                <w:rFonts w:eastAsia="Calibri" w:cs="Times New Roman"/>
                <w:sz w:val="20"/>
                <w:szCs w:val="20"/>
              </w:rPr>
            </w:pPr>
            <w:r w:rsidRPr="00841E19">
              <w:rPr>
                <w:rFonts w:eastAsia="Calibri" w:cs="Times New Roman"/>
                <w:sz w:val="20"/>
                <w:szCs w:val="20"/>
              </w:rPr>
              <w:t xml:space="preserve">Court of Appeal for British Columbia </w:t>
            </w:r>
          </w:p>
          <w:p w:rsidR="00841E19" w:rsidRPr="00841E19" w:rsidRDefault="00841E19" w:rsidP="00102938">
            <w:pPr>
              <w:jc w:val="both"/>
              <w:rPr>
                <w:rFonts w:eastAsia="Calibri" w:cs="Times New Roman"/>
                <w:sz w:val="20"/>
                <w:szCs w:val="20"/>
              </w:rPr>
            </w:pPr>
            <w:r w:rsidRPr="00841E19">
              <w:rPr>
                <w:rFonts w:eastAsia="Calibri" w:cs="Times New Roman"/>
                <w:sz w:val="20"/>
                <w:szCs w:val="20"/>
              </w:rPr>
              <w:t>(Vancouver)</w:t>
            </w:r>
          </w:p>
          <w:p w:rsidR="00841E19" w:rsidRPr="00841E19" w:rsidRDefault="00841E19" w:rsidP="00102938">
            <w:pPr>
              <w:jc w:val="both"/>
              <w:rPr>
                <w:rFonts w:eastAsia="Calibri" w:cs="Times New Roman"/>
                <w:sz w:val="20"/>
                <w:szCs w:val="20"/>
              </w:rPr>
            </w:pPr>
            <w:r w:rsidRPr="00841E19">
              <w:rPr>
                <w:rFonts w:eastAsia="Calibri" w:cs="Times New Roman"/>
                <w:sz w:val="20"/>
                <w:szCs w:val="20"/>
              </w:rPr>
              <w:t>(Lowry, Neilson and Groberman JJ.A)</w:t>
            </w:r>
          </w:p>
          <w:p w:rsidR="00841E19" w:rsidRPr="00841E19" w:rsidRDefault="00417673" w:rsidP="00102938">
            <w:pPr>
              <w:jc w:val="both"/>
              <w:rPr>
                <w:rFonts w:eastAsia="Calibri" w:cs="Times New Roman"/>
                <w:sz w:val="20"/>
                <w:szCs w:val="20"/>
              </w:rPr>
            </w:pPr>
            <w:hyperlink r:id="rId30" w:history="1">
              <w:r w:rsidR="00841E19" w:rsidRPr="00841E19">
                <w:rPr>
                  <w:rFonts w:eastAsia="Calibri" w:cs="Times New Roman"/>
                  <w:color w:val="0000FF"/>
                  <w:sz w:val="20"/>
                  <w:szCs w:val="20"/>
                  <w:u w:val="single"/>
                </w:rPr>
                <w:t>2012 BCCA 353</w:t>
              </w:r>
            </w:hyperlink>
          </w:p>
          <w:p w:rsidR="00841E19" w:rsidRPr="00841E19" w:rsidRDefault="00841E19" w:rsidP="00102938">
            <w:pPr>
              <w:jc w:val="both"/>
              <w:rPr>
                <w:rFonts w:eastAsia="Calibri" w:cs="Times New Roman"/>
                <w:sz w:val="20"/>
                <w:szCs w:val="20"/>
              </w:rPr>
            </w:pPr>
            <w:r w:rsidRPr="00841E19">
              <w:rPr>
                <w:rFonts w:eastAsia="Calibri" w:cs="Times New Roman"/>
                <w:sz w:val="20"/>
                <w:szCs w:val="20"/>
              </w:rPr>
              <w:t>Docket No. CA037842</w:t>
            </w:r>
          </w:p>
          <w:p w:rsidR="00841E19" w:rsidRPr="00841E19" w:rsidRDefault="00841E19" w:rsidP="00102938">
            <w:pPr>
              <w:jc w:val="both"/>
              <w:rPr>
                <w:rFonts w:eastAsia="Calibri" w:cs="Times New Roman"/>
                <w:sz w:val="20"/>
                <w:szCs w:val="20"/>
              </w:rPr>
            </w:pPr>
          </w:p>
        </w:tc>
        <w:tc>
          <w:tcPr>
            <w:tcW w:w="243" w:type="pct"/>
          </w:tcPr>
          <w:p w:rsidR="00841E19" w:rsidRPr="00841E19" w:rsidRDefault="00841E19" w:rsidP="00102938">
            <w:pPr>
              <w:jc w:val="both"/>
              <w:rPr>
                <w:rFonts w:eastAsia="Calibri" w:cs="Times New Roman"/>
                <w:sz w:val="20"/>
                <w:szCs w:val="20"/>
              </w:rPr>
            </w:pPr>
          </w:p>
        </w:tc>
        <w:tc>
          <w:tcPr>
            <w:tcW w:w="2330" w:type="pct"/>
          </w:tcPr>
          <w:p w:rsidR="00841E19" w:rsidRPr="00841E19" w:rsidRDefault="00841E19" w:rsidP="00102938">
            <w:pPr>
              <w:jc w:val="both"/>
              <w:rPr>
                <w:rFonts w:eastAsia="Calibri" w:cs="Times New Roman"/>
                <w:sz w:val="20"/>
                <w:szCs w:val="20"/>
              </w:rPr>
            </w:pPr>
            <w:r w:rsidRPr="00841E19">
              <w:rPr>
                <w:rFonts w:eastAsia="Calibri" w:cs="Times New Roman"/>
                <w:sz w:val="20"/>
                <w:szCs w:val="20"/>
              </w:rPr>
              <w:t>Appeal dismissed</w:t>
            </w:r>
          </w:p>
          <w:p w:rsidR="00841E19" w:rsidRPr="00841E19" w:rsidRDefault="00841E19" w:rsidP="00102938">
            <w:pPr>
              <w:jc w:val="both"/>
              <w:rPr>
                <w:rFonts w:eastAsia="Calibri" w:cs="Times New Roman"/>
                <w:sz w:val="20"/>
                <w:szCs w:val="20"/>
              </w:rPr>
            </w:pPr>
          </w:p>
        </w:tc>
      </w:tr>
      <w:tr w:rsidR="00841E19" w:rsidRPr="00841E19" w:rsidTr="00841E19">
        <w:tc>
          <w:tcPr>
            <w:tcW w:w="2427" w:type="pct"/>
          </w:tcPr>
          <w:p w:rsidR="00841E19" w:rsidRPr="00841E19" w:rsidRDefault="00841E19" w:rsidP="00102938">
            <w:pPr>
              <w:jc w:val="both"/>
              <w:rPr>
                <w:rFonts w:eastAsia="Calibri" w:cs="Times New Roman"/>
                <w:sz w:val="20"/>
                <w:szCs w:val="20"/>
              </w:rPr>
            </w:pPr>
            <w:r w:rsidRPr="00841E19">
              <w:rPr>
                <w:rFonts w:eastAsia="Calibri" w:cs="Times New Roman"/>
                <w:sz w:val="20"/>
                <w:szCs w:val="20"/>
              </w:rPr>
              <w:t>December 6, 2013</w:t>
            </w:r>
          </w:p>
          <w:p w:rsidR="00841E19" w:rsidRPr="00841E19" w:rsidRDefault="00841E19" w:rsidP="00102938">
            <w:pPr>
              <w:jc w:val="both"/>
              <w:rPr>
                <w:rFonts w:eastAsia="Calibri" w:cs="Times New Roman"/>
                <w:sz w:val="20"/>
                <w:szCs w:val="20"/>
              </w:rPr>
            </w:pPr>
            <w:r w:rsidRPr="00841E19">
              <w:rPr>
                <w:rFonts w:eastAsia="Calibri" w:cs="Times New Roman"/>
                <w:sz w:val="20"/>
                <w:szCs w:val="20"/>
              </w:rPr>
              <w:t>Supreme Court of Canada</w:t>
            </w:r>
          </w:p>
          <w:p w:rsidR="00841E19" w:rsidRPr="00841E19" w:rsidRDefault="00841E19" w:rsidP="00102938">
            <w:pPr>
              <w:jc w:val="both"/>
              <w:rPr>
                <w:rFonts w:eastAsia="Calibri" w:cs="Times New Roman"/>
                <w:sz w:val="20"/>
                <w:szCs w:val="20"/>
              </w:rPr>
            </w:pPr>
          </w:p>
        </w:tc>
        <w:tc>
          <w:tcPr>
            <w:tcW w:w="243" w:type="pct"/>
          </w:tcPr>
          <w:p w:rsidR="00841E19" w:rsidRPr="00841E19" w:rsidRDefault="00841E19" w:rsidP="00102938">
            <w:pPr>
              <w:jc w:val="both"/>
              <w:rPr>
                <w:rFonts w:eastAsia="Calibri" w:cs="Times New Roman"/>
                <w:sz w:val="20"/>
                <w:szCs w:val="20"/>
              </w:rPr>
            </w:pPr>
          </w:p>
        </w:tc>
        <w:tc>
          <w:tcPr>
            <w:tcW w:w="2330" w:type="pct"/>
          </w:tcPr>
          <w:p w:rsidR="00841E19" w:rsidRPr="00841E19" w:rsidRDefault="00841E19" w:rsidP="00102938">
            <w:pPr>
              <w:jc w:val="both"/>
              <w:rPr>
                <w:rFonts w:eastAsia="Calibri" w:cs="Times New Roman"/>
                <w:sz w:val="20"/>
                <w:szCs w:val="20"/>
              </w:rPr>
            </w:pPr>
            <w:r w:rsidRPr="00841E19">
              <w:rPr>
                <w:rFonts w:eastAsia="Calibri" w:cs="Times New Roman"/>
                <w:sz w:val="20"/>
                <w:szCs w:val="20"/>
              </w:rPr>
              <w:t>Motion to extend time to serve and file an application for leave to appeal, filed</w:t>
            </w:r>
          </w:p>
        </w:tc>
      </w:tr>
      <w:tr w:rsidR="00841E19" w:rsidRPr="00841E19" w:rsidTr="00841E19">
        <w:tc>
          <w:tcPr>
            <w:tcW w:w="2427" w:type="pct"/>
          </w:tcPr>
          <w:p w:rsidR="00841E19" w:rsidRPr="00841E19" w:rsidRDefault="00841E19" w:rsidP="00102938">
            <w:pPr>
              <w:jc w:val="both"/>
              <w:rPr>
                <w:rFonts w:eastAsia="Calibri" w:cs="Times New Roman"/>
                <w:sz w:val="20"/>
                <w:szCs w:val="20"/>
              </w:rPr>
            </w:pPr>
            <w:r w:rsidRPr="00841E19">
              <w:rPr>
                <w:rFonts w:eastAsia="Calibri" w:cs="Times New Roman"/>
                <w:sz w:val="20"/>
                <w:szCs w:val="20"/>
              </w:rPr>
              <w:t>April 17, 2014</w:t>
            </w:r>
          </w:p>
          <w:p w:rsidR="00841E19" w:rsidRPr="00841E19" w:rsidRDefault="00841E19" w:rsidP="00102938">
            <w:pPr>
              <w:jc w:val="both"/>
              <w:rPr>
                <w:rFonts w:eastAsia="Calibri" w:cs="Times New Roman"/>
                <w:sz w:val="20"/>
                <w:szCs w:val="20"/>
              </w:rPr>
            </w:pPr>
            <w:r w:rsidRPr="00841E19">
              <w:rPr>
                <w:rFonts w:eastAsia="Calibri" w:cs="Times New Roman"/>
                <w:sz w:val="20"/>
                <w:szCs w:val="20"/>
              </w:rPr>
              <w:t>Supreme Court of Canada</w:t>
            </w:r>
          </w:p>
        </w:tc>
        <w:tc>
          <w:tcPr>
            <w:tcW w:w="243" w:type="pct"/>
          </w:tcPr>
          <w:p w:rsidR="00841E19" w:rsidRPr="00841E19" w:rsidRDefault="00841E19" w:rsidP="00102938">
            <w:pPr>
              <w:jc w:val="both"/>
              <w:rPr>
                <w:rFonts w:eastAsia="Calibri" w:cs="Times New Roman"/>
                <w:sz w:val="20"/>
                <w:szCs w:val="20"/>
              </w:rPr>
            </w:pPr>
          </w:p>
        </w:tc>
        <w:tc>
          <w:tcPr>
            <w:tcW w:w="2330" w:type="pct"/>
          </w:tcPr>
          <w:p w:rsidR="00841E19" w:rsidRPr="00841E19" w:rsidRDefault="00841E19" w:rsidP="00102938">
            <w:pPr>
              <w:jc w:val="both"/>
              <w:rPr>
                <w:rFonts w:eastAsia="Calibri" w:cs="Times New Roman"/>
                <w:sz w:val="20"/>
                <w:szCs w:val="20"/>
              </w:rPr>
            </w:pPr>
            <w:r w:rsidRPr="00841E19">
              <w:rPr>
                <w:rFonts w:eastAsia="Calibri" w:cs="Times New Roman"/>
                <w:sz w:val="20"/>
                <w:szCs w:val="20"/>
              </w:rPr>
              <w:t>Motion for the appointment of counsel and application for leave to appeal, filed</w:t>
            </w:r>
          </w:p>
        </w:tc>
      </w:tr>
    </w:tbl>
    <w:p w:rsidR="00841E19" w:rsidRPr="00841E19" w:rsidRDefault="00841E19" w:rsidP="00102938">
      <w:pPr>
        <w:jc w:val="both"/>
        <w:rPr>
          <w:rFonts w:eastAsia="Calibri" w:cs="Times New Roman"/>
          <w:sz w:val="20"/>
          <w:szCs w:val="20"/>
        </w:rPr>
      </w:pPr>
    </w:p>
    <w:p w:rsidR="00841E19" w:rsidRPr="00C50A5C" w:rsidRDefault="00417673" w:rsidP="00102938">
      <w:pPr>
        <w:jc w:val="both"/>
        <w:rPr>
          <w:sz w:val="20"/>
          <w:szCs w:val="20"/>
        </w:rPr>
      </w:pPr>
      <w:r>
        <w:rPr>
          <w:sz w:val="20"/>
          <w:szCs w:val="20"/>
          <w:lang w:val="fr-CA"/>
        </w:rPr>
        <w:pict>
          <v:rect id="_x0000_i1046" style="width:2in;height:1pt" o:hrpct="0" o:hralign="center" o:hrstd="t" o:hrnoshade="t" o:hr="t" fillcolor="black [3213]" stroked="f"/>
        </w:pict>
      </w:r>
    </w:p>
    <w:p w:rsidR="00841E19" w:rsidRDefault="00841E19" w:rsidP="00102938">
      <w:pPr>
        <w:jc w:val="both"/>
        <w:rPr>
          <w:sz w:val="20"/>
          <w:szCs w:val="20"/>
        </w:rPr>
      </w:pPr>
    </w:p>
    <w:p w:rsidR="00841E19" w:rsidRPr="001B157C" w:rsidRDefault="00841E19" w:rsidP="00102938">
      <w:pPr>
        <w:jc w:val="both"/>
        <w:rPr>
          <w:sz w:val="20"/>
          <w:szCs w:val="20"/>
          <w:u w:val="single"/>
          <w:lang w:val="fr-CA"/>
        </w:rPr>
      </w:pPr>
      <w:r w:rsidRPr="001B157C">
        <w:rPr>
          <w:sz w:val="20"/>
          <w:szCs w:val="20"/>
          <w:u w:val="single"/>
          <w:lang w:val="fr-CA"/>
        </w:rPr>
        <w:t>RÉSUMÉ DE L’AFFAIRE</w:t>
      </w:r>
    </w:p>
    <w:p w:rsidR="00841E19" w:rsidRDefault="00841E19" w:rsidP="00102938">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41E19" w:rsidRPr="00417673" w:rsidTr="00841E19">
        <w:tc>
          <w:tcPr>
            <w:tcW w:w="5000" w:type="pct"/>
            <w:gridSpan w:val="3"/>
          </w:tcPr>
          <w:p w:rsidR="00841E19" w:rsidRPr="00841E19" w:rsidRDefault="00841E19" w:rsidP="00102938">
            <w:pPr>
              <w:jc w:val="both"/>
              <w:rPr>
                <w:rFonts w:eastAsia="Calibri" w:cs="Times New Roman"/>
                <w:smallCaps/>
                <w:sz w:val="20"/>
                <w:szCs w:val="20"/>
                <w:lang w:val="fr-CA"/>
              </w:rPr>
            </w:pPr>
            <w:r w:rsidRPr="00841E19">
              <w:rPr>
                <w:rFonts w:eastAsia="Calibri" w:cs="Times New Roman"/>
                <w:smallCaps/>
                <w:sz w:val="20"/>
                <w:szCs w:val="20"/>
                <w:lang w:val="fr-CA"/>
              </w:rPr>
              <w:t>(Ordonnance de non-publication dans le dossier)</w:t>
            </w:r>
          </w:p>
          <w:p w:rsidR="00841E19" w:rsidRPr="00841E19" w:rsidRDefault="00841E19" w:rsidP="00102938">
            <w:pPr>
              <w:jc w:val="both"/>
              <w:rPr>
                <w:rFonts w:eastAsia="Calibri" w:cs="Times New Roman"/>
                <w:sz w:val="20"/>
                <w:szCs w:val="20"/>
                <w:lang w:val="fr-CA"/>
              </w:rPr>
            </w:pPr>
          </w:p>
          <w:p w:rsidR="00841E19" w:rsidRPr="00841E19" w:rsidRDefault="00841E19" w:rsidP="00102938">
            <w:pPr>
              <w:jc w:val="both"/>
              <w:rPr>
                <w:rFonts w:eastAsia="Calibri" w:cs="Times New Roman"/>
                <w:sz w:val="20"/>
                <w:szCs w:val="20"/>
                <w:lang w:val="fr-CA"/>
              </w:rPr>
            </w:pPr>
            <w:r w:rsidRPr="00841E19">
              <w:rPr>
                <w:rFonts w:eastAsia="Calibri" w:cs="Times New Roman"/>
                <w:sz w:val="20"/>
                <w:szCs w:val="20"/>
                <w:lang w:val="fr-CA"/>
              </w:rPr>
              <w:t>Droit criminel – Délinquant dangereux – Le demandeur a été déclaré délinquant dangereux – La Cour d’appel a rejeté l’appel de la déclaration, malgré les erreurs commises par le juge du procès en ce qui a trait aux éléments de preuve dignes de foi – La Cour d’appel a-t-elle eu tort de rejeter l’appel du demandeur?</w:t>
            </w:r>
          </w:p>
        </w:tc>
      </w:tr>
      <w:tr w:rsidR="00841E19" w:rsidRPr="00417673" w:rsidTr="00841E19">
        <w:tc>
          <w:tcPr>
            <w:tcW w:w="5000" w:type="pct"/>
            <w:gridSpan w:val="3"/>
          </w:tcPr>
          <w:p w:rsidR="00841E19" w:rsidRPr="00841E19" w:rsidRDefault="00841E19" w:rsidP="00102938">
            <w:pPr>
              <w:jc w:val="both"/>
              <w:rPr>
                <w:rFonts w:eastAsia="Calibri" w:cs="Times New Roman"/>
                <w:sz w:val="20"/>
                <w:szCs w:val="20"/>
                <w:lang w:val="fr-CA"/>
              </w:rPr>
            </w:pPr>
          </w:p>
        </w:tc>
      </w:tr>
      <w:tr w:rsidR="00841E19" w:rsidRPr="00417673" w:rsidTr="00841E19">
        <w:tc>
          <w:tcPr>
            <w:tcW w:w="5000" w:type="pct"/>
            <w:gridSpan w:val="3"/>
          </w:tcPr>
          <w:p w:rsidR="00841E19" w:rsidRPr="00841E19" w:rsidRDefault="00841E19" w:rsidP="00102938">
            <w:pPr>
              <w:jc w:val="both"/>
              <w:rPr>
                <w:rFonts w:eastAsia="Calibri" w:cs="Times New Roman"/>
                <w:sz w:val="20"/>
                <w:szCs w:val="20"/>
                <w:lang w:val="fr-CA"/>
              </w:rPr>
            </w:pPr>
            <w:r w:rsidRPr="00841E19">
              <w:rPr>
                <w:rFonts w:eastAsia="Calibri" w:cs="Times New Roman"/>
                <w:sz w:val="20"/>
                <w:szCs w:val="20"/>
                <w:lang w:val="fr-CA"/>
              </w:rPr>
              <w:t xml:space="preserve">En 2007, le demandeur a été accusé et déclaré coupable d’agression sexuelle après avoir posé sa main sur le sein d’une ambulancière en descendant d’une ambulance qui l’avait transporté à l’hôpital à la suite de ce qui semblait être une surdose.  Au moment de l’incident, le demandeur était en probation après avoir purgé une peine d’emprisonnement imposée relativement à deux agressions sexuelles semblables, commises en décembre 2005, à l’endroit de membres du personnel d’application de la loi.  Son casier judiciaire – qui remonte à l’époque où il était mineur – comprenait des déclarations de culpabilité pour une centaine d’infractions, notamment des agressions sexuelles, des voies de fait, des actions indécentes et de nombreux défauts de se conformer à des ordonnances de probation ou d’engagement. </w:t>
            </w:r>
          </w:p>
          <w:p w:rsidR="00841E19" w:rsidRPr="00841E19" w:rsidRDefault="00841E19" w:rsidP="00102938">
            <w:pPr>
              <w:jc w:val="both"/>
              <w:rPr>
                <w:rFonts w:eastAsia="Calibri" w:cs="Times New Roman"/>
                <w:sz w:val="20"/>
                <w:szCs w:val="20"/>
                <w:lang w:val="fr-CA"/>
              </w:rPr>
            </w:pPr>
          </w:p>
          <w:p w:rsidR="00841E19" w:rsidRPr="00841E19" w:rsidRDefault="00841E19" w:rsidP="00102938">
            <w:pPr>
              <w:jc w:val="both"/>
              <w:rPr>
                <w:rFonts w:eastAsia="Calibri" w:cs="Times New Roman"/>
                <w:sz w:val="20"/>
                <w:szCs w:val="20"/>
                <w:lang w:val="fr-CA"/>
              </w:rPr>
            </w:pPr>
            <w:r w:rsidRPr="00841E19">
              <w:rPr>
                <w:rFonts w:eastAsia="Calibri" w:cs="Times New Roman"/>
                <w:sz w:val="20"/>
                <w:szCs w:val="20"/>
                <w:lang w:val="fr-CA"/>
              </w:rPr>
              <w:t xml:space="preserve">Après la déclaration de culpabilité prononcée contre le demandeur, le ministère public a présenté une demande en application de l’art. 753 du </w:t>
            </w:r>
            <w:r w:rsidRPr="00841E19">
              <w:rPr>
                <w:rFonts w:eastAsia="Calibri" w:cs="Times New Roman"/>
                <w:i/>
                <w:sz w:val="20"/>
                <w:szCs w:val="20"/>
                <w:lang w:val="fr-CA"/>
              </w:rPr>
              <w:t>Code criminel</w:t>
            </w:r>
            <w:r w:rsidRPr="00841E19">
              <w:rPr>
                <w:rFonts w:eastAsia="Calibri" w:cs="Times New Roman"/>
                <w:sz w:val="20"/>
                <w:szCs w:val="20"/>
                <w:lang w:val="fr-CA"/>
              </w:rPr>
              <w:t xml:space="preserve"> pour le faire déclarer délinquant dangereux et, si la déclaration était prononcée, pour qu’il soit condamné à une peine de détention pour une période indéterminée dans un pénitencier fédéral. </w:t>
            </w:r>
          </w:p>
          <w:p w:rsidR="00841E19" w:rsidRPr="00841E19" w:rsidRDefault="00841E19" w:rsidP="00102938">
            <w:pPr>
              <w:jc w:val="both"/>
              <w:rPr>
                <w:rFonts w:eastAsia="Calibri" w:cs="Times New Roman"/>
                <w:sz w:val="20"/>
                <w:szCs w:val="20"/>
                <w:lang w:val="fr-CA"/>
              </w:rPr>
            </w:pPr>
          </w:p>
        </w:tc>
      </w:tr>
      <w:tr w:rsidR="00841E19" w:rsidRPr="00417673" w:rsidTr="00841E19">
        <w:tc>
          <w:tcPr>
            <w:tcW w:w="2427" w:type="pct"/>
          </w:tcPr>
          <w:p w:rsidR="00841E19" w:rsidRPr="00841E19" w:rsidRDefault="00841E19" w:rsidP="00102938">
            <w:pPr>
              <w:jc w:val="both"/>
              <w:rPr>
                <w:rFonts w:eastAsia="Calibri" w:cs="Times New Roman"/>
                <w:sz w:val="20"/>
                <w:szCs w:val="20"/>
                <w:lang w:val="fr-CA"/>
              </w:rPr>
            </w:pPr>
            <w:r w:rsidRPr="00841E19">
              <w:rPr>
                <w:rFonts w:eastAsia="Calibri" w:cs="Times New Roman"/>
                <w:sz w:val="20"/>
                <w:szCs w:val="20"/>
                <w:lang w:val="fr-CA"/>
              </w:rPr>
              <w:t>16 janvier 2008</w:t>
            </w:r>
          </w:p>
          <w:p w:rsidR="00841E19" w:rsidRPr="00841E19" w:rsidRDefault="00841E19" w:rsidP="00102938">
            <w:pPr>
              <w:jc w:val="both"/>
              <w:rPr>
                <w:rFonts w:eastAsia="Calibri" w:cs="Times New Roman"/>
                <w:sz w:val="20"/>
                <w:szCs w:val="20"/>
                <w:lang w:val="fr-CA"/>
              </w:rPr>
            </w:pPr>
            <w:r w:rsidRPr="00841E19">
              <w:rPr>
                <w:rFonts w:eastAsia="Calibri" w:cs="Times New Roman"/>
                <w:sz w:val="20"/>
                <w:szCs w:val="20"/>
                <w:lang w:val="fr-CA"/>
              </w:rPr>
              <w:t>Cour provinciale de la Colombie-Britannique</w:t>
            </w:r>
          </w:p>
          <w:p w:rsidR="00841E19" w:rsidRPr="00841E19" w:rsidRDefault="00841E19" w:rsidP="00102938">
            <w:pPr>
              <w:jc w:val="both"/>
              <w:rPr>
                <w:rFonts w:eastAsia="Calibri" w:cs="Times New Roman"/>
                <w:sz w:val="20"/>
                <w:szCs w:val="20"/>
                <w:lang w:val="fr-CA"/>
              </w:rPr>
            </w:pPr>
            <w:r w:rsidRPr="00841E19">
              <w:rPr>
                <w:rFonts w:eastAsia="Calibri" w:cs="Times New Roman"/>
                <w:sz w:val="20"/>
                <w:szCs w:val="20"/>
                <w:lang w:val="fr-CA"/>
              </w:rPr>
              <w:t>(Juge Dyer)</w:t>
            </w:r>
          </w:p>
          <w:p w:rsidR="00841E19" w:rsidRPr="00841E19" w:rsidRDefault="00417673" w:rsidP="00102938">
            <w:pPr>
              <w:jc w:val="both"/>
              <w:rPr>
                <w:rFonts w:eastAsia="Calibri" w:cs="Times New Roman"/>
                <w:sz w:val="20"/>
                <w:szCs w:val="20"/>
                <w:lang w:val="fr-CA"/>
              </w:rPr>
            </w:pPr>
            <w:hyperlink r:id="rId31" w:history="1">
              <w:r w:rsidR="00841E19" w:rsidRPr="00841E19">
                <w:rPr>
                  <w:rFonts w:eastAsia="Calibri" w:cs="Times New Roman"/>
                  <w:color w:val="0000FF"/>
                  <w:sz w:val="20"/>
                  <w:szCs w:val="20"/>
                  <w:u w:val="single"/>
                  <w:lang w:val="fr-CA"/>
                </w:rPr>
                <w:t>2008 BCPC 0031</w:t>
              </w:r>
            </w:hyperlink>
          </w:p>
          <w:p w:rsidR="00841E19" w:rsidRPr="00841E19" w:rsidRDefault="00841E19" w:rsidP="00102938">
            <w:pPr>
              <w:jc w:val="both"/>
              <w:rPr>
                <w:rFonts w:eastAsia="Calibri" w:cs="Times New Roman"/>
                <w:sz w:val="20"/>
                <w:szCs w:val="20"/>
                <w:lang w:val="fr-CA"/>
              </w:rPr>
            </w:pPr>
          </w:p>
        </w:tc>
        <w:tc>
          <w:tcPr>
            <w:tcW w:w="243" w:type="pct"/>
          </w:tcPr>
          <w:p w:rsidR="00841E19" w:rsidRPr="00841E19" w:rsidRDefault="00841E19" w:rsidP="00102938">
            <w:pPr>
              <w:jc w:val="both"/>
              <w:rPr>
                <w:rFonts w:eastAsia="Calibri" w:cs="Times New Roman"/>
                <w:sz w:val="20"/>
                <w:szCs w:val="20"/>
                <w:lang w:val="fr-CA"/>
              </w:rPr>
            </w:pPr>
          </w:p>
        </w:tc>
        <w:tc>
          <w:tcPr>
            <w:tcW w:w="2330" w:type="pct"/>
          </w:tcPr>
          <w:p w:rsidR="00841E19" w:rsidRPr="00841E19" w:rsidRDefault="00841E19" w:rsidP="00102938">
            <w:pPr>
              <w:jc w:val="both"/>
              <w:rPr>
                <w:rFonts w:eastAsia="Calibri" w:cs="Times New Roman"/>
                <w:sz w:val="20"/>
                <w:szCs w:val="20"/>
                <w:lang w:val="fr-CA"/>
              </w:rPr>
            </w:pPr>
            <w:r w:rsidRPr="00841E19">
              <w:rPr>
                <w:rFonts w:eastAsia="Calibri" w:cs="Times New Roman"/>
                <w:sz w:val="20"/>
                <w:szCs w:val="20"/>
                <w:lang w:val="fr-CA"/>
              </w:rPr>
              <w:t>Déclaration de culpabilité pour agression sexuelle prononcée contre le demandeur en application de l’art. 271 du</w:t>
            </w:r>
            <w:r w:rsidRPr="00841E19">
              <w:rPr>
                <w:rFonts w:eastAsia="Calibri" w:cs="Times New Roman"/>
                <w:i/>
                <w:sz w:val="20"/>
                <w:szCs w:val="20"/>
                <w:lang w:val="fr-CA"/>
              </w:rPr>
              <w:t xml:space="preserve"> Code criminel </w:t>
            </w:r>
          </w:p>
          <w:p w:rsidR="00841E19" w:rsidRPr="00841E19" w:rsidRDefault="00841E19" w:rsidP="00102938">
            <w:pPr>
              <w:jc w:val="both"/>
              <w:rPr>
                <w:rFonts w:eastAsia="Calibri" w:cs="Times New Roman"/>
                <w:sz w:val="20"/>
                <w:szCs w:val="20"/>
                <w:lang w:val="fr-CA"/>
              </w:rPr>
            </w:pPr>
          </w:p>
        </w:tc>
      </w:tr>
      <w:tr w:rsidR="00841E19" w:rsidRPr="00417673" w:rsidTr="00841E19">
        <w:tc>
          <w:tcPr>
            <w:tcW w:w="2427" w:type="pct"/>
          </w:tcPr>
          <w:p w:rsidR="00841E19" w:rsidRPr="00841E19" w:rsidRDefault="00841E19" w:rsidP="00102938">
            <w:pPr>
              <w:jc w:val="both"/>
              <w:rPr>
                <w:rFonts w:eastAsia="Calibri" w:cs="Times New Roman"/>
                <w:sz w:val="20"/>
                <w:szCs w:val="20"/>
                <w:lang w:val="fr-CA"/>
              </w:rPr>
            </w:pPr>
            <w:r w:rsidRPr="00841E19">
              <w:rPr>
                <w:rFonts w:eastAsia="Calibri" w:cs="Times New Roman"/>
                <w:sz w:val="20"/>
                <w:szCs w:val="20"/>
                <w:lang w:val="fr-CA"/>
              </w:rPr>
              <w:t>14 janvier 2010</w:t>
            </w:r>
          </w:p>
          <w:p w:rsidR="00841E19" w:rsidRPr="00841E19" w:rsidRDefault="00841E19" w:rsidP="00102938">
            <w:pPr>
              <w:jc w:val="both"/>
              <w:rPr>
                <w:rFonts w:eastAsia="Calibri" w:cs="Times New Roman"/>
                <w:sz w:val="20"/>
                <w:szCs w:val="20"/>
                <w:lang w:val="fr-CA"/>
              </w:rPr>
            </w:pPr>
            <w:r w:rsidRPr="00841E19">
              <w:rPr>
                <w:rFonts w:eastAsia="Calibri" w:cs="Times New Roman"/>
                <w:sz w:val="20"/>
                <w:szCs w:val="20"/>
                <w:lang w:val="fr-CA"/>
              </w:rPr>
              <w:t>Cour provinciale de la Colombie-Britannique</w:t>
            </w:r>
          </w:p>
          <w:p w:rsidR="00841E19" w:rsidRPr="00841E19" w:rsidRDefault="00841E19" w:rsidP="00102938">
            <w:pPr>
              <w:jc w:val="both"/>
              <w:rPr>
                <w:rFonts w:eastAsia="Calibri" w:cs="Times New Roman"/>
                <w:sz w:val="20"/>
                <w:szCs w:val="20"/>
                <w:lang w:val="fr-CA"/>
              </w:rPr>
            </w:pPr>
            <w:r w:rsidRPr="00841E19">
              <w:rPr>
                <w:rFonts w:eastAsia="Calibri" w:cs="Times New Roman"/>
                <w:sz w:val="20"/>
                <w:szCs w:val="20"/>
                <w:lang w:val="fr-CA"/>
              </w:rPr>
              <w:t>(Juge Dyer)</w:t>
            </w:r>
          </w:p>
          <w:p w:rsidR="00841E19" w:rsidRPr="00841E19" w:rsidRDefault="00841E19" w:rsidP="00102938">
            <w:pPr>
              <w:jc w:val="both"/>
              <w:rPr>
                <w:rFonts w:eastAsia="Calibri" w:cs="Times New Roman"/>
                <w:sz w:val="20"/>
                <w:szCs w:val="20"/>
                <w:lang w:val="fr-CA"/>
              </w:rPr>
            </w:pPr>
            <w:r w:rsidRPr="00841E19">
              <w:rPr>
                <w:rFonts w:eastAsia="Calibri" w:cs="Times New Roman"/>
                <w:sz w:val="20"/>
                <w:szCs w:val="20"/>
                <w:lang w:val="fr-CA"/>
              </w:rPr>
              <w:t>N</w:t>
            </w:r>
            <w:r w:rsidRPr="00841E19">
              <w:rPr>
                <w:rFonts w:eastAsia="Calibri" w:cs="Times New Roman"/>
                <w:sz w:val="20"/>
                <w:szCs w:val="20"/>
                <w:vertAlign w:val="superscript"/>
                <w:lang w:val="fr-CA"/>
              </w:rPr>
              <w:t>o</w:t>
            </w:r>
            <w:r w:rsidRPr="00841E19">
              <w:rPr>
                <w:rFonts w:eastAsia="Calibri" w:cs="Times New Roman"/>
                <w:sz w:val="20"/>
                <w:szCs w:val="20"/>
                <w:lang w:val="fr-CA"/>
              </w:rPr>
              <w:t xml:space="preserve"> du greffe 77560-1</w:t>
            </w:r>
          </w:p>
          <w:p w:rsidR="00841E19" w:rsidRPr="00841E19" w:rsidRDefault="00841E19" w:rsidP="00102938">
            <w:pPr>
              <w:jc w:val="both"/>
              <w:rPr>
                <w:rFonts w:eastAsia="Calibri" w:cs="Times New Roman"/>
                <w:sz w:val="20"/>
                <w:szCs w:val="20"/>
                <w:lang w:val="fr-CA"/>
              </w:rPr>
            </w:pPr>
          </w:p>
        </w:tc>
        <w:tc>
          <w:tcPr>
            <w:tcW w:w="243" w:type="pct"/>
          </w:tcPr>
          <w:p w:rsidR="00841E19" w:rsidRPr="00841E19" w:rsidRDefault="00841E19" w:rsidP="00102938">
            <w:pPr>
              <w:jc w:val="both"/>
              <w:rPr>
                <w:rFonts w:eastAsia="Calibri" w:cs="Times New Roman"/>
                <w:sz w:val="20"/>
                <w:szCs w:val="20"/>
                <w:lang w:val="fr-CA"/>
              </w:rPr>
            </w:pPr>
          </w:p>
        </w:tc>
        <w:tc>
          <w:tcPr>
            <w:tcW w:w="2330" w:type="pct"/>
          </w:tcPr>
          <w:p w:rsidR="00841E19" w:rsidRPr="00841E19" w:rsidRDefault="00841E19" w:rsidP="00102938">
            <w:pPr>
              <w:jc w:val="both"/>
              <w:rPr>
                <w:rFonts w:eastAsia="Calibri" w:cs="Times New Roman"/>
                <w:sz w:val="20"/>
                <w:szCs w:val="20"/>
                <w:lang w:val="fr-CA"/>
              </w:rPr>
            </w:pPr>
            <w:r w:rsidRPr="00841E19">
              <w:rPr>
                <w:rFonts w:eastAsia="Calibri" w:cs="Times New Roman"/>
                <w:sz w:val="20"/>
                <w:szCs w:val="20"/>
                <w:lang w:val="fr-CA"/>
              </w:rPr>
              <w:t>Déclaration de délinquant dangereux prononcée contre le demandeur en application de l’al. 753(1)</w:t>
            </w:r>
            <w:r w:rsidRPr="00841E19">
              <w:rPr>
                <w:rFonts w:eastAsia="Calibri" w:cs="Times New Roman"/>
                <w:i/>
                <w:sz w:val="20"/>
                <w:szCs w:val="20"/>
                <w:lang w:val="fr-CA"/>
              </w:rPr>
              <w:t>b)</w:t>
            </w:r>
            <w:r w:rsidRPr="00841E19">
              <w:rPr>
                <w:rFonts w:eastAsia="Calibri" w:cs="Times New Roman"/>
                <w:sz w:val="20"/>
                <w:szCs w:val="20"/>
                <w:lang w:val="fr-CA"/>
              </w:rPr>
              <w:t xml:space="preserve"> du </w:t>
            </w:r>
            <w:r w:rsidRPr="00841E19">
              <w:rPr>
                <w:rFonts w:eastAsia="Calibri" w:cs="Times New Roman"/>
                <w:i/>
                <w:sz w:val="20"/>
                <w:szCs w:val="20"/>
                <w:lang w:val="fr-CA"/>
              </w:rPr>
              <w:t>Code criminel</w:t>
            </w:r>
            <w:r w:rsidRPr="00841E19">
              <w:rPr>
                <w:rFonts w:eastAsia="Calibri" w:cs="Times New Roman"/>
                <w:sz w:val="20"/>
                <w:szCs w:val="20"/>
                <w:lang w:val="fr-CA"/>
              </w:rPr>
              <w:t>; imposition d’une peine de détention pour une période indéterminée dans un pénitencier fédéral</w:t>
            </w:r>
          </w:p>
          <w:p w:rsidR="00841E19" w:rsidRPr="00841E19" w:rsidRDefault="00841E19" w:rsidP="00102938">
            <w:pPr>
              <w:jc w:val="both"/>
              <w:rPr>
                <w:rFonts w:eastAsia="Calibri" w:cs="Times New Roman"/>
                <w:sz w:val="20"/>
                <w:szCs w:val="20"/>
                <w:lang w:val="fr-CA"/>
              </w:rPr>
            </w:pPr>
          </w:p>
        </w:tc>
      </w:tr>
    </w:tbl>
    <w:p w:rsidR="00102938" w:rsidRPr="00EF485B" w:rsidRDefault="00102938" w:rsidP="00102938">
      <w:pPr>
        <w:jc w:val="both"/>
        <w:rPr>
          <w:lang w:val="fr-CA"/>
        </w:rPr>
      </w:pPr>
      <w:r w:rsidRPr="00EF485B">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41E19" w:rsidRPr="00841E19" w:rsidTr="00841E19">
        <w:tc>
          <w:tcPr>
            <w:tcW w:w="2427" w:type="pct"/>
          </w:tcPr>
          <w:p w:rsidR="00841E19" w:rsidRPr="00841E19" w:rsidRDefault="00841E19" w:rsidP="00102938">
            <w:pPr>
              <w:jc w:val="both"/>
              <w:rPr>
                <w:rFonts w:eastAsia="Calibri" w:cs="Times New Roman"/>
                <w:sz w:val="20"/>
                <w:szCs w:val="20"/>
                <w:lang w:val="fr-CA"/>
              </w:rPr>
            </w:pPr>
            <w:r w:rsidRPr="00841E19">
              <w:rPr>
                <w:rFonts w:eastAsia="Calibri" w:cs="Times New Roman"/>
                <w:sz w:val="20"/>
                <w:szCs w:val="20"/>
                <w:lang w:val="fr-CA"/>
              </w:rPr>
              <w:lastRenderedPageBreak/>
              <w:t>22 août 2012</w:t>
            </w:r>
          </w:p>
          <w:p w:rsidR="00841E19" w:rsidRPr="00841E19" w:rsidRDefault="00841E19" w:rsidP="00102938">
            <w:pPr>
              <w:jc w:val="both"/>
              <w:rPr>
                <w:rFonts w:eastAsia="Calibri" w:cs="Times New Roman"/>
                <w:sz w:val="20"/>
                <w:szCs w:val="20"/>
                <w:lang w:val="fr-CA"/>
              </w:rPr>
            </w:pPr>
            <w:r w:rsidRPr="00841E19">
              <w:rPr>
                <w:rFonts w:eastAsia="Calibri" w:cs="Times New Roman"/>
                <w:sz w:val="20"/>
                <w:szCs w:val="20"/>
                <w:lang w:val="fr-CA"/>
              </w:rPr>
              <w:t>Cour d’appel de la Colombie-Britannique</w:t>
            </w:r>
          </w:p>
          <w:p w:rsidR="00841E19" w:rsidRPr="00841E19" w:rsidRDefault="00841E19" w:rsidP="00102938">
            <w:pPr>
              <w:jc w:val="both"/>
              <w:rPr>
                <w:rFonts w:eastAsia="Calibri" w:cs="Times New Roman"/>
                <w:sz w:val="20"/>
                <w:szCs w:val="20"/>
                <w:lang w:val="fr-CA"/>
              </w:rPr>
            </w:pPr>
            <w:r w:rsidRPr="00841E19">
              <w:rPr>
                <w:rFonts w:eastAsia="Calibri" w:cs="Times New Roman"/>
                <w:sz w:val="20"/>
                <w:szCs w:val="20"/>
                <w:lang w:val="fr-CA"/>
              </w:rPr>
              <w:t>(Vancouver)</w:t>
            </w:r>
          </w:p>
          <w:p w:rsidR="00841E19" w:rsidRPr="00841E19" w:rsidRDefault="00841E19" w:rsidP="00102938">
            <w:pPr>
              <w:jc w:val="both"/>
              <w:rPr>
                <w:rFonts w:eastAsia="Calibri" w:cs="Times New Roman"/>
                <w:sz w:val="20"/>
                <w:szCs w:val="20"/>
                <w:lang w:val="fr-CA"/>
              </w:rPr>
            </w:pPr>
            <w:r w:rsidRPr="00841E19">
              <w:rPr>
                <w:rFonts w:eastAsia="Calibri" w:cs="Times New Roman"/>
                <w:sz w:val="20"/>
                <w:szCs w:val="20"/>
                <w:lang w:val="fr-CA"/>
              </w:rPr>
              <w:t>(Juges Lowry, Neilson et Groberman)</w:t>
            </w:r>
          </w:p>
          <w:p w:rsidR="00841E19" w:rsidRPr="00841E19" w:rsidRDefault="00417673" w:rsidP="00102938">
            <w:pPr>
              <w:jc w:val="both"/>
              <w:rPr>
                <w:rFonts w:eastAsia="Calibri" w:cs="Times New Roman"/>
                <w:sz w:val="20"/>
                <w:szCs w:val="20"/>
                <w:lang w:val="fr-CA"/>
              </w:rPr>
            </w:pPr>
            <w:hyperlink r:id="rId32" w:history="1">
              <w:r w:rsidR="00841E19" w:rsidRPr="00841E19">
                <w:rPr>
                  <w:rFonts w:eastAsia="Calibri" w:cs="Times New Roman"/>
                  <w:color w:val="0000FF"/>
                  <w:sz w:val="20"/>
                  <w:szCs w:val="20"/>
                  <w:u w:val="single"/>
                  <w:lang w:val="fr-CA"/>
                </w:rPr>
                <w:t>2012 BCCA 353</w:t>
              </w:r>
            </w:hyperlink>
          </w:p>
          <w:p w:rsidR="00841E19" w:rsidRPr="00841E19" w:rsidRDefault="00841E19" w:rsidP="00102938">
            <w:pPr>
              <w:jc w:val="both"/>
              <w:rPr>
                <w:rFonts w:eastAsia="Calibri" w:cs="Times New Roman"/>
                <w:sz w:val="20"/>
                <w:szCs w:val="20"/>
                <w:lang w:val="fr-CA"/>
              </w:rPr>
            </w:pPr>
            <w:r w:rsidRPr="00841E19">
              <w:rPr>
                <w:rFonts w:eastAsia="Calibri" w:cs="Times New Roman"/>
                <w:sz w:val="20"/>
                <w:szCs w:val="20"/>
                <w:lang w:val="fr-CA"/>
              </w:rPr>
              <w:t>N</w:t>
            </w:r>
            <w:r w:rsidRPr="00841E19">
              <w:rPr>
                <w:rFonts w:eastAsia="Calibri" w:cs="Times New Roman"/>
                <w:sz w:val="20"/>
                <w:szCs w:val="20"/>
                <w:vertAlign w:val="superscript"/>
                <w:lang w:val="fr-CA"/>
              </w:rPr>
              <w:t>o</w:t>
            </w:r>
            <w:r w:rsidRPr="00841E19">
              <w:rPr>
                <w:rFonts w:eastAsia="Calibri" w:cs="Times New Roman"/>
                <w:sz w:val="20"/>
                <w:szCs w:val="20"/>
                <w:lang w:val="fr-CA"/>
              </w:rPr>
              <w:t xml:space="preserve"> du greffe CA037842</w:t>
            </w:r>
          </w:p>
          <w:p w:rsidR="00841E19" w:rsidRPr="00841E19" w:rsidRDefault="00841E19" w:rsidP="00102938">
            <w:pPr>
              <w:jc w:val="both"/>
              <w:rPr>
                <w:rFonts w:eastAsia="Calibri" w:cs="Times New Roman"/>
                <w:sz w:val="20"/>
                <w:szCs w:val="20"/>
                <w:lang w:val="fr-CA"/>
              </w:rPr>
            </w:pPr>
          </w:p>
        </w:tc>
        <w:tc>
          <w:tcPr>
            <w:tcW w:w="243" w:type="pct"/>
          </w:tcPr>
          <w:p w:rsidR="00841E19" w:rsidRPr="00841E19" w:rsidRDefault="00841E19" w:rsidP="00102938">
            <w:pPr>
              <w:jc w:val="both"/>
              <w:rPr>
                <w:rFonts w:eastAsia="Calibri" w:cs="Times New Roman"/>
                <w:sz w:val="20"/>
                <w:szCs w:val="20"/>
                <w:lang w:val="fr-CA"/>
              </w:rPr>
            </w:pPr>
          </w:p>
        </w:tc>
        <w:tc>
          <w:tcPr>
            <w:tcW w:w="2330" w:type="pct"/>
          </w:tcPr>
          <w:p w:rsidR="00841E19" w:rsidRPr="00841E19" w:rsidRDefault="00841E19" w:rsidP="00102938">
            <w:pPr>
              <w:jc w:val="both"/>
              <w:rPr>
                <w:rFonts w:eastAsia="Calibri" w:cs="Times New Roman"/>
                <w:sz w:val="20"/>
                <w:szCs w:val="20"/>
                <w:lang w:val="fr-CA"/>
              </w:rPr>
            </w:pPr>
            <w:r w:rsidRPr="00841E19">
              <w:rPr>
                <w:rFonts w:eastAsia="Calibri" w:cs="Times New Roman"/>
                <w:sz w:val="20"/>
                <w:szCs w:val="20"/>
                <w:lang w:val="fr-CA"/>
              </w:rPr>
              <w:t>Rejet de l’appel</w:t>
            </w:r>
          </w:p>
          <w:p w:rsidR="00841E19" w:rsidRPr="00841E19" w:rsidRDefault="00841E19" w:rsidP="00102938">
            <w:pPr>
              <w:jc w:val="both"/>
              <w:rPr>
                <w:rFonts w:eastAsia="Calibri" w:cs="Times New Roman"/>
                <w:sz w:val="20"/>
                <w:szCs w:val="20"/>
                <w:lang w:val="fr-CA"/>
              </w:rPr>
            </w:pPr>
          </w:p>
        </w:tc>
      </w:tr>
      <w:tr w:rsidR="00841E19" w:rsidRPr="00417673" w:rsidTr="00841E19">
        <w:tc>
          <w:tcPr>
            <w:tcW w:w="2427" w:type="pct"/>
          </w:tcPr>
          <w:p w:rsidR="00841E19" w:rsidRPr="00841E19" w:rsidRDefault="00841E19" w:rsidP="00102938">
            <w:pPr>
              <w:jc w:val="both"/>
              <w:rPr>
                <w:rFonts w:eastAsia="Calibri" w:cs="Times New Roman"/>
                <w:sz w:val="20"/>
                <w:szCs w:val="20"/>
                <w:lang w:val="fr-CA"/>
              </w:rPr>
            </w:pPr>
            <w:r w:rsidRPr="00841E19">
              <w:rPr>
                <w:rFonts w:eastAsia="Calibri" w:cs="Times New Roman"/>
                <w:sz w:val="20"/>
                <w:szCs w:val="20"/>
                <w:lang w:val="fr-CA"/>
              </w:rPr>
              <w:t>6 décembre 2013</w:t>
            </w:r>
          </w:p>
          <w:p w:rsidR="00841E19" w:rsidRPr="00841E19" w:rsidRDefault="00841E19" w:rsidP="00102938">
            <w:pPr>
              <w:jc w:val="both"/>
              <w:rPr>
                <w:rFonts w:eastAsia="Calibri" w:cs="Times New Roman"/>
                <w:sz w:val="20"/>
                <w:szCs w:val="20"/>
                <w:lang w:val="fr-CA"/>
              </w:rPr>
            </w:pPr>
            <w:r w:rsidRPr="00841E19">
              <w:rPr>
                <w:rFonts w:eastAsia="Calibri" w:cs="Times New Roman"/>
                <w:sz w:val="20"/>
                <w:szCs w:val="20"/>
                <w:lang w:val="fr-CA"/>
              </w:rPr>
              <w:t>Cour suprême du Canada</w:t>
            </w:r>
          </w:p>
          <w:p w:rsidR="00841E19" w:rsidRPr="00841E19" w:rsidRDefault="00841E19" w:rsidP="00102938">
            <w:pPr>
              <w:jc w:val="both"/>
              <w:rPr>
                <w:rFonts w:eastAsia="Calibri" w:cs="Times New Roman"/>
                <w:sz w:val="20"/>
                <w:szCs w:val="20"/>
                <w:lang w:val="fr-CA"/>
              </w:rPr>
            </w:pPr>
          </w:p>
        </w:tc>
        <w:tc>
          <w:tcPr>
            <w:tcW w:w="243" w:type="pct"/>
          </w:tcPr>
          <w:p w:rsidR="00841E19" w:rsidRPr="00841E19" w:rsidRDefault="00841E19" w:rsidP="00102938">
            <w:pPr>
              <w:jc w:val="both"/>
              <w:rPr>
                <w:rFonts w:eastAsia="Calibri" w:cs="Times New Roman"/>
                <w:sz w:val="20"/>
                <w:szCs w:val="20"/>
                <w:lang w:val="fr-CA"/>
              </w:rPr>
            </w:pPr>
          </w:p>
        </w:tc>
        <w:tc>
          <w:tcPr>
            <w:tcW w:w="2330" w:type="pct"/>
          </w:tcPr>
          <w:p w:rsidR="00841E19" w:rsidRPr="00841E19" w:rsidRDefault="00841E19" w:rsidP="00102938">
            <w:pPr>
              <w:jc w:val="both"/>
              <w:rPr>
                <w:rFonts w:eastAsia="Calibri" w:cs="Times New Roman"/>
                <w:sz w:val="20"/>
                <w:szCs w:val="20"/>
                <w:lang w:val="fr-CA"/>
              </w:rPr>
            </w:pPr>
            <w:r w:rsidRPr="00841E19">
              <w:rPr>
                <w:rFonts w:eastAsia="Calibri" w:cs="Times New Roman"/>
                <w:sz w:val="20"/>
                <w:szCs w:val="20"/>
                <w:lang w:val="fr-CA"/>
              </w:rPr>
              <w:t>Dépôt de la requête en prorogation du délai de signification et de dépôt de la demande d’autorisation d’appel</w:t>
            </w:r>
          </w:p>
          <w:p w:rsidR="00841E19" w:rsidRPr="00841E19" w:rsidRDefault="00841E19" w:rsidP="00102938">
            <w:pPr>
              <w:jc w:val="both"/>
              <w:rPr>
                <w:rFonts w:eastAsia="Calibri" w:cs="Times New Roman"/>
                <w:sz w:val="20"/>
                <w:szCs w:val="20"/>
                <w:lang w:val="fr-CA"/>
              </w:rPr>
            </w:pPr>
          </w:p>
        </w:tc>
      </w:tr>
      <w:tr w:rsidR="00841E19" w:rsidRPr="00417673" w:rsidTr="00841E19">
        <w:tc>
          <w:tcPr>
            <w:tcW w:w="2427" w:type="pct"/>
          </w:tcPr>
          <w:p w:rsidR="00841E19" w:rsidRPr="00841E19" w:rsidRDefault="00841E19" w:rsidP="00102938">
            <w:pPr>
              <w:jc w:val="both"/>
              <w:rPr>
                <w:rFonts w:eastAsia="Calibri" w:cs="Times New Roman"/>
                <w:sz w:val="20"/>
                <w:szCs w:val="20"/>
                <w:lang w:val="fr-CA"/>
              </w:rPr>
            </w:pPr>
            <w:r w:rsidRPr="00841E19">
              <w:rPr>
                <w:rFonts w:eastAsia="Calibri" w:cs="Times New Roman"/>
                <w:sz w:val="20"/>
                <w:szCs w:val="20"/>
                <w:lang w:val="fr-CA"/>
              </w:rPr>
              <w:t>17 avril 2014</w:t>
            </w:r>
          </w:p>
          <w:p w:rsidR="00841E19" w:rsidRPr="00841E19" w:rsidRDefault="00841E19" w:rsidP="00102938">
            <w:pPr>
              <w:jc w:val="both"/>
              <w:rPr>
                <w:rFonts w:eastAsia="Calibri" w:cs="Times New Roman"/>
                <w:sz w:val="20"/>
                <w:szCs w:val="20"/>
                <w:lang w:val="fr-CA"/>
              </w:rPr>
            </w:pPr>
            <w:r w:rsidRPr="00841E19">
              <w:rPr>
                <w:rFonts w:eastAsia="Calibri" w:cs="Times New Roman"/>
                <w:sz w:val="20"/>
                <w:szCs w:val="20"/>
                <w:lang w:val="fr-CA"/>
              </w:rPr>
              <w:t>Cour suprême du Canada</w:t>
            </w:r>
          </w:p>
        </w:tc>
        <w:tc>
          <w:tcPr>
            <w:tcW w:w="243" w:type="pct"/>
          </w:tcPr>
          <w:p w:rsidR="00841E19" w:rsidRPr="00841E19" w:rsidRDefault="00841E19" w:rsidP="00102938">
            <w:pPr>
              <w:jc w:val="both"/>
              <w:rPr>
                <w:rFonts w:eastAsia="Calibri" w:cs="Times New Roman"/>
                <w:sz w:val="20"/>
                <w:szCs w:val="20"/>
                <w:lang w:val="fr-CA"/>
              </w:rPr>
            </w:pPr>
          </w:p>
        </w:tc>
        <w:tc>
          <w:tcPr>
            <w:tcW w:w="2330" w:type="pct"/>
          </w:tcPr>
          <w:p w:rsidR="00841E19" w:rsidRPr="00841E19" w:rsidRDefault="00841E19" w:rsidP="00102938">
            <w:pPr>
              <w:jc w:val="both"/>
              <w:rPr>
                <w:rFonts w:eastAsia="Calibri" w:cs="Times New Roman"/>
                <w:sz w:val="20"/>
                <w:szCs w:val="20"/>
                <w:lang w:val="fr-CA"/>
              </w:rPr>
            </w:pPr>
            <w:r w:rsidRPr="00841E19">
              <w:rPr>
                <w:rFonts w:eastAsia="Calibri" w:cs="Times New Roman"/>
                <w:sz w:val="20"/>
                <w:szCs w:val="20"/>
                <w:lang w:val="fr-CA"/>
              </w:rPr>
              <w:t>Dépôt de la requête en nomination d’un procureur et de la demande d’autorisation d’appel</w:t>
            </w:r>
          </w:p>
        </w:tc>
      </w:tr>
    </w:tbl>
    <w:p w:rsidR="00841E19" w:rsidRPr="00204D62" w:rsidRDefault="00841E19" w:rsidP="00102938">
      <w:pPr>
        <w:jc w:val="both"/>
        <w:rPr>
          <w:sz w:val="20"/>
          <w:szCs w:val="20"/>
          <w:lang w:val="fr-CA"/>
        </w:rPr>
      </w:pPr>
    </w:p>
    <w:p w:rsidR="00841E19" w:rsidRPr="00C50A5C" w:rsidRDefault="00417673" w:rsidP="00102938">
      <w:pPr>
        <w:jc w:val="both"/>
        <w:rPr>
          <w:sz w:val="20"/>
          <w:szCs w:val="20"/>
        </w:rPr>
      </w:pPr>
      <w:r>
        <w:rPr>
          <w:sz w:val="20"/>
          <w:szCs w:val="20"/>
          <w:lang w:val="fr-CA"/>
        </w:rPr>
        <w:pict>
          <v:rect id="_x0000_i1047" style="width:2in;height:1pt" o:hrpct="0" o:hralign="center" o:hrstd="t" o:hrnoshade="t" o:hr="t" fillcolor="black [3213]" stroked="f"/>
        </w:pict>
      </w:r>
    </w:p>
    <w:p w:rsidR="00E318FE" w:rsidRDefault="00E318FE" w:rsidP="00102938">
      <w:pPr>
        <w:jc w:val="both"/>
        <w:rPr>
          <w:sz w:val="20"/>
          <w:szCs w:val="20"/>
          <w:u w:val="single"/>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318FE" w:rsidRPr="00417673" w:rsidTr="00E318FE">
        <w:trPr>
          <w:cantSplit/>
        </w:trPr>
        <w:tc>
          <w:tcPr>
            <w:tcW w:w="1458" w:type="dxa"/>
          </w:tcPr>
          <w:p w:rsidR="00E318FE" w:rsidRPr="00E318FE" w:rsidRDefault="00E318FE" w:rsidP="00102938">
            <w:pPr>
              <w:jc w:val="both"/>
              <w:rPr>
                <w:sz w:val="20"/>
              </w:rPr>
            </w:pPr>
            <w:r w:rsidRPr="00E318FE">
              <w:rPr>
                <w:b/>
                <w:sz w:val="20"/>
                <w:lang w:val="fr-CA"/>
              </w:rPr>
              <w:t>36160</w:t>
            </w:r>
          </w:p>
          <w:p w:rsidR="00E318FE" w:rsidRPr="00E318FE" w:rsidRDefault="00E318FE" w:rsidP="00102938">
            <w:pPr>
              <w:jc w:val="both"/>
              <w:rPr>
                <w:b/>
                <w:sz w:val="20"/>
                <w:lang w:val="fr-CA"/>
              </w:rPr>
            </w:pPr>
          </w:p>
        </w:tc>
        <w:tc>
          <w:tcPr>
            <w:tcW w:w="8118" w:type="dxa"/>
          </w:tcPr>
          <w:p w:rsidR="00E318FE" w:rsidRPr="00E318FE" w:rsidRDefault="00E318FE" w:rsidP="00102938">
            <w:pPr>
              <w:jc w:val="both"/>
              <w:rPr>
                <w:sz w:val="20"/>
                <w:lang w:val="fr-CA"/>
              </w:rPr>
            </w:pPr>
            <w:r w:rsidRPr="00E318FE">
              <w:rPr>
                <w:b/>
                <w:sz w:val="20"/>
                <w:u w:val="single"/>
                <w:lang w:val="fr-CA"/>
              </w:rPr>
              <w:t>Gabriel Genest c. Agence du revenu du Québec</w:t>
            </w:r>
            <w:r w:rsidRPr="00E318FE">
              <w:rPr>
                <w:sz w:val="20"/>
                <w:lang w:val="fr-CA"/>
              </w:rPr>
              <w:t xml:space="preserve"> (Qc) (Civile) (Autorisation)</w:t>
            </w:r>
          </w:p>
          <w:p w:rsidR="00E318FE" w:rsidRPr="00E318FE" w:rsidRDefault="00E318FE" w:rsidP="00102938">
            <w:pPr>
              <w:jc w:val="both"/>
              <w:rPr>
                <w:sz w:val="20"/>
                <w:lang w:val="fr-CA"/>
              </w:rPr>
            </w:pPr>
          </w:p>
        </w:tc>
      </w:tr>
      <w:tr w:rsidR="00E318FE" w:rsidRPr="00417673" w:rsidTr="00E318FE">
        <w:trPr>
          <w:cantSplit/>
        </w:trPr>
        <w:tc>
          <w:tcPr>
            <w:tcW w:w="1458" w:type="dxa"/>
          </w:tcPr>
          <w:p w:rsidR="00E318FE" w:rsidRPr="00E318FE" w:rsidRDefault="00E318FE" w:rsidP="00102938">
            <w:pPr>
              <w:jc w:val="both"/>
              <w:rPr>
                <w:sz w:val="20"/>
              </w:rPr>
            </w:pPr>
            <w:r w:rsidRPr="00E318FE">
              <w:rPr>
                <w:sz w:val="20"/>
              </w:rPr>
              <w:t>Coram :</w:t>
            </w:r>
          </w:p>
        </w:tc>
        <w:tc>
          <w:tcPr>
            <w:tcW w:w="8118" w:type="dxa"/>
          </w:tcPr>
          <w:p w:rsidR="00E318FE" w:rsidRPr="00E318FE" w:rsidRDefault="00E318FE" w:rsidP="00102938">
            <w:pPr>
              <w:jc w:val="both"/>
              <w:rPr>
                <w:sz w:val="20"/>
                <w:lang w:val="fr-CA"/>
              </w:rPr>
            </w:pPr>
            <w:r w:rsidRPr="00E318FE">
              <w:rPr>
                <w:sz w:val="20"/>
                <w:u w:val="single"/>
                <w:lang w:val="fr-CA"/>
              </w:rPr>
              <w:t>Les juges Abella, Karakatsanis et Wagner</w:t>
            </w:r>
          </w:p>
          <w:p w:rsidR="00E318FE" w:rsidRPr="00E318FE" w:rsidRDefault="00E318FE" w:rsidP="00102938">
            <w:pPr>
              <w:jc w:val="both"/>
              <w:rPr>
                <w:sz w:val="20"/>
                <w:u w:val="single"/>
                <w:lang w:val="fr-CA"/>
              </w:rPr>
            </w:pPr>
          </w:p>
        </w:tc>
      </w:tr>
      <w:tr w:rsidR="00E318FE" w:rsidRPr="00E318FE" w:rsidTr="00E318FE">
        <w:trPr>
          <w:cantSplit/>
        </w:trPr>
        <w:tc>
          <w:tcPr>
            <w:tcW w:w="9576" w:type="dxa"/>
            <w:gridSpan w:val="2"/>
          </w:tcPr>
          <w:p w:rsidR="00E318FE" w:rsidRPr="00E318FE" w:rsidRDefault="00E318FE" w:rsidP="00102938">
            <w:pPr>
              <w:ind w:firstLine="720"/>
              <w:jc w:val="both"/>
              <w:rPr>
                <w:sz w:val="20"/>
                <w:lang w:val="fr-CA"/>
              </w:rPr>
            </w:pPr>
            <w:r w:rsidRPr="00E318FE">
              <w:rPr>
                <w:sz w:val="20"/>
                <w:lang w:val="fr-CA"/>
              </w:rPr>
              <w:t>La demande d’autorisation d’appel de l’arrêt de la Cour d’appel du Québec (Québec), numéro 200-09-008030-139, 2014 QCCA 1649, daté du 11 septembre 2014, est rejetée avec dépens.</w:t>
            </w:r>
          </w:p>
          <w:p w:rsidR="00E318FE" w:rsidRPr="00E318FE" w:rsidRDefault="00E318FE" w:rsidP="00102938">
            <w:pPr>
              <w:jc w:val="both"/>
              <w:rPr>
                <w:sz w:val="20"/>
                <w:lang w:val="fr-CA"/>
              </w:rPr>
            </w:pPr>
          </w:p>
          <w:p w:rsidR="00E318FE" w:rsidRPr="00E318FE" w:rsidRDefault="00E318FE" w:rsidP="00102938">
            <w:pPr>
              <w:ind w:firstLine="720"/>
              <w:jc w:val="both"/>
              <w:rPr>
                <w:sz w:val="20"/>
              </w:rPr>
            </w:pPr>
            <w:r w:rsidRPr="00E318FE">
              <w:rPr>
                <w:sz w:val="20"/>
              </w:rPr>
              <w:t>The application for leave to appeal from the judgment of the Court of Appeal of Quebec (Québec), Number 200-09-008030-139, 2014 QCCA 1649, dated September 11, 2014, is dismissed with costs.</w:t>
            </w:r>
          </w:p>
        </w:tc>
      </w:tr>
    </w:tbl>
    <w:p w:rsidR="00E318FE" w:rsidRDefault="00E318FE" w:rsidP="00102938">
      <w:pPr>
        <w:jc w:val="both"/>
        <w:rPr>
          <w:sz w:val="20"/>
          <w:szCs w:val="20"/>
          <w:u w:val="single"/>
        </w:rPr>
      </w:pPr>
    </w:p>
    <w:p w:rsidR="00E318FE" w:rsidRPr="001B157C" w:rsidRDefault="00E318FE" w:rsidP="00102938">
      <w:pPr>
        <w:jc w:val="both"/>
        <w:rPr>
          <w:sz w:val="20"/>
          <w:szCs w:val="20"/>
          <w:u w:val="single"/>
        </w:rPr>
      </w:pPr>
      <w:r w:rsidRPr="001B157C">
        <w:rPr>
          <w:sz w:val="20"/>
          <w:szCs w:val="20"/>
          <w:u w:val="single"/>
        </w:rPr>
        <w:t>CASE SUMMARY</w:t>
      </w:r>
    </w:p>
    <w:p w:rsidR="00E318FE" w:rsidRDefault="00E318FE" w:rsidP="00102938">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9527"/>
      </w:tblGrid>
      <w:tr w:rsidR="00E318FE" w:rsidRPr="00841E19" w:rsidTr="00E318FE">
        <w:tc>
          <w:tcPr>
            <w:tcW w:w="5000" w:type="pct"/>
          </w:tcPr>
          <w:p w:rsidR="00E318FE" w:rsidRPr="00841E19" w:rsidRDefault="00E318FE" w:rsidP="00102938">
            <w:pPr>
              <w:jc w:val="both"/>
              <w:rPr>
                <w:rFonts w:eastAsia="Calibri" w:cs="Times New Roman"/>
                <w:sz w:val="20"/>
                <w:szCs w:val="20"/>
              </w:rPr>
            </w:pPr>
            <w:r w:rsidRPr="00841E19">
              <w:rPr>
                <w:rFonts w:eastAsia="Calibri" w:cs="Times New Roman"/>
                <w:sz w:val="20"/>
                <w:szCs w:val="20"/>
              </w:rPr>
              <w:t xml:space="preserve">Taxation — Income tax — Assessment — Appeals — Act permitting judge to extend time to appeal from notice of assessment if person demonstrates that it was impossible in fact for that person to act and that application was filed as soon as circumstances permitted — Whether extension of time should have been granted — </w:t>
            </w:r>
            <w:r w:rsidRPr="00841E19">
              <w:rPr>
                <w:rFonts w:eastAsia="Calibri" w:cs="Times New Roman"/>
                <w:i/>
                <w:sz w:val="20"/>
                <w:szCs w:val="20"/>
              </w:rPr>
              <w:t>Tax Administration Act</w:t>
            </w:r>
            <w:r w:rsidRPr="00841E19">
              <w:rPr>
                <w:rFonts w:eastAsia="Calibri" w:cs="Times New Roman"/>
                <w:sz w:val="20"/>
                <w:szCs w:val="20"/>
              </w:rPr>
              <w:t>, CQLR, c. A-6.002, s. 93.1.13.</w:t>
            </w:r>
          </w:p>
        </w:tc>
      </w:tr>
      <w:tr w:rsidR="00E318FE" w:rsidRPr="00841E19" w:rsidTr="00E318FE">
        <w:tc>
          <w:tcPr>
            <w:tcW w:w="5000" w:type="pct"/>
          </w:tcPr>
          <w:p w:rsidR="00E318FE" w:rsidRPr="00841E19" w:rsidRDefault="00E318FE" w:rsidP="00102938">
            <w:pPr>
              <w:jc w:val="both"/>
              <w:rPr>
                <w:rFonts w:eastAsia="Calibri" w:cs="Times New Roman"/>
                <w:sz w:val="20"/>
                <w:szCs w:val="20"/>
              </w:rPr>
            </w:pPr>
          </w:p>
        </w:tc>
      </w:tr>
      <w:tr w:rsidR="00E318FE" w:rsidRPr="00841E19" w:rsidTr="00E318FE">
        <w:tc>
          <w:tcPr>
            <w:tcW w:w="5000" w:type="pct"/>
          </w:tcPr>
          <w:p w:rsidR="00E318FE" w:rsidRPr="00841E19" w:rsidRDefault="00E318FE" w:rsidP="00102938">
            <w:pPr>
              <w:jc w:val="both"/>
              <w:rPr>
                <w:rFonts w:eastAsia="Calibri" w:cs="Times New Roman"/>
                <w:sz w:val="20"/>
                <w:szCs w:val="20"/>
              </w:rPr>
            </w:pPr>
            <w:r w:rsidRPr="00841E19">
              <w:rPr>
                <w:rFonts w:eastAsia="Calibri" w:cs="Times New Roman"/>
                <w:sz w:val="20"/>
                <w:szCs w:val="20"/>
              </w:rPr>
              <w:t xml:space="preserve">Under s. 93.1.10 of the </w:t>
            </w:r>
            <w:r w:rsidRPr="00841E19">
              <w:rPr>
                <w:rFonts w:eastAsia="Calibri" w:cs="Times New Roman"/>
                <w:i/>
                <w:sz w:val="20"/>
                <w:szCs w:val="20"/>
              </w:rPr>
              <w:t>Tax Administration Act</w:t>
            </w:r>
            <w:r w:rsidRPr="00841E19">
              <w:rPr>
                <w:rFonts w:eastAsia="Calibri" w:cs="Times New Roman"/>
                <w:sz w:val="20"/>
                <w:szCs w:val="20"/>
              </w:rPr>
              <w:t xml:space="preserve">, where a person has notified a notice of objection and the Minister of Revenue conducts a reassessment, the person may appeal to the Court of Quebec to have the assessment vacated or varied. </w:t>
            </w:r>
          </w:p>
          <w:p w:rsidR="00E318FE" w:rsidRPr="00841E19" w:rsidRDefault="00E318FE" w:rsidP="00102938">
            <w:pPr>
              <w:jc w:val="both"/>
              <w:rPr>
                <w:rFonts w:eastAsia="Calibri" w:cs="Times New Roman"/>
                <w:sz w:val="20"/>
                <w:szCs w:val="20"/>
              </w:rPr>
            </w:pPr>
          </w:p>
          <w:p w:rsidR="00E318FE" w:rsidRPr="00841E19" w:rsidRDefault="00E318FE" w:rsidP="00102938">
            <w:pPr>
              <w:jc w:val="both"/>
              <w:rPr>
                <w:rFonts w:eastAsia="Calibri" w:cs="Times New Roman"/>
                <w:sz w:val="20"/>
                <w:szCs w:val="20"/>
              </w:rPr>
            </w:pPr>
            <w:r w:rsidRPr="00841E19">
              <w:rPr>
                <w:rFonts w:eastAsia="Calibri" w:cs="Times New Roman"/>
                <w:sz w:val="20"/>
                <w:szCs w:val="20"/>
              </w:rPr>
              <w:t>Section 93.1.13 provides that the appeal shall be filed within 90 days following the day on which the Minister’s decision on the objection was mailed to the person.  However, a person may apply to a judge for an extension of the time limit for appealing if “not more than one year has elapsed since the day of mailing of the decision” (s. 93.1.13, para. 2).  An extension of time is granted “if the person demonstrates that it was impossible in fact for that person to act and that the application was filed as soon as circumstances permitted” (s. 93.1.13, para. 3).</w:t>
            </w:r>
          </w:p>
          <w:p w:rsidR="00E318FE" w:rsidRPr="00841E19" w:rsidRDefault="00E318FE" w:rsidP="00102938">
            <w:pPr>
              <w:jc w:val="both"/>
              <w:rPr>
                <w:rFonts w:eastAsia="Calibri" w:cs="Times New Roman"/>
                <w:sz w:val="20"/>
                <w:szCs w:val="20"/>
              </w:rPr>
            </w:pPr>
          </w:p>
          <w:p w:rsidR="00E318FE" w:rsidRPr="00841E19" w:rsidRDefault="00E318FE" w:rsidP="00102938">
            <w:pPr>
              <w:jc w:val="both"/>
              <w:rPr>
                <w:rFonts w:eastAsia="Calibri" w:cs="Times New Roman"/>
                <w:sz w:val="20"/>
                <w:szCs w:val="20"/>
              </w:rPr>
            </w:pPr>
            <w:r w:rsidRPr="00841E19">
              <w:rPr>
                <w:rFonts w:eastAsia="Calibri" w:cs="Times New Roman"/>
                <w:sz w:val="20"/>
                <w:szCs w:val="20"/>
              </w:rPr>
              <w:t xml:space="preserve">In this case, the applicant received notices of assessment dated January 19, 2011.  He filed an objection on January 30, 2011, and reassessments were made on October 17, 2011.  On February 3, 2012, he served a notice of appeal with regard to the notices of assessment dated January 19, 2011.  The respondent successfully argued a preliminary motion to dismiss based on the delay in acting.  </w:t>
            </w:r>
          </w:p>
          <w:p w:rsidR="00E318FE" w:rsidRPr="00841E19" w:rsidRDefault="00E318FE" w:rsidP="00102938">
            <w:pPr>
              <w:jc w:val="both"/>
              <w:rPr>
                <w:rFonts w:eastAsia="Calibri" w:cs="Times New Roman"/>
                <w:sz w:val="20"/>
                <w:szCs w:val="20"/>
              </w:rPr>
            </w:pPr>
          </w:p>
        </w:tc>
      </w:tr>
    </w:tbl>
    <w:p w:rsidR="00102938" w:rsidRDefault="00102938" w:rsidP="00102938">
      <w:pPr>
        <w:jc w:val="both"/>
      </w:pPr>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318FE" w:rsidRPr="00841E19" w:rsidTr="00E318FE">
        <w:tc>
          <w:tcPr>
            <w:tcW w:w="2427" w:type="pct"/>
          </w:tcPr>
          <w:p w:rsidR="00E318FE" w:rsidRPr="00841E19" w:rsidRDefault="00E318FE" w:rsidP="00102938">
            <w:pPr>
              <w:jc w:val="both"/>
              <w:rPr>
                <w:rFonts w:eastAsia="Calibri" w:cs="Times New Roman"/>
                <w:sz w:val="20"/>
                <w:szCs w:val="20"/>
              </w:rPr>
            </w:pPr>
            <w:r w:rsidRPr="00841E19">
              <w:rPr>
                <w:rFonts w:eastAsia="Calibri" w:cs="Times New Roman"/>
                <w:sz w:val="20"/>
                <w:szCs w:val="20"/>
              </w:rPr>
              <w:lastRenderedPageBreak/>
              <w:t>April 15, 2013</w:t>
            </w:r>
          </w:p>
          <w:p w:rsidR="00E318FE" w:rsidRPr="00841E19" w:rsidRDefault="00E318FE" w:rsidP="00102938">
            <w:pPr>
              <w:jc w:val="both"/>
              <w:rPr>
                <w:rFonts w:eastAsia="Calibri" w:cs="Times New Roman"/>
                <w:sz w:val="20"/>
                <w:szCs w:val="20"/>
              </w:rPr>
            </w:pPr>
            <w:r w:rsidRPr="00841E19">
              <w:rPr>
                <w:rFonts w:eastAsia="Calibri" w:cs="Times New Roman"/>
                <w:sz w:val="20"/>
                <w:szCs w:val="20"/>
              </w:rPr>
              <w:t>Court of Quebec</w:t>
            </w:r>
          </w:p>
          <w:p w:rsidR="00E318FE" w:rsidRPr="00841E19" w:rsidRDefault="00E318FE" w:rsidP="00102938">
            <w:pPr>
              <w:jc w:val="both"/>
              <w:rPr>
                <w:rFonts w:eastAsia="Calibri" w:cs="Times New Roman"/>
                <w:sz w:val="20"/>
                <w:szCs w:val="20"/>
              </w:rPr>
            </w:pPr>
            <w:r w:rsidRPr="00841E19">
              <w:rPr>
                <w:rFonts w:eastAsia="Calibri" w:cs="Times New Roman"/>
                <w:sz w:val="20"/>
                <w:szCs w:val="20"/>
              </w:rPr>
              <w:t>(Judge Labbé)</w:t>
            </w:r>
          </w:p>
          <w:p w:rsidR="00E318FE" w:rsidRPr="00841E19" w:rsidRDefault="00417673" w:rsidP="00102938">
            <w:pPr>
              <w:jc w:val="both"/>
              <w:rPr>
                <w:rFonts w:eastAsia="Calibri" w:cs="Times New Roman"/>
                <w:sz w:val="20"/>
                <w:szCs w:val="20"/>
              </w:rPr>
            </w:pPr>
            <w:hyperlink r:id="rId33" w:history="1">
              <w:r w:rsidR="00E318FE" w:rsidRPr="00841E19">
                <w:rPr>
                  <w:rFonts w:eastAsia="Calibri" w:cs="Times New Roman"/>
                  <w:color w:val="0000FF"/>
                  <w:sz w:val="20"/>
                  <w:szCs w:val="20"/>
                  <w:u w:val="single"/>
                </w:rPr>
                <w:t>2013 QCCQ 3156</w:t>
              </w:r>
            </w:hyperlink>
          </w:p>
          <w:p w:rsidR="00E318FE" w:rsidRPr="00841E19" w:rsidRDefault="00E318FE" w:rsidP="00102938">
            <w:pPr>
              <w:jc w:val="both"/>
              <w:rPr>
                <w:rFonts w:eastAsia="Calibri" w:cs="Times New Roman"/>
                <w:sz w:val="20"/>
                <w:szCs w:val="20"/>
              </w:rPr>
            </w:pPr>
          </w:p>
        </w:tc>
        <w:tc>
          <w:tcPr>
            <w:tcW w:w="243" w:type="pct"/>
          </w:tcPr>
          <w:p w:rsidR="00E318FE" w:rsidRPr="00841E19" w:rsidRDefault="00E318FE" w:rsidP="00102938">
            <w:pPr>
              <w:jc w:val="both"/>
              <w:rPr>
                <w:rFonts w:eastAsia="Calibri" w:cs="Times New Roman"/>
                <w:sz w:val="20"/>
                <w:szCs w:val="20"/>
              </w:rPr>
            </w:pPr>
          </w:p>
        </w:tc>
        <w:tc>
          <w:tcPr>
            <w:tcW w:w="2330" w:type="pct"/>
          </w:tcPr>
          <w:p w:rsidR="00E318FE" w:rsidRPr="00841E19" w:rsidRDefault="00E318FE" w:rsidP="00102938">
            <w:pPr>
              <w:jc w:val="both"/>
              <w:rPr>
                <w:rFonts w:eastAsia="Calibri" w:cs="Times New Roman"/>
                <w:sz w:val="20"/>
                <w:szCs w:val="20"/>
              </w:rPr>
            </w:pPr>
            <w:r w:rsidRPr="00841E19">
              <w:rPr>
                <w:rFonts w:eastAsia="Calibri" w:cs="Times New Roman"/>
                <w:sz w:val="20"/>
                <w:szCs w:val="20"/>
              </w:rPr>
              <w:t>Motion to dismiss allowed; appeal from notice of assessment dismissed</w:t>
            </w:r>
          </w:p>
          <w:p w:rsidR="00E318FE" w:rsidRPr="00841E19" w:rsidRDefault="00E318FE" w:rsidP="00102938">
            <w:pPr>
              <w:jc w:val="both"/>
              <w:rPr>
                <w:rFonts w:eastAsia="Calibri" w:cs="Times New Roman"/>
                <w:sz w:val="20"/>
                <w:szCs w:val="20"/>
              </w:rPr>
            </w:pPr>
          </w:p>
        </w:tc>
      </w:tr>
      <w:tr w:rsidR="00E318FE" w:rsidRPr="00841E19" w:rsidTr="00E318FE">
        <w:tc>
          <w:tcPr>
            <w:tcW w:w="2427" w:type="pct"/>
          </w:tcPr>
          <w:p w:rsidR="00E318FE" w:rsidRPr="00841E19" w:rsidRDefault="00E318FE" w:rsidP="00102938">
            <w:pPr>
              <w:jc w:val="both"/>
              <w:rPr>
                <w:rFonts w:eastAsia="Calibri" w:cs="Times New Roman"/>
                <w:sz w:val="20"/>
                <w:szCs w:val="20"/>
              </w:rPr>
            </w:pPr>
            <w:r w:rsidRPr="00841E19">
              <w:rPr>
                <w:rFonts w:eastAsia="Calibri" w:cs="Times New Roman"/>
                <w:sz w:val="20"/>
                <w:szCs w:val="20"/>
              </w:rPr>
              <w:t>September 11, 2014</w:t>
            </w:r>
          </w:p>
          <w:p w:rsidR="00E318FE" w:rsidRPr="00841E19" w:rsidRDefault="00E318FE" w:rsidP="00102938">
            <w:pPr>
              <w:jc w:val="both"/>
              <w:rPr>
                <w:rFonts w:eastAsia="Calibri" w:cs="Times New Roman"/>
                <w:sz w:val="20"/>
                <w:szCs w:val="20"/>
              </w:rPr>
            </w:pPr>
            <w:r w:rsidRPr="00841E19">
              <w:rPr>
                <w:rFonts w:eastAsia="Calibri" w:cs="Times New Roman"/>
                <w:sz w:val="20"/>
                <w:szCs w:val="20"/>
              </w:rPr>
              <w:t>Quebec Court of Appeal (Québec)</w:t>
            </w:r>
          </w:p>
          <w:p w:rsidR="00E318FE" w:rsidRPr="00841E19" w:rsidRDefault="00E318FE" w:rsidP="00102938">
            <w:pPr>
              <w:jc w:val="both"/>
              <w:rPr>
                <w:rFonts w:eastAsia="Calibri" w:cs="Times New Roman"/>
                <w:sz w:val="20"/>
                <w:szCs w:val="20"/>
                <w:lang w:val="fr-CA"/>
              </w:rPr>
            </w:pPr>
            <w:r w:rsidRPr="00841E19">
              <w:rPr>
                <w:rFonts w:eastAsia="Calibri" w:cs="Times New Roman"/>
                <w:sz w:val="20"/>
                <w:szCs w:val="20"/>
                <w:lang w:val="fr-CA"/>
              </w:rPr>
              <w:t>(Morissette, Gagnon and Savard JJ.A.)</w:t>
            </w:r>
          </w:p>
          <w:p w:rsidR="00E318FE" w:rsidRPr="00841E19" w:rsidRDefault="00E318FE" w:rsidP="00102938">
            <w:pPr>
              <w:jc w:val="both"/>
              <w:rPr>
                <w:rFonts w:eastAsia="Calibri" w:cs="Times New Roman"/>
                <w:sz w:val="20"/>
                <w:szCs w:val="20"/>
              </w:rPr>
            </w:pPr>
            <w:r w:rsidRPr="00841E19">
              <w:rPr>
                <w:rFonts w:eastAsia="Calibri" w:cs="Times New Roman"/>
                <w:sz w:val="20"/>
                <w:szCs w:val="20"/>
              </w:rPr>
              <w:t xml:space="preserve">200-09-008030-139; </w:t>
            </w:r>
            <w:hyperlink r:id="rId34" w:history="1">
              <w:r w:rsidRPr="00841E19">
                <w:rPr>
                  <w:rFonts w:eastAsia="Calibri" w:cs="Times New Roman"/>
                  <w:color w:val="0000FF"/>
                  <w:sz w:val="20"/>
                  <w:szCs w:val="20"/>
                  <w:u w:val="single"/>
                </w:rPr>
                <w:t>2014 QCCA 1649</w:t>
              </w:r>
            </w:hyperlink>
          </w:p>
          <w:p w:rsidR="00E318FE" w:rsidRPr="00841E19" w:rsidRDefault="00E318FE" w:rsidP="00102938">
            <w:pPr>
              <w:jc w:val="both"/>
              <w:rPr>
                <w:rFonts w:eastAsia="Calibri" w:cs="Times New Roman"/>
                <w:sz w:val="20"/>
                <w:szCs w:val="20"/>
              </w:rPr>
            </w:pPr>
          </w:p>
        </w:tc>
        <w:tc>
          <w:tcPr>
            <w:tcW w:w="243" w:type="pct"/>
          </w:tcPr>
          <w:p w:rsidR="00E318FE" w:rsidRPr="00841E19" w:rsidRDefault="00E318FE" w:rsidP="00102938">
            <w:pPr>
              <w:jc w:val="both"/>
              <w:rPr>
                <w:rFonts w:eastAsia="Calibri" w:cs="Times New Roman"/>
                <w:sz w:val="20"/>
                <w:szCs w:val="20"/>
              </w:rPr>
            </w:pPr>
          </w:p>
        </w:tc>
        <w:tc>
          <w:tcPr>
            <w:tcW w:w="2330" w:type="pct"/>
          </w:tcPr>
          <w:p w:rsidR="00E318FE" w:rsidRPr="00841E19" w:rsidRDefault="00E318FE" w:rsidP="00102938">
            <w:pPr>
              <w:jc w:val="both"/>
              <w:rPr>
                <w:rFonts w:eastAsia="Calibri" w:cs="Times New Roman"/>
                <w:sz w:val="20"/>
                <w:szCs w:val="20"/>
              </w:rPr>
            </w:pPr>
            <w:r w:rsidRPr="00841E19">
              <w:rPr>
                <w:rFonts w:eastAsia="Calibri" w:cs="Times New Roman"/>
                <w:sz w:val="20"/>
                <w:szCs w:val="20"/>
              </w:rPr>
              <w:t>Appeal dismissed</w:t>
            </w:r>
          </w:p>
          <w:p w:rsidR="00E318FE" w:rsidRPr="00841E19" w:rsidRDefault="00E318FE" w:rsidP="00102938">
            <w:pPr>
              <w:jc w:val="both"/>
              <w:rPr>
                <w:rFonts w:eastAsia="Calibri" w:cs="Times New Roman"/>
                <w:sz w:val="20"/>
                <w:szCs w:val="20"/>
              </w:rPr>
            </w:pPr>
          </w:p>
        </w:tc>
      </w:tr>
      <w:tr w:rsidR="00E318FE" w:rsidRPr="00841E19" w:rsidTr="00E318FE">
        <w:tc>
          <w:tcPr>
            <w:tcW w:w="2427" w:type="pct"/>
          </w:tcPr>
          <w:p w:rsidR="00E318FE" w:rsidRPr="00841E19" w:rsidRDefault="00E318FE" w:rsidP="00102938">
            <w:pPr>
              <w:jc w:val="both"/>
              <w:rPr>
                <w:rFonts w:eastAsia="Calibri" w:cs="Times New Roman"/>
                <w:sz w:val="20"/>
                <w:szCs w:val="20"/>
              </w:rPr>
            </w:pPr>
            <w:r w:rsidRPr="00841E19">
              <w:rPr>
                <w:rFonts w:eastAsia="Calibri" w:cs="Times New Roman"/>
                <w:sz w:val="20"/>
                <w:szCs w:val="20"/>
              </w:rPr>
              <w:t>November 7, 2014</w:t>
            </w:r>
          </w:p>
          <w:p w:rsidR="00E318FE" w:rsidRPr="00841E19" w:rsidRDefault="00E318FE" w:rsidP="00102938">
            <w:pPr>
              <w:jc w:val="both"/>
              <w:rPr>
                <w:rFonts w:eastAsia="Calibri" w:cs="Times New Roman"/>
                <w:sz w:val="20"/>
                <w:szCs w:val="20"/>
              </w:rPr>
            </w:pPr>
            <w:r w:rsidRPr="00841E19">
              <w:rPr>
                <w:rFonts w:eastAsia="Calibri" w:cs="Times New Roman"/>
                <w:sz w:val="20"/>
                <w:szCs w:val="20"/>
              </w:rPr>
              <w:t>Supreme Court of Canada</w:t>
            </w:r>
          </w:p>
        </w:tc>
        <w:tc>
          <w:tcPr>
            <w:tcW w:w="243" w:type="pct"/>
          </w:tcPr>
          <w:p w:rsidR="00E318FE" w:rsidRPr="00841E19" w:rsidRDefault="00E318FE" w:rsidP="00102938">
            <w:pPr>
              <w:jc w:val="both"/>
              <w:rPr>
                <w:rFonts w:eastAsia="Calibri" w:cs="Times New Roman"/>
                <w:sz w:val="20"/>
                <w:szCs w:val="20"/>
              </w:rPr>
            </w:pPr>
          </w:p>
        </w:tc>
        <w:tc>
          <w:tcPr>
            <w:tcW w:w="2330" w:type="pct"/>
          </w:tcPr>
          <w:p w:rsidR="00E318FE" w:rsidRPr="00841E19" w:rsidRDefault="00E318FE" w:rsidP="00102938">
            <w:pPr>
              <w:jc w:val="both"/>
              <w:rPr>
                <w:rFonts w:eastAsia="Calibri" w:cs="Times New Roman"/>
                <w:sz w:val="20"/>
                <w:szCs w:val="20"/>
              </w:rPr>
            </w:pPr>
            <w:r w:rsidRPr="00841E19">
              <w:rPr>
                <w:rFonts w:eastAsia="Calibri" w:cs="Times New Roman"/>
                <w:sz w:val="20"/>
                <w:szCs w:val="20"/>
              </w:rPr>
              <w:t>Application for leave to appeal filed</w:t>
            </w:r>
          </w:p>
          <w:p w:rsidR="00E318FE" w:rsidRPr="00841E19" w:rsidRDefault="00E318FE" w:rsidP="00102938">
            <w:pPr>
              <w:jc w:val="both"/>
              <w:rPr>
                <w:rFonts w:eastAsia="Calibri" w:cs="Times New Roman"/>
                <w:sz w:val="20"/>
                <w:szCs w:val="20"/>
              </w:rPr>
            </w:pPr>
          </w:p>
        </w:tc>
      </w:tr>
    </w:tbl>
    <w:p w:rsidR="00E318FE" w:rsidRPr="00204D62" w:rsidRDefault="00E318FE" w:rsidP="00102938">
      <w:pPr>
        <w:jc w:val="both"/>
        <w:rPr>
          <w:sz w:val="20"/>
          <w:szCs w:val="20"/>
          <w:lang w:val="en-US"/>
        </w:rPr>
      </w:pPr>
    </w:p>
    <w:p w:rsidR="00E318FE" w:rsidRPr="00C50A5C" w:rsidRDefault="00417673" w:rsidP="00102938">
      <w:pPr>
        <w:jc w:val="both"/>
        <w:rPr>
          <w:sz w:val="20"/>
          <w:szCs w:val="20"/>
        </w:rPr>
      </w:pPr>
      <w:r>
        <w:rPr>
          <w:sz w:val="20"/>
          <w:szCs w:val="20"/>
          <w:lang w:val="fr-CA"/>
        </w:rPr>
        <w:pict>
          <v:rect id="_x0000_i1048" style="width:2in;height:1pt" o:hrpct="0" o:hralign="center" o:hrstd="t" o:hrnoshade="t" o:hr="t" fillcolor="black [3213]" stroked="f"/>
        </w:pict>
      </w:r>
    </w:p>
    <w:p w:rsidR="00E318FE" w:rsidRDefault="00E318FE" w:rsidP="00102938">
      <w:pPr>
        <w:jc w:val="both"/>
        <w:rPr>
          <w:sz w:val="20"/>
          <w:szCs w:val="20"/>
        </w:rPr>
      </w:pPr>
    </w:p>
    <w:p w:rsidR="00E318FE" w:rsidRPr="001B157C" w:rsidRDefault="00E318FE" w:rsidP="00102938">
      <w:pPr>
        <w:jc w:val="both"/>
        <w:rPr>
          <w:sz w:val="20"/>
          <w:szCs w:val="20"/>
          <w:u w:val="single"/>
          <w:lang w:val="fr-CA"/>
        </w:rPr>
      </w:pPr>
      <w:r w:rsidRPr="001B157C">
        <w:rPr>
          <w:sz w:val="20"/>
          <w:szCs w:val="20"/>
          <w:u w:val="single"/>
          <w:lang w:val="fr-CA"/>
        </w:rPr>
        <w:t>RÉSUMÉ DE L’AFFAIRE</w:t>
      </w:r>
    </w:p>
    <w:p w:rsidR="00E318FE" w:rsidRDefault="00E318FE" w:rsidP="00102938">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318FE" w:rsidRPr="00417673" w:rsidTr="00E318FE">
        <w:tc>
          <w:tcPr>
            <w:tcW w:w="5000" w:type="pct"/>
            <w:gridSpan w:val="3"/>
          </w:tcPr>
          <w:p w:rsidR="00E318FE" w:rsidRPr="00841E19" w:rsidRDefault="00E318FE" w:rsidP="00102938">
            <w:pPr>
              <w:jc w:val="both"/>
              <w:rPr>
                <w:rFonts w:eastAsia="Calibri" w:cs="Times New Roman"/>
                <w:sz w:val="20"/>
                <w:szCs w:val="20"/>
                <w:lang w:val="fr-CA"/>
              </w:rPr>
            </w:pPr>
            <w:r w:rsidRPr="00841E19">
              <w:rPr>
                <w:rFonts w:eastAsia="Calibri" w:cs="Times New Roman"/>
                <w:sz w:val="20"/>
                <w:szCs w:val="20"/>
                <w:lang w:val="fr-CA"/>
              </w:rPr>
              <w:t xml:space="preserve">Droit fiscal — Impôt sur le revenu — Cotisation — Appels — Loi permettant au juge de proroger le délai d’appel d’un avis de cotisation si la personne démontre qu’elle était dans l’impossibilité en fait d’agir et que la demande a été présentée dès que les circonstances le permettaient — La prorogation de délai aurait-elle dû être accordée? — </w:t>
            </w:r>
            <w:r w:rsidRPr="00841E19">
              <w:rPr>
                <w:rFonts w:eastAsia="Calibri" w:cs="Times New Roman"/>
                <w:i/>
                <w:sz w:val="20"/>
                <w:szCs w:val="20"/>
                <w:lang w:val="fr-CA"/>
              </w:rPr>
              <w:t>Loi sur l’administration fiscale</w:t>
            </w:r>
            <w:r w:rsidRPr="00841E19">
              <w:rPr>
                <w:rFonts w:eastAsia="Calibri" w:cs="Times New Roman"/>
                <w:sz w:val="20"/>
                <w:szCs w:val="20"/>
                <w:lang w:val="fr-CA"/>
              </w:rPr>
              <w:t>, RLRQ, c. A-6.002, art. 93.1.13.</w:t>
            </w:r>
          </w:p>
        </w:tc>
      </w:tr>
      <w:tr w:rsidR="00E318FE" w:rsidRPr="00417673" w:rsidTr="00E318FE">
        <w:tc>
          <w:tcPr>
            <w:tcW w:w="5000" w:type="pct"/>
            <w:gridSpan w:val="3"/>
          </w:tcPr>
          <w:p w:rsidR="00E318FE" w:rsidRPr="00841E19" w:rsidRDefault="00E318FE" w:rsidP="00102938">
            <w:pPr>
              <w:jc w:val="both"/>
              <w:rPr>
                <w:rFonts w:eastAsia="Calibri" w:cs="Times New Roman"/>
                <w:sz w:val="20"/>
                <w:szCs w:val="20"/>
                <w:lang w:val="fr-CA"/>
              </w:rPr>
            </w:pPr>
          </w:p>
        </w:tc>
      </w:tr>
      <w:tr w:rsidR="00E318FE" w:rsidRPr="00417673" w:rsidTr="00E318FE">
        <w:tc>
          <w:tcPr>
            <w:tcW w:w="5000" w:type="pct"/>
            <w:gridSpan w:val="3"/>
          </w:tcPr>
          <w:p w:rsidR="00E318FE" w:rsidRPr="00841E19" w:rsidRDefault="00E318FE" w:rsidP="00102938">
            <w:pPr>
              <w:jc w:val="both"/>
              <w:rPr>
                <w:rFonts w:eastAsia="Calibri" w:cs="Times New Roman"/>
                <w:sz w:val="20"/>
                <w:szCs w:val="20"/>
                <w:lang w:val="fr-CA"/>
              </w:rPr>
            </w:pPr>
            <w:r w:rsidRPr="00841E19">
              <w:rPr>
                <w:rFonts w:eastAsia="Calibri" w:cs="Times New Roman"/>
                <w:sz w:val="20"/>
                <w:szCs w:val="20"/>
                <w:lang w:val="fr-CA"/>
              </w:rPr>
              <w:t xml:space="preserve">Aux termes de l’art. 93.1.10 de la </w:t>
            </w:r>
            <w:r w:rsidRPr="00841E19">
              <w:rPr>
                <w:rFonts w:eastAsia="Calibri" w:cs="Times New Roman"/>
                <w:i/>
                <w:sz w:val="20"/>
                <w:szCs w:val="20"/>
                <w:lang w:val="fr-CA"/>
              </w:rPr>
              <w:t>Loi sur l’administration fiscale</w:t>
            </w:r>
            <w:r w:rsidRPr="00841E19">
              <w:rPr>
                <w:rFonts w:eastAsia="Calibri" w:cs="Times New Roman"/>
                <w:sz w:val="20"/>
                <w:szCs w:val="20"/>
                <w:lang w:val="fr-CA"/>
              </w:rPr>
              <w:t xml:space="preserve">, lorsqu’une personne a notifié un avis d’opposition à l’encontre d’une cotisation et que le ministre du Revenu procède à une nouvelle cotisation, elle peut interjeter appel à la Cour du Québec pour faire annuler ou modifier la cotisation. </w:t>
            </w:r>
          </w:p>
          <w:p w:rsidR="00E318FE" w:rsidRPr="00841E19" w:rsidRDefault="00E318FE" w:rsidP="00102938">
            <w:pPr>
              <w:jc w:val="both"/>
              <w:rPr>
                <w:rFonts w:eastAsia="Calibri" w:cs="Times New Roman"/>
                <w:sz w:val="20"/>
                <w:szCs w:val="20"/>
                <w:lang w:val="fr-CA"/>
              </w:rPr>
            </w:pPr>
          </w:p>
          <w:p w:rsidR="00E318FE" w:rsidRPr="00841E19" w:rsidRDefault="00E318FE" w:rsidP="00102938">
            <w:pPr>
              <w:jc w:val="both"/>
              <w:rPr>
                <w:rFonts w:eastAsia="Calibri" w:cs="Times New Roman"/>
                <w:sz w:val="20"/>
                <w:szCs w:val="20"/>
                <w:lang w:val="fr-CA"/>
              </w:rPr>
            </w:pPr>
            <w:r w:rsidRPr="00841E19">
              <w:rPr>
                <w:rFonts w:eastAsia="Calibri" w:cs="Times New Roman"/>
                <w:sz w:val="20"/>
                <w:szCs w:val="20"/>
                <w:lang w:val="fr-CA"/>
              </w:rPr>
              <w:t>L’article 93.1.13 prévoit que l’appel doit être déposé dans les 90 jours suivant la date où la décision du ministre sur l’opposition a été transmise par la poste à la personne.  Toutefois, il est possible de demander au juge de proroger le délai d’appel « s’il ne s’est pas écoulé plus d’un an depuis la date de l’envoi par la poste de la décision » (art. 93.1.13, al. 2).  La prorogation de délai est accordée « si la personne démontre qu’elle était dans l’impossibilité en fait d’agir et que la demande a été présentée dès que les circonstances le permettaient » (art. 93.1.13, al. 3).</w:t>
            </w:r>
          </w:p>
          <w:p w:rsidR="00E318FE" w:rsidRPr="00841E19" w:rsidRDefault="00E318FE" w:rsidP="00102938">
            <w:pPr>
              <w:jc w:val="both"/>
              <w:rPr>
                <w:rFonts w:eastAsia="Calibri" w:cs="Times New Roman"/>
                <w:sz w:val="20"/>
                <w:szCs w:val="20"/>
                <w:lang w:val="fr-CA"/>
              </w:rPr>
            </w:pPr>
          </w:p>
          <w:p w:rsidR="00E318FE" w:rsidRPr="00841E19" w:rsidRDefault="00E318FE" w:rsidP="00102938">
            <w:pPr>
              <w:jc w:val="both"/>
              <w:rPr>
                <w:rFonts w:eastAsia="Calibri" w:cs="Times New Roman"/>
                <w:sz w:val="20"/>
                <w:szCs w:val="20"/>
                <w:lang w:val="fr-CA"/>
              </w:rPr>
            </w:pPr>
            <w:r w:rsidRPr="00841E19">
              <w:rPr>
                <w:rFonts w:eastAsia="Calibri" w:cs="Times New Roman"/>
                <w:sz w:val="20"/>
                <w:szCs w:val="20"/>
                <w:lang w:val="fr-CA"/>
              </w:rPr>
              <w:t xml:space="preserve">En l’espèce, le demandeur reçoit des avis de cotisation datés du 19 janvier 2011.  Il s’oppose le 30 janvier 2011, puis de nouveaux avis sont émis le 17 octobre 2011. Le 3 février 2012, il signifie un avis d’appel qui vise les avis de cotisation datés du 19 janvier 2011.  L’intimée soulève avec succès un moyen préliminaire d’irrecevabilité fondé sur le retard à agir. </w:t>
            </w:r>
          </w:p>
          <w:p w:rsidR="00E318FE" w:rsidRPr="00841E19" w:rsidRDefault="00E318FE" w:rsidP="00102938">
            <w:pPr>
              <w:jc w:val="both"/>
              <w:rPr>
                <w:rFonts w:eastAsia="Calibri" w:cs="Times New Roman"/>
                <w:sz w:val="20"/>
                <w:szCs w:val="20"/>
                <w:lang w:val="fr-CA"/>
              </w:rPr>
            </w:pPr>
          </w:p>
        </w:tc>
      </w:tr>
      <w:tr w:rsidR="00E318FE" w:rsidRPr="00417673" w:rsidTr="00E318FE">
        <w:tc>
          <w:tcPr>
            <w:tcW w:w="2427" w:type="pct"/>
          </w:tcPr>
          <w:p w:rsidR="00E318FE" w:rsidRPr="00841E19" w:rsidRDefault="00E318FE" w:rsidP="00102938">
            <w:pPr>
              <w:jc w:val="both"/>
              <w:rPr>
                <w:rFonts w:eastAsia="Calibri" w:cs="Times New Roman"/>
                <w:sz w:val="20"/>
                <w:szCs w:val="20"/>
                <w:lang w:val="fr-CA"/>
              </w:rPr>
            </w:pPr>
            <w:r w:rsidRPr="00841E19">
              <w:rPr>
                <w:rFonts w:eastAsia="Calibri" w:cs="Times New Roman"/>
                <w:sz w:val="20"/>
                <w:szCs w:val="20"/>
                <w:lang w:val="fr-CA"/>
              </w:rPr>
              <w:t>Le 15 avril 2013</w:t>
            </w:r>
          </w:p>
          <w:p w:rsidR="00E318FE" w:rsidRPr="00841E19" w:rsidRDefault="00E318FE" w:rsidP="00102938">
            <w:pPr>
              <w:jc w:val="both"/>
              <w:rPr>
                <w:rFonts w:eastAsia="Calibri" w:cs="Times New Roman"/>
                <w:sz w:val="20"/>
                <w:szCs w:val="20"/>
                <w:lang w:val="fr-CA"/>
              </w:rPr>
            </w:pPr>
            <w:r w:rsidRPr="00841E19">
              <w:rPr>
                <w:rFonts w:eastAsia="Calibri" w:cs="Times New Roman"/>
                <w:sz w:val="20"/>
                <w:szCs w:val="20"/>
                <w:lang w:val="fr-CA"/>
              </w:rPr>
              <w:t>Cour du Québec</w:t>
            </w:r>
          </w:p>
          <w:p w:rsidR="00E318FE" w:rsidRPr="00841E19" w:rsidRDefault="00E318FE" w:rsidP="00102938">
            <w:pPr>
              <w:jc w:val="both"/>
              <w:rPr>
                <w:rFonts w:eastAsia="Calibri" w:cs="Times New Roman"/>
                <w:sz w:val="20"/>
                <w:szCs w:val="20"/>
                <w:lang w:val="fr-CA"/>
              </w:rPr>
            </w:pPr>
            <w:r w:rsidRPr="00841E19">
              <w:rPr>
                <w:rFonts w:eastAsia="Calibri" w:cs="Times New Roman"/>
                <w:sz w:val="20"/>
                <w:szCs w:val="20"/>
                <w:lang w:val="fr-CA"/>
              </w:rPr>
              <w:t>(Le juge Labbé)</w:t>
            </w:r>
          </w:p>
          <w:p w:rsidR="00E318FE" w:rsidRPr="00841E19" w:rsidRDefault="00417673" w:rsidP="00102938">
            <w:pPr>
              <w:jc w:val="both"/>
              <w:rPr>
                <w:rFonts w:eastAsia="Calibri" w:cs="Times New Roman"/>
                <w:sz w:val="20"/>
                <w:szCs w:val="20"/>
                <w:lang w:val="fr-CA"/>
              </w:rPr>
            </w:pPr>
            <w:hyperlink r:id="rId35" w:history="1">
              <w:r w:rsidR="00E318FE" w:rsidRPr="00841E19">
                <w:rPr>
                  <w:rFonts w:eastAsia="Calibri" w:cs="Times New Roman"/>
                  <w:color w:val="0000FF"/>
                  <w:sz w:val="20"/>
                  <w:szCs w:val="20"/>
                  <w:u w:val="single"/>
                  <w:lang w:val="fr-CA"/>
                </w:rPr>
                <w:t>2013 QCCQ 3156</w:t>
              </w:r>
            </w:hyperlink>
          </w:p>
          <w:p w:rsidR="00E318FE" w:rsidRPr="00841E19" w:rsidRDefault="00E318FE" w:rsidP="00102938">
            <w:pPr>
              <w:jc w:val="both"/>
              <w:rPr>
                <w:rFonts w:eastAsia="Calibri" w:cs="Times New Roman"/>
                <w:sz w:val="20"/>
                <w:szCs w:val="20"/>
                <w:lang w:val="fr-CA"/>
              </w:rPr>
            </w:pPr>
          </w:p>
        </w:tc>
        <w:tc>
          <w:tcPr>
            <w:tcW w:w="243" w:type="pct"/>
          </w:tcPr>
          <w:p w:rsidR="00E318FE" w:rsidRPr="00841E19" w:rsidRDefault="00E318FE" w:rsidP="00102938">
            <w:pPr>
              <w:jc w:val="both"/>
              <w:rPr>
                <w:rFonts w:eastAsia="Calibri" w:cs="Times New Roman"/>
                <w:sz w:val="20"/>
                <w:szCs w:val="20"/>
                <w:lang w:val="fr-CA"/>
              </w:rPr>
            </w:pPr>
          </w:p>
        </w:tc>
        <w:tc>
          <w:tcPr>
            <w:tcW w:w="2330" w:type="pct"/>
          </w:tcPr>
          <w:p w:rsidR="00E318FE" w:rsidRPr="00841E19" w:rsidRDefault="00E318FE" w:rsidP="00102938">
            <w:pPr>
              <w:jc w:val="both"/>
              <w:rPr>
                <w:rFonts w:eastAsia="Calibri" w:cs="Times New Roman"/>
                <w:sz w:val="20"/>
                <w:szCs w:val="20"/>
                <w:lang w:val="fr-CA"/>
              </w:rPr>
            </w:pPr>
            <w:r w:rsidRPr="00841E19">
              <w:rPr>
                <w:rFonts w:eastAsia="Calibri" w:cs="Times New Roman"/>
                <w:sz w:val="20"/>
                <w:szCs w:val="20"/>
                <w:lang w:val="fr-CA"/>
              </w:rPr>
              <w:t>Moyen d’irrecevabilité accueilli; appel d’avis de cotisation rejeté</w:t>
            </w:r>
          </w:p>
          <w:p w:rsidR="00E318FE" w:rsidRPr="00841E19" w:rsidRDefault="00E318FE" w:rsidP="00102938">
            <w:pPr>
              <w:jc w:val="both"/>
              <w:rPr>
                <w:rFonts w:eastAsia="Calibri" w:cs="Times New Roman"/>
                <w:sz w:val="20"/>
                <w:szCs w:val="20"/>
                <w:lang w:val="fr-CA"/>
              </w:rPr>
            </w:pPr>
          </w:p>
        </w:tc>
      </w:tr>
      <w:tr w:rsidR="00E318FE" w:rsidRPr="00841E19" w:rsidTr="00E318FE">
        <w:tc>
          <w:tcPr>
            <w:tcW w:w="2427" w:type="pct"/>
          </w:tcPr>
          <w:p w:rsidR="00E318FE" w:rsidRPr="00841E19" w:rsidRDefault="00E318FE" w:rsidP="00102938">
            <w:pPr>
              <w:jc w:val="both"/>
              <w:rPr>
                <w:rFonts w:eastAsia="Calibri" w:cs="Times New Roman"/>
                <w:sz w:val="20"/>
                <w:szCs w:val="20"/>
                <w:lang w:val="fr-CA"/>
              </w:rPr>
            </w:pPr>
            <w:r w:rsidRPr="00841E19">
              <w:rPr>
                <w:rFonts w:eastAsia="Calibri" w:cs="Times New Roman"/>
                <w:sz w:val="20"/>
                <w:szCs w:val="20"/>
                <w:lang w:val="fr-CA"/>
              </w:rPr>
              <w:t>Le 11 septembre 2014</w:t>
            </w:r>
          </w:p>
          <w:p w:rsidR="00E318FE" w:rsidRPr="00841E19" w:rsidRDefault="00E318FE" w:rsidP="00102938">
            <w:pPr>
              <w:jc w:val="both"/>
              <w:rPr>
                <w:rFonts w:eastAsia="Calibri" w:cs="Times New Roman"/>
                <w:sz w:val="20"/>
                <w:szCs w:val="20"/>
                <w:lang w:val="fr-CA"/>
              </w:rPr>
            </w:pPr>
            <w:r w:rsidRPr="00841E19">
              <w:rPr>
                <w:rFonts w:eastAsia="Calibri" w:cs="Times New Roman"/>
                <w:sz w:val="20"/>
                <w:szCs w:val="20"/>
                <w:lang w:val="fr-CA"/>
              </w:rPr>
              <w:t>Cour d’appel du Québec (Québec)</w:t>
            </w:r>
          </w:p>
          <w:p w:rsidR="00E318FE" w:rsidRPr="00841E19" w:rsidRDefault="00E318FE" w:rsidP="00102938">
            <w:pPr>
              <w:jc w:val="both"/>
              <w:rPr>
                <w:rFonts w:eastAsia="Calibri" w:cs="Times New Roman"/>
                <w:sz w:val="20"/>
                <w:szCs w:val="20"/>
                <w:lang w:val="fr-CA"/>
              </w:rPr>
            </w:pPr>
            <w:r w:rsidRPr="00841E19">
              <w:rPr>
                <w:rFonts w:eastAsia="Calibri" w:cs="Times New Roman"/>
                <w:sz w:val="20"/>
                <w:szCs w:val="20"/>
                <w:lang w:val="fr-CA"/>
              </w:rPr>
              <w:t>(Les juges Morissette, Gagnon et Savard)</w:t>
            </w:r>
          </w:p>
          <w:p w:rsidR="00E318FE" w:rsidRPr="00841E19" w:rsidRDefault="00E318FE" w:rsidP="00102938">
            <w:pPr>
              <w:jc w:val="both"/>
              <w:rPr>
                <w:rFonts w:eastAsia="Calibri" w:cs="Times New Roman"/>
                <w:sz w:val="20"/>
                <w:szCs w:val="20"/>
                <w:lang w:val="fr-CA"/>
              </w:rPr>
            </w:pPr>
            <w:r w:rsidRPr="00841E19">
              <w:rPr>
                <w:rFonts w:eastAsia="Calibri" w:cs="Times New Roman"/>
                <w:sz w:val="20"/>
                <w:szCs w:val="20"/>
                <w:lang w:val="fr-CA"/>
              </w:rPr>
              <w:t xml:space="preserve">200-09-008030-139; </w:t>
            </w:r>
            <w:hyperlink r:id="rId36" w:history="1">
              <w:r w:rsidRPr="00841E19">
                <w:rPr>
                  <w:rFonts w:eastAsia="Calibri" w:cs="Times New Roman"/>
                  <w:color w:val="0000FF"/>
                  <w:sz w:val="20"/>
                  <w:szCs w:val="20"/>
                  <w:u w:val="single"/>
                  <w:lang w:val="fr-CA"/>
                </w:rPr>
                <w:t>2014 QCCA 1649</w:t>
              </w:r>
            </w:hyperlink>
          </w:p>
          <w:p w:rsidR="00E318FE" w:rsidRPr="00841E19" w:rsidRDefault="00E318FE" w:rsidP="00102938">
            <w:pPr>
              <w:jc w:val="both"/>
              <w:rPr>
                <w:rFonts w:eastAsia="Calibri" w:cs="Times New Roman"/>
                <w:sz w:val="20"/>
                <w:szCs w:val="20"/>
                <w:lang w:val="fr-CA"/>
              </w:rPr>
            </w:pPr>
          </w:p>
        </w:tc>
        <w:tc>
          <w:tcPr>
            <w:tcW w:w="243" w:type="pct"/>
          </w:tcPr>
          <w:p w:rsidR="00E318FE" w:rsidRPr="00841E19" w:rsidRDefault="00E318FE" w:rsidP="00102938">
            <w:pPr>
              <w:jc w:val="both"/>
              <w:rPr>
                <w:rFonts w:eastAsia="Calibri" w:cs="Times New Roman"/>
                <w:sz w:val="20"/>
                <w:szCs w:val="20"/>
                <w:lang w:val="fr-CA"/>
              </w:rPr>
            </w:pPr>
          </w:p>
        </w:tc>
        <w:tc>
          <w:tcPr>
            <w:tcW w:w="2330" w:type="pct"/>
          </w:tcPr>
          <w:p w:rsidR="00E318FE" w:rsidRPr="00841E19" w:rsidRDefault="00E318FE" w:rsidP="00102938">
            <w:pPr>
              <w:jc w:val="both"/>
              <w:rPr>
                <w:rFonts w:eastAsia="Calibri" w:cs="Times New Roman"/>
                <w:sz w:val="20"/>
                <w:szCs w:val="20"/>
                <w:lang w:val="fr-CA"/>
              </w:rPr>
            </w:pPr>
            <w:r w:rsidRPr="00841E19">
              <w:rPr>
                <w:rFonts w:eastAsia="Calibri" w:cs="Times New Roman"/>
                <w:sz w:val="20"/>
                <w:szCs w:val="20"/>
                <w:lang w:val="fr-CA"/>
              </w:rPr>
              <w:t>Appel rejeté</w:t>
            </w:r>
          </w:p>
          <w:p w:rsidR="00E318FE" w:rsidRPr="00841E19" w:rsidRDefault="00E318FE" w:rsidP="00102938">
            <w:pPr>
              <w:jc w:val="both"/>
              <w:rPr>
                <w:rFonts w:eastAsia="Calibri" w:cs="Times New Roman"/>
                <w:sz w:val="20"/>
                <w:szCs w:val="20"/>
                <w:lang w:val="fr-CA"/>
              </w:rPr>
            </w:pPr>
          </w:p>
        </w:tc>
      </w:tr>
    </w:tbl>
    <w:p w:rsidR="001D3E4B" w:rsidRDefault="001D3E4B">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318FE" w:rsidRPr="00841E19" w:rsidTr="00E318FE">
        <w:tc>
          <w:tcPr>
            <w:tcW w:w="2427" w:type="pct"/>
          </w:tcPr>
          <w:p w:rsidR="00E318FE" w:rsidRPr="00841E19" w:rsidRDefault="00E318FE" w:rsidP="00102938">
            <w:pPr>
              <w:jc w:val="both"/>
              <w:rPr>
                <w:rFonts w:eastAsia="Calibri" w:cs="Times New Roman"/>
                <w:sz w:val="20"/>
                <w:szCs w:val="20"/>
                <w:lang w:val="fr-CA"/>
              </w:rPr>
            </w:pPr>
            <w:r w:rsidRPr="00841E19">
              <w:rPr>
                <w:rFonts w:eastAsia="Calibri" w:cs="Times New Roman"/>
                <w:sz w:val="20"/>
                <w:szCs w:val="20"/>
                <w:lang w:val="fr-CA"/>
              </w:rPr>
              <w:lastRenderedPageBreak/>
              <w:t>Le 7 novembre 2014</w:t>
            </w:r>
          </w:p>
          <w:p w:rsidR="00E318FE" w:rsidRPr="00841E19" w:rsidRDefault="00E318FE" w:rsidP="00102938">
            <w:pPr>
              <w:jc w:val="both"/>
              <w:rPr>
                <w:rFonts w:eastAsia="Calibri" w:cs="Times New Roman"/>
                <w:sz w:val="20"/>
                <w:szCs w:val="20"/>
                <w:lang w:val="fr-CA"/>
              </w:rPr>
            </w:pPr>
            <w:r w:rsidRPr="00841E19">
              <w:rPr>
                <w:rFonts w:eastAsia="Calibri" w:cs="Times New Roman"/>
                <w:sz w:val="20"/>
                <w:szCs w:val="20"/>
                <w:lang w:val="fr-CA"/>
              </w:rPr>
              <w:t>Cour suprême du Canada</w:t>
            </w:r>
          </w:p>
        </w:tc>
        <w:tc>
          <w:tcPr>
            <w:tcW w:w="243" w:type="pct"/>
          </w:tcPr>
          <w:p w:rsidR="00E318FE" w:rsidRPr="00841E19" w:rsidRDefault="00E318FE" w:rsidP="00102938">
            <w:pPr>
              <w:jc w:val="both"/>
              <w:rPr>
                <w:rFonts w:eastAsia="Calibri" w:cs="Times New Roman"/>
                <w:sz w:val="20"/>
                <w:szCs w:val="20"/>
                <w:lang w:val="fr-CA"/>
              </w:rPr>
            </w:pPr>
          </w:p>
        </w:tc>
        <w:tc>
          <w:tcPr>
            <w:tcW w:w="2330" w:type="pct"/>
          </w:tcPr>
          <w:p w:rsidR="00E318FE" w:rsidRPr="00841E19" w:rsidRDefault="00E318FE" w:rsidP="00102938">
            <w:pPr>
              <w:jc w:val="both"/>
              <w:rPr>
                <w:rFonts w:eastAsia="Calibri" w:cs="Times New Roman"/>
                <w:sz w:val="20"/>
                <w:szCs w:val="20"/>
                <w:lang w:val="fr-CA"/>
              </w:rPr>
            </w:pPr>
            <w:r w:rsidRPr="00841E19">
              <w:rPr>
                <w:rFonts w:eastAsia="Calibri" w:cs="Times New Roman"/>
                <w:sz w:val="20"/>
                <w:szCs w:val="20"/>
                <w:lang w:val="fr-CA"/>
              </w:rPr>
              <w:t>Demande d’autorisation d’appel déposée</w:t>
            </w:r>
          </w:p>
          <w:p w:rsidR="00E318FE" w:rsidRPr="00841E19" w:rsidRDefault="00E318FE" w:rsidP="00102938">
            <w:pPr>
              <w:jc w:val="both"/>
              <w:rPr>
                <w:rFonts w:eastAsia="Calibri" w:cs="Times New Roman"/>
                <w:sz w:val="20"/>
                <w:szCs w:val="20"/>
                <w:lang w:val="fr-CA"/>
              </w:rPr>
            </w:pPr>
          </w:p>
        </w:tc>
      </w:tr>
    </w:tbl>
    <w:p w:rsidR="00E318FE" w:rsidRPr="0016547E" w:rsidRDefault="00E318FE" w:rsidP="00102938">
      <w:pPr>
        <w:jc w:val="both"/>
        <w:rPr>
          <w:sz w:val="20"/>
          <w:szCs w:val="20"/>
          <w:lang w:val="fr-CA"/>
        </w:rPr>
      </w:pPr>
    </w:p>
    <w:p w:rsidR="00E318FE" w:rsidRPr="00C50A5C" w:rsidRDefault="00417673" w:rsidP="00102938">
      <w:pPr>
        <w:jc w:val="both"/>
        <w:rPr>
          <w:sz w:val="20"/>
          <w:szCs w:val="20"/>
        </w:rPr>
      </w:pPr>
      <w:r>
        <w:rPr>
          <w:sz w:val="20"/>
          <w:szCs w:val="20"/>
          <w:lang w:val="fr-CA"/>
        </w:rPr>
        <w:pict>
          <v:rect id="_x0000_i1049" style="width:2in;height:1pt" o:hrpct="0" o:hralign="center" o:hrstd="t" o:hrnoshade="t" o:hr="t" fillcolor="black [3213]" stroked="f"/>
        </w:pict>
      </w:r>
    </w:p>
    <w:p w:rsidR="00841E19" w:rsidRDefault="00841E19" w:rsidP="00102938">
      <w:pPr>
        <w:jc w:val="both"/>
        <w:rPr>
          <w:rFonts w:eastAsia="Calibri" w:cs="Times New Roman"/>
          <w:sz w:val="20"/>
          <w:szCs w:val="20"/>
          <w:lang w:val="fr-CA"/>
        </w:rPr>
      </w:pP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318FE" w:rsidRPr="00E318FE" w:rsidTr="00E318FE">
        <w:trPr>
          <w:cantSplit/>
        </w:trPr>
        <w:tc>
          <w:tcPr>
            <w:tcW w:w="1458" w:type="dxa"/>
          </w:tcPr>
          <w:p w:rsidR="00E318FE" w:rsidRPr="00E318FE" w:rsidRDefault="00E318FE" w:rsidP="00102938">
            <w:pPr>
              <w:jc w:val="both"/>
              <w:rPr>
                <w:sz w:val="20"/>
              </w:rPr>
            </w:pPr>
            <w:r w:rsidRPr="00E318FE">
              <w:rPr>
                <w:b/>
                <w:sz w:val="20"/>
                <w:lang w:val="fr-CA"/>
              </w:rPr>
              <w:t>36198</w:t>
            </w:r>
          </w:p>
          <w:p w:rsidR="00E318FE" w:rsidRPr="00E318FE" w:rsidRDefault="00E318FE" w:rsidP="00102938">
            <w:pPr>
              <w:jc w:val="both"/>
              <w:rPr>
                <w:b/>
                <w:sz w:val="20"/>
                <w:lang w:val="fr-CA"/>
              </w:rPr>
            </w:pPr>
          </w:p>
        </w:tc>
        <w:tc>
          <w:tcPr>
            <w:tcW w:w="8118" w:type="dxa"/>
          </w:tcPr>
          <w:p w:rsidR="00E318FE" w:rsidRPr="00E318FE" w:rsidRDefault="00E318FE" w:rsidP="00102938">
            <w:pPr>
              <w:jc w:val="both"/>
              <w:rPr>
                <w:sz w:val="20"/>
              </w:rPr>
            </w:pPr>
            <w:r w:rsidRPr="00E318FE">
              <w:rPr>
                <w:b/>
                <w:sz w:val="20"/>
                <w:u w:val="single"/>
                <w:lang w:val="en-US"/>
              </w:rPr>
              <w:t>Jennifer Lynne Dundas v. Arthur Melvin Schafer</w:t>
            </w:r>
            <w:r w:rsidRPr="00E318FE">
              <w:rPr>
                <w:sz w:val="20"/>
              </w:rPr>
              <w:t xml:space="preserve"> (Man.) (Civil) (By Leave)</w:t>
            </w:r>
          </w:p>
          <w:p w:rsidR="00E318FE" w:rsidRPr="00E318FE" w:rsidRDefault="00E318FE" w:rsidP="00102938">
            <w:pPr>
              <w:jc w:val="both"/>
              <w:rPr>
                <w:sz w:val="20"/>
              </w:rPr>
            </w:pPr>
          </w:p>
        </w:tc>
      </w:tr>
      <w:tr w:rsidR="00E318FE" w:rsidRPr="00E318FE" w:rsidTr="00E318FE">
        <w:trPr>
          <w:cantSplit/>
        </w:trPr>
        <w:tc>
          <w:tcPr>
            <w:tcW w:w="1458" w:type="dxa"/>
          </w:tcPr>
          <w:p w:rsidR="00E318FE" w:rsidRPr="00E318FE" w:rsidRDefault="00E318FE" w:rsidP="00102938">
            <w:pPr>
              <w:jc w:val="both"/>
              <w:rPr>
                <w:sz w:val="20"/>
              </w:rPr>
            </w:pPr>
            <w:r w:rsidRPr="00E318FE">
              <w:rPr>
                <w:sz w:val="20"/>
              </w:rPr>
              <w:t>Coram :</w:t>
            </w:r>
          </w:p>
        </w:tc>
        <w:tc>
          <w:tcPr>
            <w:tcW w:w="8118" w:type="dxa"/>
          </w:tcPr>
          <w:p w:rsidR="00E318FE" w:rsidRPr="00E318FE" w:rsidRDefault="00E318FE" w:rsidP="00102938">
            <w:pPr>
              <w:jc w:val="both"/>
              <w:rPr>
                <w:sz w:val="20"/>
              </w:rPr>
            </w:pPr>
            <w:r w:rsidRPr="00E318FE">
              <w:rPr>
                <w:sz w:val="20"/>
                <w:u w:val="single"/>
                <w:lang w:val="en-US"/>
              </w:rPr>
              <w:t>Cromwell, Moldaver and Karakatsanis JJ.</w:t>
            </w:r>
          </w:p>
          <w:p w:rsidR="00E318FE" w:rsidRPr="00E318FE" w:rsidRDefault="00E318FE" w:rsidP="00102938">
            <w:pPr>
              <w:jc w:val="both"/>
              <w:rPr>
                <w:sz w:val="20"/>
                <w:u w:val="single"/>
              </w:rPr>
            </w:pPr>
          </w:p>
        </w:tc>
      </w:tr>
      <w:tr w:rsidR="00E318FE" w:rsidRPr="00417673" w:rsidTr="00E318FE">
        <w:trPr>
          <w:cantSplit/>
        </w:trPr>
        <w:tc>
          <w:tcPr>
            <w:tcW w:w="9576" w:type="dxa"/>
            <w:gridSpan w:val="2"/>
          </w:tcPr>
          <w:p w:rsidR="00E318FE" w:rsidRPr="00E318FE" w:rsidRDefault="00E318FE" w:rsidP="00102938">
            <w:pPr>
              <w:ind w:firstLine="720"/>
              <w:jc w:val="both"/>
              <w:rPr>
                <w:sz w:val="20"/>
              </w:rPr>
            </w:pPr>
            <w:r w:rsidRPr="00E318FE">
              <w:rPr>
                <w:sz w:val="20"/>
              </w:rPr>
              <w:t>The application for leave to appeal from the judgment of the Court of Appeal of Manitoba, Number AF 12-30-07898, 2014 MBCA 92, dated October 8, 2014, is dismissed with costs.</w:t>
            </w:r>
          </w:p>
          <w:p w:rsidR="00E318FE" w:rsidRPr="00E318FE" w:rsidRDefault="00E318FE" w:rsidP="00102938">
            <w:pPr>
              <w:jc w:val="both"/>
              <w:rPr>
                <w:sz w:val="20"/>
              </w:rPr>
            </w:pPr>
          </w:p>
          <w:p w:rsidR="00E318FE" w:rsidRPr="00E318FE" w:rsidRDefault="00E318FE" w:rsidP="00102938">
            <w:pPr>
              <w:ind w:firstLine="720"/>
              <w:jc w:val="both"/>
              <w:rPr>
                <w:sz w:val="20"/>
                <w:lang w:val="fr-CA"/>
              </w:rPr>
            </w:pPr>
            <w:r w:rsidRPr="00E318FE">
              <w:rPr>
                <w:sz w:val="20"/>
                <w:lang w:val="fr-CA"/>
              </w:rPr>
              <w:t>La demande d’autorisation d’appel de l’arrêt de la Cour d’appel du Manitoba, numéro AF 12-30-07898, 2014 MBCA 92, daté du 8 octobre 2014, est rejetée avec dépens.</w:t>
            </w:r>
          </w:p>
        </w:tc>
      </w:tr>
    </w:tbl>
    <w:p w:rsidR="00E318FE" w:rsidRDefault="00E318FE" w:rsidP="00102938">
      <w:pPr>
        <w:jc w:val="both"/>
        <w:rPr>
          <w:rFonts w:eastAsia="Calibri" w:cs="Times New Roman"/>
          <w:sz w:val="20"/>
          <w:szCs w:val="20"/>
          <w:lang w:val="fr-CA"/>
        </w:rPr>
      </w:pPr>
    </w:p>
    <w:p w:rsidR="00E318FE" w:rsidRPr="001B157C" w:rsidRDefault="00E318FE" w:rsidP="00102938">
      <w:pPr>
        <w:jc w:val="both"/>
        <w:rPr>
          <w:sz w:val="20"/>
          <w:szCs w:val="20"/>
          <w:u w:val="single"/>
        </w:rPr>
      </w:pPr>
      <w:r w:rsidRPr="001B157C">
        <w:rPr>
          <w:sz w:val="20"/>
          <w:szCs w:val="20"/>
          <w:u w:val="single"/>
        </w:rPr>
        <w:t>CASE SUMMARY</w:t>
      </w:r>
    </w:p>
    <w:p w:rsidR="00E318FE" w:rsidRDefault="00E318FE" w:rsidP="00102938">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318FE" w:rsidRPr="00841E19" w:rsidTr="00E318FE">
        <w:tc>
          <w:tcPr>
            <w:tcW w:w="5000" w:type="pct"/>
            <w:gridSpan w:val="3"/>
          </w:tcPr>
          <w:p w:rsidR="00E318FE" w:rsidRPr="00841E19" w:rsidRDefault="00E318FE" w:rsidP="00102938">
            <w:pPr>
              <w:jc w:val="both"/>
              <w:rPr>
                <w:rFonts w:eastAsia="Calibri" w:cs="Times New Roman"/>
                <w:sz w:val="20"/>
                <w:szCs w:val="20"/>
              </w:rPr>
            </w:pPr>
            <w:r w:rsidRPr="00841E19">
              <w:rPr>
                <w:rFonts w:eastAsia="Calibri" w:cs="Times New Roman"/>
                <w:sz w:val="20"/>
                <w:szCs w:val="20"/>
              </w:rPr>
              <w:t xml:space="preserve">Family law – Family assets – Pensions – Domestic Contract – Enforceability of release clause – Parties entering into prenuptial agreement releasing rights to share in each other’s pensions – Does law permit parties to a prenuptial agreement to evade spousal protections in pension legislation, simply by waiving their rights under domestic property regime? – Is </w:t>
            </w:r>
            <w:r w:rsidRPr="00841E19">
              <w:rPr>
                <w:rFonts w:eastAsia="Calibri" w:cs="Times New Roman"/>
                <w:i/>
                <w:sz w:val="20"/>
                <w:szCs w:val="20"/>
              </w:rPr>
              <w:t>Stern v. Sheps</w:t>
            </w:r>
            <w:r w:rsidRPr="00841E19">
              <w:rPr>
                <w:rFonts w:eastAsia="Calibri" w:cs="Times New Roman"/>
                <w:sz w:val="20"/>
                <w:szCs w:val="20"/>
              </w:rPr>
              <w:t xml:space="preserve">, [1968] S.C.R. 83, which sets a permissive standard for spousal waivers, still good law? – Does law show special deference to prenuptial agreements, as compared to separation agreements? – Does </w:t>
            </w:r>
            <w:r w:rsidRPr="00841E19">
              <w:rPr>
                <w:rFonts w:eastAsia="Calibri" w:cs="Times New Roman"/>
                <w:i/>
                <w:sz w:val="20"/>
                <w:szCs w:val="20"/>
              </w:rPr>
              <w:t>Hartshorne v</w:t>
            </w:r>
            <w:r w:rsidRPr="00841E19">
              <w:rPr>
                <w:rFonts w:eastAsia="Calibri" w:cs="Times New Roman"/>
                <w:sz w:val="20"/>
                <w:szCs w:val="20"/>
              </w:rPr>
              <w:t xml:space="preserve">. </w:t>
            </w:r>
            <w:r w:rsidRPr="00841E19">
              <w:rPr>
                <w:rFonts w:eastAsia="Calibri" w:cs="Times New Roman"/>
                <w:i/>
                <w:sz w:val="20"/>
                <w:szCs w:val="20"/>
              </w:rPr>
              <w:t>Hartshorne</w:t>
            </w:r>
            <w:r w:rsidRPr="00841E19">
              <w:rPr>
                <w:rFonts w:eastAsia="Calibri" w:cs="Times New Roman"/>
                <w:sz w:val="20"/>
                <w:szCs w:val="20"/>
              </w:rPr>
              <w:t>, 2004 SCC 22 stand for principle that prenuptial agreements are more likely to be enforced, regardless of grounds on which they are challenged, or does law of contract require more even-handed treatment?</w:t>
            </w:r>
          </w:p>
        </w:tc>
      </w:tr>
      <w:tr w:rsidR="00E318FE" w:rsidRPr="00841E19" w:rsidTr="00E318FE">
        <w:tc>
          <w:tcPr>
            <w:tcW w:w="5000" w:type="pct"/>
            <w:gridSpan w:val="3"/>
          </w:tcPr>
          <w:p w:rsidR="00E318FE" w:rsidRPr="00841E19" w:rsidRDefault="00E318FE" w:rsidP="00102938">
            <w:pPr>
              <w:jc w:val="both"/>
              <w:rPr>
                <w:rFonts w:eastAsia="Calibri" w:cs="Times New Roman"/>
                <w:sz w:val="20"/>
                <w:szCs w:val="20"/>
              </w:rPr>
            </w:pPr>
          </w:p>
        </w:tc>
      </w:tr>
      <w:tr w:rsidR="00E318FE" w:rsidRPr="00841E19" w:rsidTr="00E318FE">
        <w:tc>
          <w:tcPr>
            <w:tcW w:w="5000" w:type="pct"/>
            <w:gridSpan w:val="3"/>
          </w:tcPr>
          <w:p w:rsidR="00E318FE" w:rsidRPr="00841E19" w:rsidRDefault="00E318FE" w:rsidP="00102938">
            <w:pPr>
              <w:jc w:val="both"/>
              <w:rPr>
                <w:rFonts w:eastAsia="Calibri" w:cs="Times New Roman"/>
                <w:sz w:val="20"/>
                <w:szCs w:val="20"/>
              </w:rPr>
            </w:pPr>
            <w:r w:rsidRPr="00841E19">
              <w:rPr>
                <w:rFonts w:eastAsia="Calibri" w:cs="Times New Roman"/>
                <w:sz w:val="20"/>
                <w:szCs w:val="20"/>
              </w:rPr>
              <w:t>Ms. Dundas and Mr. Schafer started living together in May, 1995.  They planned to marry and discussed entering into a prenuptial agreement.  Mr. Schafer, a professor at the University of Manitoba, was concerned about retaining his pension in the event of a future separation.  He was unequivocal that he would not marry Ms. Dundas unless she waived her rights to his pension.  Ms. Dundas, then a CBC reporter, was aware of his position and assured him that she did not want a share of it.  In December, 1997, the parties decided they would marry at the end of the month and began to negotiate the terms for their prenuptial agreement. Each retained the services of experienced family law counsel and some financial disclosure was exchanged.  They also exchanged draft agreements.  On December 29, 1997, Ms. Dundas reviewed an agreement prepared by Mr. Schafer’s lawyer, made a few changes to it and signed it in the presence of her lawyer.  Mr. Schafer accepted the changes and signed with his lawyer the following day.  They married the next day.  The parties separated in August, 2005 and were divorced in January 2011.  Ms. Dundas brought an action challenging the provisions of the prenuptial agreement that waived her entitlement to any sharing of Mr. Schafer’s pension.</w:t>
            </w:r>
          </w:p>
          <w:p w:rsidR="00E318FE" w:rsidRPr="00841E19" w:rsidRDefault="00E318FE" w:rsidP="00102938">
            <w:pPr>
              <w:jc w:val="both"/>
              <w:rPr>
                <w:rFonts w:eastAsia="Calibri" w:cs="Times New Roman"/>
                <w:sz w:val="20"/>
                <w:szCs w:val="20"/>
              </w:rPr>
            </w:pPr>
          </w:p>
        </w:tc>
      </w:tr>
      <w:tr w:rsidR="00E318FE" w:rsidRPr="00841E19" w:rsidTr="00E318FE">
        <w:tc>
          <w:tcPr>
            <w:tcW w:w="2427" w:type="pct"/>
          </w:tcPr>
          <w:p w:rsidR="00E318FE" w:rsidRPr="00841E19" w:rsidRDefault="00E318FE" w:rsidP="00102938">
            <w:pPr>
              <w:jc w:val="both"/>
              <w:rPr>
                <w:rFonts w:eastAsia="Calibri" w:cs="Times New Roman"/>
                <w:sz w:val="20"/>
                <w:szCs w:val="20"/>
              </w:rPr>
            </w:pPr>
            <w:r w:rsidRPr="00841E19">
              <w:rPr>
                <w:rFonts w:eastAsia="Calibri" w:cs="Times New Roman"/>
                <w:sz w:val="20"/>
                <w:szCs w:val="20"/>
              </w:rPr>
              <w:t>March 20, 2012</w:t>
            </w:r>
          </w:p>
          <w:p w:rsidR="00E318FE" w:rsidRPr="00841E19" w:rsidRDefault="00E318FE" w:rsidP="00102938">
            <w:pPr>
              <w:jc w:val="both"/>
              <w:rPr>
                <w:rFonts w:eastAsia="Calibri" w:cs="Times New Roman"/>
                <w:sz w:val="20"/>
                <w:szCs w:val="20"/>
              </w:rPr>
            </w:pPr>
            <w:r w:rsidRPr="00841E19">
              <w:rPr>
                <w:rFonts w:eastAsia="Calibri" w:cs="Times New Roman"/>
                <w:sz w:val="20"/>
                <w:szCs w:val="20"/>
              </w:rPr>
              <w:t>Court of Queen’s Bench of Manitoba</w:t>
            </w:r>
          </w:p>
          <w:p w:rsidR="00E318FE" w:rsidRPr="00841E19" w:rsidRDefault="00E318FE" w:rsidP="00102938">
            <w:pPr>
              <w:jc w:val="both"/>
              <w:rPr>
                <w:rFonts w:eastAsia="Calibri" w:cs="Times New Roman"/>
                <w:sz w:val="20"/>
                <w:szCs w:val="20"/>
              </w:rPr>
            </w:pPr>
            <w:r w:rsidRPr="00841E19">
              <w:rPr>
                <w:rFonts w:eastAsia="Calibri" w:cs="Times New Roman"/>
                <w:sz w:val="20"/>
                <w:szCs w:val="20"/>
              </w:rPr>
              <w:t>(MacPhail J.)</w:t>
            </w:r>
          </w:p>
          <w:p w:rsidR="00E318FE" w:rsidRPr="00841E19" w:rsidRDefault="00417673" w:rsidP="00102938">
            <w:pPr>
              <w:jc w:val="both"/>
              <w:rPr>
                <w:rFonts w:eastAsia="Calibri" w:cs="Times New Roman"/>
                <w:sz w:val="20"/>
                <w:szCs w:val="20"/>
              </w:rPr>
            </w:pPr>
            <w:hyperlink r:id="rId37" w:history="1">
              <w:r w:rsidR="00E318FE" w:rsidRPr="00841E19">
                <w:rPr>
                  <w:rFonts w:eastAsia="Calibri" w:cs="Times New Roman"/>
                  <w:color w:val="0000FF"/>
                  <w:sz w:val="20"/>
                  <w:szCs w:val="20"/>
                  <w:u w:val="single"/>
                </w:rPr>
                <w:t>2012 MBQB 87</w:t>
              </w:r>
            </w:hyperlink>
          </w:p>
        </w:tc>
        <w:tc>
          <w:tcPr>
            <w:tcW w:w="243" w:type="pct"/>
          </w:tcPr>
          <w:p w:rsidR="00E318FE" w:rsidRPr="00841E19" w:rsidRDefault="00E318FE" w:rsidP="00102938">
            <w:pPr>
              <w:jc w:val="both"/>
              <w:rPr>
                <w:rFonts w:eastAsia="Calibri" w:cs="Times New Roman"/>
                <w:sz w:val="20"/>
                <w:szCs w:val="20"/>
              </w:rPr>
            </w:pPr>
          </w:p>
        </w:tc>
        <w:tc>
          <w:tcPr>
            <w:tcW w:w="2330" w:type="pct"/>
          </w:tcPr>
          <w:p w:rsidR="00E318FE" w:rsidRPr="00841E19" w:rsidRDefault="00E318FE" w:rsidP="00102938">
            <w:pPr>
              <w:jc w:val="both"/>
              <w:rPr>
                <w:rFonts w:eastAsia="Calibri" w:cs="Times New Roman"/>
                <w:sz w:val="20"/>
                <w:szCs w:val="20"/>
              </w:rPr>
            </w:pPr>
            <w:r w:rsidRPr="00841E19">
              <w:rPr>
                <w:rFonts w:eastAsia="Calibri" w:cs="Times New Roman"/>
                <w:sz w:val="20"/>
                <w:szCs w:val="20"/>
              </w:rPr>
              <w:t xml:space="preserve">Release clause upheld; Applicant required to pay respondent $20,000 in accordance with term of pre-nuptial agreement </w:t>
            </w:r>
          </w:p>
          <w:p w:rsidR="00E318FE" w:rsidRPr="00841E19" w:rsidRDefault="00E318FE" w:rsidP="00102938">
            <w:pPr>
              <w:jc w:val="both"/>
              <w:rPr>
                <w:rFonts w:eastAsia="Calibri" w:cs="Times New Roman"/>
                <w:sz w:val="20"/>
                <w:szCs w:val="20"/>
              </w:rPr>
            </w:pPr>
          </w:p>
          <w:p w:rsidR="00E318FE" w:rsidRPr="00841E19" w:rsidRDefault="00E318FE" w:rsidP="00102938">
            <w:pPr>
              <w:jc w:val="both"/>
              <w:rPr>
                <w:rFonts w:eastAsia="Calibri" w:cs="Times New Roman"/>
                <w:sz w:val="20"/>
                <w:szCs w:val="20"/>
              </w:rPr>
            </w:pPr>
          </w:p>
        </w:tc>
      </w:tr>
      <w:tr w:rsidR="00E318FE" w:rsidRPr="00841E19" w:rsidTr="00E318FE">
        <w:tc>
          <w:tcPr>
            <w:tcW w:w="2427" w:type="pct"/>
          </w:tcPr>
          <w:p w:rsidR="00E318FE" w:rsidRPr="00841E19" w:rsidRDefault="00E318FE" w:rsidP="00102938">
            <w:pPr>
              <w:jc w:val="both"/>
              <w:rPr>
                <w:rFonts w:eastAsia="Calibri" w:cs="Times New Roman"/>
                <w:sz w:val="20"/>
                <w:szCs w:val="20"/>
              </w:rPr>
            </w:pPr>
            <w:r w:rsidRPr="00841E19">
              <w:rPr>
                <w:rFonts w:eastAsia="Calibri" w:cs="Times New Roman"/>
                <w:sz w:val="20"/>
                <w:szCs w:val="20"/>
              </w:rPr>
              <w:t>October 8, 2014</w:t>
            </w:r>
          </w:p>
          <w:p w:rsidR="00E318FE" w:rsidRPr="00841E19" w:rsidRDefault="00E318FE" w:rsidP="00102938">
            <w:pPr>
              <w:jc w:val="both"/>
              <w:rPr>
                <w:rFonts w:eastAsia="Calibri" w:cs="Times New Roman"/>
                <w:sz w:val="20"/>
                <w:szCs w:val="20"/>
              </w:rPr>
            </w:pPr>
            <w:r w:rsidRPr="00841E19">
              <w:rPr>
                <w:rFonts w:eastAsia="Calibri" w:cs="Times New Roman"/>
                <w:sz w:val="20"/>
                <w:szCs w:val="20"/>
              </w:rPr>
              <w:t>Court of Appeal of Manitoba</w:t>
            </w:r>
          </w:p>
          <w:p w:rsidR="00E318FE" w:rsidRPr="00841E19" w:rsidRDefault="00E318FE" w:rsidP="00102938">
            <w:pPr>
              <w:jc w:val="both"/>
              <w:rPr>
                <w:rFonts w:eastAsia="Calibri" w:cs="Times New Roman"/>
                <w:sz w:val="20"/>
                <w:szCs w:val="20"/>
              </w:rPr>
            </w:pPr>
            <w:r w:rsidRPr="00841E19">
              <w:rPr>
                <w:rFonts w:eastAsia="Calibri" w:cs="Times New Roman"/>
                <w:sz w:val="20"/>
                <w:szCs w:val="20"/>
              </w:rPr>
              <w:t>(MacInnes, Monnin and Cameron JJ.A.)</w:t>
            </w:r>
          </w:p>
          <w:p w:rsidR="00E318FE" w:rsidRPr="00841E19" w:rsidRDefault="00417673" w:rsidP="00102938">
            <w:pPr>
              <w:jc w:val="both"/>
              <w:rPr>
                <w:rFonts w:eastAsia="Calibri" w:cs="Times New Roman"/>
                <w:sz w:val="20"/>
                <w:szCs w:val="20"/>
              </w:rPr>
            </w:pPr>
            <w:hyperlink r:id="rId38" w:history="1">
              <w:r w:rsidR="00E318FE" w:rsidRPr="00841E19">
                <w:rPr>
                  <w:rFonts w:eastAsia="Calibri" w:cs="Times New Roman"/>
                  <w:color w:val="0000FF"/>
                  <w:sz w:val="20"/>
                  <w:szCs w:val="20"/>
                  <w:u w:val="single"/>
                </w:rPr>
                <w:t>2014 MBCA 92</w:t>
              </w:r>
            </w:hyperlink>
          </w:p>
          <w:p w:rsidR="00E318FE" w:rsidRPr="00841E19" w:rsidRDefault="00E318FE" w:rsidP="00102938">
            <w:pPr>
              <w:jc w:val="both"/>
              <w:rPr>
                <w:rFonts w:eastAsia="Calibri" w:cs="Times New Roman"/>
                <w:sz w:val="20"/>
                <w:szCs w:val="20"/>
              </w:rPr>
            </w:pPr>
          </w:p>
        </w:tc>
        <w:tc>
          <w:tcPr>
            <w:tcW w:w="243" w:type="pct"/>
          </w:tcPr>
          <w:p w:rsidR="00E318FE" w:rsidRPr="00841E19" w:rsidRDefault="00E318FE" w:rsidP="00102938">
            <w:pPr>
              <w:jc w:val="both"/>
              <w:rPr>
                <w:rFonts w:eastAsia="Calibri" w:cs="Times New Roman"/>
                <w:sz w:val="20"/>
                <w:szCs w:val="20"/>
              </w:rPr>
            </w:pPr>
          </w:p>
        </w:tc>
        <w:tc>
          <w:tcPr>
            <w:tcW w:w="2330" w:type="pct"/>
          </w:tcPr>
          <w:p w:rsidR="00E318FE" w:rsidRPr="00841E19" w:rsidRDefault="00E318FE" w:rsidP="00102938">
            <w:pPr>
              <w:jc w:val="both"/>
              <w:rPr>
                <w:rFonts w:eastAsia="Calibri" w:cs="Times New Roman"/>
                <w:sz w:val="20"/>
                <w:szCs w:val="20"/>
              </w:rPr>
            </w:pPr>
            <w:r w:rsidRPr="00841E19">
              <w:rPr>
                <w:rFonts w:eastAsia="Calibri" w:cs="Times New Roman"/>
                <w:sz w:val="20"/>
                <w:szCs w:val="20"/>
              </w:rPr>
              <w:t>Applicant’s appeal allowed in part; Release clause upheld as valid waiver of pension entitlement; Applicant not required to pay $20,000 to respondent pursuant to pre-nuptial agreement</w:t>
            </w:r>
          </w:p>
          <w:p w:rsidR="00E318FE" w:rsidRPr="00841E19" w:rsidRDefault="00E318FE" w:rsidP="00102938">
            <w:pPr>
              <w:jc w:val="both"/>
              <w:rPr>
                <w:rFonts w:eastAsia="Calibri" w:cs="Times New Roman"/>
                <w:sz w:val="20"/>
                <w:szCs w:val="20"/>
              </w:rPr>
            </w:pPr>
          </w:p>
        </w:tc>
      </w:tr>
    </w:tbl>
    <w:p w:rsidR="001D3E4B" w:rsidRDefault="001D3E4B">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318FE" w:rsidRPr="00841E19" w:rsidTr="00E318FE">
        <w:tc>
          <w:tcPr>
            <w:tcW w:w="2427" w:type="pct"/>
          </w:tcPr>
          <w:p w:rsidR="00E318FE" w:rsidRPr="00841E19" w:rsidRDefault="00E318FE" w:rsidP="00102938">
            <w:pPr>
              <w:jc w:val="both"/>
              <w:rPr>
                <w:rFonts w:eastAsia="Calibri" w:cs="Times New Roman"/>
                <w:sz w:val="20"/>
                <w:szCs w:val="20"/>
              </w:rPr>
            </w:pPr>
            <w:r w:rsidRPr="00841E19">
              <w:rPr>
                <w:rFonts w:eastAsia="Calibri" w:cs="Times New Roman"/>
                <w:sz w:val="20"/>
                <w:szCs w:val="20"/>
              </w:rPr>
              <w:lastRenderedPageBreak/>
              <w:t>December 8, 2014</w:t>
            </w:r>
          </w:p>
          <w:p w:rsidR="00E318FE" w:rsidRPr="00841E19" w:rsidRDefault="00E318FE" w:rsidP="00102938">
            <w:pPr>
              <w:jc w:val="both"/>
              <w:rPr>
                <w:rFonts w:eastAsia="Calibri" w:cs="Times New Roman"/>
                <w:sz w:val="20"/>
                <w:szCs w:val="20"/>
              </w:rPr>
            </w:pPr>
            <w:r w:rsidRPr="00841E19">
              <w:rPr>
                <w:rFonts w:eastAsia="Calibri" w:cs="Times New Roman"/>
                <w:sz w:val="20"/>
                <w:szCs w:val="20"/>
              </w:rPr>
              <w:t>Supreme Court of Canada</w:t>
            </w:r>
          </w:p>
        </w:tc>
        <w:tc>
          <w:tcPr>
            <w:tcW w:w="243" w:type="pct"/>
          </w:tcPr>
          <w:p w:rsidR="00E318FE" w:rsidRPr="00841E19" w:rsidRDefault="00E318FE" w:rsidP="00102938">
            <w:pPr>
              <w:jc w:val="both"/>
              <w:rPr>
                <w:rFonts w:eastAsia="Calibri" w:cs="Times New Roman"/>
                <w:sz w:val="20"/>
                <w:szCs w:val="20"/>
              </w:rPr>
            </w:pPr>
          </w:p>
        </w:tc>
        <w:tc>
          <w:tcPr>
            <w:tcW w:w="2330" w:type="pct"/>
          </w:tcPr>
          <w:p w:rsidR="00E318FE" w:rsidRPr="00841E19" w:rsidRDefault="00E318FE" w:rsidP="00102938">
            <w:pPr>
              <w:jc w:val="both"/>
              <w:rPr>
                <w:rFonts w:eastAsia="Calibri" w:cs="Times New Roman"/>
                <w:sz w:val="20"/>
                <w:szCs w:val="20"/>
              </w:rPr>
            </w:pPr>
            <w:r w:rsidRPr="00841E19">
              <w:rPr>
                <w:rFonts w:eastAsia="Calibri" w:cs="Times New Roman"/>
                <w:sz w:val="20"/>
                <w:szCs w:val="20"/>
              </w:rPr>
              <w:t>Application for leave to appeal filed</w:t>
            </w:r>
          </w:p>
          <w:p w:rsidR="00E318FE" w:rsidRPr="00841E19" w:rsidRDefault="00E318FE" w:rsidP="00102938">
            <w:pPr>
              <w:jc w:val="both"/>
              <w:rPr>
                <w:rFonts w:eastAsia="Calibri" w:cs="Times New Roman"/>
                <w:sz w:val="20"/>
                <w:szCs w:val="20"/>
              </w:rPr>
            </w:pPr>
          </w:p>
        </w:tc>
      </w:tr>
    </w:tbl>
    <w:p w:rsidR="00E318FE" w:rsidRPr="00204D62" w:rsidRDefault="00E318FE" w:rsidP="00102938">
      <w:pPr>
        <w:jc w:val="both"/>
        <w:rPr>
          <w:sz w:val="20"/>
          <w:szCs w:val="20"/>
          <w:lang w:val="en-US"/>
        </w:rPr>
      </w:pPr>
    </w:p>
    <w:p w:rsidR="00E318FE" w:rsidRPr="00C50A5C" w:rsidRDefault="00417673" w:rsidP="00102938">
      <w:pPr>
        <w:jc w:val="both"/>
        <w:rPr>
          <w:sz w:val="20"/>
          <w:szCs w:val="20"/>
        </w:rPr>
      </w:pPr>
      <w:r>
        <w:rPr>
          <w:sz w:val="20"/>
          <w:szCs w:val="20"/>
          <w:lang w:val="fr-CA"/>
        </w:rPr>
        <w:pict>
          <v:rect id="_x0000_i1050" style="width:2in;height:1pt" o:hrpct="0" o:hralign="center" o:hrstd="t" o:hrnoshade="t" o:hr="t" fillcolor="black [3213]" stroked="f"/>
        </w:pict>
      </w:r>
    </w:p>
    <w:p w:rsidR="00E318FE" w:rsidRDefault="00E318FE" w:rsidP="00102938">
      <w:pPr>
        <w:jc w:val="both"/>
        <w:rPr>
          <w:sz w:val="20"/>
          <w:szCs w:val="20"/>
        </w:rPr>
      </w:pPr>
    </w:p>
    <w:p w:rsidR="00E318FE" w:rsidRPr="001B157C" w:rsidRDefault="00E318FE" w:rsidP="00102938">
      <w:pPr>
        <w:jc w:val="both"/>
        <w:rPr>
          <w:sz w:val="20"/>
          <w:szCs w:val="20"/>
          <w:u w:val="single"/>
          <w:lang w:val="fr-CA"/>
        </w:rPr>
      </w:pPr>
      <w:r w:rsidRPr="001B157C">
        <w:rPr>
          <w:sz w:val="20"/>
          <w:szCs w:val="20"/>
          <w:u w:val="single"/>
          <w:lang w:val="fr-CA"/>
        </w:rPr>
        <w:t>RÉSUMÉ DE L’AFFAIRE</w:t>
      </w:r>
    </w:p>
    <w:p w:rsidR="00E318FE" w:rsidRDefault="00E318FE" w:rsidP="00102938">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318FE" w:rsidRPr="00417673" w:rsidTr="00E318FE">
        <w:tc>
          <w:tcPr>
            <w:tcW w:w="5000" w:type="pct"/>
            <w:gridSpan w:val="3"/>
          </w:tcPr>
          <w:p w:rsidR="00E318FE" w:rsidRPr="00841E19" w:rsidRDefault="00E318FE" w:rsidP="00102938">
            <w:pPr>
              <w:jc w:val="both"/>
              <w:rPr>
                <w:rFonts w:eastAsia="Calibri" w:cs="Times New Roman"/>
                <w:sz w:val="20"/>
                <w:szCs w:val="20"/>
                <w:lang w:val="fr-CA"/>
              </w:rPr>
            </w:pPr>
            <w:r w:rsidRPr="00841E19">
              <w:rPr>
                <w:rFonts w:eastAsia="Calibri" w:cs="Times New Roman"/>
                <w:sz w:val="20"/>
                <w:szCs w:val="20"/>
                <w:lang w:val="fr-CA"/>
              </w:rPr>
              <w:t xml:space="preserve">Droit de la famille – Biens familiaux – Pensions – Contrat familial – Force exécutoire de la clause de renonciation – Conclusion par les parties d’une entente prénuptiale portant renonciation au droit de se partager la pension de l’autre – Le droit permet-il aux parties à une entente prénuptiale d’échapper aux protections offertes au conjoint par les lois sur les pensions en renonçant simplement aux droits que leur accorde le régime de biens familiaux? – L’arrêt </w:t>
            </w:r>
            <w:r w:rsidRPr="00841E19">
              <w:rPr>
                <w:rFonts w:eastAsia="Calibri" w:cs="Times New Roman"/>
                <w:i/>
                <w:sz w:val="20"/>
                <w:szCs w:val="20"/>
                <w:lang w:val="fr-CA"/>
              </w:rPr>
              <w:t>Stern c. Sheps</w:t>
            </w:r>
            <w:r w:rsidRPr="00841E19">
              <w:rPr>
                <w:rFonts w:eastAsia="Calibri" w:cs="Times New Roman"/>
                <w:sz w:val="20"/>
                <w:szCs w:val="20"/>
                <w:lang w:val="fr-CA"/>
              </w:rPr>
              <w:t xml:space="preserve">, [1968] R.C.S. 83, qui établit une norme permissive en matière de renonciation du conjoint, correspond-t-il toujours à l’état du droit? – Le droit fait-il preuve d’une déférence spéciale envers l’entente prénuptiale comparativement à l’entente de séparation? – L’arrêt </w:t>
            </w:r>
            <w:r w:rsidRPr="00841E19">
              <w:rPr>
                <w:rFonts w:eastAsia="Calibri" w:cs="Times New Roman"/>
                <w:i/>
                <w:sz w:val="20"/>
                <w:szCs w:val="20"/>
                <w:lang w:val="fr-CA"/>
              </w:rPr>
              <w:t>Hartshorne c</w:t>
            </w:r>
            <w:r w:rsidRPr="00841E19">
              <w:rPr>
                <w:rFonts w:eastAsia="Calibri" w:cs="Times New Roman"/>
                <w:sz w:val="20"/>
                <w:szCs w:val="20"/>
                <w:lang w:val="fr-CA"/>
              </w:rPr>
              <w:t xml:space="preserve">. </w:t>
            </w:r>
            <w:r w:rsidRPr="00841E19">
              <w:rPr>
                <w:rFonts w:eastAsia="Calibri" w:cs="Times New Roman"/>
                <w:i/>
                <w:sz w:val="20"/>
                <w:szCs w:val="20"/>
                <w:lang w:val="fr-CA"/>
              </w:rPr>
              <w:t>Hartshorne</w:t>
            </w:r>
            <w:r w:rsidRPr="00841E19">
              <w:rPr>
                <w:rFonts w:eastAsia="Calibri" w:cs="Times New Roman"/>
                <w:sz w:val="20"/>
                <w:szCs w:val="20"/>
                <w:lang w:val="fr-CA"/>
              </w:rPr>
              <w:t>, 2004 CSC 22, établit-il que les ententes prénuptiales sont plus susceptibles d’être mises à exécution, peu importe les motifs de leur contestation, ou le droit des contrats requiert-il un traitement plus égal?</w:t>
            </w:r>
          </w:p>
        </w:tc>
      </w:tr>
      <w:tr w:rsidR="00E318FE" w:rsidRPr="00417673" w:rsidTr="00E318FE">
        <w:tc>
          <w:tcPr>
            <w:tcW w:w="5000" w:type="pct"/>
            <w:gridSpan w:val="3"/>
          </w:tcPr>
          <w:p w:rsidR="00E318FE" w:rsidRPr="00841E19" w:rsidRDefault="00E318FE" w:rsidP="00102938">
            <w:pPr>
              <w:jc w:val="both"/>
              <w:rPr>
                <w:rFonts w:eastAsia="Calibri" w:cs="Times New Roman"/>
                <w:sz w:val="20"/>
                <w:szCs w:val="20"/>
                <w:lang w:val="fr-CA"/>
              </w:rPr>
            </w:pPr>
          </w:p>
        </w:tc>
      </w:tr>
      <w:tr w:rsidR="00E318FE" w:rsidRPr="00417673" w:rsidTr="00E318FE">
        <w:tc>
          <w:tcPr>
            <w:tcW w:w="5000" w:type="pct"/>
            <w:gridSpan w:val="3"/>
          </w:tcPr>
          <w:p w:rsidR="00E318FE" w:rsidRPr="00841E19" w:rsidRDefault="00E318FE" w:rsidP="00102938">
            <w:pPr>
              <w:jc w:val="both"/>
              <w:rPr>
                <w:rFonts w:eastAsia="Calibri" w:cs="Times New Roman"/>
                <w:sz w:val="20"/>
                <w:szCs w:val="20"/>
                <w:lang w:val="fr-CA"/>
              </w:rPr>
            </w:pPr>
            <w:r w:rsidRPr="00841E19">
              <w:rPr>
                <w:rFonts w:eastAsia="Calibri" w:cs="Times New Roman"/>
                <w:sz w:val="20"/>
                <w:szCs w:val="20"/>
                <w:lang w:val="fr-CA"/>
              </w:rPr>
              <w:t>M</w:t>
            </w:r>
            <w:r w:rsidRPr="00841E19">
              <w:rPr>
                <w:rFonts w:eastAsia="Calibri" w:cs="Times New Roman"/>
                <w:sz w:val="20"/>
                <w:szCs w:val="20"/>
                <w:vertAlign w:val="superscript"/>
                <w:lang w:val="fr-CA"/>
              </w:rPr>
              <w:t>me </w:t>
            </w:r>
            <w:r w:rsidRPr="00841E19">
              <w:rPr>
                <w:rFonts w:eastAsia="Calibri" w:cs="Times New Roman"/>
                <w:sz w:val="20"/>
                <w:szCs w:val="20"/>
                <w:lang w:val="fr-CA"/>
              </w:rPr>
              <w:t>Dundas et M. Schafer ont commencé à cohabiter en mai 1995. Ils comptaient se marier et ils ont discuté de la possibilité de conclure une entente prénuptiale.  M. Schafer, professeur à l’Université du Manitoba, tenait à garder sa pension en cas de séparation.  Il a dit catégoriquement qu’il n’épouserait pas M</w:t>
            </w:r>
            <w:r w:rsidRPr="00841E19">
              <w:rPr>
                <w:rFonts w:eastAsia="Calibri" w:cs="Times New Roman"/>
                <w:sz w:val="20"/>
                <w:szCs w:val="20"/>
                <w:vertAlign w:val="superscript"/>
                <w:lang w:val="fr-CA"/>
              </w:rPr>
              <w:t>me</w:t>
            </w:r>
            <w:r w:rsidRPr="00841E19">
              <w:rPr>
                <w:rFonts w:eastAsia="Calibri" w:cs="Times New Roman"/>
                <w:sz w:val="20"/>
                <w:szCs w:val="20"/>
                <w:lang w:val="fr-CA"/>
              </w:rPr>
              <w:t> Dundas à moins qu’elle renonce à son droit à sa pension à lui. M</w:t>
            </w:r>
            <w:r w:rsidRPr="00841E19">
              <w:rPr>
                <w:rFonts w:eastAsia="Calibri" w:cs="Times New Roman"/>
                <w:sz w:val="20"/>
                <w:szCs w:val="20"/>
                <w:vertAlign w:val="superscript"/>
                <w:lang w:val="fr-CA"/>
              </w:rPr>
              <w:t>me</w:t>
            </w:r>
            <w:r w:rsidRPr="00841E19">
              <w:rPr>
                <w:rFonts w:eastAsia="Calibri" w:cs="Times New Roman"/>
                <w:sz w:val="20"/>
                <w:szCs w:val="20"/>
                <w:lang w:val="fr-CA"/>
              </w:rPr>
              <w:t> Dundas, alors reporter de la SRC, connaissait sa position et lui a assuré qu’elle ne voulait aucune part de sa pension.  En décembre 1997, les parties ont décidé de se marier à la fin du mois et ont entamé la négociation des modalités de leur entente prénuptiale. Ils ont tous les deux fait appel à un avocat expérimenté en droit de la famille et certains renseignements financiers furent communiqués.  Ils se sont également échangé des projets d’entente.  Le 29 décembre 1997, M</w:t>
            </w:r>
            <w:r w:rsidRPr="00841E19">
              <w:rPr>
                <w:rFonts w:eastAsia="Calibri" w:cs="Times New Roman"/>
                <w:sz w:val="20"/>
                <w:szCs w:val="20"/>
                <w:vertAlign w:val="superscript"/>
                <w:lang w:val="fr-CA"/>
              </w:rPr>
              <w:t>me</w:t>
            </w:r>
            <w:r w:rsidRPr="00841E19">
              <w:rPr>
                <w:rFonts w:eastAsia="Calibri" w:cs="Times New Roman"/>
                <w:sz w:val="20"/>
                <w:szCs w:val="20"/>
                <w:lang w:val="fr-CA"/>
              </w:rPr>
              <w:t> Dundas a étudié une entente rédigée par l’avocat de M. Schafer, lui a apporté quelques modifications et l’a signée en présence de son avocat.   M. Schafer a accepté les modifications et signé l’entente avec son avocat le lendemain.  Ils se sont épousés le jour suivant. Les parties se sont séparées en août 2005 et ont divorcé en janvier 2011.  M</w:t>
            </w:r>
            <w:r w:rsidRPr="00841E19">
              <w:rPr>
                <w:rFonts w:eastAsia="Calibri" w:cs="Times New Roman"/>
                <w:sz w:val="20"/>
                <w:szCs w:val="20"/>
                <w:vertAlign w:val="superscript"/>
                <w:lang w:val="fr-CA"/>
              </w:rPr>
              <w:t>me</w:t>
            </w:r>
            <w:r w:rsidRPr="00841E19">
              <w:rPr>
                <w:rFonts w:eastAsia="Calibri" w:cs="Times New Roman"/>
                <w:sz w:val="20"/>
                <w:szCs w:val="20"/>
                <w:lang w:val="fr-CA"/>
              </w:rPr>
              <w:t> Dundas a intenté une action afin de contester les dispositions de l’entente prénuptiale portant renonciation à son droit à une partie de la pension de M. Schafer.</w:t>
            </w:r>
          </w:p>
          <w:p w:rsidR="00E318FE" w:rsidRPr="00841E19" w:rsidRDefault="00E318FE" w:rsidP="00102938">
            <w:pPr>
              <w:jc w:val="both"/>
              <w:rPr>
                <w:rFonts w:eastAsia="Calibri" w:cs="Times New Roman"/>
                <w:sz w:val="20"/>
                <w:szCs w:val="20"/>
                <w:lang w:val="fr-CA"/>
              </w:rPr>
            </w:pPr>
          </w:p>
        </w:tc>
      </w:tr>
      <w:tr w:rsidR="00E318FE" w:rsidRPr="00417673" w:rsidTr="00E318FE">
        <w:tc>
          <w:tcPr>
            <w:tcW w:w="2427" w:type="pct"/>
          </w:tcPr>
          <w:p w:rsidR="00E318FE" w:rsidRPr="00841E19" w:rsidRDefault="00E318FE" w:rsidP="00102938">
            <w:pPr>
              <w:jc w:val="both"/>
              <w:rPr>
                <w:rFonts w:eastAsia="Calibri" w:cs="Times New Roman"/>
                <w:sz w:val="20"/>
                <w:szCs w:val="20"/>
                <w:lang w:val="fr-CA"/>
              </w:rPr>
            </w:pPr>
            <w:r w:rsidRPr="00841E19">
              <w:rPr>
                <w:rFonts w:eastAsia="Calibri" w:cs="Times New Roman"/>
                <w:sz w:val="20"/>
                <w:szCs w:val="20"/>
                <w:lang w:val="fr-CA"/>
              </w:rPr>
              <w:t>20 mars 2012</w:t>
            </w:r>
          </w:p>
          <w:p w:rsidR="00E318FE" w:rsidRPr="00841E19" w:rsidRDefault="00E318FE" w:rsidP="00102938">
            <w:pPr>
              <w:jc w:val="both"/>
              <w:rPr>
                <w:rFonts w:eastAsia="Calibri" w:cs="Times New Roman"/>
                <w:sz w:val="20"/>
                <w:szCs w:val="20"/>
                <w:lang w:val="fr-CA"/>
              </w:rPr>
            </w:pPr>
            <w:r w:rsidRPr="00841E19">
              <w:rPr>
                <w:rFonts w:eastAsia="Calibri" w:cs="Times New Roman"/>
                <w:sz w:val="20"/>
                <w:szCs w:val="20"/>
                <w:lang w:val="fr-CA"/>
              </w:rPr>
              <w:t>Cour du Banc de la Reine du Manitoba</w:t>
            </w:r>
          </w:p>
          <w:p w:rsidR="00E318FE" w:rsidRPr="00841E19" w:rsidRDefault="00E318FE" w:rsidP="00102938">
            <w:pPr>
              <w:jc w:val="both"/>
              <w:rPr>
                <w:rFonts w:eastAsia="Calibri" w:cs="Times New Roman"/>
                <w:sz w:val="20"/>
                <w:szCs w:val="20"/>
              </w:rPr>
            </w:pPr>
            <w:r w:rsidRPr="00841E19">
              <w:rPr>
                <w:rFonts w:eastAsia="Calibri" w:cs="Times New Roman"/>
                <w:sz w:val="20"/>
                <w:szCs w:val="20"/>
              </w:rPr>
              <w:t>(Juge MacPhail)</w:t>
            </w:r>
          </w:p>
          <w:p w:rsidR="00E318FE" w:rsidRPr="00841E19" w:rsidRDefault="00417673" w:rsidP="00102938">
            <w:pPr>
              <w:jc w:val="both"/>
              <w:rPr>
                <w:rFonts w:eastAsia="Calibri" w:cs="Times New Roman"/>
                <w:sz w:val="20"/>
                <w:szCs w:val="20"/>
              </w:rPr>
            </w:pPr>
            <w:hyperlink r:id="rId39" w:history="1">
              <w:r w:rsidR="00E318FE" w:rsidRPr="00841E19">
                <w:rPr>
                  <w:rFonts w:eastAsia="Calibri" w:cs="Times New Roman"/>
                  <w:color w:val="0000FF"/>
                  <w:sz w:val="20"/>
                  <w:szCs w:val="20"/>
                  <w:u w:val="single"/>
                </w:rPr>
                <w:t>2012 MBQB 87</w:t>
              </w:r>
            </w:hyperlink>
          </w:p>
          <w:p w:rsidR="00E318FE" w:rsidRPr="00841E19" w:rsidRDefault="00E318FE" w:rsidP="00102938">
            <w:pPr>
              <w:jc w:val="both"/>
              <w:rPr>
                <w:rFonts w:eastAsia="Calibri" w:cs="Times New Roman"/>
                <w:sz w:val="20"/>
                <w:szCs w:val="20"/>
              </w:rPr>
            </w:pPr>
          </w:p>
        </w:tc>
        <w:tc>
          <w:tcPr>
            <w:tcW w:w="243" w:type="pct"/>
          </w:tcPr>
          <w:p w:rsidR="00E318FE" w:rsidRPr="00841E19" w:rsidRDefault="00E318FE" w:rsidP="00102938">
            <w:pPr>
              <w:jc w:val="both"/>
              <w:rPr>
                <w:rFonts w:eastAsia="Calibri" w:cs="Times New Roman"/>
                <w:sz w:val="20"/>
                <w:szCs w:val="20"/>
              </w:rPr>
            </w:pPr>
          </w:p>
        </w:tc>
        <w:tc>
          <w:tcPr>
            <w:tcW w:w="2330" w:type="pct"/>
          </w:tcPr>
          <w:p w:rsidR="00E318FE" w:rsidRPr="00841E19" w:rsidRDefault="00E318FE" w:rsidP="00102938">
            <w:pPr>
              <w:jc w:val="both"/>
              <w:rPr>
                <w:rFonts w:eastAsia="Calibri" w:cs="Times New Roman"/>
                <w:sz w:val="20"/>
                <w:szCs w:val="20"/>
                <w:lang w:val="fr-CA"/>
              </w:rPr>
            </w:pPr>
            <w:r w:rsidRPr="00841E19">
              <w:rPr>
                <w:rFonts w:eastAsia="Calibri" w:cs="Times New Roman"/>
                <w:sz w:val="20"/>
                <w:szCs w:val="20"/>
                <w:lang w:val="fr-CA"/>
              </w:rPr>
              <w:t xml:space="preserve">Confirmation de la clause de renonciation; demanderesse tenue de verser 20 000 $ à l’intimé conformément à l’entente prénuptiale </w:t>
            </w:r>
          </w:p>
          <w:p w:rsidR="00E318FE" w:rsidRPr="00841E19" w:rsidRDefault="00E318FE" w:rsidP="00102938">
            <w:pPr>
              <w:jc w:val="both"/>
              <w:rPr>
                <w:rFonts w:eastAsia="Calibri" w:cs="Times New Roman"/>
                <w:sz w:val="20"/>
                <w:szCs w:val="20"/>
                <w:lang w:val="fr-CA"/>
              </w:rPr>
            </w:pPr>
          </w:p>
        </w:tc>
      </w:tr>
      <w:tr w:rsidR="00E318FE" w:rsidRPr="00417673" w:rsidTr="00E318FE">
        <w:tc>
          <w:tcPr>
            <w:tcW w:w="2427" w:type="pct"/>
          </w:tcPr>
          <w:p w:rsidR="00E318FE" w:rsidRPr="00841E19" w:rsidRDefault="00E318FE" w:rsidP="00102938">
            <w:pPr>
              <w:jc w:val="both"/>
              <w:rPr>
                <w:rFonts w:eastAsia="Calibri" w:cs="Times New Roman"/>
                <w:sz w:val="20"/>
                <w:szCs w:val="20"/>
                <w:lang w:val="fr-CA"/>
              </w:rPr>
            </w:pPr>
            <w:r w:rsidRPr="00841E19">
              <w:rPr>
                <w:rFonts w:eastAsia="Calibri" w:cs="Times New Roman"/>
                <w:sz w:val="20"/>
                <w:szCs w:val="20"/>
                <w:lang w:val="fr-CA"/>
              </w:rPr>
              <w:t>8 octobre 2014</w:t>
            </w:r>
          </w:p>
          <w:p w:rsidR="00E318FE" w:rsidRPr="00841E19" w:rsidRDefault="00E318FE" w:rsidP="00102938">
            <w:pPr>
              <w:jc w:val="both"/>
              <w:rPr>
                <w:rFonts w:eastAsia="Calibri" w:cs="Times New Roman"/>
                <w:sz w:val="20"/>
                <w:szCs w:val="20"/>
                <w:lang w:val="fr-CA"/>
              </w:rPr>
            </w:pPr>
            <w:r w:rsidRPr="00841E19">
              <w:rPr>
                <w:rFonts w:eastAsia="Calibri" w:cs="Times New Roman"/>
                <w:sz w:val="20"/>
                <w:szCs w:val="20"/>
                <w:lang w:val="fr-CA"/>
              </w:rPr>
              <w:t>Cour d’appel du Manitoba</w:t>
            </w:r>
          </w:p>
          <w:p w:rsidR="00E318FE" w:rsidRPr="00841E19" w:rsidRDefault="00E318FE" w:rsidP="00102938">
            <w:pPr>
              <w:jc w:val="both"/>
              <w:rPr>
                <w:rFonts w:eastAsia="Calibri" w:cs="Times New Roman"/>
                <w:sz w:val="20"/>
                <w:szCs w:val="20"/>
                <w:lang w:val="fr-CA"/>
              </w:rPr>
            </w:pPr>
            <w:r w:rsidRPr="00841E19">
              <w:rPr>
                <w:rFonts w:eastAsia="Calibri" w:cs="Times New Roman"/>
                <w:sz w:val="20"/>
                <w:szCs w:val="20"/>
                <w:lang w:val="fr-CA"/>
              </w:rPr>
              <w:t>(Juges MacInnes, Monnin et Cameron)</w:t>
            </w:r>
          </w:p>
          <w:p w:rsidR="00E318FE" w:rsidRPr="00841E19" w:rsidRDefault="00417673" w:rsidP="00102938">
            <w:pPr>
              <w:jc w:val="both"/>
              <w:rPr>
                <w:rFonts w:eastAsia="Calibri" w:cs="Times New Roman"/>
                <w:sz w:val="20"/>
                <w:szCs w:val="20"/>
              </w:rPr>
            </w:pPr>
            <w:hyperlink r:id="rId40" w:history="1">
              <w:r w:rsidR="00E318FE" w:rsidRPr="00841E19">
                <w:rPr>
                  <w:rFonts w:eastAsia="Calibri" w:cs="Times New Roman"/>
                  <w:color w:val="0000FF"/>
                  <w:sz w:val="20"/>
                  <w:szCs w:val="20"/>
                  <w:u w:val="single"/>
                </w:rPr>
                <w:t>2014 MBCA 92</w:t>
              </w:r>
            </w:hyperlink>
          </w:p>
          <w:p w:rsidR="00E318FE" w:rsidRPr="00841E19" w:rsidRDefault="00E318FE" w:rsidP="00102938">
            <w:pPr>
              <w:jc w:val="both"/>
              <w:rPr>
                <w:rFonts w:eastAsia="Calibri" w:cs="Times New Roman"/>
                <w:sz w:val="20"/>
                <w:szCs w:val="20"/>
              </w:rPr>
            </w:pPr>
          </w:p>
        </w:tc>
        <w:tc>
          <w:tcPr>
            <w:tcW w:w="243" w:type="pct"/>
          </w:tcPr>
          <w:p w:rsidR="00E318FE" w:rsidRPr="00841E19" w:rsidRDefault="00E318FE" w:rsidP="00102938">
            <w:pPr>
              <w:jc w:val="both"/>
              <w:rPr>
                <w:rFonts w:eastAsia="Calibri" w:cs="Times New Roman"/>
                <w:sz w:val="20"/>
                <w:szCs w:val="20"/>
              </w:rPr>
            </w:pPr>
          </w:p>
        </w:tc>
        <w:tc>
          <w:tcPr>
            <w:tcW w:w="2330" w:type="pct"/>
          </w:tcPr>
          <w:p w:rsidR="00E318FE" w:rsidRPr="00841E19" w:rsidRDefault="00E318FE" w:rsidP="00102938">
            <w:pPr>
              <w:jc w:val="both"/>
              <w:rPr>
                <w:rFonts w:eastAsia="Calibri" w:cs="Times New Roman"/>
                <w:sz w:val="20"/>
                <w:szCs w:val="20"/>
                <w:lang w:val="fr-CA"/>
              </w:rPr>
            </w:pPr>
            <w:r w:rsidRPr="00841E19">
              <w:rPr>
                <w:rFonts w:eastAsia="Calibri" w:cs="Times New Roman"/>
                <w:sz w:val="20"/>
                <w:szCs w:val="20"/>
                <w:lang w:val="fr-CA"/>
              </w:rPr>
              <w:t>Appel de la demanderesse accueilli en partie; clause de renonciation confirmée à titre de renonciation valide au droit à la pension; demanderesse non tenue de verser 20 000 $ à l’intimé conformément à l’entente prénuptiale</w:t>
            </w:r>
          </w:p>
          <w:p w:rsidR="00E318FE" w:rsidRPr="00841E19" w:rsidRDefault="00E318FE" w:rsidP="00102938">
            <w:pPr>
              <w:jc w:val="both"/>
              <w:rPr>
                <w:rFonts w:eastAsia="Calibri" w:cs="Times New Roman"/>
                <w:sz w:val="20"/>
                <w:szCs w:val="20"/>
                <w:lang w:val="fr-CA"/>
              </w:rPr>
            </w:pPr>
          </w:p>
        </w:tc>
      </w:tr>
      <w:tr w:rsidR="00E318FE" w:rsidRPr="00417673" w:rsidTr="00E318FE">
        <w:tc>
          <w:tcPr>
            <w:tcW w:w="2427" w:type="pct"/>
          </w:tcPr>
          <w:p w:rsidR="00E318FE" w:rsidRPr="00841E19" w:rsidRDefault="00E318FE" w:rsidP="00102938">
            <w:pPr>
              <w:jc w:val="both"/>
              <w:rPr>
                <w:rFonts w:eastAsia="Calibri" w:cs="Times New Roman"/>
                <w:sz w:val="20"/>
                <w:szCs w:val="20"/>
                <w:lang w:val="fr-CA"/>
              </w:rPr>
            </w:pPr>
            <w:r w:rsidRPr="00841E19">
              <w:rPr>
                <w:rFonts w:eastAsia="Calibri" w:cs="Times New Roman"/>
                <w:sz w:val="20"/>
                <w:szCs w:val="20"/>
                <w:lang w:val="fr-CA"/>
              </w:rPr>
              <w:t>8 décembre 2014</w:t>
            </w:r>
          </w:p>
          <w:p w:rsidR="00E318FE" w:rsidRPr="00841E19" w:rsidRDefault="00E318FE" w:rsidP="00102938">
            <w:pPr>
              <w:jc w:val="both"/>
              <w:rPr>
                <w:rFonts w:eastAsia="Calibri" w:cs="Times New Roman"/>
                <w:sz w:val="20"/>
                <w:szCs w:val="20"/>
                <w:lang w:val="fr-CA"/>
              </w:rPr>
            </w:pPr>
            <w:r w:rsidRPr="00841E19">
              <w:rPr>
                <w:rFonts w:eastAsia="Calibri" w:cs="Times New Roman"/>
                <w:sz w:val="20"/>
                <w:szCs w:val="20"/>
                <w:lang w:val="fr-CA"/>
              </w:rPr>
              <w:t>Cour suprême du Canada</w:t>
            </w:r>
          </w:p>
        </w:tc>
        <w:tc>
          <w:tcPr>
            <w:tcW w:w="243" w:type="pct"/>
          </w:tcPr>
          <w:p w:rsidR="00E318FE" w:rsidRPr="00841E19" w:rsidRDefault="00E318FE" w:rsidP="00102938">
            <w:pPr>
              <w:jc w:val="both"/>
              <w:rPr>
                <w:rFonts w:eastAsia="Calibri" w:cs="Times New Roman"/>
                <w:sz w:val="20"/>
                <w:szCs w:val="20"/>
                <w:lang w:val="fr-CA"/>
              </w:rPr>
            </w:pPr>
          </w:p>
        </w:tc>
        <w:tc>
          <w:tcPr>
            <w:tcW w:w="2330" w:type="pct"/>
          </w:tcPr>
          <w:p w:rsidR="00E318FE" w:rsidRPr="00841E19" w:rsidRDefault="00E318FE" w:rsidP="00102938">
            <w:pPr>
              <w:jc w:val="both"/>
              <w:rPr>
                <w:rFonts w:eastAsia="Calibri" w:cs="Times New Roman"/>
                <w:sz w:val="20"/>
                <w:szCs w:val="20"/>
                <w:lang w:val="fr-CA"/>
              </w:rPr>
            </w:pPr>
            <w:r w:rsidRPr="00841E19">
              <w:rPr>
                <w:rFonts w:eastAsia="Calibri" w:cs="Times New Roman"/>
                <w:sz w:val="20"/>
                <w:szCs w:val="20"/>
                <w:lang w:val="fr-CA"/>
              </w:rPr>
              <w:t xml:space="preserve">Dépôt de la demande d’autorisation d’appel </w:t>
            </w:r>
          </w:p>
          <w:p w:rsidR="00E318FE" w:rsidRPr="00841E19" w:rsidRDefault="00E318FE" w:rsidP="00102938">
            <w:pPr>
              <w:jc w:val="both"/>
              <w:rPr>
                <w:rFonts w:eastAsia="Calibri" w:cs="Times New Roman"/>
                <w:sz w:val="20"/>
                <w:szCs w:val="20"/>
                <w:lang w:val="fr-CA"/>
              </w:rPr>
            </w:pPr>
          </w:p>
        </w:tc>
      </w:tr>
    </w:tbl>
    <w:p w:rsidR="00E318FE" w:rsidRPr="00841E19" w:rsidRDefault="00E318FE" w:rsidP="00102938">
      <w:pPr>
        <w:jc w:val="both"/>
        <w:rPr>
          <w:rFonts w:eastAsia="Calibri" w:cs="Times New Roman"/>
          <w:sz w:val="20"/>
          <w:szCs w:val="20"/>
          <w:lang w:val="fr-CA"/>
        </w:rPr>
      </w:pPr>
    </w:p>
    <w:p w:rsidR="00E318FE" w:rsidRDefault="00417673" w:rsidP="00102938">
      <w:pPr>
        <w:jc w:val="both"/>
        <w:rPr>
          <w:sz w:val="20"/>
          <w:szCs w:val="20"/>
        </w:rPr>
      </w:pPr>
      <w:r>
        <w:rPr>
          <w:sz w:val="20"/>
          <w:szCs w:val="20"/>
          <w:lang w:val="fr-CA"/>
        </w:rPr>
        <w:pict>
          <v:rect id="_x0000_i1051" style="width:2in;height:1pt" o:hrpct="0" o:hralign="center" o:hrstd="t" o:hrnoshade="t" o:hr="t" fillcolor="black [3213]" stroked="f"/>
        </w:pict>
      </w:r>
    </w:p>
    <w:p w:rsidR="00E318FE" w:rsidRDefault="00E318FE" w:rsidP="00841E19">
      <w:pPr>
        <w:jc w:val="both"/>
        <w:rPr>
          <w:rFonts w:eastAsia="Calibri" w:cs="Times New Roman"/>
          <w:sz w:val="20"/>
          <w:szCs w:val="20"/>
          <w:lang w:val="fr-CA"/>
        </w:rPr>
      </w:pPr>
    </w:p>
    <w:tbl>
      <w:tblPr>
        <w:tblStyle w:val="TableGrid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318FE" w:rsidRPr="00417673" w:rsidTr="001D3E4B">
        <w:tc>
          <w:tcPr>
            <w:tcW w:w="1458" w:type="dxa"/>
          </w:tcPr>
          <w:p w:rsidR="00E318FE" w:rsidRPr="00E318FE" w:rsidRDefault="00E318FE" w:rsidP="00E318FE">
            <w:pPr>
              <w:rPr>
                <w:sz w:val="20"/>
              </w:rPr>
            </w:pPr>
            <w:r w:rsidRPr="00E318FE">
              <w:rPr>
                <w:b/>
                <w:sz w:val="20"/>
                <w:lang w:val="fr-CA"/>
              </w:rPr>
              <w:t>36205</w:t>
            </w:r>
          </w:p>
          <w:p w:rsidR="00E318FE" w:rsidRPr="00E318FE" w:rsidRDefault="00E318FE" w:rsidP="00E318FE">
            <w:pPr>
              <w:rPr>
                <w:b/>
                <w:sz w:val="20"/>
                <w:lang w:val="fr-CA"/>
              </w:rPr>
            </w:pPr>
          </w:p>
        </w:tc>
        <w:tc>
          <w:tcPr>
            <w:tcW w:w="8118" w:type="dxa"/>
          </w:tcPr>
          <w:p w:rsidR="00E318FE" w:rsidRPr="00E318FE" w:rsidRDefault="00E318FE" w:rsidP="00102938">
            <w:pPr>
              <w:jc w:val="both"/>
              <w:rPr>
                <w:sz w:val="20"/>
                <w:lang w:val="fr-CA"/>
              </w:rPr>
            </w:pPr>
            <w:r w:rsidRPr="00E318FE">
              <w:rPr>
                <w:b/>
                <w:sz w:val="20"/>
                <w:u w:val="single"/>
                <w:lang w:val="fr-CA"/>
              </w:rPr>
              <w:t>Ferme Vi-Ber Inc. c. Financière Agricole du Québec ET ENTRE Simon Cloutier, Denis Trépanier, Société coopérative agricole des Bois Francs, Coopérative agricole Covilac, Coop Purdel, Société coopérative agricole La Seigneurie, Coopérative agricole Unicoop</w:t>
            </w:r>
            <w:r w:rsidR="001D3E4B">
              <w:rPr>
                <w:b/>
                <w:sz w:val="20"/>
                <w:u w:val="single"/>
                <w:lang w:val="fr-CA"/>
              </w:rPr>
              <w:t>,</w:t>
            </w:r>
            <w:r w:rsidRPr="00E318FE">
              <w:rPr>
                <w:b/>
                <w:sz w:val="20"/>
                <w:u w:val="single"/>
                <w:lang w:val="fr-CA"/>
              </w:rPr>
              <w:t xml:space="preserve"> 9012-2151 Québec Inc., Sogéporc Inc., Gabriel Turgeon Inc., Société en commandite Pascoporc, Groupe Dynaco, Coopérative Agroalimentaire, Coopérative Agroalimentaire Comax, R. Rousseau &amp; </w:t>
            </w:r>
            <w:r w:rsidRPr="00E318FE">
              <w:rPr>
                <w:b/>
                <w:sz w:val="20"/>
                <w:u w:val="single"/>
                <w:lang w:val="fr-CA"/>
              </w:rPr>
              <w:lastRenderedPageBreak/>
              <w:t xml:space="preserve">Fils, S.E.C., Ferme Olympique, S.E.C., Moulées Désy, S.E.C., Inter Agro Inc., Techni-Porc Inc., Élevage la Bretanne Inc., 9038-7747 Québec Inc., Ferme Lor-re Inc., Ginette Marchesseault, Ferme Casimir Inc., C&amp;G Paquette Inc., Entreprises B. Paquette Inc., Porcheries du Button Ltée, Élevages du Bas Ste-Anne Inc., Ferme Suporsonique, Géné-Alliance Inc., 9076-1776 Québec Inc., Cultures Excel Inc., Francine Sauvageau Inc., Ferme Jétizack Inc., Cultures Quinto Inc., Élevages Hébertville S.E.N.C., Jean-Marc Henri Inc., Ferme Porcéréales Inc. (Anciennement connue sous le nom de </w:t>
            </w:r>
            <w:r w:rsidR="001D3E4B">
              <w:rPr>
                <w:b/>
                <w:sz w:val="20"/>
                <w:u w:val="single"/>
                <w:lang w:val="fr-CA"/>
              </w:rPr>
              <w:t xml:space="preserve">Les </w:t>
            </w:r>
            <w:r w:rsidRPr="00E318FE">
              <w:rPr>
                <w:b/>
                <w:sz w:val="20"/>
                <w:u w:val="single"/>
                <w:lang w:val="fr-CA"/>
              </w:rPr>
              <w:t xml:space="preserve">Maraîchers de St-Gilles </w:t>
            </w:r>
            <w:r w:rsidR="001D3E4B">
              <w:rPr>
                <w:b/>
                <w:sz w:val="20"/>
                <w:u w:val="single"/>
                <w:lang w:val="fr-CA"/>
              </w:rPr>
              <w:t xml:space="preserve">« 1991 » </w:t>
            </w:r>
            <w:r w:rsidRPr="00E318FE">
              <w:rPr>
                <w:b/>
                <w:sz w:val="20"/>
                <w:u w:val="single"/>
                <w:lang w:val="fr-CA"/>
              </w:rPr>
              <w:t>S.E.N.C.), Ferme Gosford ENR. S.E.N.C., Ferme André Breton Inc., Ferme S. &amp; M. Ménard Inc., Ferme Luc Loranger Inc., Méloporc Inc., Ferme Frangis S.E.N.C., Ferme R.M. Côté &amp; Fils (2000) Inc., Ferme Porcine Marnie S.E.N.C., F. Ménard Inc., Élevages Jacques Joyal Inc., Ferme La Ronchonnerie Inc., Ferme Mafran Inc., Coopérative Agricole Profid</w:t>
            </w:r>
            <w:r w:rsidR="00AF65DA">
              <w:rPr>
                <w:b/>
                <w:sz w:val="20"/>
                <w:u w:val="single"/>
                <w:lang w:val="fr-CA"/>
              </w:rPr>
              <w:t>’</w:t>
            </w:r>
            <w:r w:rsidRPr="00E318FE">
              <w:rPr>
                <w:b/>
                <w:sz w:val="20"/>
                <w:u w:val="single"/>
                <w:lang w:val="fr-CA"/>
              </w:rPr>
              <w:t>Or, Isoporc Inc., Ferme Gervais Gosselin Inc., R. Robitaille et Fils Inc., Groupe CDLM Inc., Ferme Gaudreau Inc., 9039-2648 Qu</w:t>
            </w:r>
            <w:r w:rsidR="00AF65DA">
              <w:rPr>
                <w:b/>
                <w:sz w:val="20"/>
                <w:u w:val="single"/>
                <w:lang w:val="fr-CA"/>
              </w:rPr>
              <w:t>é</w:t>
            </w:r>
            <w:r w:rsidRPr="00E318FE">
              <w:rPr>
                <w:b/>
                <w:sz w:val="20"/>
                <w:u w:val="single"/>
                <w:lang w:val="fr-CA"/>
              </w:rPr>
              <w:t xml:space="preserve">bec Inc., Ferme Denis Robitaille Inc., </w:t>
            </w:r>
            <w:r w:rsidR="00AF65DA">
              <w:rPr>
                <w:b/>
                <w:sz w:val="20"/>
                <w:u w:val="single"/>
                <w:lang w:val="fr-CA"/>
              </w:rPr>
              <w:t>É</w:t>
            </w:r>
            <w:r w:rsidRPr="00E318FE">
              <w:rPr>
                <w:b/>
                <w:sz w:val="20"/>
                <w:u w:val="single"/>
                <w:lang w:val="fr-CA"/>
              </w:rPr>
              <w:t>levages du Haut-Richelieu Inc., Viaporc Inc., Porc S.B. Inc., Ferme G. Rompré Inc., 9084-9183 Québec Inc., Porcs N</w:t>
            </w:r>
            <w:r w:rsidR="009E3CD1">
              <w:rPr>
                <w:b/>
                <w:sz w:val="20"/>
                <w:u w:val="single"/>
                <w:lang w:val="fr-CA"/>
              </w:rPr>
              <w:t xml:space="preserve"> </w:t>
            </w:r>
            <w:r w:rsidRPr="00E318FE">
              <w:rPr>
                <w:b/>
                <w:sz w:val="20"/>
                <w:u w:val="single"/>
                <w:lang w:val="fr-CA"/>
              </w:rPr>
              <w:t>&amp;</w:t>
            </w:r>
            <w:r w:rsidR="009E3CD1">
              <w:rPr>
                <w:b/>
                <w:sz w:val="20"/>
                <w:u w:val="single"/>
                <w:lang w:val="fr-CA"/>
              </w:rPr>
              <w:t xml:space="preserve"> </w:t>
            </w:r>
            <w:r w:rsidRPr="00E318FE">
              <w:rPr>
                <w:b/>
                <w:sz w:val="20"/>
                <w:u w:val="single"/>
                <w:lang w:val="fr-CA"/>
              </w:rPr>
              <w:t xml:space="preserve">M Inc., Ferme Porclair S.E.N.C., Ferme R.D.S. Inc., </w:t>
            </w:r>
            <w:r w:rsidR="009E3CD1">
              <w:rPr>
                <w:b/>
                <w:sz w:val="20"/>
                <w:u w:val="single"/>
                <w:lang w:val="fr-CA"/>
              </w:rPr>
              <w:t>É</w:t>
            </w:r>
            <w:r w:rsidRPr="00E318FE">
              <w:rPr>
                <w:b/>
                <w:sz w:val="20"/>
                <w:u w:val="single"/>
                <w:lang w:val="fr-CA"/>
              </w:rPr>
              <w:t>levages L.D. Ltée, Porc P.G. S.E.N.C., Ferme M.Y. Turgeon Inc., Coopérative Agricole de St</w:t>
            </w:r>
            <w:r w:rsidR="009E3CD1">
              <w:rPr>
                <w:b/>
                <w:sz w:val="20"/>
                <w:u w:val="single"/>
                <w:lang w:val="fr-CA"/>
              </w:rPr>
              <w:noBreakHyphen/>
            </w:r>
            <w:r w:rsidRPr="00E318FE">
              <w:rPr>
                <w:b/>
                <w:sz w:val="20"/>
                <w:u w:val="single"/>
                <w:lang w:val="fr-CA"/>
              </w:rPr>
              <w:t>Bernard, Élevage Y. Ducharme Inc., Production A. Couture (N</w:t>
            </w:r>
            <w:r w:rsidR="009E3CD1" w:rsidRPr="009E3CD1">
              <w:rPr>
                <w:b/>
                <w:sz w:val="20"/>
                <w:u w:val="single"/>
                <w:vertAlign w:val="superscript"/>
                <w:lang w:val="fr-CA"/>
              </w:rPr>
              <w:t>o</w:t>
            </w:r>
            <w:r w:rsidRPr="00E318FE">
              <w:rPr>
                <w:b/>
                <w:sz w:val="20"/>
                <w:u w:val="single"/>
                <w:lang w:val="fr-CA"/>
              </w:rPr>
              <w:t xml:space="preserve"> 1) Ltée, Production A. Couture (N</w:t>
            </w:r>
            <w:r w:rsidR="009E3CD1" w:rsidRPr="009E3CD1">
              <w:rPr>
                <w:b/>
                <w:sz w:val="20"/>
                <w:u w:val="single"/>
                <w:vertAlign w:val="superscript"/>
                <w:lang w:val="fr-CA"/>
              </w:rPr>
              <w:t>o</w:t>
            </w:r>
            <w:r w:rsidRPr="00E318FE">
              <w:rPr>
                <w:b/>
                <w:sz w:val="20"/>
                <w:u w:val="single"/>
                <w:lang w:val="fr-CA"/>
              </w:rPr>
              <w:t xml:space="preserve"> 2) Ltée, Production A. Couture (N</w:t>
            </w:r>
            <w:r w:rsidR="00662FAD" w:rsidRPr="00662FAD">
              <w:rPr>
                <w:b/>
                <w:sz w:val="20"/>
                <w:u w:val="single"/>
                <w:vertAlign w:val="superscript"/>
                <w:lang w:val="fr-CA"/>
              </w:rPr>
              <w:t>o</w:t>
            </w:r>
            <w:r w:rsidRPr="00E318FE">
              <w:rPr>
                <w:b/>
                <w:sz w:val="20"/>
                <w:u w:val="single"/>
                <w:lang w:val="fr-CA"/>
              </w:rPr>
              <w:t xml:space="preserve"> 3) Ltée, Production A. Couture (N</w:t>
            </w:r>
            <w:r w:rsidR="00662FAD" w:rsidRPr="00662FAD">
              <w:rPr>
                <w:b/>
                <w:sz w:val="20"/>
                <w:u w:val="single"/>
                <w:vertAlign w:val="superscript"/>
                <w:lang w:val="fr-CA"/>
              </w:rPr>
              <w:t>o</w:t>
            </w:r>
            <w:r w:rsidRPr="00E318FE">
              <w:rPr>
                <w:b/>
                <w:sz w:val="20"/>
                <w:u w:val="single"/>
                <w:lang w:val="fr-CA"/>
              </w:rPr>
              <w:t xml:space="preserve"> 4) Ltée, Production A. Couture (N</w:t>
            </w:r>
            <w:r w:rsidR="00662FAD" w:rsidRPr="00662FAD">
              <w:rPr>
                <w:b/>
                <w:sz w:val="20"/>
                <w:u w:val="single"/>
                <w:vertAlign w:val="superscript"/>
                <w:lang w:val="fr-CA"/>
              </w:rPr>
              <w:t>o</w:t>
            </w:r>
            <w:r w:rsidRPr="00E318FE">
              <w:rPr>
                <w:b/>
                <w:sz w:val="20"/>
                <w:u w:val="single"/>
                <w:lang w:val="fr-CA"/>
              </w:rPr>
              <w:t xml:space="preserve"> 5) Ltée, Production A. Couture (N</w:t>
            </w:r>
            <w:r w:rsidR="00662FAD" w:rsidRPr="00662FAD">
              <w:rPr>
                <w:b/>
                <w:sz w:val="20"/>
                <w:u w:val="single"/>
                <w:vertAlign w:val="superscript"/>
                <w:lang w:val="fr-CA"/>
              </w:rPr>
              <w:t>o</w:t>
            </w:r>
            <w:r w:rsidRPr="00E318FE">
              <w:rPr>
                <w:b/>
                <w:sz w:val="20"/>
                <w:u w:val="single"/>
                <w:lang w:val="fr-CA"/>
              </w:rPr>
              <w:t xml:space="preserve"> 6) Ltée, Production René Lait Inc., Alfred Couture Limitée, Ferme B.E.L. Porcs Ltée, Porcs M.L. Inc., Ferme Vallières &amp; Gosselin Inc., Meunerie St-Elzéar Ltée, Élevages Labrecque Inc., Joly-Grains Inc., Joly-Porcs Inc., Site de la Colline Inc., Site des Érables Inc., Ferme Serge Inc., Ferme Jolivoir Inc., Aliments Breton Inc., Ferme C.B. Inc., Fermili Inc., Luma Génétique Inc. (Anciennement connue sous le nom de Génétiporc Inc.), Entreprises Magnum Inc., Trans-Porcité Inc., Lait-Porcité Inc., Ferme C.M. S.E.N.C., Ferme Porc Saint SENC, Entreprises Rémy </w:t>
            </w:r>
            <w:r w:rsidR="008A1E7C">
              <w:rPr>
                <w:b/>
                <w:sz w:val="20"/>
                <w:u w:val="single"/>
                <w:lang w:val="fr-CA"/>
              </w:rPr>
              <w:t>Laterreur Inc., Rémy Laterreur,</w:t>
            </w:r>
            <w:r w:rsidRPr="00E318FE">
              <w:rPr>
                <w:b/>
                <w:sz w:val="20"/>
                <w:u w:val="single"/>
                <w:lang w:val="fr-CA"/>
              </w:rPr>
              <w:t xml:space="preserve"> Élevages Explorateurs Inc., Ferme Palene Inc., Ferme André Hénault S.E.N.C., Germain Lapointe, Ferme Jenlica Inc., Immeubles Clément Dubois Inc., Fermes Roda Inc., Fermes Richard Inc., Ferme Jocko S.E.N.C., Ferme D.J. Frappier Inc., Entreprises Paul Claessens Inc., Ferme H. et M. Potvin S.E.N.C., Ferme Jean-Paul Palardy Inc., Entreprises Denis Lacoste Inc., Chantal D'Amour, Ferme Bonneterre Inc., Ferme D</w:t>
            </w:r>
            <w:r w:rsidR="002D1AA9">
              <w:rPr>
                <w:b/>
                <w:sz w:val="20"/>
                <w:u w:val="single"/>
                <w:lang w:val="fr-CA"/>
              </w:rPr>
              <w:t>’</w:t>
            </w:r>
            <w:r w:rsidRPr="00E318FE">
              <w:rPr>
                <w:b/>
                <w:sz w:val="20"/>
                <w:u w:val="single"/>
                <w:lang w:val="fr-CA"/>
              </w:rPr>
              <w:t>Anjou &amp; Fils Inc., M.B.M. Daigle S.E.N.C., Ferme Réjean Turgeon Inc., Ferme Jymdom Inc., Ferme Jules Côté et Fils Inc., Ferme D.M.L. Inc., Ranch St-Sylvestre Inc., John Houley Inc., Ferme Belgica Inc., Ferme Bovipro S.E.N.C., Jacques Desrosiers, Éric Desrosiers, Ferme B</w:t>
            </w:r>
            <w:r w:rsidR="007C4D6E">
              <w:rPr>
                <w:b/>
                <w:sz w:val="20"/>
                <w:u w:val="single"/>
                <w:lang w:val="fr-CA"/>
              </w:rPr>
              <w:t xml:space="preserve"> </w:t>
            </w:r>
            <w:r w:rsidRPr="00E318FE">
              <w:rPr>
                <w:b/>
                <w:sz w:val="20"/>
                <w:u w:val="single"/>
                <w:lang w:val="fr-CA"/>
              </w:rPr>
              <w:t>&amp;</w:t>
            </w:r>
            <w:r w:rsidR="007C4D6E">
              <w:rPr>
                <w:b/>
                <w:sz w:val="20"/>
                <w:u w:val="single"/>
                <w:lang w:val="fr-CA"/>
              </w:rPr>
              <w:t xml:space="preserve"> </w:t>
            </w:r>
            <w:r w:rsidRPr="00E318FE">
              <w:rPr>
                <w:b/>
                <w:sz w:val="20"/>
                <w:u w:val="single"/>
                <w:lang w:val="fr-CA"/>
              </w:rPr>
              <w:t xml:space="preserve">L Desrosiers S.E.N.C., 9078-1170 Québec Inc.,, Fermes St-Henri S.E.C., Ferme Ray-Loi S.E.C., Fermes St-Apollinaire S.E.C., </w:t>
            </w:r>
            <w:r w:rsidR="007C4D6E" w:rsidRPr="00E318FE">
              <w:rPr>
                <w:b/>
                <w:sz w:val="20"/>
                <w:u w:val="single"/>
                <w:lang w:val="fr-CA"/>
              </w:rPr>
              <w:t>Élevages St-</w:t>
            </w:r>
            <w:r w:rsidR="007C4D6E">
              <w:rPr>
                <w:b/>
                <w:sz w:val="20"/>
                <w:u w:val="single"/>
                <w:lang w:val="fr-CA"/>
              </w:rPr>
              <w:t xml:space="preserve">Félix, S.E.C., </w:t>
            </w:r>
            <w:r w:rsidRPr="00E318FE">
              <w:rPr>
                <w:b/>
                <w:sz w:val="20"/>
                <w:u w:val="single"/>
                <w:lang w:val="fr-CA"/>
              </w:rPr>
              <w:t xml:space="preserve">Élevages St-Patrice S.E.C., </w:t>
            </w:r>
            <w:r w:rsidR="007C4D6E">
              <w:rPr>
                <w:b/>
                <w:sz w:val="20"/>
                <w:u w:val="single"/>
                <w:lang w:val="fr-CA"/>
              </w:rPr>
              <w:t xml:space="preserve">et </w:t>
            </w:r>
            <w:r w:rsidRPr="00E318FE">
              <w:rPr>
                <w:b/>
                <w:sz w:val="20"/>
                <w:u w:val="single"/>
                <w:lang w:val="fr-CA"/>
              </w:rPr>
              <w:t>Ferme Beaumontoise S.E.C. c. Financière Agricole du Québec</w:t>
            </w:r>
            <w:r w:rsidRPr="00E318FE">
              <w:rPr>
                <w:sz w:val="20"/>
                <w:lang w:val="fr-CA"/>
              </w:rPr>
              <w:t xml:space="preserve"> (Qc) (Civile) (Autorisation)</w:t>
            </w:r>
          </w:p>
          <w:p w:rsidR="00E318FE" w:rsidRPr="00E318FE" w:rsidRDefault="00E318FE" w:rsidP="00E318FE">
            <w:pPr>
              <w:rPr>
                <w:sz w:val="20"/>
                <w:lang w:val="fr-CA"/>
              </w:rPr>
            </w:pPr>
          </w:p>
        </w:tc>
      </w:tr>
      <w:tr w:rsidR="00E318FE" w:rsidRPr="00417673" w:rsidTr="001D3E4B">
        <w:tc>
          <w:tcPr>
            <w:tcW w:w="1458" w:type="dxa"/>
          </w:tcPr>
          <w:p w:rsidR="00E318FE" w:rsidRPr="00E318FE" w:rsidRDefault="00E318FE" w:rsidP="00E318FE">
            <w:pPr>
              <w:rPr>
                <w:sz w:val="20"/>
                <w:lang w:val="fr-CA"/>
              </w:rPr>
            </w:pPr>
            <w:r w:rsidRPr="00E318FE">
              <w:rPr>
                <w:sz w:val="20"/>
                <w:lang w:val="fr-CA"/>
              </w:rPr>
              <w:lastRenderedPageBreak/>
              <w:t>Coram :</w:t>
            </w:r>
          </w:p>
        </w:tc>
        <w:tc>
          <w:tcPr>
            <w:tcW w:w="8118" w:type="dxa"/>
          </w:tcPr>
          <w:p w:rsidR="00E318FE" w:rsidRPr="00E318FE" w:rsidRDefault="00E318FE" w:rsidP="00E318FE">
            <w:pPr>
              <w:rPr>
                <w:sz w:val="20"/>
                <w:lang w:val="fr-CA"/>
              </w:rPr>
            </w:pPr>
            <w:r w:rsidRPr="00E318FE">
              <w:rPr>
                <w:sz w:val="20"/>
                <w:u w:val="single"/>
                <w:lang w:val="fr-CA"/>
              </w:rPr>
              <w:t>La juge en chef McLachlin et les juges Wagner et Gascon</w:t>
            </w:r>
          </w:p>
          <w:p w:rsidR="00E318FE" w:rsidRPr="00E318FE" w:rsidRDefault="00E318FE" w:rsidP="00E318FE">
            <w:pPr>
              <w:rPr>
                <w:sz w:val="20"/>
                <w:u w:val="single"/>
                <w:lang w:val="fr-CA"/>
              </w:rPr>
            </w:pPr>
          </w:p>
        </w:tc>
      </w:tr>
      <w:tr w:rsidR="00E318FE" w:rsidRPr="00E318FE" w:rsidTr="001D3E4B">
        <w:tc>
          <w:tcPr>
            <w:tcW w:w="9576" w:type="dxa"/>
            <w:gridSpan w:val="2"/>
          </w:tcPr>
          <w:p w:rsidR="00E318FE" w:rsidRPr="00E318FE" w:rsidRDefault="00E318FE" w:rsidP="00E318FE">
            <w:pPr>
              <w:ind w:firstLine="720"/>
              <w:jc w:val="both"/>
              <w:rPr>
                <w:sz w:val="20"/>
                <w:lang w:val="fr-CA"/>
              </w:rPr>
            </w:pPr>
            <w:r w:rsidRPr="00E318FE">
              <w:rPr>
                <w:sz w:val="20"/>
                <w:lang w:val="fr-CA"/>
              </w:rPr>
              <w:t>La demande d’autorisation d’appel de l’arrêt de la Cour d’appel du Québec (Montréal), numéros 500-09-022462-121 et 500-09-022461-123, 2014 QCCA 1886,  daté du 14 octobre 2014, est accueillie avec dépens selon l’issue de l’appel.</w:t>
            </w:r>
          </w:p>
          <w:p w:rsidR="00E318FE" w:rsidRPr="00E318FE" w:rsidRDefault="00E318FE" w:rsidP="00E318FE">
            <w:pPr>
              <w:jc w:val="both"/>
              <w:rPr>
                <w:sz w:val="20"/>
                <w:lang w:val="fr-CA"/>
              </w:rPr>
            </w:pPr>
          </w:p>
          <w:p w:rsidR="00E318FE" w:rsidRPr="00E318FE" w:rsidRDefault="00E318FE" w:rsidP="00E318FE">
            <w:pPr>
              <w:ind w:firstLine="720"/>
              <w:jc w:val="both"/>
              <w:rPr>
                <w:sz w:val="20"/>
              </w:rPr>
            </w:pPr>
            <w:r w:rsidRPr="00417673">
              <w:rPr>
                <w:sz w:val="20"/>
                <w:lang w:val="en-US"/>
              </w:rPr>
              <w:t>The application for leave to appeal from the judgment of the Court of Appeal of Quebec (Montréal), Numbers 500-09-022462-121 and 500-09-022461-123, 2014 QCCA 1886, dated October 14, 2014</w:t>
            </w:r>
            <w:r w:rsidRPr="00E318FE">
              <w:rPr>
                <w:sz w:val="20"/>
              </w:rPr>
              <w:t>, is granted with costs in the cause.</w:t>
            </w:r>
          </w:p>
        </w:tc>
      </w:tr>
    </w:tbl>
    <w:p w:rsidR="00102938" w:rsidRDefault="00102938" w:rsidP="00841E19">
      <w:pPr>
        <w:jc w:val="both"/>
        <w:rPr>
          <w:rFonts w:eastAsia="Calibri" w:cs="Times New Roman"/>
          <w:sz w:val="20"/>
          <w:szCs w:val="20"/>
        </w:rPr>
      </w:pPr>
    </w:p>
    <w:p w:rsidR="00E318FE" w:rsidRPr="001B157C" w:rsidRDefault="00E318FE" w:rsidP="00E318FE">
      <w:pPr>
        <w:rPr>
          <w:sz w:val="20"/>
          <w:szCs w:val="20"/>
          <w:u w:val="single"/>
        </w:rPr>
      </w:pPr>
      <w:r w:rsidRPr="001B157C">
        <w:rPr>
          <w:sz w:val="20"/>
          <w:szCs w:val="20"/>
          <w:u w:val="single"/>
        </w:rPr>
        <w:t>CASE SUMMARY</w:t>
      </w:r>
    </w:p>
    <w:p w:rsidR="00E318FE" w:rsidRDefault="00E318FE" w:rsidP="00E318F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318FE" w:rsidRPr="00841E19" w:rsidTr="00E318FE">
        <w:tc>
          <w:tcPr>
            <w:tcW w:w="5000" w:type="pct"/>
            <w:gridSpan w:val="3"/>
          </w:tcPr>
          <w:p w:rsidR="00E318FE" w:rsidRPr="00841E19" w:rsidRDefault="00E318FE" w:rsidP="00E318FE">
            <w:pPr>
              <w:jc w:val="both"/>
              <w:rPr>
                <w:rFonts w:eastAsia="Calibri" w:cs="Times New Roman"/>
                <w:sz w:val="20"/>
                <w:szCs w:val="20"/>
              </w:rPr>
            </w:pPr>
            <w:r w:rsidRPr="00841E19">
              <w:rPr>
                <w:rFonts w:eastAsia="Calibri" w:cs="Times New Roman"/>
                <w:sz w:val="20"/>
                <w:szCs w:val="20"/>
              </w:rPr>
              <w:t xml:space="preserve">Agriculture – Contracts – Insurance – Administrative law – Farm income stabilization – Applicants participating in Farm Income Stabilization Insurance Program administered by respondent under </w:t>
            </w:r>
            <w:r w:rsidRPr="00841E19">
              <w:rPr>
                <w:rFonts w:eastAsia="Calibri" w:cs="Times New Roman"/>
                <w:i/>
                <w:sz w:val="20"/>
                <w:szCs w:val="20"/>
              </w:rPr>
              <w:t>Act Respecting La Financière Agricole du Québec</w:t>
            </w:r>
            <w:r w:rsidRPr="00841E19">
              <w:rPr>
                <w:rFonts w:eastAsia="Calibri" w:cs="Times New Roman"/>
                <w:sz w:val="20"/>
                <w:szCs w:val="20"/>
              </w:rPr>
              <w:t xml:space="preserve">, L.R.Q., c. L-0.1 – Whether Program constitutes insurance contract or administrative contract </w:t>
            </w:r>
            <w:r w:rsidRPr="00841E19">
              <w:rPr>
                <w:rFonts w:eastAsia="Calibri" w:cs="Times New Roman"/>
                <w:i/>
                <w:sz w:val="20"/>
                <w:szCs w:val="20"/>
              </w:rPr>
              <w:t xml:space="preserve">sui </w:t>
            </w:r>
            <w:r w:rsidRPr="00841E19">
              <w:rPr>
                <w:rFonts w:eastAsia="Calibri" w:cs="Times New Roman"/>
                <w:i/>
                <w:sz w:val="20"/>
                <w:szCs w:val="20"/>
              </w:rPr>
              <w:lastRenderedPageBreak/>
              <w:t>generis</w:t>
            </w:r>
            <w:r w:rsidRPr="00841E19">
              <w:rPr>
                <w:rFonts w:eastAsia="Calibri" w:cs="Times New Roman"/>
                <w:sz w:val="20"/>
                <w:szCs w:val="20"/>
              </w:rPr>
              <w:t xml:space="preserve"> – Whether respondent could apply financial assistance from other government programs collectively in order to calculate compensation owed to applicants – Whether respondent’s decision to do so unreasonable.</w:t>
            </w:r>
          </w:p>
        </w:tc>
      </w:tr>
      <w:tr w:rsidR="00E318FE" w:rsidRPr="00841E19" w:rsidTr="00E318FE">
        <w:tc>
          <w:tcPr>
            <w:tcW w:w="5000" w:type="pct"/>
            <w:gridSpan w:val="3"/>
          </w:tcPr>
          <w:p w:rsidR="00E318FE" w:rsidRPr="00841E19" w:rsidRDefault="00E318FE" w:rsidP="00E318FE">
            <w:pPr>
              <w:jc w:val="both"/>
              <w:rPr>
                <w:rFonts w:eastAsia="Calibri" w:cs="Times New Roman"/>
                <w:sz w:val="20"/>
                <w:szCs w:val="20"/>
              </w:rPr>
            </w:pPr>
          </w:p>
        </w:tc>
      </w:tr>
      <w:tr w:rsidR="00E318FE" w:rsidRPr="00841E19" w:rsidTr="00E318FE">
        <w:tc>
          <w:tcPr>
            <w:tcW w:w="5000" w:type="pct"/>
            <w:gridSpan w:val="3"/>
          </w:tcPr>
          <w:p w:rsidR="00E318FE" w:rsidRPr="00841E19" w:rsidRDefault="00E318FE" w:rsidP="00E318FE">
            <w:pPr>
              <w:jc w:val="both"/>
              <w:rPr>
                <w:rFonts w:eastAsia="Calibri" w:cs="Times New Roman"/>
                <w:sz w:val="20"/>
                <w:szCs w:val="20"/>
              </w:rPr>
            </w:pPr>
            <w:r w:rsidRPr="00841E19">
              <w:rPr>
                <w:rFonts w:eastAsia="Calibri" w:cs="Times New Roman"/>
                <w:sz w:val="20"/>
                <w:szCs w:val="20"/>
              </w:rPr>
              <w:t xml:space="preserve">The applicants are farm businesses that participated in the Farm Income Stabilization Insurance Program (the “ASRA Program”) administered by the respondent, the Financière agricole du Québec, under the </w:t>
            </w:r>
            <w:r w:rsidRPr="00841E19">
              <w:rPr>
                <w:rFonts w:eastAsia="Calibri" w:cs="Times New Roman"/>
                <w:i/>
                <w:sz w:val="20"/>
                <w:szCs w:val="20"/>
              </w:rPr>
              <w:t>Act Respecting La Financière Agricole du Québec</w:t>
            </w:r>
            <w:r w:rsidRPr="00841E19">
              <w:rPr>
                <w:rFonts w:eastAsia="Calibri" w:cs="Times New Roman"/>
                <w:sz w:val="20"/>
                <w:szCs w:val="20"/>
              </w:rPr>
              <w:t>, R.S.Q., c. L</w:t>
            </w:r>
            <w:r w:rsidRPr="00841E19">
              <w:rPr>
                <w:rFonts w:eastAsia="Calibri" w:cs="Times New Roman"/>
                <w:sz w:val="20"/>
                <w:szCs w:val="20"/>
              </w:rPr>
              <w:noBreakHyphen/>
              <w:t>0.1.  The goal of the ASRA Program is essentially to provide program participants with a positive annual income regardless of market fluctuations.  When the market price is lower than the production costs, the Financière pays participants compensation the amount of which is based on the parameters of a typical farm.  The applicants sought over $15 million in compensation from the respondent for the year 2007.  The Superior Court allowed the applicants’ actions, but the Court of Appeal set aside this decision.</w:t>
            </w:r>
          </w:p>
          <w:p w:rsidR="00E318FE" w:rsidRPr="00841E19" w:rsidRDefault="00E318FE" w:rsidP="00E318FE">
            <w:pPr>
              <w:jc w:val="both"/>
              <w:rPr>
                <w:rFonts w:eastAsia="Calibri" w:cs="Times New Roman"/>
                <w:sz w:val="20"/>
                <w:szCs w:val="20"/>
              </w:rPr>
            </w:pPr>
          </w:p>
        </w:tc>
      </w:tr>
      <w:tr w:rsidR="00E318FE" w:rsidRPr="00841E19" w:rsidTr="00E318FE">
        <w:tc>
          <w:tcPr>
            <w:tcW w:w="2427" w:type="pct"/>
          </w:tcPr>
          <w:p w:rsidR="00E318FE" w:rsidRPr="00841E19" w:rsidRDefault="00E318FE" w:rsidP="00E318FE">
            <w:pPr>
              <w:jc w:val="both"/>
              <w:rPr>
                <w:rFonts w:eastAsia="Calibri" w:cs="Times New Roman"/>
                <w:sz w:val="20"/>
                <w:szCs w:val="20"/>
              </w:rPr>
            </w:pPr>
            <w:r w:rsidRPr="00841E19">
              <w:rPr>
                <w:rFonts w:eastAsia="Calibri" w:cs="Times New Roman"/>
                <w:sz w:val="20"/>
                <w:szCs w:val="20"/>
              </w:rPr>
              <w:t>February 3, 2012</w:t>
            </w:r>
          </w:p>
          <w:p w:rsidR="00E318FE" w:rsidRPr="00841E19" w:rsidRDefault="00E318FE" w:rsidP="00E318FE">
            <w:pPr>
              <w:jc w:val="both"/>
              <w:rPr>
                <w:rFonts w:eastAsia="Calibri" w:cs="Times New Roman"/>
                <w:sz w:val="20"/>
                <w:szCs w:val="20"/>
              </w:rPr>
            </w:pPr>
            <w:r w:rsidRPr="00841E19">
              <w:rPr>
                <w:rFonts w:eastAsia="Calibri" w:cs="Times New Roman"/>
                <w:sz w:val="20"/>
                <w:szCs w:val="20"/>
              </w:rPr>
              <w:t>Quebec Superior Court</w:t>
            </w:r>
          </w:p>
          <w:p w:rsidR="00E318FE" w:rsidRPr="00841E19" w:rsidRDefault="00E318FE" w:rsidP="00E318FE">
            <w:pPr>
              <w:jc w:val="both"/>
              <w:rPr>
                <w:rFonts w:eastAsia="Calibri" w:cs="Times New Roman"/>
                <w:sz w:val="20"/>
                <w:szCs w:val="20"/>
              </w:rPr>
            </w:pPr>
            <w:r w:rsidRPr="00841E19">
              <w:rPr>
                <w:rFonts w:eastAsia="Calibri" w:cs="Times New Roman"/>
                <w:sz w:val="20"/>
                <w:szCs w:val="20"/>
              </w:rPr>
              <w:t>(Monast J.)</w:t>
            </w:r>
          </w:p>
          <w:p w:rsidR="00E318FE" w:rsidRPr="00841E19" w:rsidRDefault="00417673" w:rsidP="00E318FE">
            <w:pPr>
              <w:jc w:val="both"/>
              <w:rPr>
                <w:rFonts w:eastAsia="Calibri" w:cs="Times New Roman"/>
                <w:sz w:val="20"/>
                <w:szCs w:val="20"/>
              </w:rPr>
            </w:pPr>
            <w:hyperlink r:id="rId41" w:history="1">
              <w:r w:rsidR="00E318FE" w:rsidRPr="00841E19">
                <w:rPr>
                  <w:rFonts w:eastAsia="Calibri" w:cs="Times New Roman"/>
                  <w:color w:val="0000FF"/>
                  <w:sz w:val="20"/>
                  <w:szCs w:val="20"/>
                  <w:u w:val="single"/>
                </w:rPr>
                <w:t>2012 QCCS 284</w:t>
              </w:r>
            </w:hyperlink>
          </w:p>
          <w:p w:rsidR="00E318FE" w:rsidRPr="00841E19" w:rsidRDefault="00E318FE" w:rsidP="00E318FE">
            <w:pPr>
              <w:jc w:val="both"/>
              <w:rPr>
                <w:rFonts w:eastAsia="Calibri" w:cs="Times New Roman"/>
                <w:sz w:val="20"/>
                <w:szCs w:val="20"/>
              </w:rPr>
            </w:pPr>
          </w:p>
        </w:tc>
        <w:tc>
          <w:tcPr>
            <w:tcW w:w="243" w:type="pct"/>
          </w:tcPr>
          <w:p w:rsidR="00E318FE" w:rsidRPr="00841E19" w:rsidRDefault="00E318FE" w:rsidP="00E318FE">
            <w:pPr>
              <w:jc w:val="both"/>
              <w:rPr>
                <w:rFonts w:eastAsia="Calibri" w:cs="Times New Roman"/>
                <w:sz w:val="20"/>
                <w:szCs w:val="20"/>
              </w:rPr>
            </w:pPr>
          </w:p>
        </w:tc>
        <w:tc>
          <w:tcPr>
            <w:tcW w:w="2330" w:type="pct"/>
          </w:tcPr>
          <w:p w:rsidR="00E318FE" w:rsidRPr="00841E19" w:rsidRDefault="00E318FE" w:rsidP="00E318FE">
            <w:pPr>
              <w:jc w:val="both"/>
              <w:rPr>
                <w:rFonts w:eastAsia="Calibri" w:cs="Times New Roman"/>
                <w:sz w:val="20"/>
                <w:szCs w:val="20"/>
              </w:rPr>
            </w:pPr>
            <w:r w:rsidRPr="00841E19">
              <w:rPr>
                <w:rFonts w:eastAsia="Calibri" w:cs="Times New Roman"/>
                <w:sz w:val="20"/>
                <w:szCs w:val="20"/>
              </w:rPr>
              <w:t>Motions to institute proceedings allowed in part; respondent ordered to pay the balance of the compensation to which the applicants were entitled under the ASRA Program for 2007</w:t>
            </w:r>
          </w:p>
          <w:p w:rsidR="00E318FE" w:rsidRPr="00841E19" w:rsidRDefault="00E318FE" w:rsidP="00E318FE">
            <w:pPr>
              <w:jc w:val="both"/>
              <w:rPr>
                <w:rFonts w:eastAsia="Calibri" w:cs="Times New Roman"/>
                <w:sz w:val="20"/>
                <w:szCs w:val="20"/>
              </w:rPr>
            </w:pPr>
          </w:p>
        </w:tc>
      </w:tr>
      <w:tr w:rsidR="00E318FE" w:rsidRPr="00841E19" w:rsidTr="00E318FE">
        <w:tc>
          <w:tcPr>
            <w:tcW w:w="2427" w:type="pct"/>
          </w:tcPr>
          <w:p w:rsidR="00E318FE" w:rsidRPr="00841E19" w:rsidRDefault="00E318FE" w:rsidP="00E318FE">
            <w:pPr>
              <w:jc w:val="both"/>
              <w:rPr>
                <w:rFonts w:eastAsia="Calibri" w:cs="Times New Roman"/>
                <w:sz w:val="20"/>
                <w:szCs w:val="20"/>
              </w:rPr>
            </w:pPr>
            <w:r w:rsidRPr="00841E19">
              <w:rPr>
                <w:rFonts w:eastAsia="Calibri" w:cs="Times New Roman"/>
                <w:sz w:val="20"/>
                <w:szCs w:val="20"/>
              </w:rPr>
              <w:t>October 14, 2014</w:t>
            </w:r>
          </w:p>
          <w:p w:rsidR="00E318FE" w:rsidRPr="00841E19" w:rsidRDefault="00E318FE" w:rsidP="00E318FE">
            <w:pPr>
              <w:jc w:val="both"/>
              <w:rPr>
                <w:rFonts w:eastAsia="Calibri" w:cs="Times New Roman"/>
                <w:sz w:val="20"/>
                <w:szCs w:val="20"/>
              </w:rPr>
            </w:pPr>
            <w:r w:rsidRPr="00841E19">
              <w:rPr>
                <w:rFonts w:eastAsia="Calibri" w:cs="Times New Roman"/>
                <w:sz w:val="20"/>
                <w:szCs w:val="20"/>
              </w:rPr>
              <w:t>Quebec Court of Appeal (Montréal)</w:t>
            </w:r>
          </w:p>
          <w:p w:rsidR="00E318FE" w:rsidRPr="00841E19" w:rsidRDefault="00E318FE" w:rsidP="00E318FE">
            <w:pPr>
              <w:jc w:val="both"/>
              <w:rPr>
                <w:rFonts w:eastAsia="Calibri" w:cs="Times New Roman"/>
                <w:sz w:val="20"/>
                <w:szCs w:val="20"/>
              </w:rPr>
            </w:pPr>
            <w:r w:rsidRPr="00841E19">
              <w:rPr>
                <w:rFonts w:eastAsia="Calibri" w:cs="Times New Roman"/>
                <w:sz w:val="20"/>
                <w:szCs w:val="20"/>
              </w:rPr>
              <w:t>(Hilton, Gagnon and Savard JJ.A.)</w:t>
            </w:r>
          </w:p>
          <w:p w:rsidR="00E318FE" w:rsidRPr="00841E19" w:rsidRDefault="00417673" w:rsidP="00E318FE">
            <w:pPr>
              <w:jc w:val="both"/>
              <w:rPr>
                <w:rFonts w:eastAsia="Calibri" w:cs="Times New Roman"/>
                <w:sz w:val="20"/>
                <w:szCs w:val="20"/>
              </w:rPr>
            </w:pPr>
            <w:hyperlink r:id="rId42" w:history="1">
              <w:r w:rsidR="00E318FE" w:rsidRPr="00841E19">
                <w:rPr>
                  <w:rFonts w:eastAsia="Calibri" w:cs="Times New Roman"/>
                  <w:color w:val="0000FF"/>
                  <w:sz w:val="20"/>
                  <w:szCs w:val="20"/>
                  <w:u w:val="single"/>
                </w:rPr>
                <w:t>2014 QCCA 1886</w:t>
              </w:r>
            </w:hyperlink>
          </w:p>
          <w:p w:rsidR="00E318FE" w:rsidRPr="00841E19" w:rsidRDefault="00E318FE" w:rsidP="00E318FE">
            <w:pPr>
              <w:jc w:val="both"/>
              <w:rPr>
                <w:rFonts w:eastAsia="Calibri" w:cs="Times New Roman"/>
                <w:sz w:val="20"/>
                <w:szCs w:val="20"/>
              </w:rPr>
            </w:pPr>
          </w:p>
        </w:tc>
        <w:tc>
          <w:tcPr>
            <w:tcW w:w="243" w:type="pct"/>
          </w:tcPr>
          <w:p w:rsidR="00E318FE" w:rsidRPr="00841E19" w:rsidRDefault="00E318FE" w:rsidP="00E318FE">
            <w:pPr>
              <w:jc w:val="both"/>
              <w:rPr>
                <w:rFonts w:eastAsia="Calibri" w:cs="Times New Roman"/>
                <w:sz w:val="20"/>
                <w:szCs w:val="20"/>
              </w:rPr>
            </w:pPr>
          </w:p>
        </w:tc>
        <w:tc>
          <w:tcPr>
            <w:tcW w:w="2330" w:type="pct"/>
          </w:tcPr>
          <w:p w:rsidR="00E318FE" w:rsidRPr="00841E19" w:rsidRDefault="00E318FE" w:rsidP="00E318FE">
            <w:pPr>
              <w:jc w:val="both"/>
              <w:rPr>
                <w:rFonts w:eastAsia="Calibri" w:cs="Times New Roman"/>
                <w:sz w:val="20"/>
                <w:szCs w:val="20"/>
              </w:rPr>
            </w:pPr>
            <w:r w:rsidRPr="00841E19">
              <w:rPr>
                <w:rFonts w:eastAsia="Calibri" w:cs="Times New Roman"/>
                <w:sz w:val="20"/>
                <w:szCs w:val="20"/>
              </w:rPr>
              <w:t>Appeals allowed</w:t>
            </w:r>
          </w:p>
          <w:p w:rsidR="00E318FE" w:rsidRPr="00841E19" w:rsidRDefault="00E318FE" w:rsidP="00E318FE">
            <w:pPr>
              <w:jc w:val="both"/>
              <w:rPr>
                <w:rFonts w:eastAsia="Calibri" w:cs="Times New Roman"/>
                <w:sz w:val="20"/>
                <w:szCs w:val="20"/>
              </w:rPr>
            </w:pPr>
          </w:p>
        </w:tc>
      </w:tr>
      <w:tr w:rsidR="00E318FE" w:rsidRPr="00841E19" w:rsidTr="00E318FE">
        <w:tc>
          <w:tcPr>
            <w:tcW w:w="2427" w:type="pct"/>
          </w:tcPr>
          <w:p w:rsidR="00E318FE" w:rsidRPr="00841E19" w:rsidRDefault="00E318FE" w:rsidP="00E318FE">
            <w:pPr>
              <w:jc w:val="both"/>
              <w:rPr>
                <w:rFonts w:eastAsia="Calibri" w:cs="Times New Roman"/>
                <w:sz w:val="20"/>
                <w:szCs w:val="20"/>
              </w:rPr>
            </w:pPr>
            <w:r w:rsidRPr="00841E19">
              <w:rPr>
                <w:rFonts w:eastAsia="Calibri" w:cs="Times New Roman"/>
                <w:sz w:val="20"/>
                <w:szCs w:val="20"/>
              </w:rPr>
              <w:t>December 12, 2014</w:t>
            </w:r>
          </w:p>
          <w:p w:rsidR="00E318FE" w:rsidRPr="00841E19" w:rsidRDefault="00E318FE" w:rsidP="00E318FE">
            <w:pPr>
              <w:jc w:val="both"/>
              <w:rPr>
                <w:rFonts w:eastAsia="Calibri" w:cs="Times New Roman"/>
                <w:sz w:val="20"/>
                <w:szCs w:val="20"/>
              </w:rPr>
            </w:pPr>
            <w:r w:rsidRPr="00841E19">
              <w:rPr>
                <w:rFonts w:eastAsia="Calibri" w:cs="Times New Roman"/>
                <w:sz w:val="20"/>
                <w:szCs w:val="20"/>
              </w:rPr>
              <w:t>Supreme Court of Canada</w:t>
            </w:r>
          </w:p>
        </w:tc>
        <w:tc>
          <w:tcPr>
            <w:tcW w:w="243" w:type="pct"/>
          </w:tcPr>
          <w:p w:rsidR="00E318FE" w:rsidRPr="00841E19" w:rsidRDefault="00E318FE" w:rsidP="00E318FE">
            <w:pPr>
              <w:jc w:val="both"/>
              <w:rPr>
                <w:rFonts w:eastAsia="Calibri" w:cs="Times New Roman"/>
                <w:sz w:val="20"/>
                <w:szCs w:val="20"/>
              </w:rPr>
            </w:pPr>
          </w:p>
        </w:tc>
        <w:tc>
          <w:tcPr>
            <w:tcW w:w="2330" w:type="pct"/>
          </w:tcPr>
          <w:p w:rsidR="00E318FE" w:rsidRPr="00841E19" w:rsidRDefault="00E318FE" w:rsidP="00E318FE">
            <w:pPr>
              <w:jc w:val="both"/>
              <w:rPr>
                <w:rFonts w:eastAsia="Calibri" w:cs="Times New Roman"/>
                <w:sz w:val="20"/>
                <w:szCs w:val="20"/>
              </w:rPr>
            </w:pPr>
            <w:r w:rsidRPr="00841E19">
              <w:rPr>
                <w:rFonts w:eastAsia="Calibri" w:cs="Times New Roman"/>
                <w:sz w:val="20"/>
                <w:szCs w:val="20"/>
              </w:rPr>
              <w:t>Application for leave to appeal filed</w:t>
            </w:r>
          </w:p>
          <w:p w:rsidR="00E318FE" w:rsidRPr="00841E19" w:rsidRDefault="00E318FE" w:rsidP="00E318FE">
            <w:pPr>
              <w:jc w:val="both"/>
              <w:rPr>
                <w:rFonts w:eastAsia="Calibri" w:cs="Times New Roman"/>
                <w:sz w:val="20"/>
                <w:szCs w:val="20"/>
              </w:rPr>
            </w:pPr>
          </w:p>
        </w:tc>
      </w:tr>
    </w:tbl>
    <w:p w:rsidR="00E318FE" w:rsidRPr="00204D62" w:rsidRDefault="00E318FE" w:rsidP="00E318FE">
      <w:pPr>
        <w:rPr>
          <w:sz w:val="20"/>
          <w:szCs w:val="20"/>
          <w:lang w:val="en-US"/>
        </w:rPr>
      </w:pPr>
    </w:p>
    <w:p w:rsidR="00E318FE" w:rsidRPr="00C50A5C" w:rsidRDefault="00417673" w:rsidP="00E318FE">
      <w:pPr>
        <w:rPr>
          <w:sz w:val="20"/>
          <w:szCs w:val="20"/>
        </w:rPr>
      </w:pPr>
      <w:r>
        <w:rPr>
          <w:sz w:val="20"/>
          <w:szCs w:val="20"/>
          <w:lang w:val="fr-CA"/>
        </w:rPr>
        <w:pict>
          <v:rect id="_x0000_i1052" style="width:2in;height:1pt" o:hrpct="0" o:hralign="center" o:hrstd="t" o:hrnoshade="t" o:hr="t" fillcolor="black [3213]" stroked="f"/>
        </w:pict>
      </w:r>
    </w:p>
    <w:p w:rsidR="00E318FE" w:rsidRDefault="00E318FE" w:rsidP="00E318FE">
      <w:pPr>
        <w:rPr>
          <w:sz w:val="20"/>
          <w:szCs w:val="20"/>
        </w:rPr>
      </w:pPr>
    </w:p>
    <w:p w:rsidR="00E318FE" w:rsidRPr="001B157C" w:rsidRDefault="00E318FE" w:rsidP="00E318FE">
      <w:pPr>
        <w:rPr>
          <w:sz w:val="20"/>
          <w:szCs w:val="20"/>
          <w:u w:val="single"/>
          <w:lang w:val="fr-CA"/>
        </w:rPr>
      </w:pPr>
      <w:r w:rsidRPr="001B157C">
        <w:rPr>
          <w:sz w:val="20"/>
          <w:szCs w:val="20"/>
          <w:u w:val="single"/>
          <w:lang w:val="fr-CA"/>
        </w:rPr>
        <w:t>RÉSUMÉ DE L’AFFAIRE</w:t>
      </w:r>
    </w:p>
    <w:p w:rsidR="00E318FE" w:rsidRDefault="00E318FE" w:rsidP="00E318F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318FE" w:rsidRPr="00417673" w:rsidTr="00E318FE">
        <w:tc>
          <w:tcPr>
            <w:tcW w:w="5000" w:type="pct"/>
            <w:gridSpan w:val="3"/>
          </w:tcPr>
          <w:p w:rsidR="00E318FE" w:rsidRPr="00841E19" w:rsidRDefault="00E318FE" w:rsidP="00E318FE">
            <w:pPr>
              <w:jc w:val="both"/>
              <w:rPr>
                <w:rFonts w:eastAsia="Calibri" w:cs="Times New Roman"/>
                <w:sz w:val="20"/>
                <w:szCs w:val="20"/>
                <w:lang w:val="fr-CA"/>
              </w:rPr>
            </w:pPr>
            <w:r w:rsidRPr="00841E19">
              <w:rPr>
                <w:rFonts w:eastAsia="Calibri" w:cs="Times New Roman"/>
                <w:sz w:val="20"/>
                <w:szCs w:val="20"/>
                <w:lang w:val="fr-CA"/>
              </w:rPr>
              <w:t xml:space="preserve">Agriculture – Contrats – Assurance – Droit administratif – Stabilisation des revenus agricoles – Demandeurs adhérant au Programme d’assurance stabilisation des revenus agricoles administré par l’intimée en vertu de la </w:t>
            </w:r>
            <w:r w:rsidRPr="00841E19">
              <w:rPr>
                <w:rFonts w:eastAsia="Calibri" w:cs="Times New Roman"/>
                <w:i/>
                <w:sz w:val="20"/>
                <w:szCs w:val="20"/>
                <w:lang w:val="fr-CA"/>
              </w:rPr>
              <w:t>Loi sur la Financière agricole du Québec</w:t>
            </w:r>
            <w:r w:rsidRPr="00841E19">
              <w:rPr>
                <w:rFonts w:eastAsia="Calibri" w:cs="Times New Roman"/>
                <w:sz w:val="20"/>
                <w:szCs w:val="20"/>
                <w:lang w:val="fr-CA"/>
              </w:rPr>
              <w:t xml:space="preserve">, L.R.Q., c. L-0.1 – Le Programme constitue-t-il un contrat d’assurance ou un contrat administratif </w:t>
            </w:r>
            <w:r w:rsidRPr="00841E19">
              <w:rPr>
                <w:rFonts w:eastAsia="Calibri" w:cs="Times New Roman"/>
                <w:i/>
                <w:sz w:val="20"/>
                <w:szCs w:val="20"/>
                <w:lang w:val="fr-CA"/>
              </w:rPr>
              <w:t>sui generis</w:t>
            </w:r>
            <w:r w:rsidRPr="00841E19">
              <w:rPr>
                <w:rFonts w:eastAsia="Calibri" w:cs="Times New Roman"/>
                <w:sz w:val="20"/>
                <w:szCs w:val="20"/>
                <w:lang w:val="fr-CA"/>
              </w:rPr>
              <w:t>? – L’intimée pouvait-elle tenir compte, sur une base collective, de l’aide financière provenant d’autres programmes gouvernementaux afin de calculer la compensation due aux demandeurs? – La décision de l’intimée de procéder au calcul sur une base collective était-elle déraisonnable?</w:t>
            </w:r>
          </w:p>
        </w:tc>
      </w:tr>
      <w:tr w:rsidR="00E318FE" w:rsidRPr="00417673" w:rsidTr="00E318FE">
        <w:tc>
          <w:tcPr>
            <w:tcW w:w="5000" w:type="pct"/>
            <w:gridSpan w:val="3"/>
          </w:tcPr>
          <w:p w:rsidR="00E318FE" w:rsidRPr="00841E19" w:rsidRDefault="00E318FE" w:rsidP="00E318FE">
            <w:pPr>
              <w:jc w:val="both"/>
              <w:rPr>
                <w:rFonts w:eastAsia="Calibri" w:cs="Times New Roman"/>
                <w:sz w:val="20"/>
                <w:szCs w:val="20"/>
                <w:lang w:val="fr-CA"/>
              </w:rPr>
            </w:pPr>
          </w:p>
        </w:tc>
      </w:tr>
      <w:tr w:rsidR="00E318FE" w:rsidRPr="00417673" w:rsidTr="00E318FE">
        <w:tc>
          <w:tcPr>
            <w:tcW w:w="5000" w:type="pct"/>
            <w:gridSpan w:val="3"/>
          </w:tcPr>
          <w:p w:rsidR="00E318FE" w:rsidRPr="00841E19" w:rsidRDefault="00E318FE" w:rsidP="00E318FE">
            <w:pPr>
              <w:jc w:val="both"/>
              <w:rPr>
                <w:rFonts w:eastAsia="Calibri" w:cs="Times New Roman"/>
                <w:sz w:val="20"/>
                <w:szCs w:val="20"/>
                <w:lang w:val="fr-CA"/>
              </w:rPr>
            </w:pPr>
            <w:r w:rsidRPr="00841E19">
              <w:rPr>
                <w:rFonts w:eastAsia="Calibri" w:cs="Times New Roman"/>
                <w:sz w:val="20"/>
                <w:szCs w:val="20"/>
                <w:lang w:val="fr-CA"/>
              </w:rPr>
              <w:t xml:space="preserve">Les demandeurs sont des entreprises agricoles qui ont adhéré au Programme d’assurance stabilisation des revenus agricoles (le « Programme ASRA ») administré par l’intimée la Financière agricole du Québec en vertu de la </w:t>
            </w:r>
            <w:r w:rsidRPr="00841E19">
              <w:rPr>
                <w:rFonts w:eastAsia="Calibri" w:cs="Times New Roman"/>
                <w:i/>
                <w:sz w:val="20"/>
                <w:szCs w:val="20"/>
                <w:lang w:val="fr-CA"/>
              </w:rPr>
              <w:t>Loi sur la Financière agricole du Québec</w:t>
            </w:r>
            <w:r w:rsidRPr="00841E19">
              <w:rPr>
                <w:rFonts w:eastAsia="Calibri" w:cs="Times New Roman"/>
                <w:sz w:val="20"/>
                <w:szCs w:val="20"/>
                <w:lang w:val="fr-CA"/>
              </w:rPr>
              <w:t>, L.R.Q., c. L-0.1.  Le Programme ASRA vise essentiellement à garantir un revenu annuel positif aux adhérents du programme, et ce malgré les fluctuations des marchés.  Lorsque le prix du marché est inférieur aux coûts de production, la Financière verse aux adhérents une compensation dont le calcul repose sur les paramètres d’une ferme-type.  Les demandeurs réclament de l’intimée pour l’année 2007 plus de 15 millions de dollars en compensation.  La Cour supérieure a accueilli les actions des demandeurs, mais la Cour d’appel a infirmé cette décision.</w:t>
            </w:r>
          </w:p>
          <w:p w:rsidR="00E318FE" w:rsidRPr="00841E19" w:rsidRDefault="00E318FE" w:rsidP="00E318FE">
            <w:pPr>
              <w:jc w:val="both"/>
              <w:rPr>
                <w:rFonts w:eastAsia="Calibri" w:cs="Times New Roman"/>
                <w:sz w:val="20"/>
                <w:szCs w:val="20"/>
                <w:lang w:val="fr-CA"/>
              </w:rPr>
            </w:pPr>
          </w:p>
        </w:tc>
      </w:tr>
      <w:tr w:rsidR="00E318FE" w:rsidRPr="00584913" w:rsidTr="00E318FE">
        <w:tc>
          <w:tcPr>
            <w:tcW w:w="2427" w:type="pct"/>
          </w:tcPr>
          <w:p w:rsidR="00E318FE" w:rsidRPr="00841E19" w:rsidRDefault="00E318FE" w:rsidP="00E318FE">
            <w:pPr>
              <w:jc w:val="both"/>
              <w:rPr>
                <w:rFonts w:eastAsia="Calibri" w:cs="Times New Roman"/>
                <w:sz w:val="20"/>
                <w:szCs w:val="20"/>
                <w:lang w:val="fr-CA"/>
              </w:rPr>
            </w:pPr>
            <w:r w:rsidRPr="00841E19">
              <w:rPr>
                <w:rFonts w:eastAsia="Calibri" w:cs="Times New Roman"/>
                <w:sz w:val="20"/>
                <w:szCs w:val="20"/>
                <w:lang w:val="fr-CA"/>
              </w:rPr>
              <w:t>Le 3 février 2012</w:t>
            </w:r>
          </w:p>
          <w:p w:rsidR="00E318FE" w:rsidRPr="00841E19" w:rsidRDefault="00E318FE" w:rsidP="00E318FE">
            <w:pPr>
              <w:jc w:val="both"/>
              <w:rPr>
                <w:rFonts w:eastAsia="Calibri" w:cs="Times New Roman"/>
                <w:sz w:val="20"/>
                <w:szCs w:val="20"/>
                <w:lang w:val="fr-CA"/>
              </w:rPr>
            </w:pPr>
            <w:r w:rsidRPr="00841E19">
              <w:rPr>
                <w:rFonts w:eastAsia="Calibri" w:cs="Times New Roman"/>
                <w:sz w:val="20"/>
                <w:szCs w:val="20"/>
                <w:lang w:val="fr-CA"/>
              </w:rPr>
              <w:t>Cour supérieure du Québec</w:t>
            </w:r>
          </w:p>
          <w:p w:rsidR="00E318FE" w:rsidRPr="00841E19" w:rsidRDefault="00E318FE" w:rsidP="00E318FE">
            <w:pPr>
              <w:jc w:val="both"/>
              <w:rPr>
                <w:rFonts w:eastAsia="Calibri" w:cs="Times New Roman"/>
                <w:sz w:val="20"/>
                <w:szCs w:val="20"/>
                <w:lang w:val="fr-CA"/>
              </w:rPr>
            </w:pPr>
            <w:r w:rsidRPr="00841E19">
              <w:rPr>
                <w:rFonts w:eastAsia="Calibri" w:cs="Times New Roman"/>
                <w:sz w:val="20"/>
                <w:szCs w:val="20"/>
                <w:lang w:val="fr-CA"/>
              </w:rPr>
              <w:t>(La juge Monast)</w:t>
            </w:r>
          </w:p>
          <w:p w:rsidR="00E318FE" w:rsidRPr="00841E19" w:rsidRDefault="00417673" w:rsidP="00E318FE">
            <w:pPr>
              <w:jc w:val="both"/>
              <w:rPr>
                <w:rFonts w:eastAsia="Calibri" w:cs="Times New Roman"/>
                <w:sz w:val="20"/>
                <w:szCs w:val="20"/>
                <w:lang w:val="fr-CA"/>
              </w:rPr>
            </w:pPr>
            <w:hyperlink r:id="rId43" w:history="1">
              <w:r w:rsidR="00E318FE" w:rsidRPr="00841E19">
                <w:rPr>
                  <w:rFonts w:eastAsia="Calibri" w:cs="Times New Roman"/>
                  <w:color w:val="0000FF"/>
                  <w:sz w:val="20"/>
                  <w:szCs w:val="20"/>
                  <w:u w:val="single"/>
                  <w:lang w:val="fr-CA"/>
                </w:rPr>
                <w:t>2012 QCCS 284</w:t>
              </w:r>
            </w:hyperlink>
          </w:p>
          <w:p w:rsidR="00E318FE" w:rsidRPr="00841E19" w:rsidRDefault="00E318FE" w:rsidP="00E318FE">
            <w:pPr>
              <w:jc w:val="both"/>
              <w:rPr>
                <w:rFonts w:eastAsia="Calibri" w:cs="Times New Roman"/>
                <w:sz w:val="20"/>
                <w:szCs w:val="20"/>
                <w:lang w:val="fr-CA"/>
              </w:rPr>
            </w:pPr>
          </w:p>
        </w:tc>
        <w:tc>
          <w:tcPr>
            <w:tcW w:w="243" w:type="pct"/>
          </w:tcPr>
          <w:p w:rsidR="00E318FE" w:rsidRPr="00841E19" w:rsidRDefault="00E318FE" w:rsidP="00E318FE">
            <w:pPr>
              <w:jc w:val="both"/>
              <w:rPr>
                <w:rFonts w:eastAsia="Calibri" w:cs="Times New Roman"/>
                <w:sz w:val="20"/>
                <w:szCs w:val="20"/>
                <w:lang w:val="fr-CA"/>
              </w:rPr>
            </w:pPr>
          </w:p>
        </w:tc>
        <w:tc>
          <w:tcPr>
            <w:tcW w:w="2330" w:type="pct"/>
          </w:tcPr>
          <w:p w:rsidR="00E318FE" w:rsidRPr="00841E19" w:rsidRDefault="00E318FE" w:rsidP="00E318FE">
            <w:pPr>
              <w:jc w:val="both"/>
              <w:rPr>
                <w:rFonts w:eastAsia="Calibri" w:cs="Times New Roman"/>
                <w:sz w:val="20"/>
                <w:szCs w:val="20"/>
                <w:lang w:val="fr-CA"/>
              </w:rPr>
            </w:pPr>
            <w:r w:rsidRPr="00841E19">
              <w:rPr>
                <w:rFonts w:eastAsia="Calibri" w:cs="Times New Roman"/>
                <w:sz w:val="20"/>
                <w:szCs w:val="20"/>
                <w:lang w:val="fr-CA"/>
              </w:rPr>
              <w:t>Requêtes introductives d’instance accueillies en partie; intimée condamnée à payer le solde dû sur la compensation à laquelle les demandeurs avaient droit pour l’année 2007 en vertu du Programme ASRA</w:t>
            </w:r>
          </w:p>
          <w:p w:rsidR="00E318FE" w:rsidRPr="00841E19" w:rsidRDefault="00E318FE" w:rsidP="00E318FE">
            <w:pPr>
              <w:jc w:val="both"/>
              <w:rPr>
                <w:rFonts w:eastAsia="Calibri" w:cs="Times New Roman"/>
                <w:sz w:val="20"/>
                <w:szCs w:val="20"/>
                <w:lang w:val="fr-CA"/>
              </w:rPr>
            </w:pPr>
          </w:p>
        </w:tc>
      </w:tr>
      <w:tr w:rsidR="00E318FE" w:rsidRPr="00841E19" w:rsidTr="006970DF">
        <w:trPr>
          <w:cantSplit/>
        </w:trPr>
        <w:tc>
          <w:tcPr>
            <w:tcW w:w="2427" w:type="pct"/>
          </w:tcPr>
          <w:p w:rsidR="00E318FE" w:rsidRPr="00841E19" w:rsidRDefault="00E318FE" w:rsidP="00E318FE">
            <w:pPr>
              <w:jc w:val="both"/>
              <w:rPr>
                <w:rFonts w:eastAsia="Calibri" w:cs="Times New Roman"/>
                <w:sz w:val="20"/>
                <w:szCs w:val="20"/>
                <w:lang w:val="fr-CA"/>
              </w:rPr>
            </w:pPr>
            <w:r w:rsidRPr="00841E19">
              <w:rPr>
                <w:rFonts w:eastAsia="Calibri" w:cs="Times New Roman"/>
                <w:sz w:val="20"/>
                <w:szCs w:val="20"/>
                <w:lang w:val="fr-CA"/>
              </w:rPr>
              <w:lastRenderedPageBreak/>
              <w:t>Le 14 octobre 2014</w:t>
            </w:r>
          </w:p>
          <w:p w:rsidR="00E318FE" w:rsidRPr="00841E19" w:rsidRDefault="00E318FE" w:rsidP="00E318FE">
            <w:pPr>
              <w:jc w:val="both"/>
              <w:rPr>
                <w:rFonts w:eastAsia="Calibri" w:cs="Times New Roman"/>
                <w:sz w:val="20"/>
                <w:szCs w:val="20"/>
                <w:lang w:val="fr-CA"/>
              </w:rPr>
            </w:pPr>
            <w:r w:rsidRPr="00841E19">
              <w:rPr>
                <w:rFonts w:eastAsia="Calibri" w:cs="Times New Roman"/>
                <w:sz w:val="20"/>
                <w:szCs w:val="20"/>
                <w:lang w:val="fr-CA"/>
              </w:rPr>
              <w:t>Cour d’appel du Québec (Montréal)</w:t>
            </w:r>
          </w:p>
          <w:p w:rsidR="00E318FE" w:rsidRPr="00841E19" w:rsidRDefault="00E318FE" w:rsidP="00E318FE">
            <w:pPr>
              <w:jc w:val="both"/>
              <w:rPr>
                <w:rFonts w:eastAsia="Calibri" w:cs="Times New Roman"/>
                <w:sz w:val="20"/>
                <w:szCs w:val="20"/>
                <w:lang w:val="fr-CA"/>
              </w:rPr>
            </w:pPr>
            <w:r w:rsidRPr="00841E19">
              <w:rPr>
                <w:rFonts w:eastAsia="Calibri" w:cs="Times New Roman"/>
                <w:sz w:val="20"/>
                <w:szCs w:val="20"/>
                <w:lang w:val="fr-CA"/>
              </w:rPr>
              <w:t>(Les juges Hilton, Gagnon et Savard)</w:t>
            </w:r>
          </w:p>
          <w:p w:rsidR="00E318FE" w:rsidRPr="00841E19" w:rsidRDefault="00417673" w:rsidP="00E318FE">
            <w:pPr>
              <w:jc w:val="both"/>
              <w:rPr>
                <w:rFonts w:eastAsia="Calibri" w:cs="Times New Roman"/>
                <w:sz w:val="20"/>
                <w:szCs w:val="20"/>
                <w:lang w:val="fr-CA"/>
              </w:rPr>
            </w:pPr>
            <w:hyperlink r:id="rId44" w:history="1">
              <w:r w:rsidR="00E318FE" w:rsidRPr="00841E19">
                <w:rPr>
                  <w:rFonts w:eastAsia="Calibri" w:cs="Times New Roman"/>
                  <w:color w:val="0000FF"/>
                  <w:sz w:val="20"/>
                  <w:szCs w:val="20"/>
                  <w:u w:val="single"/>
                  <w:lang w:val="fr-CA"/>
                </w:rPr>
                <w:t>2014 QCCA 1886</w:t>
              </w:r>
            </w:hyperlink>
          </w:p>
          <w:p w:rsidR="00E318FE" w:rsidRPr="00841E19" w:rsidRDefault="00E318FE" w:rsidP="00E318FE">
            <w:pPr>
              <w:jc w:val="both"/>
              <w:rPr>
                <w:rFonts w:eastAsia="Calibri" w:cs="Times New Roman"/>
                <w:sz w:val="20"/>
                <w:szCs w:val="20"/>
                <w:lang w:val="fr-CA"/>
              </w:rPr>
            </w:pPr>
          </w:p>
        </w:tc>
        <w:tc>
          <w:tcPr>
            <w:tcW w:w="243" w:type="pct"/>
          </w:tcPr>
          <w:p w:rsidR="00E318FE" w:rsidRPr="00841E19" w:rsidRDefault="00E318FE" w:rsidP="00E318FE">
            <w:pPr>
              <w:jc w:val="both"/>
              <w:rPr>
                <w:rFonts w:eastAsia="Calibri" w:cs="Times New Roman"/>
                <w:sz w:val="20"/>
                <w:szCs w:val="20"/>
                <w:lang w:val="fr-CA"/>
              </w:rPr>
            </w:pPr>
          </w:p>
        </w:tc>
        <w:tc>
          <w:tcPr>
            <w:tcW w:w="2330" w:type="pct"/>
          </w:tcPr>
          <w:p w:rsidR="00E318FE" w:rsidRPr="00841E19" w:rsidRDefault="00E318FE" w:rsidP="00E318FE">
            <w:pPr>
              <w:jc w:val="both"/>
              <w:rPr>
                <w:rFonts w:eastAsia="Calibri" w:cs="Times New Roman"/>
                <w:sz w:val="20"/>
                <w:szCs w:val="20"/>
                <w:lang w:val="fr-CA"/>
              </w:rPr>
            </w:pPr>
            <w:r w:rsidRPr="00841E19">
              <w:rPr>
                <w:rFonts w:eastAsia="Calibri" w:cs="Times New Roman"/>
                <w:sz w:val="20"/>
                <w:szCs w:val="20"/>
                <w:lang w:val="fr-CA"/>
              </w:rPr>
              <w:t>Appels accueillis</w:t>
            </w:r>
          </w:p>
          <w:p w:rsidR="00E318FE" w:rsidRPr="00841E19" w:rsidRDefault="00E318FE" w:rsidP="00E318FE">
            <w:pPr>
              <w:jc w:val="both"/>
              <w:rPr>
                <w:rFonts w:eastAsia="Calibri" w:cs="Times New Roman"/>
                <w:sz w:val="20"/>
                <w:szCs w:val="20"/>
                <w:lang w:val="fr-CA"/>
              </w:rPr>
            </w:pPr>
          </w:p>
        </w:tc>
      </w:tr>
      <w:tr w:rsidR="00E318FE" w:rsidRPr="00841E19" w:rsidTr="006970DF">
        <w:trPr>
          <w:cantSplit/>
        </w:trPr>
        <w:tc>
          <w:tcPr>
            <w:tcW w:w="2427" w:type="pct"/>
          </w:tcPr>
          <w:p w:rsidR="00E318FE" w:rsidRPr="00841E19" w:rsidRDefault="00E318FE" w:rsidP="00E318FE">
            <w:pPr>
              <w:jc w:val="both"/>
              <w:rPr>
                <w:rFonts w:eastAsia="Calibri" w:cs="Times New Roman"/>
                <w:sz w:val="20"/>
                <w:szCs w:val="20"/>
                <w:lang w:val="fr-CA"/>
              </w:rPr>
            </w:pPr>
            <w:r w:rsidRPr="00841E19">
              <w:rPr>
                <w:rFonts w:eastAsia="Calibri" w:cs="Times New Roman"/>
                <w:sz w:val="20"/>
                <w:szCs w:val="20"/>
                <w:lang w:val="fr-CA"/>
              </w:rPr>
              <w:t>Le 12 décembre 2014</w:t>
            </w:r>
          </w:p>
          <w:p w:rsidR="00E318FE" w:rsidRPr="00841E19" w:rsidRDefault="00E318FE" w:rsidP="00E318FE">
            <w:pPr>
              <w:jc w:val="both"/>
              <w:rPr>
                <w:rFonts w:eastAsia="Calibri" w:cs="Times New Roman"/>
                <w:sz w:val="20"/>
                <w:szCs w:val="20"/>
                <w:lang w:val="fr-CA"/>
              </w:rPr>
            </w:pPr>
            <w:r w:rsidRPr="00841E19">
              <w:rPr>
                <w:rFonts w:eastAsia="Calibri" w:cs="Times New Roman"/>
                <w:sz w:val="20"/>
                <w:szCs w:val="20"/>
                <w:lang w:val="fr-CA"/>
              </w:rPr>
              <w:t>Cour suprême du Canada</w:t>
            </w:r>
          </w:p>
        </w:tc>
        <w:tc>
          <w:tcPr>
            <w:tcW w:w="243" w:type="pct"/>
          </w:tcPr>
          <w:p w:rsidR="00E318FE" w:rsidRPr="00841E19" w:rsidRDefault="00E318FE" w:rsidP="00E318FE">
            <w:pPr>
              <w:jc w:val="both"/>
              <w:rPr>
                <w:rFonts w:eastAsia="Calibri" w:cs="Times New Roman"/>
                <w:sz w:val="20"/>
                <w:szCs w:val="20"/>
                <w:lang w:val="fr-CA"/>
              </w:rPr>
            </w:pPr>
          </w:p>
        </w:tc>
        <w:tc>
          <w:tcPr>
            <w:tcW w:w="2330" w:type="pct"/>
          </w:tcPr>
          <w:p w:rsidR="00E318FE" w:rsidRPr="00841E19" w:rsidRDefault="00E318FE" w:rsidP="00E318FE">
            <w:pPr>
              <w:jc w:val="both"/>
              <w:rPr>
                <w:rFonts w:eastAsia="Calibri" w:cs="Times New Roman"/>
                <w:sz w:val="20"/>
                <w:szCs w:val="20"/>
                <w:lang w:val="fr-CA"/>
              </w:rPr>
            </w:pPr>
            <w:r w:rsidRPr="00841E19">
              <w:rPr>
                <w:rFonts w:eastAsia="Calibri" w:cs="Times New Roman"/>
                <w:sz w:val="20"/>
                <w:szCs w:val="20"/>
                <w:lang w:val="fr-CA"/>
              </w:rPr>
              <w:t>Demande d'autorisation d'appel déposée</w:t>
            </w:r>
          </w:p>
          <w:p w:rsidR="00E318FE" w:rsidRPr="00841E19" w:rsidRDefault="00E318FE" w:rsidP="00E318FE">
            <w:pPr>
              <w:jc w:val="both"/>
              <w:rPr>
                <w:rFonts w:eastAsia="Calibri" w:cs="Times New Roman"/>
                <w:sz w:val="20"/>
                <w:szCs w:val="20"/>
                <w:lang w:val="fr-CA"/>
              </w:rPr>
            </w:pPr>
          </w:p>
        </w:tc>
      </w:tr>
    </w:tbl>
    <w:p w:rsidR="00E318FE" w:rsidRPr="00841E19" w:rsidRDefault="00E318FE" w:rsidP="00E318FE">
      <w:pPr>
        <w:jc w:val="both"/>
        <w:rPr>
          <w:rFonts w:eastAsia="Calibri" w:cs="Times New Roman"/>
          <w:sz w:val="20"/>
          <w:szCs w:val="20"/>
        </w:rPr>
      </w:pPr>
    </w:p>
    <w:p w:rsidR="00E318FE" w:rsidRPr="00C50A5C" w:rsidRDefault="00417673" w:rsidP="00E318FE">
      <w:pPr>
        <w:rPr>
          <w:sz w:val="20"/>
          <w:szCs w:val="20"/>
        </w:rPr>
      </w:pPr>
      <w:r>
        <w:rPr>
          <w:sz w:val="20"/>
          <w:szCs w:val="20"/>
          <w:lang w:val="fr-CA"/>
        </w:rPr>
        <w:pict>
          <v:rect id="_x0000_i1053" style="width:2in;height:1pt" o:hrpct="0" o:hralign="center" o:hrstd="t" o:hrnoshade="t" o:hr="t" fillcolor="black [3213]" stroked="f"/>
        </w:pict>
      </w:r>
    </w:p>
    <w:p w:rsidR="00E318FE" w:rsidRDefault="00E318FE" w:rsidP="00841E19">
      <w:pPr>
        <w:jc w:val="both"/>
        <w:rPr>
          <w:rFonts w:eastAsia="Calibri" w:cs="Times New Roman"/>
          <w:sz w:val="20"/>
          <w:szCs w:val="20"/>
          <w:lang w:val="en-US"/>
        </w:rPr>
      </w:pPr>
    </w:p>
    <w:tbl>
      <w:tblPr>
        <w:tblStyle w:val="TableGrid1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F485B" w:rsidRPr="00584913" w:rsidTr="007D569A">
        <w:tc>
          <w:tcPr>
            <w:tcW w:w="1458" w:type="dxa"/>
          </w:tcPr>
          <w:p w:rsidR="00EF485B" w:rsidRPr="00EF485B" w:rsidRDefault="00EF485B" w:rsidP="00EF485B">
            <w:pPr>
              <w:jc w:val="both"/>
              <w:rPr>
                <w:sz w:val="20"/>
              </w:rPr>
            </w:pPr>
            <w:r w:rsidRPr="00EF485B">
              <w:rPr>
                <w:b/>
                <w:sz w:val="20"/>
                <w:lang w:val="fr-CA"/>
              </w:rPr>
              <w:t>36210</w:t>
            </w:r>
          </w:p>
          <w:p w:rsidR="00EF485B" w:rsidRPr="00EF485B" w:rsidRDefault="00EF485B" w:rsidP="00EF485B">
            <w:pPr>
              <w:jc w:val="both"/>
              <w:rPr>
                <w:b/>
                <w:sz w:val="20"/>
                <w:lang w:val="fr-CA"/>
              </w:rPr>
            </w:pPr>
          </w:p>
        </w:tc>
        <w:tc>
          <w:tcPr>
            <w:tcW w:w="8118" w:type="dxa"/>
          </w:tcPr>
          <w:p w:rsidR="00EF485B" w:rsidRPr="00EF485B" w:rsidRDefault="00EF485B" w:rsidP="00EF485B">
            <w:pPr>
              <w:jc w:val="both"/>
              <w:rPr>
                <w:sz w:val="20"/>
                <w:lang w:val="fr-CA"/>
              </w:rPr>
            </w:pPr>
            <w:r w:rsidRPr="00EF485B">
              <w:rPr>
                <w:b/>
                <w:sz w:val="20"/>
                <w:u w:val="single"/>
                <w:lang w:val="fr-CA"/>
              </w:rPr>
              <w:t xml:space="preserve">Michel Lafortune, Ferme J. Latendresse inc., Ferme du Rio inc., François Landry, Johanne Clément et Patrice St-Jean, faisant affaires sous la raison sociale Ferme Johatrice Enr., Ferme Guy Laurin inc., Ferme Raymond Coutu et Fils </w:t>
            </w:r>
            <w:r w:rsidR="002E4EA1">
              <w:rPr>
                <w:b/>
                <w:sz w:val="20"/>
                <w:u w:val="single"/>
                <w:lang w:val="fr-CA"/>
              </w:rPr>
              <w:t>se</w:t>
            </w:r>
            <w:r w:rsidRPr="00EF485B">
              <w:rPr>
                <w:b/>
                <w:sz w:val="20"/>
                <w:u w:val="single"/>
                <w:lang w:val="fr-CA"/>
              </w:rPr>
              <w:t>nc., Ferme Gérald Charbonneau et Fils inc., Ferme Yvan Bélanger inc., Fermes Mario Gagnon inc., Ferme Gérard Riopel inc., Ferme Claudal inc., Ferme Pierre Clermont senc, Micha</w:t>
            </w:r>
            <w:r w:rsidR="007B68D8">
              <w:rPr>
                <w:b/>
                <w:sz w:val="20"/>
                <w:u w:val="single"/>
                <w:lang w:val="fr-CA"/>
              </w:rPr>
              <w:t>ë</w:t>
            </w:r>
            <w:r w:rsidRPr="00EF485B">
              <w:rPr>
                <w:b/>
                <w:sz w:val="20"/>
                <w:u w:val="single"/>
                <w:lang w:val="fr-CA"/>
              </w:rPr>
              <w:t>l Clermont, Entreprises Bernard Denis Gilles inc., Bernard Perreault et Fils inc., Ferme A. Riopel inc., Diane et Marcel Pelletier, Ferme Panelia SEP, Ferme Normand Marsolais inc., Philippe Desjardins, Guil-Porcs inc., Ferme Claude Forget inc., Jacques Clermont, Angèle Grégoire, Ferme Luc et Estelle Forget inc., Ferme Guy Mercier inc.,</w:t>
            </w:r>
            <w:r w:rsidR="007B68D8">
              <w:rPr>
                <w:b/>
                <w:sz w:val="20"/>
                <w:u w:val="single"/>
                <w:lang w:val="fr-CA"/>
              </w:rPr>
              <w:t xml:space="preserve"> </w:t>
            </w:r>
            <w:r w:rsidRPr="00EF485B">
              <w:rPr>
                <w:b/>
                <w:sz w:val="20"/>
                <w:u w:val="single"/>
                <w:lang w:val="fr-CA"/>
              </w:rPr>
              <w:t xml:space="preserve">Ferme Luc Loranger inc., L.Y. Gagnon inc., Ferme Porcine JGFB inc., Ferme LJD Dalpé inc., Ferme Jacques Sanscartier senc, Daniel Beauchamp, 9011-1246 Québec inc., Ferme Roger Ménard (1981) inc., Ferme Pierre Mercier 1991 inc., Jean Marc Henri inc., Germain Chayer inc., Marc Lavallée, Ferme Richard Desjardins inc., Ferme Robert Desrosiers et Fils inc., Serge Venne inc., Ferme G.D.Y. inc., Réjean Villemaire et Jules Villemaire, faisant affaires sous la raison sociale La Ferme Boporc enr., 9151-3069 Québec inc., Ferme 4538 inc., Ferme Gérald Beauregard et ass. </w:t>
            </w:r>
            <w:r w:rsidR="007B68D8">
              <w:rPr>
                <w:b/>
                <w:sz w:val="20"/>
                <w:u w:val="single"/>
                <w:lang w:val="fr-CA"/>
              </w:rPr>
              <w:t>S.E.N.C.</w:t>
            </w:r>
            <w:r w:rsidRPr="00EF485B">
              <w:rPr>
                <w:b/>
                <w:sz w:val="20"/>
                <w:u w:val="single"/>
                <w:lang w:val="fr-CA"/>
              </w:rPr>
              <w:t>, Ferme Porcine Jagari inc., Porcheries R.G. D</w:t>
            </w:r>
            <w:r w:rsidR="002D29B0">
              <w:rPr>
                <w:b/>
                <w:sz w:val="20"/>
                <w:u w:val="single"/>
                <w:lang w:val="fr-CA"/>
              </w:rPr>
              <w:t>’</w:t>
            </w:r>
            <w:r w:rsidRPr="00EF485B">
              <w:rPr>
                <w:b/>
                <w:sz w:val="20"/>
                <w:u w:val="single"/>
                <w:lang w:val="fr-CA"/>
              </w:rPr>
              <w:t>Amours inc.,</w:t>
            </w:r>
            <w:r w:rsidR="00312B94">
              <w:rPr>
                <w:b/>
                <w:sz w:val="20"/>
                <w:u w:val="single"/>
                <w:lang w:val="fr-CA"/>
              </w:rPr>
              <w:t xml:space="preserve"> </w:t>
            </w:r>
            <w:r w:rsidRPr="00EF485B">
              <w:rPr>
                <w:b/>
                <w:sz w:val="20"/>
                <w:u w:val="single"/>
                <w:lang w:val="fr-CA"/>
              </w:rPr>
              <w:t xml:space="preserve">Ferme Bo-Porc </w:t>
            </w:r>
            <w:r w:rsidR="00312B94">
              <w:rPr>
                <w:b/>
                <w:sz w:val="20"/>
                <w:u w:val="single"/>
                <w:lang w:val="fr-CA"/>
              </w:rPr>
              <w:t>S.E.N.C.</w:t>
            </w:r>
            <w:r w:rsidRPr="00EF485B">
              <w:rPr>
                <w:b/>
                <w:sz w:val="20"/>
                <w:u w:val="single"/>
                <w:lang w:val="fr-CA"/>
              </w:rPr>
              <w:t>, Ferme Vermado inc., Murielle</w:t>
            </w:r>
            <w:r w:rsidR="00B774DA">
              <w:rPr>
                <w:b/>
                <w:sz w:val="20"/>
                <w:u w:val="single"/>
                <w:lang w:val="fr-CA"/>
              </w:rPr>
              <w:t xml:space="preserve"> </w:t>
            </w:r>
            <w:r w:rsidRPr="00EF485B">
              <w:rPr>
                <w:b/>
                <w:sz w:val="20"/>
                <w:u w:val="single"/>
                <w:lang w:val="fr-CA"/>
              </w:rPr>
              <w:t>Bergeron et Jeannot Alarie, faisant affaires sous la raison sociale Ferme Porktam enr., Monique Nepveu, Stéphane Benoit et Réjean Beno</w:t>
            </w:r>
            <w:r w:rsidR="00B774DA">
              <w:rPr>
                <w:b/>
                <w:sz w:val="20"/>
                <w:u w:val="single"/>
                <w:lang w:val="fr-CA"/>
              </w:rPr>
              <w:t>i</w:t>
            </w:r>
            <w:r w:rsidRPr="00EF485B">
              <w:rPr>
                <w:b/>
                <w:sz w:val="20"/>
                <w:u w:val="single"/>
                <w:lang w:val="fr-CA"/>
              </w:rPr>
              <w:t>t, faisant affaires sous la raison sociale Ferme Beno</w:t>
            </w:r>
            <w:r w:rsidR="00B774DA">
              <w:rPr>
                <w:b/>
                <w:sz w:val="20"/>
                <w:u w:val="single"/>
                <w:lang w:val="fr-CA"/>
              </w:rPr>
              <w:t>î</w:t>
            </w:r>
            <w:r w:rsidRPr="00EF485B">
              <w:rPr>
                <w:b/>
                <w:sz w:val="20"/>
                <w:u w:val="single"/>
                <w:lang w:val="fr-CA"/>
              </w:rPr>
              <w:t xml:space="preserve">t et Nepveu enr., Jean-Guy Lecours, Ferme Supier </w:t>
            </w:r>
            <w:r w:rsidR="00B774DA">
              <w:rPr>
                <w:b/>
                <w:sz w:val="20"/>
                <w:u w:val="single"/>
                <w:lang w:val="fr-CA"/>
              </w:rPr>
              <w:t>S.E.N.C.</w:t>
            </w:r>
            <w:r w:rsidRPr="00EF485B">
              <w:rPr>
                <w:b/>
                <w:sz w:val="20"/>
                <w:u w:val="single"/>
                <w:lang w:val="fr-CA"/>
              </w:rPr>
              <w:t xml:space="preserve">, Ferme Porcine Isidore Roy </w:t>
            </w:r>
            <w:r w:rsidR="003015AF">
              <w:rPr>
                <w:b/>
                <w:sz w:val="20"/>
                <w:u w:val="single"/>
                <w:lang w:val="fr-CA"/>
              </w:rPr>
              <w:t>S</w:t>
            </w:r>
            <w:r w:rsidRPr="00EF485B">
              <w:rPr>
                <w:b/>
                <w:sz w:val="20"/>
                <w:u w:val="single"/>
                <w:lang w:val="fr-CA"/>
              </w:rPr>
              <w:t xml:space="preserve">enc, Jacques Descoteaux, Vincent Demers et Micheline Racine, faisant affaires sous la raison sociale Ferme Agro Ray-Mi enr., Ferme Charles Charette et Fils inc., Ferme Familiporc inc., Ferme Horizon de Coaticook inc., Ferme Porcine M.V. inc., Ferme Porcine Bellevue inc., Ferme Porcine &amp; Avicole Viens inc., Porcherie du Ruisseau inc., Ferme Diane R. et Victor Blais senc, Ferme Les Lucioles inc., Réal Labrecque et Hélène Lamontagne, Porcherie du Vallon </w:t>
            </w:r>
            <w:r w:rsidR="00B42FA5">
              <w:rPr>
                <w:b/>
                <w:sz w:val="20"/>
                <w:u w:val="single"/>
                <w:lang w:val="fr-CA"/>
              </w:rPr>
              <w:t>S.E.N.C.</w:t>
            </w:r>
            <w:r w:rsidRPr="00EF485B">
              <w:rPr>
                <w:b/>
                <w:sz w:val="20"/>
                <w:u w:val="single"/>
                <w:lang w:val="fr-CA"/>
              </w:rPr>
              <w:t xml:space="preserve">, Ferme Vilamon </w:t>
            </w:r>
            <w:r w:rsidR="00980356">
              <w:rPr>
                <w:b/>
                <w:sz w:val="20"/>
                <w:u w:val="single"/>
                <w:lang w:val="fr-CA"/>
              </w:rPr>
              <w:t>S.E.N.C.</w:t>
            </w:r>
            <w:r w:rsidRPr="00EF485B">
              <w:rPr>
                <w:b/>
                <w:sz w:val="20"/>
                <w:u w:val="single"/>
                <w:lang w:val="fr-CA"/>
              </w:rPr>
              <w:t xml:space="preserve">, Porcherie André Desrosiers inc., Ferme Porcine Marjoland inc., 9170-6788 Québec inc., Porcs Martineau inc., Ferme La Cajolerie inc., Ferme Maurice Parent inc., Suzanne Perreault &amp; Armand Landry, Ferme Yvon Perreault inc., Ferme Pic Rouge inc., Ferme Moriseau </w:t>
            </w:r>
            <w:r w:rsidR="00EB36C9">
              <w:rPr>
                <w:b/>
                <w:sz w:val="20"/>
                <w:u w:val="single"/>
                <w:lang w:val="fr-CA"/>
              </w:rPr>
              <w:t>S.E.N.C.</w:t>
            </w:r>
            <w:r w:rsidRPr="00EF485B">
              <w:rPr>
                <w:b/>
                <w:sz w:val="20"/>
                <w:u w:val="single"/>
                <w:lang w:val="fr-CA"/>
              </w:rPr>
              <w:t xml:space="preserve">, Ferme Porcine de Beauce inc., Les Élevages Quali-Porc </w:t>
            </w:r>
            <w:r w:rsidR="00EB36C9">
              <w:rPr>
                <w:b/>
                <w:sz w:val="20"/>
                <w:u w:val="single"/>
                <w:lang w:val="fr-CA"/>
              </w:rPr>
              <w:t>S.E.N.C.</w:t>
            </w:r>
            <w:r w:rsidRPr="00EF485B">
              <w:rPr>
                <w:b/>
                <w:sz w:val="20"/>
                <w:u w:val="single"/>
                <w:lang w:val="fr-CA"/>
              </w:rPr>
              <w:t xml:space="preserve">, Ferme du Patrimoine Théberge inc., Ferme Moffette inc., 9143-6022 Québec inc., Ferme 296 inc., Ferme Berporc inc., Ferme André Veilleux et Fils enr. </w:t>
            </w:r>
            <w:r w:rsidR="005B3C71">
              <w:rPr>
                <w:b/>
                <w:sz w:val="20"/>
                <w:u w:val="single"/>
                <w:lang w:val="fr-CA"/>
              </w:rPr>
              <w:t>S E N C</w:t>
            </w:r>
            <w:r w:rsidRPr="00EF485B">
              <w:rPr>
                <w:b/>
                <w:sz w:val="20"/>
                <w:u w:val="single"/>
                <w:lang w:val="fr-CA"/>
              </w:rPr>
              <w:t>,</w:t>
            </w:r>
            <w:r w:rsidR="005B3C71">
              <w:rPr>
                <w:b/>
                <w:sz w:val="20"/>
                <w:u w:val="single"/>
                <w:lang w:val="fr-CA"/>
              </w:rPr>
              <w:t xml:space="preserve"> </w:t>
            </w:r>
            <w:r w:rsidRPr="00EF485B">
              <w:rPr>
                <w:b/>
                <w:sz w:val="20"/>
                <w:u w:val="single"/>
                <w:lang w:val="fr-CA"/>
              </w:rPr>
              <w:t xml:space="preserve">Daniel Paradis, </w:t>
            </w:r>
            <w:r w:rsidR="00F45568">
              <w:rPr>
                <w:b/>
                <w:sz w:val="20"/>
                <w:u w:val="single"/>
                <w:lang w:val="fr-CA"/>
              </w:rPr>
              <w:t xml:space="preserve">faisant affaires sour la raison sociale Ferme Parielle enr., </w:t>
            </w:r>
            <w:r w:rsidRPr="00EF485B">
              <w:rPr>
                <w:b/>
                <w:sz w:val="20"/>
                <w:u w:val="single"/>
                <w:lang w:val="fr-CA"/>
              </w:rPr>
              <w:t xml:space="preserve">Ferme Vachon et ass. </w:t>
            </w:r>
            <w:r w:rsidR="00F45568">
              <w:rPr>
                <w:b/>
                <w:sz w:val="20"/>
                <w:u w:val="single"/>
                <w:lang w:val="fr-CA"/>
              </w:rPr>
              <w:t>S.E.N.C.</w:t>
            </w:r>
            <w:r w:rsidRPr="00EF485B">
              <w:rPr>
                <w:b/>
                <w:sz w:val="20"/>
                <w:u w:val="single"/>
                <w:lang w:val="fr-CA"/>
              </w:rPr>
              <w:t>, Ferme Porcine Le Siclaune s</w:t>
            </w:r>
            <w:r w:rsidR="00807184">
              <w:rPr>
                <w:b/>
                <w:sz w:val="20"/>
                <w:u w:val="single"/>
                <w:lang w:val="fr-CA"/>
              </w:rPr>
              <w:t>.</w:t>
            </w:r>
            <w:r w:rsidRPr="00EF485B">
              <w:rPr>
                <w:b/>
                <w:sz w:val="20"/>
                <w:u w:val="single"/>
                <w:lang w:val="fr-CA"/>
              </w:rPr>
              <w:t>e</w:t>
            </w:r>
            <w:r w:rsidR="00807184">
              <w:rPr>
                <w:b/>
                <w:sz w:val="20"/>
                <w:u w:val="single"/>
                <w:lang w:val="fr-CA"/>
              </w:rPr>
              <w:t>.</w:t>
            </w:r>
            <w:r w:rsidRPr="00EF485B">
              <w:rPr>
                <w:b/>
                <w:sz w:val="20"/>
                <w:u w:val="single"/>
                <w:lang w:val="fr-CA"/>
              </w:rPr>
              <w:t>n</w:t>
            </w:r>
            <w:r w:rsidR="00807184">
              <w:rPr>
                <w:b/>
                <w:sz w:val="20"/>
                <w:u w:val="single"/>
                <w:lang w:val="fr-CA"/>
              </w:rPr>
              <w:t>.</w:t>
            </w:r>
            <w:r w:rsidRPr="00EF485B">
              <w:rPr>
                <w:b/>
                <w:sz w:val="20"/>
                <w:u w:val="single"/>
                <w:lang w:val="fr-CA"/>
              </w:rPr>
              <w:t>c</w:t>
            </w:r>
            <w:r w:rsidR="00807184">
              <w:rPr>
                <w:b/>
                <w:sz w:val="20"/>
                <w:u w:val="single"/>
                <w:lang w:val="fr-CA"/>
              </w:rPr>
              <w:t>.</w:t>
            </w:r>
            <w:r w:rsidRPr="00EF485B">
              <w:rPr>
                <w:b/>
                <w:sz w:val="20"/>
                <w:u w:val="single"/>
                <w:lang w:val="fr-CA"/>
              </w:rPr>
              <w:t xml:space="preserve">, Michel Jolicoeur, Ferme Raygica inc., F. Porcine Audesse inc., Ferme Porcine du Boisé inc., Ferme Migi </w:t>
            </w:r>
            <w:r w:rsidR="00807184">
              <w:rPr>
                <w:b/>
                <w:sz w:val="20"/>
                <w:u w:val="single"/>
                <w:lang w:val="fr-CA"/>
              </w:rPr>
              <w:t>S.E.N.C.</w:t>
            </w:r>
            <w:r w:rsidRPr="00EF485B">
              <w:rPr>
                <w:b/>
                <w:sz w:val="20"/>
                <w:u w:val="single"/>
                <w:lang w:val="fr-CA"/>
              </w:rPr>
              <w:t xml:space="preserve">, Ferme Céguy inc., Perfo-Porc inc., Ferme Jolima inc., Gilles Dufault, Ferme R. Charest et Fils inc., Ferme François Labbé </w:t>
            </w:r>
            <w:r w:rsidR="0090714C">
              <w:rPr>
                <w:b/>
                <w:sz w:val="20"/>
                <w:u w:val="single"/>
                <w:lang w:val="fr-CA"/>
              </w:rPr>
              <w:t>S.E.N.C.</w:t>
            </w:r>
            <w:r w:rsidRPr="00EF485B">
              <w:rPr>
                <w:b/>
                <w:sz w:val="20"/>
                <w:u w:val="single"/>
                <w:lang w:val="fr-CA"/>
              </w:rPr>
              <w:t xml:space="preserve">, Ferme Porcine Denis Nadeau inc., Porcherie Marigro inc., Léandre Labrecque, Ferme Andeline Division Porcine inc., 9015-4683 Québec inc., Les Élevages du Ruisseau inc., Ferme Daniel Roussin inc., Ferme Gilbert Grenier inc., Robert Delage, Les Porcheries Chanca inc., Ferme Triporc inc., Stéphane Wolfe, Ferme Maxsiporc S.M. inc., Ferme Michel Vallée et Fils inc., Ferme Labbé et Fils inc., Ferme Marcel Grenier inc., Ferme Clermont Labrecque et Fils inc., Ferme Noel Fortin et Fils inc., Ferme George Parent et Fils inc., Ferme L. et S. Fortin inc., Ferme Roch Gosselin inc., Richard F. Lefebvre inc., Ferme Lorge inc., Ferme Jo-Ray inc., Ferme Porcine Dajo </w:t>
            </w:r>
            <w:r w:rsidR="00D35B09">
              <w:rPr>
                <w:b/>
                <w:sz w:val="20"/>
                <w:u w:val="single"/>
                <w:lang w:val="fr-CA"/>
              </w:rPr>
              <w:t>S.E.N.C.</w:t>
            </w:r>
            <w:r w:rsidRPr="00EF485B">
              <w:rPr>
                <w:b/>
                <w:sz w:val="20"/>
                <w:u w:val="single"/>
                <w:lang w:val="fr-CA"/>
              </w:rPr>
              <w:t xml:space="preserve">, Ferme Yves Grondin et Fils inc., Ferme Sylvain Cloutier et Fils </w:t>
            </w:r>
            <w:r w:rsidRPr="00EF485B">
              <w:rPr>
                <w:b/>
                <w:sz w:val="20"/>
                <w:u w:val="single"/>
                <w:lang w:val="fr-CA"/>
              </w:rPr>
              <w:lastRenderedPageBreak/>
              <w:t xml:space="preserve">inc., Richard Cloutier, Ferme Freddy Lefebvre inc., Ferme R&amp;R Fortin inc., Ferme Mario Breton inc., Ferme Porvicole inc., Ferme Gérard Labrecque et Fils inc., Porcherie L.G.R.B. inc., Ferme Louis et Manon Coutu inc., Ferme Louber </w:t>
            </w:r>
            <w:r w:rsidR="00D35B09">
              <w:rPr>
                <w:b/>
                <w:sz w:val="20"/>
                <w:u w:val="single"/>
                <w:lang w:val="fr-CA"/>
              </w:rPr>
              <w:t>S.E.N.C.</w:t>
            </w:r>
            <w:r w:rsidRPr="00EF485B">
              <w:rPr>
                <w:b/>
                <w:sz w:val="20"/>
                <w:u w:val="single"/>
                <w:lang w:val="fr-CA"/>
              </w:rPr>
              <w:t xml:space="preserve">, Ferme La Porc-Tée, Ferme Justin Fortin inc., Ferme Clément et Gaétan Pichette </w:t>
            </w:r>
            <w:r w:rsidR="00D35B09">
              <w:rPr>
                <w:b/>
                <w:sz w:val="20"/>
                <w:u w:val="single"/>
                <w:lang w:val="fr-CA"/>
              </w:rPr>
              <w:t>S.</w:t>
            </w:r>
            <w:r w:rsidRPr="00EF485B">
              <w:rPr>
                <w:b/>
                <w:sz w:val="20"/>
                <w:u w:val="single"/>
                <w:lang w:val="fr-CA"/>
              </w:rPr>
              <w:t>e</w:t>
            </w:r>
            <w:r w:rsidR="00D35B09">
              <w:rPr>
                <w:b/>
                <w:sz w:val="20"/>
                <w:u w:val="single"/>
                <w:lang w:val="fr-CA"/>
              </w:rPr>
              <w:t>.</w:t>
            </w:r>
            <w:r w:rsidRPr="00EF485B">
              <w:rPr>
                <w:b/>
                <w:sz w:val="20"/>
                <w:u w:val="single"/>
                <w:lang w:val="fr-CA"/>
              </w:rPr>
              <w:t>n</w:t>
            </w:r>
            <w:r w:rsidR="00D35B09">
              <w:rPr>
                <w:b/>
                <w:sz w:val="20"/>
                <w:u w:val="single"/>
                <w:lang w:val="fr-CA"/>
              </w:rPr>
              <w:t>.</w:t>
            </w:r>
            <w:r w:rsidRPr="00EF485B">
              <w:rPr>
                <w:b/>
                <w:sz w:val="20"/>
                <w:u w:val="single"/>
                <w:lang w:val="fr-CA"/>
              </w:rPr>
              <w:t>c</w:t>
            </w:r>
            <w:r w:rsidR="00D35B09">
              <w:rPr>
                <w:b/>
                <w:sz w:val="20"/>
                <w:u w:val="single"/>
                <w:lang w:val="fr-CA"/>
              </w:rPr>
              <w:t>.</w:t>
            </w:r>
            <w:r w:rsidRPr="00EF485B">
              <w:rPr>
                <w:b/>
                <w:sz w:val="20"/>
                <w:u w:val="single"/>
                <w:lang w:val="fr-CA"/>
              </w:rPr>
              <w:t xml:space="preserve">, Ferme Damilie-Porcs inc., Ferme J.P.L. inc., Lemonde et Fils inc., Alain Laflamme, Ferme Porcs 2000, S.N.C., Ferme Céligervic et Fils </w:t>
            </w:r>
            <w:r w:rsidR="00D35B09">
              <w:rPr>
                <w:b/>
                <w:sz w:val="20"/>
                <w:u w:val="single"/>
                <w:lang w:val="fr-CA"/>
              </w:rPr>
              <w:t>S.E.N.C.</w:t>
            </w:r>
            <w:r w:rsidRPr="00EF485B">
              <w:rPr>
                <w:b/>
                <w:sz w:val="20"/>
                <w:u w:val="single"/>
                <w:lang w:val="fr-CA"/>
              </w:rPr>
              <w:t xml:space="preserve">, Ferme M.Y. Turgeon inc., Jean-Guy Charette, Ferme Jules Fortin &amp; Fils inc., Ferme Mario Gagné Enr., Ferme Claude Turgeon inc., Ferme Daniel Samson </w:t>
            </w:r>
            <w:r w:rsidR="00D35B09">
              <w:rPr>
                <w:b/>
                <w:sz w:val="20"/>
                <w:u w:val="single"/>
                <w:lang w:val="fr-CA"/>
              </w:rPr>
              <w:t>S.E.N.C.</w:t>
            </w:r>
            <w:r w:rsidRPr="00EF485B">
              <w:rPr>
                <w:b/>
                <w:sz w:val="20"/>
                <w:u w:val="single"/>
                <w:lang w:val="fr-CA"/>
              </w:rPr>
              <w:t xml:space="preserve">, J. et R. Perreault inc., Ferme A.M.Y. Martin inc., Ferme Porcine J.P.S.D., Élevages du Haut St-Laurent inc., 9150-0561 Québec inc., Ferme Dinelle et Fils Ltée, Rojotal inc., Ferme Pordor inc., Ferme Exporc inc., Entreprises Daniel Corbeil inc., Ferme Neubois inc., Pierre Riopel, 9150-8689 Québec inc., Florent Venne inc., Ferme C.P. Venne inc., Ferme Lucie et Sylvain Perreault Enr. </w:t>
            </w:r>
            <w:r w:rsidR="00EB4B05">
              <w:rPr>
                <w:b/>
                <w:sz w:val="20"/>
                <w:u w:val="single"/>
                <w:lang w:val="fr-CA"/>
              </w:rPr>
              <w:t>SENC</w:t>
            </w:r>
            <w:r w:rsidRPr="00EF485B">
              <w:rPr>
                <w:b/>
                <w:sz w:val="20"/>
                <w:u w:val="single"/>
                <w:lang w:val="fr-CA"/>
              </w:rPr>
              <w:t xml:space="preserve">, Serge Perreault, Ferme Michel Rochon inc., Ferme Marc-André et Alain Forget SEP, Ferme Ribeauporc inc., 9025-5340 Québec inc., </w:t>
            </w:r>
            <w:r w:rsidR="00EB4B05" w:rsidRPr="00EF485B">
              <w:rPr>
                <w:b/>
                <w:sz w:val="20"/>
                <w:u w:val="single"/>
                <w:lang w:val="fr-CA"/>
              </w:rPr>
              <w:t>Jean Lauzon, Jean-Claude Lauzon et François Lauzon, faisant affaires sous la raison sociale Ferme Lauzon et Fils Enr.,</w:t>
            </w:r>
            <w:r w:rsidR="00EB4B05">
              <w:rPr>
                <w:b/>
                <w:sz w:val="20"/>
                <w:u w:val="single"/>
                <w:lang w:val="fr-CA"/>
              </w:rPr>
              <w:t xml:space="preserve"> </w:t>
            </w:r>
            <w:r w:rsidRPr="00EF485B">
              <w:rPr>
                <w:b/>
                <w:sz w:val="20"/>
                <w:u w:val="single"/>
                <w:lang w:val="fr-CA"/>
              </w:rPr>
              <w:t>Ferme MRJ inc., Meloporc inc., Ferme Ami-Porc inc., , 9157-1844 Québec inc., 2538-8430 Québec inc., 9002-8069 Québec inc., 9043-3616 Québec inc. (Ferme Olivier Lépine), Ferme M. Mercier et Fils inc., Gestion Gilles Chayer inc., Ferme Porcine St-Roch inc., 9137-3597 Québec inc., La Ferme D</w:t>
            </w:r>
            <w:r w:rsidR="00EB4B05">
              <w:rPr>
                <w:b/>
                <w:sz w:val="20"/>
                <w:u w:val="single"/>
                <w:lang w:val="fr-CA"/>
              </w:rPr>
              <w:t>’</w:t>
            </w:r>
            <w:r w:rsidRPr="00EF485B">
              <w:rPr>
                <w:b/>
                <w:sz w:val="20"/>
                <w:u w:val="single"/>
                <w:lang w:val="fr-CA"/>
              </w:rPr>
              <w:t>en Bas inc., Ferme Gérard Gagnon et Fils inc., L</w:t>
            </w:r>
            <w:r w:rsidR="00F76692">
              <w:rPr>
                <w:b/>
                <w:sz w:val="20"/>
                <w:u w:val="single"/>
                <w:lang w:val="fr-CA"/>
              </w:rPr>
              <w:t>’</w:t>
            </w:r>
            <w:r w:rsidRPr="00EF485B">
              <w:rPr>
                <w:b/>
                <w:sz w:val="20"/>
                <w:u w:val="single"/>
                <w:lang w:val="fr-CA"/>
              </w:rPr>
              <w:t xml:space="preserve">Archevesque et Mercier inc., 9088-0725 Québec inc., Porcs 2007 inc., Ranch Macandi SNC </w:t>
            </w:r>
            <w:r w:rsidR="00F76692">
              <w:rPr>
                <w:b/>
                <w:sz w:val="20"/>
                <w:u w:val="single"/>
                <w:lang w:val="fr-CA"/>
              </w:rPr>
              <w:t>SENC</w:t>
            </w:r>
            <w:r w:rsidRPr="00EF485B">
              <w:rPr>
                <w:b/>
                <w:sz w:val="20"/>
                <w:u w:val="single"/>
                <w:lang w:val="fr-CA"/>
              </w:rPr>
              <w:t xml:space="preserve">, Roger Chabot, Ferme Holyster </w:t>
            </w:r>
            <w:r w:rsidR="00F76692">
              <w:rPr>
                <w:b/>
                <w:sz w:val="20"/>
                <w:u w:val="single"/>
                <w:lang w:val="fr-CA"/>
              </w:rPr>
              <w:t>S.E.N.C.</w:t>
            </w:r>
            <w:r w:rsidRPr="00EF485B">
              <w:rPr>
                <w:b/>
                <w:sz w:val="20"/>
                <w:u w:val="single"/>
                <w:lang w:val="fr-CA"/>
              </w:rPr>
              <w:t xml:space="preserve">, 9054-2861 Québec inc., Ferme Jocko </w:t>
            </w:r>
            <w:r w:rsidR="001269AD">
              <w:rPr>
                <w:b/>
                <w:sz w:val="20"/>
                <w:u w:val="single"/>
                <w:lang w:val="fr-CA"/>
              </w:rPr>
              <w:t>SENC,</w:t>
            </w:r>
            <w:r w:rsidRPr="00EF485B">
              <w:rPr>
                <w:b/>
                <w:sz w:val="20"/>
                <w:u w:val="single"/>
                <w:lang w:val="fr-CA"/>
              </w:rPr>
              <w:t xml:space="preserve"> Ferme des Anciens du Cordon inc., Ferme Ti-Noir et Fils inc., Fémiporc </w:t>
            </w:r>
            <w:r w:rsidR="001269AD">
              <w:rPr>
                <w:b/>
                <w:sz w:val="20"/>
                <w:u w:val="single"/>
                <w:lang w:val="fr-CA"/>
              </w:rPr>
              <w:t>SENC</w:t>
            </w:r>
            <w:r w:rsidRPr="00EF485B">
              <w:rPr>
                <w:b/>
                <w:sz w:val="20"/>
                <w:u w:val="single"/>
                <w:lang w:val="fr-CA"/>
              </w:rPr>
              <w:t xml:space="preserve">, Élevages du Bas Ste-Anne inc., Porcs N &amp; M inc., 9084-9183 Québec inc., Vercoporc inc., Ferme Porclair </w:t>
            </w:r>
            <w:r w:rsidR="0084179B">
              <w:rPr>
                <w:b/>
                <w:sz w:val="20"/>
                <w:u w:val="single"/>
                <w:lang w:val="fr-CA"/>
              </w:rPr>
              <w:t>S.E.N.C.</w:t>
            </w:r>
            <w:r w:rsidRPr="00EF485B">
              <w:rPr>
                <w:b/>
                <w:sz w:val="20"/>
                <w:u w:val="single"/>
                <w:lang w:val="fr-CA"/>
              </w:rPr>
              <w:t xml:space="preserve">, Élevages Porcins de Beauce </w:t>
            </w:r>
            <w:r w:rsidR="0084179B">
              <w:rPr>
                <w:b/>
                <w:sz w:val="20"/>
                <w:u w:val="single"/>
                <w:lang w:val="fr-CA"/>
              </w:rPr>
              <w:t>S.E.N.C.</w:t>
            </w:r>
            <w:r w:rsidRPr="00EF485B">
              <w:rPr>
                <w:b/>
                <w:sz w:val="20"/>
                <w:u w:val="single"/>
                <w:lang w:val="fr-CA"/>
              </w:rPr>
              <w:t xml:space="preserve">, Ferme J. Arsenault inc., Entreprises Rémy Laterreur inc., Rémy Laterreur, Porcherie Lavoie-Hébert inc., Ferme 321 </w:t>
            </w:r>
            <w:r w:rsidR="0084179B">
              <w:rPr>
                <w:b/>
                <w:sz w:val="20"/>
                <w:u w:val="single"/>
                <w:lang w:val="fr-CA"/>
              </w:rPr>
              <w:t>S.E.N.C.</w:t>
            </w:r>
            <w:r w:rsidRPr="00EF485B">
              <w:rPr>
                <w:b/>
                <w:sz w:val="20"/>
                <w:u w:val="single"/>
                <w:lang w:val="fr-CA"/>
              </w:rPr>
              <w:t>, Ferme Pied de la Côte inc., Ferme A.B. inc.,, Ferme d</w:t>
            </w:r>
            <w:r w:rsidR="0084179B">
              <w:rPr>
                <w:b/>
                <w:sz w:val="20"/>
                <w:u w:val="single"/>
                <w:lang w:val="fr-CA"/>
              </w:rPr>
              <w:t>’</w:t>
            </w:r>
            <w:r w:rsidRPr="00EF485B">
              <w:rPr>
                <w:b/>
                <w:sz w:val="20"/>
                <w:u w:val="single"/>
                <w:lang w:val="fr-CA"/>
              </w:rPr>
              <w:t xml:space="preserve">élevage V.B. inc., Ferme Vallons J.S.C. inc., Ferme Julien Breton </w:t>
            </w:r>
            <w:r w:rsidR="0084179B">
              <w:rPr>
                <w:b/>
                <w:sz w:val="20"/>
                <w:u w:val="single"/>
                <w:lang w:val="fr-CA"/>
              </w:rPr>
              <w:t>S.E.N.C.</w:t>
            </w:r>
            <w:r w:rsidRPr="00EF485B">
              <w:rPr>
                <w:b/>
                <w:sz w:val="20"/>
                <w:u w:val="single"/>
                <w:lang w:val="fr-CA"/>
              </w:rPr>
              <w:t xml:space="preserve">, Ferme Enick inc., 9165-4327 Québec inc., 9076-1776 Québec inc., Élevages Boporc inc., 2429-8457 Québec inc., Bruno Breton, Meunerie J.M.B. </w:t>
            </w:r>
            <w:r w:rsidR="0084179B">
              <w:rPr>
                <w:b/>
                <w:sz w:val="20"/>
                <w:u w:val="single"/>
                <w:lang w:val="fr-CA"/>
              </w:rPr>
              <w:t>S.E.N.C.</w:t>
            </w:r>
            <w:r w:rsidRPr="00EF485B">
              <w:rPr>
                <w:b/>
                <w:sz w:val="20"/>
                <w:u w:val="single"/>
                <w:lang w:val="fr-CA"/>
              </w:rPr>
              <w:t xml:space="preserve">, Gestion Lido inc., Élevages Porcyb inc., Pro-Porc inc., Élevages M.R. inc., Ferme André et Lucie Roy inc., Dion et Fils inc., Ferme Denis et Louis Dion </w:t>
            </w:r>
            <w:r w:rsidR="006765BA">
              <w:rPr>
                <w:b/>
                <w:sz w:val="20"/>
                <w:u w:val="single"/>
                <w:lang w:val="fr-CA"/>
              </w:rPr>
              <w:t>SENC</w:t>
            </w:r>
            <w:r w:rsidRPr="00EF485B">
              <w:rPr>
                <w:b/>
                <w:sz w:val="20"/>
                <w:u w:val="single"/>
                <w:lang w:val="fr-CA"/>
              </w:rPr>
              <w:t xml:space="preserve">, Ferme S.G.T. inc., Ferme Prolific inc., Ferme D.F. Cyr </w:t>
            </w:r>
            <w:r w:rsidR="006765BA">
              <w:rPr>
                <w:b/>
                <w:sz w:val="20"/>
                <w:u w:val="single"/>
                <w:lang w:val="fr-CA"/>
              </w:rPr>
              <w:t>S.E.N.C.</w:t>
            </w:r>
            <w:r w:rsidRPr="00EF485B">
              <w:rPr>
                <w:b/>
                <w:sz w:val="20"/>
                <w:u w:val="single"/>
                <w:lang w:val="fr-CA"/>
              </w:rPr>
              <w:t xml:space="preserve">, Ferme G.O.B. inc., 9081-5317 Québec inc., Ferme Porcité inc., Lait Porcité inc., Moulée M-Trihe inc., Ferme Jonoit inc., Fermes C. Hamelin et Fils inc., Ferme B.T. Hugi inc., Techni-Porc inc., Ferme Germain Lefebvre inc., Élevages Porc-Val </w:t>
            </w:r>
            <w:r w:rsidR="006765BA">
              <w:rPr>
                <w:b/>
                <w:sz w:val="20"/>
                <w:u w:val="single"/>
                <w:lang w:val="fr-CA"/>
              </w:rPr>
              <w:t>SENC</w:t>
            </w:r>
            <w:r w:rsidRPr="00EF485B">
              <w:rPr>
                <w:b/>
                <w:sz w:val="20"/>
                <w:u w:val="single"/>
                <w:lang w:val="fr-CA"/>
              </w:rPr>
              <w:t xml:space="preserve">, Ferme André Breton inc., Bersyporc inc., Entreprises R.N. Larose inc., Ferme Normand Coulombe inc., Ferme Thérèse et </w:t>
            </w:r>
            <w:r w:rsidR="00794763">
              <w:rPr>
                <w:b/>
                <w:sz w:val="20"/>
                <w:u w:val="single"/>
                <w:lang w:val="fr-CA"/>
              </w:rPr>
              <w:t>R</w:t>
            </w:r>
            <w:r w:rsidRPr="00EF485B">
              <w:rPr>
                <w:b/>
                <w:sz w:val="20"/>
                <w:u w:val="single"/>
                <w:lang w:val="fr-CA"/>
              </w:rPr>
              <w:t xml:space="preserve">ené Amireault </w:t>
            </w:r>
            <w:r w:rsidR="00794763">
              <w:rPr>
                <w:b/>
                <w:sz w:val="20"/>
                <w:u w:val="single"/>
                <w:lang w:val="fr-CA"/>
              </w:rPr>
              <w:t>SENC</w:t>
            </w:r>
            <w:r w:rsidRPr="00EF485B">
              <w:rPr>
                <w:b/>
                <w:sz w:val="20"/>
                <w:u w:val="single"/>
                <w:lang w:val="fr-CA"/>
              </w:rPr>
              <w:t xml:space="preserve">, Ferme G.C. et Fils inc., Ferme S.M. Ménard inc., Ferme Jo-Porcinet inc., 9055-8321 Québec inc. (Ferme Marie-Jo Dalpé), 3092-7404 Québec inc., Ferme Arbic et Fils inc., 9000-5281 Québec inc., Ferme C.L. Mercier inc., Ferme Clément et Doris Bournival inc., Ferme L. et P.N. Thériault inc., Gaston (J.G.) Cournoyer, M. &amp; F. Proteau </w:t>
            </w:r>
            <w:r w:rsidR="00794763">
              <w:rPr>
                <w:b/>
                <w:sz w:val="20"/>
                <w:u w:val="single"/>
                <w:lang w:val="fr-CA"/>
              </w:rPr>
              <w:t>SENC</w:t>
            </w:r>
            <w:r w:rsidRPr="00EF485B">
              <w:rPr>
                <w:b/>
                <w:sz w:val="20"/>
                <w:u w:val="single"/>
                <w:lang w:val="fr-CA"/>
              </w:rPr>
              <w:t xml:space="preserve">, Porcheries du Button Ltée, Ferme Amoporc inc., Clémence Bergeron, Maraîchers de St-Gilles 1991 </w:t>
            </w:r>
            <w:r w:rsidR="000430A7">
              <w:rPr>
                <w:b/>
                <w:sz w:val="20"/>
                <w:u w:val="single"/>
                <w:lang w:val="fr-CA"/>
              </w:rPr>
              <w:t>S.E.N.C.</w:t>
            </w:r>
            <w:r w:rsidRPr="00EF485B">
              <w:rPr>
                <w:b/>
                <w:sz w:val="20"/>
                <w:u w:val="single"/>
                <w:lang w:val="fr-CA"/>
              </w:rPr>
              <w:t xml:space="preserve">, Ferme Porc-Saint </w:t>
            </w:r>
            <w:r w:rsidR="000430A7">
              <w:rPr>
                <w:b/>
                <w:sz w:val="20"/>
                <w:u w:val="single"/>
                <w:lang w:val="fr-CA"/>
              </w:rPr>
              <w:t>S.E.N.C.</w:t>
            </w:r>
            <w:r w:rsidRPr="00EF485B">
              <w:rPr>
                <w:b/>
                <w:sz w:val="20"/>
                <w:u w:val="single"/>
                <w:lang w:val="fr-CA"/>
              </w:rPr>
              <w:t xml:space="preserve">, Ferme Aldo inc., Ferme Mavibel, Ferme Gilles Blais et Fils inc., Ferme Martin Routhier, Élevages Dion inc., Trans Porcité inc., Ferme Émigie inc., Fermes Porcines Hamelin inc., Porcherie Maka inc., 9038-7747 Québec inc., Vincent Paquette, Élevages C.J.R. des Moulanges </w:t>
            </w:r>
            <w:r w:rsidR="000430A7">
              <w:rPr>
                <w:b/>
                <w:sz w:val="20"/>
                <w:u w:val="single"/>
                <w:lang w:val="fr-CA"/>
              </w:rPr>
              <w:t>SENC</w:t>
            </w:r>
            <w:r w:rsidRPr="00EF485B">
              <w:rPr>
                <w:b/>
                <w:sz w:val="20"/>
                <w:u w:val="single"/>
                <w:lang w:val="fr-CA"/>
              </w:rPr>
              <w:t xml:space="preserve">, Ferme Farly </w:t>
            </w:r>
            <w:r w:rsidR="000430A7">
              <w:rPr>
                <w:b/>
                <w:sz w:val="20"/>
                <w:u w:val="single"/>
                <w:lang w:val="fr-CA"/>
              </w:rPr>
              <w:t>SENC et</w:t>
            </w:r>
            <w:r w:rsidRPr="00EF485B">
              <w:rPr>
                <w:b/>
                <w:sz w:val="20"/>
                <w:u w:val="single"/>
                <w:lang w:val="fr-CA"/>
              </w:rPr>
              <w:t xml:space="preserve"> Ferme des Milot inc. c. Financière agricole du Québec</w:t>
            </w:r>
            <w:r w:rsidRPr="00EF485B">
              <w:rPr>
                <w:sz w:val="20"/>
                <w:lang w:val="fr-CA"/>
              </w:rPr>
              <w:t xml:space="preserve"> (Qc) (Civile) (Autorisation)</w:t>
            </w:r>
          </w:p>
          <w:p w:rsidR="00EF485B" w:rsidRPr="00EF485B" w:rsidRDefault="00EF485B" w:rsidP="00EF485B">
            <w:pPr>
              <w:jc w:val="both"/>
              <w:rPr>
                <w:sz w:val="20"/>
                <w:lang w:val="fr-CA"/>
              </w:rPr>
            </w:pPr>
          </w:p>
        </w:tc>
      </w:tr>
      <w:tr w:rsidR="00EF485B" w:rsidRPr="00584913" w:rsidTr="007D569A">
        <w:trPr>
          <w:cantSplit/>
        </w:trPr>
        <w:tc>
          <w:tcPr>
            <w:tcW w:w="1458" w:type="dxa"/>
          </w:tcPr>
          <w:p w:rsidR="00EF485B" w:rsidRPr="00EF485B" w:rsidRDefault="00EF485B" w:rsidP="00EF485B">
            <w:pPr>
              <w:jc w:val="both"/>
              <w:rPr>
                <w:sz w:val="20"/>
              </w:rPr>
            </w:pPr>
            <w:r w:rsidRPr="00EF485B">
              <w:rPr>
                <w:sz w:val="20"/>
              </w:rPr>
              <w:lastRenderedPageBreak/>
              <w:t>Coram :</w:t>
            </w:r>
          </w:p>
        </w:tc>
        <w:tc>
          <w:tcPr>
            <w:tcW w:w="8118" w:type="dxa"/>
          </w:tcPr>
          <w:p w:rsidR="00EF485B" w:rsidRPr="00EF485B" w:rsidRDefault="00EF485B" w:rsidP="00EF485B">
            <w:pPr>
              <w:jc w:val="both"/>
              <w:rPr>
                <w:sz w:val="20"/>
                <w:lang w:val="fr-CA"/>
              </w:rPr>
            </w:pPr>
            <w:r w:rsidRPr="00EF485B">
              <w:rPr>
                <w:sz w:val="20"/>
                <w:u w:val="single"/>
                <w:lang w:val="fr-CA"/>
              </w:rPr>
              <w:t>La juge en chef McLachlin et les juges Wagner et Gascon</w:t>
            </w:r>
          </w:p>
          <w:p w:rsidR="00EF485B" w:rsidRPr="00EF485B" w:rsidRDefault="00EF485B" w:rsidP="00EF485B">
            <w:pPr>
              <w:jc w:val="both"/>
              <w:rPr>
                <w:sz w:val="20"/>
                <w:u w:val="single"/>
                <w:lang w:val="fr-CA"/>
              </w:rPr>
            </w:pPr>
          </w:p>
        </w:tc>
      </w:tr>
      <w:tr w:rsidR="00EF485B" w:rsidRPr="00EF485B" w:rsidTr="007D569A">
        <w:trPr>
          <w:cantSplit/>
        </w:trPr>
        <w:tc>
          <w:tcPr>
            <w:tcW w:w="9576" w:type="dxa"/>
            <w:gridSpan w:val="2"/>
          </w:tcPr>
          <w:p w:rsidR="00EF485B" w:rsidRPr="00EF485B" w:rsidRDefault="00EF485B" w:rsidP="00EF485B">
            <w:pPr>
              <w:ind w:firstLine="720"/>
              <w:jc w:val="both"/>
              <w:rPr>
                <w:sz w:val="20"/>
                <w:lang w:val="fr-CA"/>
              </w:rPr>
            </w:pPr>
            <w:r w:rsidRPr="00EF485B">
              <w:rPr>
                <w:sz w:val="20"/>
                <w:lang w:val="fr-CA"/>
              </w:rPr>
              <w:t>La demande d’autorisation d’appel de l’arrêt de la Cour d’appel du Québec (Québec), numéro 200-09-007762-120, 2014 QCCA 1891, daté du 14 octobre 2014, est accueillie avec dépens selon l’issue de l’appel.</w:t>
            </w:r>
          </w:p>
          <w:p w:rsidR="00EF485B" w:rsidRPr="00EF485B" w:rsidRDefault="00EF485B" w:rsidP="00EF485B">
            <w:pPr>
              <w:jc w:val="both"/>
              <w:rPr>
                <w:sz w:val="20"/>
                <w:lang w:val="fr-CA"/>
              </w:rPr>
            </w:pPr>
          </w:p>
          <w:p w:rsidR="00EF485B" w:rsidRPr="00EF485B" w:rsidRDefault="00EF485B" w:rsidP="00EF485B">
            <w:pPr>
              <w:ind w:firstLine="720"/>
              <w:jc w:val="both"/>
              <w:rPr>
                <w:sz w:val="20"/>
              </w:rPr>
            </w:pPr>
            <w:r w:rsidRPr="00EF485B">
              <w:rPr>
                <w:sz w:val="20"/>
              </w:rPr>
              <w:t>The application for leave to appeal from the judgment of the Court of Appeal of Quebec (Québec), Number 200-09-007762-120, 2014 QCCA 1891, dated October 14, 2014, is granted with costs in the cause.</w:t>
            </w:r>
          </w:p>
        </w:tc>
      </w:tr>
    </w:tbl>
    <w:p w:rsidR="005D60F7" w:rsidRPr="005D60F7" w:rsidRDefault="005D60F7" w:rsidP="00841E19">
      <w:pPr>
        <w:jc w:val="both"/>
        <w:rPr>
          <w:rFonts w:eastAsia="Calibri" w:cs="Times New Roman"/>
          <w:sz w:val="20"/>
          <w:szCs w:val="20"/>
        </w:rPr>
      </w:pPr>
    </w:p>
    <w:p w:rsidR="00D96177" w:rsidRPr="001B157C" w:rsidRDefault="00D96177" w:rsidP="00D96177">
      <w:pPr>
        <w:rPr>
          <w:sz w:val="20"/>
          <w:szCs w:val="20"/>
          <w:u w:val="single"/>
        </w:rPr>
      </w:pPr>
      <w:r w:rsidRPr="001B157C">
        <w:rPr>
          <w:sz w:val="20"/>
          <w:szCs w:val="20"/>
          <w:u w:val="single"/>
        </w:rPr>
        <w:lastRenderedPageBreak/>
        <w:t>CASE SUMMARY</w:t>
      </w:r>
    </w:p>
    <w:p w:rsidR="00D96177" w:rsidRDefault="00D96177" w:rsidP="00D9617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96177" w:rsidRPr="00841E19" w:rsidTr="00D96177">
        <w:tc>
          <w:tcPr>
            <w:tcW w:w="5000" w:type="pct"/>
            <w:gridSpan w:val="3"/>
          </w:tcPr>
          <w:p w:rsidR="00D96177" w:rsidRPr="00841E19" w:rsidRDefault="00D96177" w:rsidP="00D96177">
            <w:pPr>
              <w:jc w:val="both"/>
              <w:rPr>
                <w:rFonts w:eastAsia="Calibri" w:cs="Times New Roman"/>
                <w:sz w:val="20"/>
                <w:szCs w:val="20"/>
              </w:rPr>
            </w:pPr>
            <w:r w:rsidRPr="00841E19">
              <w:rPr>
                <w:rFonts w:eastAsia="Calibri" w:cs="Times New Roman"/>
                <w:sz w:val="20"/>
                <w:szCs w:val="20"/>
              </w:rPr>
              <w:t xml:space="preserve">Agriculture – Contracts – Insurance – Administrative law – Farm income stabilization – Applicants participating in Farm Income Stabilization Insurance Program administered by respondent under </w:t>
            </w:r>
            <w:r w:rsidRPr="00841E19">
              <w:rPr>
                <w:rFonts w:eastAsia="Calibri" w:cs="Times New Roman"/>
                <w:i/>
                <w:sz w:val="20"/>
                <w:szCs w:val="20"/>
              </w:rPr>
              <w:t>Act Respecting La Financière Agricole du Québec</w:t>
            </w:r>
            <w:r w:rsidRPr="00841E19">
              <w:rPr>
                <w:rFonts w:eastAsia="Calibri" w:cs="Times New Roman"/>
                <w:sz w:val="20"/>
                <w:szCs w:val="20"/>
              </w:rPr>
              <w:t xml:space="preserve">, L.R.Q., c. L-0.1 – Whether Program constitutes insurance contract or administrative contract </w:t>
            </w:r>
            <w:r w:rsidRPr="00841E19">
              <w:rPr>
                <w:rFonts w:eastAsia="Calibri" w:cs="Times New Roman"/>
                <w:i/>
                <w:sz w:val="20"/>
                <w:szCs w:val="20"/>
              </w:rPr>
              <w:t>sui generis</w:t>
            </w:r>
            <w:r w:rsidRPr="00841E19">
              <w:rPr>
                <w:rFonts w:eastAsia="Calibri" w:cs="Times New Roman"/>
                <w:sz w:val="20"/>
                <w:szCs w:val="20"/>
              </w:rPr>
              <w:t xml:space="preserve"> – Whether lower courts erred in refusing to award damages to applicants.</w:t>
            </w:r>
          </w:p>
        </w:tc>
      </w:tr>
      <w:tr w:rsidR="00D96177" w:rsidRPr="00841E19" w:rsidTr="00D96177">
        <w:tc>
          <w:tcPr>
            <w:tcW w:w="5000" w:type="pct"/>
            <w:gridSpan w:val="3"/>
          </w:tcPr>
          <w:p w:rsidR="00D96177" w:rsidRPr="00841E19" w:rsidRDefault="00D96177" w:rsidP="00D96177">
            <w:pPr>
              <w:jc w:val="both"/>
              <w:rPr>
                <w:rFonts w:eastAsia="Calibri" w:cs="Times New Roman"/>
                <w:sz w:val="20"/>
                <w:szCs w:val="20"/>
              </w:rPr>
            </w:pPr>
          </w:p>
        </w:tc>
      </w:tr>
      <w:tr w:rsidR="00D96177" w:rsidRPr="00841E19" w:rsidTr="00D96177">
        <w:tc>
          <w:tcPr>
            <w:tcW w:w="5000" w:type="pct"/>
            <w:gridSpan w:val="3"/>
          </w:tcPr>
          <w:p w:rsidR="00D96177" w:rsidRPr="00841E19" w:rsidRDefault="00D96177" w:rsidP="00D96177">
            <w:pPr>
              <w:jc w:val="both"/>
              <w:rPr>
                <w:rFonts w:eastAsia="Calibri" w:cs="Times New Roman"/>
                <w:sz w:val="20"/>
                <w:szCs w:val="20"/>
              </w:rPr>
            </w:pPr>
            <w:r w:rsidRPr="00841E19">
              <w:rPr>
                <w:rFonts w:eastAsia="Calibri" w:cs="Times New Roman"/>
                <w:sz w:val="20"/>
                <w:szCs w:val="20"/>
              </w:rPr>
              <w:t xml:space="preserve">The applicants are hog and piglet producers that participated in the Farm Income Stabilization Insurance Program (the “ASRA Program”) administered by the respondent, the Financière agricole du Québec, under the </w:t>
            </w:r>
            <w:r w:rsidRPr="00841E19">
              <w:rPr>
                <w:rFonts w:eastAsia="Calibri" w:cs="Times New Roman"/>
                <w:i/>
                <w:sz w:val="20"/>
                <w:szCs w:val="20"/>
              </w:rPr>
              <w:t>Act Respecting La Financière Agricole du Québec</w:t>
            </w:r>
            <w:r w:rsidRPr="00841E19">
              <w:rPr>
                <w:rFonts w:eastAsia="Calibri" w:cs="Times New Roman"/>
                <w:sz w:val="20"/>
                <w:szCs w:val="20"/>
              </w:rPr>
              <w:t>, R.S.Q., c. L-0.1.  The goal of the ASRA Program is essentially to provide program participants with a positive annual income regardless of market fluctuations.  When the market price is lower than the production costs, the Financière pays participants compensation the amount of which is based on the parameters of a typical farm.  The applicants are claiming over $77 million, which represents the compensation to which they consider to be entitled for the years 2006, 2007 and 2008.  The Superior Court dismissed the applicant’s action, and the Court of Appeal upheld this decision.</w:t>
            </w:r>
          </w:p>
          <w:p w:rsidR="00D96177" w:rsidRPr="00841E19" w:rsidRDefault="00D96177" w:rsidP="00D96177">
            <w:pPr>
              <w:jc w:val="both"/>
              <w:rPr>
                <w:rFonts w:eastAsia="Calibri" w:cs="Times New Roman"/>
                <w:sz w:val="20"/>
                <w:szCs w:val="20"/>
              </w:rPr>
            </w:pPr>
          </w:p>
        </w:tc>
      </w:tr>
      <w:tr w:rsidR="00D96177" w:rsidRPr="00841E19" w:rsidTr="00D96177">
        <w:tc>
          <w:tcPr>
            <w:tcW w:w="2427" w:type="pct"/>
          </w:tcPr>
          <w:p w:rsidR="00D96177" w:rsidRPr="00841E19" w:rsidRDefault="00D96177" w:rsidP="00D96177">
            <w:pPr>
              <w:jc w:val="both"/>
              <w:rPr>
                <w:rFonts w:eastAsia="Calibri" w:cs="Times New Roman"/>
                <w:sz w:val="20"/>
                <w:szCs w:val="20"/>
              </w:rPr>
            </w:pPr>
            <w:r w:rsidRPr="00841E19">
              <w:rPr>
                <w:rFonts w:eastAsia="Calibri" w:cs="Times New Roman"/>
                <w:sz w:val="20"/>
                <w:szCs w:val="20"/>
              </w:rPr>
              <w:t>June 18, 2012</w:t>
            </w:r>
          </w:p>
          <w:p w:rsidR="00D96177" w:rsidRPr="00841E19" w:rsidRDefault="00D96177" w:rsidP="00D96177">
            <w:pPr>
              <w:jc w:val="both"/>
              <w:rPr>
                <w:rFonts w:eastAsia="Calibri" w:cs="Times New Roman"/>
                <w:sz w:val="20"/>
                <w:szCs w:val="20"/>
              </w:rPr>
            </w:pPr>
            <w:r w:rsidRPr="00841E19">
              <w:rPr>
                <w:rFonts w:eastAsia="Calibri" w:cs="Times New Roman"/>
                <w:sz w:val="20"/>
                <w:szCs w:val="20"/>
              </w:rPr>
              <w:t>Quebec Superior Court</w:t>
            </w:r>
          </w:p>
          <w:p w:rsidR="00D96177" w:rsidRPr="00841E19" w:rsidRDefault="00D96177" w:rsidP="00D96177">
            <w:pPr>
              <w:jc w:val="both"/>
              <w:rPr>
                <w:rFonts w:eastAsia="Calibri" w:cs="Times New Roman"/>
                <w:sz w:val="20"/>
                <w:szCs w:val="20"/>
              </w:rPr>
            </w:pPr>
            <w:r w:rsidRPr="00841E19">
              <w:rPr>
                <w:rFonts w:eastAsia="Calibri" w:cs="Times New Roman"/>
                <w:sz w:val="20"/>
                <w:szCs w:val="20"/>
              </w:rPr>
              <w:t>(Martin J.)</w:t>
            </w:r>
          </w:p>
          <w:p w:rsidR="00D96177" w:rsidRPr="00841E19" w:rsidRDefault="00D96177" w:rsidP="00D96177">
            <w:pPr>
              <w:jc w:val="both"/>
              <w:rPr>
                <w:rFonts w:eastAsia="Calibri" w:cs="Times New Roman"/>
                <w:sz w:val="20"/>
                <w:szCs w:val="20"/>
              </w:rPr>
            </w:pPr>
          </w:p>
        </w:tc>
        <w:tc>
          <w:tcPr>
            <w:tcW w:w="243" w:type="pct"/>
          </w:tcPr>
          <w:p w:rsidR="00D96177" w:rsidRPr="00841E19" w:rsidRDefault="00D96177" w:rsidP="00D96177">
            <w:pPr>
              <w:jc w:val="both"/>
              <w:rPr>
                <w:rFonts w:eastAsia="Calibri" w:cs="Times New Roman"/>
                <w:sz w:val="20"/>
                <w:szCs w:val="20"/>
              </w:rPr>
            </w:pPr>
          </w:p>
        </w:tc>
        <w:tc>
          <w:tcPr>
            <w:tcW w:w="2330" w:type="pct"/>
          </w:tcPr>
          <w:p w:rsidR="00D96177" w:rsidRPr="00841E19" w:rsidRDefault="00D96177" w:rsidP="00D96177">
            <w:pPr>
              <w:jc w:val="both"/>
              <w:rPr>
                <w:rFonts w:eastAsia="Calibri" w:cs="Times New Roman"/>
                <w:sz w:val="20"/>
                <w:szCs w:val="20"/>
              </w:rPr>
            </w:pPr>
            <w:r w:rsidRPr="00841E19">
              <w:rPr>
                <w:rFonts w:eastAsia="Calibri" w:cs="Times New Roman"/>
                <w:sz w:val="20"/>
                <w:szCs w:val="20"/>
              </w:rPr>
              <w:t>Motion to institute proceedings dismissed</w:t>
            </w:r>
          </w:p>
        </w:tc>
      </w:tr>
      <w:tr w:rsidR="00D96177" w:rsidRPr="00841E19" w:rsidTr="00D96177">
        <w:tc>
          <w:tcPr>
            <w:tcW w:w="2427" w:type="pct"/>
          </w:tcPr>
          <w:p w:rsidR="00D96177" w:rsidRPr="00841E19" w:rsidRDefault="00D96177" w:rsidP="00D96177">
            <w:pPr>
              <w:jc w:val="both"/>
              <w:rPr>
                <w:rFonts w:eastAsia="Calibri" w:cs="Times New Roman"/>
                <w:sz w:val="20"/>
                <w:szCs w:val="20"/>
              </w:rPr>
            </w:pPr>
            <w:r w:rsidRPr="00841E19">
              <w:rPr>
                <w:rFonts w:eastAsia="Calibri" w:cs="Times New Roman"/>
                <w:sz w:val="20"/>
                <w:szCs w:val="20"/>
              </w:rPr>
              <w:t>October 14, 2014</w:t>
            </w:r>
          </w:p>
          <w:p w:rsidR="00D96177" w:rsidRPr="00841E19" w:rsidRDefault="00D96177" w:rsidP="00D96177">
            <w:pPr>
              <w:jc w:val="both"/>
              <w:rPr>
                <w:rFonts w:eastAsia="Calibri" w:cs="Times New Roman"/>
                <w:sz w:val="20"/>
                <w:szCs w:val="20"/>
              </w:rPr>
            </w:pPr>
            <w:r w:rsidRPr="00841E19">
              <w:rPr>
                <w:rFonts w:eastAsia="Calibri" w:cs="Times New Roman"/>
                <w:sz w:val="20"/>
                <w:szCs w:val="20"/>
              </w:rPr>
              <w:t>Quebec Court of Appeal (Québec)</w:t>
            </w:r>
          </w:p>
          <w:p w:rsidR="00D96177" w:rsidRPr="00841E19" w:rsidRDefault="00D96177" w:rsidP="00D96177">
            <w:pPr>
              <w:jc w:val="both"/>
              <w:rPr>
                <w:rFonts w:eastAsia="Calibri" w:cs="Times New Roman"/>
                <w:sz w:val="20"/>
                <w:szCs w:val="20"/>
              </w:rPr>
            </w:pPr>
            <w:r w:rsidRPr="00841E19">
              <w:rPr>
                <w:rFonts w:eastAsia="Calibri" w:cs="Times New Roman"/>
                <w:sz w:val="20"/>
                <w:szCs w:val="20"/>
              </w:rPr>
              <w:t>(Hilton, Bouchard and Savard JJ.A.)</w:t>
            </w:r>
          </w:p>
          <w:p w:rsidR="00D96177" w:rsidRPr="00841E19" w:rsidRDefault="00417673" w:rsidP="00D96177">
            <w:pPr>
              <w:jc w:val="both"/>
              <w:rPr>
                <w:rFonts w:eastAsia="Calibri" w:cs="Times New Roman"/>
                <w:sz w:val="20"/>
                <w:szCs w:val="20"/>
              </w:rPr>
            </w:pPr>
            <w:hyperlink r:id="rId45" w:history="1">
              <w:r w:rsidR="00D96177" w:rsidRPr="00841E19">
                <w:rPr>
                  <w:rFonts w:eastAsia="Calibri" w:cs="Times New Roman"/>
                  <w:color w:val="0000FF"/>
                  <w:sz w:val="20"/>
                  <w:szCs w:val="20"/>
                  <w:u w:val="single"/>
                </w:rPr>
                <w:t>2014 QCCA 1891</w:t>
              </w:r>
            </w:hyperlink>
          </w:p>
          <w:p w:rsidR="00D96177" w:rsidRPr="00841E19" w:rsidRDefault="00D96177" w:rsidP="00D96177">
            <w:pPr>
              <w:jc w:val="both"/>
              <w:rPr>
                <w:rFonts w:eastAsia="Calibri" w:cs="Times New Roman"/>
                <w:sz w:val="20"/>
                <w:szCs w:val="20"/>
              </w:rPr>
            </w:pPr>
          </w:p>
        </w:tc>
        <w:tc>
          <w:tcPr>
            <w:tcW w:w="243" w:type="pct"/>
          </w:tcPr>
          <w:p w:rsidR="00D96177" w:rsidRPr="00841E19" w:rsidRDefault="00D96177" w:rsidP="00D96177">
            <w:pPr>
              <w:jc w:val="both"/>
              <w:rPr>
                <w:rFonts w:eastAsia="Calibri" w:cs="Times New Roman"/>
                <w:sz w:val="20"/>
                <w:szCs w:val="20"/>
              </w:rPr>
            </w:pPr>
          </w:p>
        </w:tc>
        <w:tc>
          <w:tcPr>
            <w:tcW w:w="2330" w:type="pct"/>
          </w:tcPr>
          <w:p w:rsidR="00D96177" w:rsidRPr="00841E19" w:rsidRDefault="00D96177" w:rsidP="00D96177">
            <w:pPr>
              <w:jc w:val="both"/>
              <w:rPr>
                <w:rFonts w:eastAsia="Calibri" w:cs="Times New Roman"/>
                <w:sz w:val="20"/>
                <w:szCs w:val="20"/>
              </w:rPr>
            </w:pPr>
            <w:r w:rsidRPr="00841E19">
              <w:rPr>
                <w:rFonts w:eastAsia="Calibri" w:cs="Times New Roman"/>
                <w:sz w:val="20"/>
                <w:szCs w:val="20"/>
              </w:rPr>
              <w:t>Appeal dismissed</w:t>
            </w:r>
          </w:p>
          <w:p w:rsidR="00D96177" w:rsidRPr="00841E19" w:rsidRDefault="00D96177" w:rsidP="00D96177">
            <w:pPr>
              <w:jc w:val="both"/>
              <w:rPr>
                <w:rFonts w:eastAsia="Calibri" w:cs="Times New Roman"/>
                <w:sz w:val="20"/>
                <w:szCs w:val="20"/>
              </w:rPr>
            </w:pPr>
          </w:p>
        </w:tc>
      </w:tr>
      <w:tr w:rsidR="00D96177" w:rsidRPr="00841E19" w:rsidTr="00D96177">
        <w:tc>
          <w:tcPr>
            <w:tcW w:w="2427" w:type="pct"/>
          </w:tcPr>
          <w:p w:rsidR="00D96177" w:rsidRPr="00841E19" w:rsidRDefault="00D96177" w:rsidP="00D96177">
            <w:pPr>
              <w:jc w:val="both"/>
              <w:rPr>
                <w:rFonts w:eastAsia="Calibri" w:cs="Times New Roman"/>
                <w:sz w:val="20"/>
                <w:szCs w:val="20"/>
              </w:rPr>
            </w:pPr>
            <w:r w:rsidRPr="00841E19">
              <w:rPr>
                <w:rFonts w:eastAsia="Calibri" w:cs="Times New Roman"/>
                <w:sz w:val="20"/>
                <w:szCs w:val="20"/>
              </w:rPr>
              <w:t>December 11, 2014</w:t>
            </w:r>
          </w:p>
          <w:p w:rsidR="00D96177" w:rsidRPr="00841E19" w:rsidRDefault="00D96177" w:rsidP="00D96177">
            <w:pPr>
              <w:jc w:val="both"/>
              <w:rPr>
                <w:rFonts w:eastAsia="Calibri" w:cs="Times New Roman"/>
                <w:sz w:val="20"/>
                <w:szCs w:val="20"/>
              </w:rPr>
            </w:pPr>
            <w:r w:rsidRPr="00841E19">
              <w:rPr>
                <w:rFonts w:eastAsia="Calibri" w:cs="Times New Roman"/>
                <w:sz w:val="20"/>
                <w:szCs w:val="20"/>
              </w:rPr>
              <w:t>Supreme Court of Canada</w:t>
            </w:r>
          </w:p>
        </w:tc>
        <w:tc>
          <w:tcPr>
            <w:tcW w:w="243" w:type="pct"/>
          </w:tcPr>
          <w:p w:rsidR="00D96177" w:rsidRPr="00841E19" w:rsidRDefault="00D96177" w:rsidP="00D96177">
            <w:pPr>
              <w:jc w:val="both"/>
              <w:rPr>
                <w:rFonts w:eastAsia="Calibri" w:cs="Times New Roman"/>
                <w:sz w:val="20"/>
                <w:szCs w:val="20"/>
              </w:rPr>
            </w:pPr>
          </w:p>
        </w:tc>
        <w:tc>
          <w:tcPr>
            <w:tcW w:w="2330" w:type="pct"/>
          </w:tcPr>
          <w:p w:rsidR="00D96177" w:rsidRPr="00841E19" w:rsidRDefault="00D96177" w:rsidP="00D96177">
            <w:pPr>
              <w:jc w:val="both"/>
              <w:rPr>
                <w:rFonts w:eastAsia="Calibri" w:cs="Times New Roman"/>
                <w:sz w:val="20"/>
                <w:szCs w:val="20"/>
              </w:rPr>
            </w:pPr>
            <w:r w:rsidRPr="00841E19">
              <w:rPr>
                <w:rFonts w:eastAsia="Calibri" w:cs="Times New Roman"/>
                <w:sz w:val="20"/>
                <w:szCs w:val="20"/>
              </w:rPr>
              <w:t>Application for leave to appeal filed</w:t>
            </w:r>
          </w:p>
        </w:tc>
      </w:tr>
    </w:tbl>
    <w:p w:rsidR="00D96177" w:rsidRPr="00841E19" w:rsidRDefault="00D96177" w:rsidP="00D96177">
      <w:pPr>
        <w:jc w:val="both"/>
        <w:rPr>
          <w:rFonts w:eastAsia="Calibri" w:cs="Times New Roman"/>
          <w:sz w:val="20"/>
          <w:szCs w:val="20"/>
        </w:rPr>
      </w:pPr>
    </w:p>
    <w:p w:rsidR="00D96177" w:rsidRPr="00C50A5C" w:rsidRDefault="00417673" w:rsidP="00D96177">
      <w:pPr>
        <w:rPr>
          <w:sz w:val="20"/>
          <w:szCs w:val="20"/>
        </w:rPr>
      </w:pPr>
      <w:r>
        <w:rPr>
          <w:sz w:val="20"/>
          <w:szCs w:val="20"/>
          <w:lang w:val="fr-CA"/>
        </w:rPr>
        <w:pict>
          <v:rect id="_x0000_i1054" style="width:2in;height:1pt" o:hrpct="0" o:hralign="center" o:hrstd="t" o:hrnoshade="t" o:hr="t" fillcolor="black [3213]" stroked="f"/>
        </w:pict>
      </w:r>
    </w:p>
    <w:p w:rsidR="00D96177" w:rsidRDefault="00D96177" w:rsidP="00D96177">
      <w:pPr>
        <w:rPr>
          <w:sz w:val="20"/>
          <w:szCs w:val="20"/>
        </w:rPr>
      </w:pPr>
    </w:p>
    <w:p w:rsidR="00D96177" w:rsidRPr="001B157C" w:rsidRDefault="00D96177" w:rsidP="00D96177">
      <w:pPr>
        <w:rPr>
          <w:sz w:val="20"/>
          <w:szCs w:val="20"/>
          <w:u w:val="single"/>
          <w:lang w:val="fr-CA"/>
        </w:rPr>
      </w:pPr>
      <w:r w:rsidRPr="001B157C">
        <w:rPr>
          <w:sz w:val="20"/>
          <w:szCs w:val="20"/>
          <w:u w:val="single"/>
          <w:lang w:val="fr-CA"/>
        </w:rPr>
        <w:t>RÉSUMÉ DE L’AFFAIRE</w:t>
      </w:r>
    </w:p>
    <w:p w:rsidR="00D96177" w:rsidRDefault="00D96177" w:rsidP="00D9617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96177" w:rsidRPr="00584913" w:rsidTr="00D96177">
        <w:tc>
          <w:tcPr>
            <w:tcW w:w="5000" w:type="pct"/>
            <w:gridSpan w:val="3"/>
          </w:tcPr>
          <w:p w:rsidR="00D96177" w:rsidRPr="00841E19" w:rsidRDefault="00D96177" w:rsidP="00D96177">
            <w:pPr>
              <w:jc w:val="both"/>
              <w:rPr>
                <w:rFonts w:eastAsia="Calibri" w:cs="Times New Roman"/>
                <w:sz w:val="20"/>
                <w:szCs w:val="20"/>
                <w:lang w:val="fr-CA"/>
              </w:rPr>
            </w:pPr>
            <w:r w:rsidRPr="00841E19">
              <w:rPr>
                <w:rFonts w:eastAsia="Calibri" w:cs="Times New Roman"/>
                <w:sz w:val="20"/>
                <w:szCs w:val="20"/>
                <w:lang w:val="fr-CA"/>
              </w:rPr>
              <w:t xml:space="preserve">Agriculture – Contrats – Assurance – Droit administratif – Stabilisation des revenus agricoles – Demandeurs adhérant au Programme d’assurance stabilisation des revenus agricoles administré par l’intimée en vertu de la </w:t>
            </w:r>
            <w:r w:rsidRPr="00841E19">
              <w:rPr>
                <w:rFonts w:eastAsia="Calibri" w:cs="Times New Roman"/>
                <w:i/>
                <w:sz w:val="20"/>
                <w:szCs w:val="20"/>
                <w:lang w:val="fr-CA"/>
              </w:rPr>
              <w:t>Loi sur la Financière agricole du Québec</w:t>
            </w:r>
            <w:r w:rsidRPr="00841E19">
              <w:rPr>
                <w:rFonts w:eastAsia="Calibri" w:cs="Times New Roman"/>
                <w:sz w:val="20"/>
                <w:szCs w:val="20"/>
                <w:lang w:val="fr-CA"/>
              </w:rPr>
              <w:t xml:space="preserve">, L.R.Q., c. L-0.1 – Le Programme constitue-t-il un contrat d’assurance ou un contrat administratif </w:t>
            </w:r>
            <w:r w:rsidRPr="00841E19">
              <w:rPr>
                <w:rFonts w:eastAsia="Calibri" w:cs="Times New Roman"/>
                <w:i/>
                <w:sz w:val="20"/>
                <w:szCs w:val="20"/>
                <w:lang w:val="fr-CA"/>
              </w:rPr>
              <w:t>sui generis</w:t>
            </w:r>
            <w:r w:rsidRPr="00841E19">
              <w:rPr>
                <w:rFonts w:eastAsia="Calibri" w:cs="Times New Roman"/>
                <w:sz w:val="20"/>
                <w:szCs w:val="20"/>
                <w:lang w:val="fr-CA"/>
              </w:rPr>
              <w:t>? – Les cours inférieures ont-elles fait erreur en refusant d’octroyer des dommages-intérêts aux demandeurs?</w:t>
            </w:r>
          </w:p>
        </w:tc>
      </w:tr>
      <w:tr w:rsidR="00D96177" w:rsidRPr="00584913" w:rsidTr="00D96177">
        <w:tc>
          <w:tcPr>
            <w:tcW w:w="5000" w:type="pct"/>
            <w:gridSpan w:val="3"/>
          </w:tcPr>
          <w:p w:rsidR="00D96177" w:rsidRPr="00841E19" w:rsidRDefault="00D96177" w:rsidP="00D96177">
            <w:pPr>
              <w:jc w:val="both"/>
              <w:rPr>
                <w:rFonts w:eastAsia="Calibri" w:cs="Times New Roman"/>
                <w:sz w:val="20"/>
                <w:szCs w:val="20"/>
                <w:lang w:val="fr-CA"/>
              </w:rPr>
            </w:pPr>
          </w:p>
        </w:tc>
      </w:tr>
      <w:tr w:rsidR="00D96177" w:rsidRPr="00584913" w:rsidTr="00D96177">
        <w:tc>
          <w:tcPr>
            <w:tcW w:w="5000" w:type="pct"/>
            <w:gridSpan w:val="3"/>
          </w:tcPr>
          <w:p w:rsidR="00D96177" w:rsidRPr="00841E19" w:rsidRDefault="00D96177" w:rsidP="00D96177">
            <w:pPr>
              <w:jc w:val="both"/>
              <w:rPr>
                <w:rFonts w:eastAsia="Calibri" w:cs="Times New Roman"/>
                <w:sz w:val="20"/>
                <w:szCs w:val="20"/>
                <w:lang w:val="fr-CA"/>
              </w:rPr>
            </w:pPr>
            <w:r w:rsidRPr="00841E19">
              <w:rPr>
                <w:rFonts w:eastAsia="Calibri" w:cs="Times New Roman"/>
                <w:sz w:val="20"/>
                <w:szCs w:val="20"/>
                <w:lang w:val="fr-CA"/>
              </w:rPr>
              <w:t xml:space="preserve">Les demandeurs sont des producteurs de porcs et de porcelets qui ont adhéré au Programme d’assurance stabilisation des revenus agricoles (le « Programme ASRA ») administré par l’intimée la Financière agricole du Québec en vertu de la </w:t>
            </w:r>
            <w:r w:rsidRPr="00841E19">
              <w:rPr>
                <w:rFonts w:eastAsia="Calibri" w:cs="Times New Roman"/>
                <w:i/>
                <w:sz w:val="20"/>
                <w:szCs w:val="20"/>
                <w:lang w:val="fr-CA"/>
              </w:rPr>
              <w:t>Loi sur la Financière agricole du Québec</w:t>
            </w:r>
            <w:r w:rsidRPr="00841E19">
              <w:rPr>
                <w:rFonts w:eastAsia="Calibri" w:cs="Times New Roman"/>
                <w:sz w:val="20"/>
                <w:szCs w:val="20"/>
                <w:lang w:val="fr-CA"/>
              </w:rPr>
              <w:t>, L.R.Q., c. L-0.1.  Le Programme ASRA vise essentiellement à garantir un revenu annuel positif aux adhérents du programme, et ce malgré les fluctuations des marchés.  Lorsque le prix du marché est inférieur aux coûts de production, la Financière verse aux adhérents une compensation dont le calcul repose sur les paramètres d’une ferme-type.  Les demandeurs réclament plus de 77 millions de dollars, somme qui représente la compensation à laquelle ils estiment avoir droit pour les années 2006, 2007 et 2008.  La Cour supérieure a rejeté l’action des demandeurs et la Cour d’appel a confirmé cette décision.</w:t>
            </w:r>
          </w:p>
          <w:p w:rsidR="00D96177" w:rsidRPr="00841E19" w:rsidRDefault="00D96177" w:rsidP="00D96177">
            <w:pPr>
              <w:jc w:val="both"/>
              <w:rPr>
                <w:rFonts w:eastAsia="Calibri" w:cs="Times New Roman"/>
                <w:sz w:val="20"/>
                <w:szCs w:val="20"/>
                <w:lang w:val="fr-CA"/>
              </w:rPr>
            </w:pPr>
          </w:p>
        </w:tc>
      </w:tr>
      <w:tr w:rsidR="00D96177" w:rsidRPr="00841E19" w:rsidTr="00D96177">
        <w:tc>
          <w:tcPr>
            <w:tcW w:w="2427" w:type="pct"/>
          </w:tcPr>
          <w:p w:rsidR="00D96177" w:rsidRPr="00841E19" w:rsidRDefault="00D96177" w:rsidP="00D96177">
            <w:pPr>
              <w:jc w:val="both"/>
              <w:rPr>
                <w:rFonts w:eastAsia="Calibri" w:cs="Times New Roman"/>
                <w:sz w:val="20"/>
                <w:szCs w:val="20"/>
                <w:lang w:val="fr-CA"/>
              </w:rPr>
            </w:pPr>
            <w:r w:rsidRPr="00841E19">
              <w:rPr>
                <w:rFonts w:eastAsia="Calibri" w:cs="Times New Roman"/>
                <w:sz w:val="20"/>
                <w:szCs w:val="20"/>
                <w:lang w:val="fr-CA"/>
              </w:rPr>
              <w:t>Le 18 juin 2012</w:t>
            </w:r>
          </w:p>
          <w:p w:rsidR="00D96177" w:rsidRPr="00841E19" w:rsidRDefault="00D96177" w:rsidP="00D96177">
            <w:pPr>
              <w:jc w:val="both"/>
              <w:rPr>
                <w:rFonts w:eastAsia="Calibri" w:cs="Times New Roman"/>
                <w:sz w:val="20"/>
                <w:szCs w:val="20"/>
                <w:lang w:val="fr-CA"/>
              </w:rPr>
            </w:pPr>
            <w:r w:rsidRPr="00841E19">
              <w:rPr>
                <w:rFonts w:eastAsia="Calibri" w:cs="Times New Roman"/>
                <w:sz w:val="20"/>
                <w:szCs w:val="20"/>
                <w:lang w:val="fr-CA"/>
              </w:rPr>
              <w:t>Cour supérieure du Québec</w:t>
            </w:r>
          </w:p>
          <w:p w:rsidR="00D96177" w:rsidRPr="00841E19" w:rsidRDefault="00D96177" w:rsidP="00D96177">
            <w:pPr>
              <w:jc w:val="both"/>
              <w:rPr>
                <w:rFonts w:eastAsia="Calibri" w:cs="Times New Roman"/>
                <w:sz w:val="20"/>
                <w:szCs w:val="20"/>
                <w:lang w:val="fr-CA"/>
              </w:rPr>
            </w:pPr>
            <w:r w:rsidRPr="00841E19">
              <w:rPr>
                <w:rFonts w:eastAsia="Calibri" w:cs="Times New Roman"/>
                <w:sz w:val="20"/>
                <w:szCs w:val="20"/>
                <w:lang w:val="fr-CA"/>
              </w:rPr>
              <w:t>(Le juge Martin)</w:t>
            </w:r>
          </w:p>
          <w:p w:rsidR="00D96177" w:rsidRPr="00841E19" w:rsidRDefault="00D96177" w:rsidP="00D96177">
            <w:pPr>
              <w:jc w:val="both"/>
              <w:rPr>
                <w:rFonts w:eastAsia="Calibri" w:cs="Times New Roman"/>
                <w:sz w:val="20"/>
                <w:szCs w:val="20"/>
                <w:lang w:val="en-US"/>
              </w:rPr>
            </w:pPr>
          </w:p>
        </w:tc>
        <w:tc>
          <w:tcPr>
            <w:tcW w:w="243" w:type="pct"/>
          </w:tcPr>
          <w:p w:rsidR="00D96177" w:rsidRPr="00841E19" w:rsidRDefault="00D96177" w:rsidP="00D96177">
            <w:pPr>
              <w:jc w:val="both"/>
              <w:rPr>
                <w:rFonts w:eastAsia="Calibri" w:cs="Times New Roman"/>
                <w:sz w:val="20"/>
                <w:szCs w:val="20"/>
                <w:lang w:val="en-US"/>
              </w:rPr>
            </w:pPr>
          </w:p>
        </w:tc>
        <w:tc>
          <w:tcPr>
            <w:tcW w:w="2330" w:type="pct"/>
          </w:tcPr>
          <w:p w:rsidR="00D96177" w:rsidRPr="00841E19" w:rsidRDefault="00D96177" w:rsidP="00D96177">
            <w:pPr>
              <w:jc w:val="both"/>
              <w:rPr>
                <w:rFonts w:eastAsia="Calibri" w:cs="Times New Roman"/>
                <w:sz w:val="20"/>
                <w:szCs w:val="20"/>
                <w:lang w:val="fr-CA"/>
              </w:rPr>
            </w:pPr>
            <w:r w:rsidRPr="00841E19">
              <w:rPr>
                <w:rFonts w:eastAsia="Calibri" w:cs="Times New Roman"/>
                <w:sz w:val="20"/>
                <w:szCs w:val="20"/>
                <w:lang w:val="fr-CA"/>
              </w:rPr>
              <w:t>Requête introductive d’instance rejetée</w:t>
            </w:r>
          </w:p>
        </w:tc>
      </w:tr>
      <w:tr w:rsidR="00D96177" w:rsidRPr="00841E19" w:rsidTr="00D96177">
        <w:tc>
          <w:tcPr>
            <w:tcW w:w="2427" w:type="pct"/>
          </w:tcPr>
          <w:p w:rsidR="00D96177" w:rsidRPr="00841E19" w:rsidRDefault="00D96177" w:rsidP="00D96177">
            <w:pPr>
              <w:jc w:val="both"/>
              <w:rPr>
                <w:rFonts w:eastAsia="Calibri" w:cs="Times New Roman"/>
                <w:sz w:val="20"/>
                <w:szCs w:val="20"/>
                <w:lang w:val="fr-CA"/>
              </w:rPr>
            </w:pPr>
            <w:r w:rsidRPr="00841E19">
              <w:rPr>
                <w:rFonts w:eastAsia="Calibri" w:cs="Times New Roman"/>
                <w:sz w:val="20"/>
                <w:szCs w:val="20"/>
                <w:lang w:val="fr-CA"/>
              </w:rPr>
              <w:lastRenderedPageBreak/>
              <w:t>Le 14 octobre 2014</w:t>
            </w:r>
          </w:p>
          <w:p w:rsidR="00D96177" w:rsidRPr="00841E19" w:rsidRDefault="00D96177" w:rsidP="00D96177">
            <w:pPr>
              <w:jc w:val="both"/>
              <w:rPr>
                <w:rFonts w:eastAsia="Calibri" w:cs="Times New Roman"/>
                <w:sz w:val="20"/>
                <w:szCs w:val="20"/>
                <w:lang w:val="fr-CA"/>
              </w:rPr>
            </w:pPr>
            <w:r w:rsidRPr="00841E19">
              <w:rPr>
                <w:rFonts w:eastAsia="Calibri" w:cs="Times New Roman"/>
                <w:sz w:val="20"/>
                <w:szCs w:val="20"/>
                <w:lang w:val="fr-CA"/>
              </w:rPr>
              <w:t>Cour d’appel du Québec (Québec)</w:t>
            </w:r>
          </w:p>
          <w:p w:rsidR="00D96177" w:rsidRPr="00841E19" w:rsidRDefault="00D96177" w:rsidP="00D96177">
            <w:pPr>
              <w:jc w:val="both"/>
              <w:rPr>
                <w:rFonts w:eastAsia="Calibri" w:cs="Times New Roman"/>
                <w:sz w:val="20"/>
                <w:szCs w:val="20"/>
                <w:lang w:val="fr-CA"/>
              </w:rPr>
            </w:pPr>
            <w:r w:rsidRPr="00841E19">
              <w:rPr>
                <w:rFonts w:eastAsia="Calibri" w:cs="Times New Roman"/>
                <w:sz w:val="20"/>
                <w:szCs w:val="20"/>
                <w:lang w:val="fr-CA"/>
              </w:rPr>
              <w:t>(Les juges Hilton, Bouchard et Savard)</w:t>
            </w:r>
          </w:p>
          <w:p w:rsidR="00D96177" w:rsidRPr="00841E19" w:rsidRDefault="00417673" w:rsidP="00D96177">
            <w:pPr>
              <w:jc w:val="both"/>
              <w:rPr>
                <w:rFonts w:eastAsia="Calibri" w:cs="Times New Roman"/>
                <w:sz w:val="20"/>
                <w:szCs w:val="20"/>
                <w:lang w:val="fr-CA"/>
              </w:rPr>
            </w:pPr>
            <w:hyperlink r:id="rId46" w:history="1">
              <w:r w:rsidR="00D96177" w:rsidRPr="00841E19">
                <w:rPr>
                  <w:rFonts w:eastAsia="Calibri" w:cs="Times New Roman"/>
                  <w:color w:val="0000FF"/>
                  <w:sz w:val="20"/>
                  <w:szCs w:val="20"/>
                  <w:u w:val="single"/>
                  <w:lang w:val="fr-CA"/>
                </w:rPr>
                <w:t>2014 QCCA 1891</w:t>
              </w:r>
            </w:hyperlink>
          </w:p>
          <w:p w:rsidR="00D96177" w:rsidRPr="00841E19" w:rsidRDefault="00D96177" w:rsidP="00D96177">
            <w:pPr>
              <w:jc w:val="both"/>
              <w:rPr>
                <w:rFonts w:eastAsia="Calibri" w:cs="Times New Roman"/>
                <w:sz w:val="20"/>
                <w:szCs w:val="20"/>
                <w:lang w:val="en-US"/>
              </w:rPr>
            </w:pPr>
          </w:p>
        </w:tc>
        <w:tc>
          <w:tcPr>
            <w:tcW w:w="243" w:type="pct"/>
          </w:tcPr>
          <w:p w:rsidR="00D96177" w:rsidRPr="00841E19" w:rsidRDefault="00D96177" w:rsidP="00D96177">
            <w:pPr>
              <w:jc w:val="both"/>
              <w:rPr>
                <w:rFonts w:eastAsia="Calibri" w:cs="Times New Roman"/>
                <w:sz w:val="20"/>
                <w:szCs w:val="20"/>
                <w:lang w:val="en-US"/>
              </w:rPr>
            </w:pPr>
          </w:p>
        </w:tc>
        <w:tc>
          <w:tcPr>
            <w:tcW w:w="2330" w:type="pct"/>
          </w:tcPr>
          <w:p w:rsidR="00D96177" w:rsidRPr="00841E19" w:rsidRDefault="00D96177" w:rsidP="00D96177">
            <w:pPr>
              <w:jc w:val="both"/>
              <w:rPr>
                <w:rFonts w:eastAsia="Calibri" w:cs="Times New Roman"/>
                <w:sz w:val="20"/>
                <w:szCs w:val="20"/>
                <w:lang w:val="fr-CA"/>
              </w:rPr>
            </w:pPr>
            <w:r w:rsidRPr="00841E19">
              <w:rPr>
                <w:rFonts w:eastAsia="Calibri" w:cs="Times New Roman"/>
                <w:sz w:val="20"/>
                <w:szCs w:val="20"/>
                <w:lang w:val="fr-CA"/>
              </w:rPr>
              <w:t>Appel rejeté</w:t>
            </w:r>
          </w:p>
          <w:p w:rsidR="00D96177" w:rsidRPr="00841E19" w:rsidRDefault="00D96177" w:rsidP="00D96177">
            <w:pPr>
              <w:jc w:val="both"/>
              <w:rPr>
                <w:rFonts w:eastAsia="Calibri" w:cs="Times New Roman"/>
                <w:sz w:val="20"/>
                <w:szCs w:val="20"/>
                <w:lang w:val="fr-CA"/>
              </w:rPr>
            </w:pPr>
          </w:p>
        </w:tc>
      </w:tr>
      <w:tr w:rsidR="00D96177" w:rsidRPr="00841E19" w:rsidTr="00D96177">
        <w:tc>
          <w:tcPr>
            <w:tcW w:w="2427" w:type="pct"/>
          </w:tcPr>
          <w:p w:rsidR="00D96177" w:rsidRPr="00841E19" w:rsidRDefault="00D96177" w:rsidP="00D96177">
            <w:pPr>
              <w:jc w:val="both"/>
              <w:rPr>
                <w:rFonts w:eastAsia="Calibri" w:cs="Times New Roman"/>
                <w:sz w:val="20"/>
                <w:szCs w:val="20"/>
                <w:lang w:val="fr-CA"/>
              </w:rPr>
            </w:pPr>
            <w:r w:rsidRPr="00841E19">
              <w:rPr>
                <w:rFonts w:eastAsia="Calibri" w:cs="Times New Roman"/>
                <w:sz w:val="20"/>
                <w:szCs w:val="20"/>
                <w:lang w:val="fr-CA"/>
              </w:rPr>
              <w:t>Le 11 décembre 2014</w:t>
            </w:r>
          </w:p>
          <w:p w:rsidR="00D96177" w:rsidRPr="00841E19" w:rsidRDefault="00D96177" w:rsidP="00D96177">
            <w:pPr>
              <w:jc w:val="both"/>
              <w:rPr>
                <w:rFonts w:eastAsia="Calibri" w:cs="Times New Roman"/>
                <w:sz w:val="20"/>
                <w:szCs w:val="20"/>
                <w:lang w:val="fr-CA"/>
              </w:rPr>
            </w:pPr>
            <w:r w:rsidRPr="00841E19">
              <w:rPr>
                <w:rFonts w:eastAsia="Calibri" w:cs="Times New Roman"/>
                <w:sz w:val="20"/>
                <w:szCs w:val="20"/>
                <w:lang w:val="fr-CA"/>
              </w:rPr>
              <w:t>Cour suprême du Canada</w:t>
            </w:r>
          </w:p>
        </w:tc>
        <w:tc>
          <w:tcPr>
            <w:tcW w:w="243" w:type="pct"/>
          </w:tcPr>
          <w:p w:rsidR="00D96177" w:rsidRPr="00841E19" w:rsidRDefault="00D96177" w:rsidP="00D96177">
            <w:pPr>
              <w:jc w:val="both"/>
              <w:rPr>
                <w:rFonts w:eastAsia="Calibri" w:cs="Times New Roman"/>
                <w:sz w:val="20"/>
                <w:szCs w:val="20"/>
                <w:lang w:val="fr-CA"/>
              </w:rPr>
            </w:pPr>
          </w:p>
        </w:tc>
        <w:tc>
          <w:tcPr>
            <w:tcW w:w="2330" w:type="pct"/>
          </w:tcPr>
          <w:p w:rsidR="00D96177" w:rsidRPr="00841E19" w:rsidRDefault="00D96177" w:rsidP="00D96177">
            <w:pPr>
              <w:jc w:val="both"/>
              <w:rPr>
                <w:rFonts w:eastAsia="Calibri" w:cs="Times New Roman"/>
                <w:sz w:val="20"/>
                <w:szCs w:val="20"/>
                <w:lang w:val="fr-CA"/>
              </w:rPr>
            </w:pPr>
            <w:r w:rsidRPr="00841E19">
              <w:rPr>
                <w:rFonts w:eastAsia="Calibri" w:cs="Times New Roman"/>
                <w:sz w:val="20"/>
                <w:szCs w:val="20"/>
                <w:lang w:val="fr-CA"/>
              </w:rPr>
              <w:t>Demande d'autorisation d'appel déposée</w:t>
            </w:r>
          </w:p>
        </w:tc>
      </w:tr>
    </w:tbl>
    <w:p w:rsidR="00D96177" w:rsidRPr="0016547E" w:rsidRDefault="00D96177" w:rsidP="00D96177">
      <w:pPr>
        <w:rPr>
          <w:sz w:val="20"/>
          <w:szCs w:val="20"/>
          <w:lang w:val="fr-CA"/>
        </w:rPr>
      </w:pPr>
    </w:p>
    <w:p w:rsidR="00D96177" w:rsidRPr="00C50A5C" w:rsidRDefault="00417673" w:rsidP="00D96177">
      <w:pPr>
        <w:rPr>
          <w:sz w:val="20"/>
          <w:szCs w:val="20"/>
        </w:rPr>
      </w:pPr>
      <w:r>
        <w:rPr>
          <w:sz w:val="20"/>
          <w:szCs w:val="20"/>
          <w:lang w:val="fr-CA"/>
        </w:rPr>
        <w:pict>
          <v:rect id="_x0000_i1055" style="width:2in;height:1pt" o:hrpct="0" o:hralign="center" o:hrstd="t" o:hrnoshade="t" o:hr="t" fillcolor="black [3213]" stroked="f"/>
        </w:pict>
      </w:r>
    </w:p>
    <w:p w:rsidR="00E318FE" w:rsidRPr="00E318FE" w:rsidRDefault="00E318FE" w:rsidP="00841E19">
      <w:pPr>
        <w:jc w:val="both"/>
        <w:rPr>
          <w:rFonts w:eastAsia="Calibri" w:cs="Times New Roman"/>
          <w:sz w:val="20"/>
          <w:szCs w:val="20"/>
        </w:rPr>
      </w:pPr>
    </w:p>
    <w:tbl>
      <w:tblPr>
        <w:tblStyle w:val="TableGrid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96177" w:rsidRPr="00584913" w:rsidTr="00D96177">
        <w:trPr>
          <w:cantSplit/>
        </w:trPr>
        <w:tc>
          <w:tcPr>
            <w:tcW w:w="1458" w:type="dxa"/>
          </w:tcPr>
          <w:p w:rsidR="00D96177" w:rsidRPr="00D96177" w:rsidRDefault="00D96177" w:rsidP="00D96177">
            <w:pPr>
              <w:jc w:val="both"/>
              <w:rPr>
                <w:sz w:val="20"/>
              </w:rPr>
            </w:pPr>
            <w:r w:rsidRPr="00D96177">
              <w:rPr>
                <w:b/>
                <w:sz w:val="20"/>
                <w:lang w:val="fr-CA"/>
              </w:rPr>
              <w:t>36225</w:t>
            </w:r>
          </w:p>
          <w:p w:rsidR="00D96177" w:rsidRPr="00D96177" w:rsidRDefault="00D96177" w:rsidP="00D96177">
            <w:pPr>
              <w:jc w:val="both"/>
              <w:rPr>
                <w:b/>
                <w:sz w:val="20"/>
                <w:lang w:val="fr-CA"/>
              </w:rPr>
            </w:pPr>
          </w:p>
        </w:tc>
        <w:tc>
          <w:tcPr>
            <w:tcW w:w="8118" w:type="dxa"/>
          </w:tcPr>
          <w:p w:rsidR="00D96177" w:rsidRPr="00D96177" w:rsidRDefault="00D96177" w:rsidP="00D96177">
            <w:pPr>
              <w:jc w:val="both"/>
              <w:rPr>
                <w:sz w:val="20"/>
                <w:lang w:val="fr-CA"/>
              </w:rPr>
            </w:pPr>
            <w:r w:rsidRPr="00D96177">
              <w:rPr>
                <w:b/>
                <w:sz w:val="20"/>
                <w:u w:val="single"/>
                <w:lang w:val="fr-CA"/>
              </w:rPr>
              <w:t xml:space="preserve">Robert Simoneau c. </w:t>
            </w:r>
            <w:r w:rsidR="00367911" w:rsidRPr="00D96177">
              <w:rPr>
                <w:b/>
                <w:sz w:val="20"/>
                <w:u w:val="single"/>
                <w:lang w:val="fr-CA"/>
              </w:rPr>
              <w:t>Ernst &amp; Young Inc</w:t>
            </w:r>
            <w:r w:rsidRPr="00D96177">
              <w:rPr>
                <w:b/>
                <w:sz w:val="20"/>
                <w:u w:val="single"/>
                <w:lang w:val="fr-CA"/>
              </w:rPr>
              <w:t>., syndic de l’actif de Vincent Lacroix</w:t>
            </w:r>
            <w:r w:rsidRPr="00D96177">
              <w:rPr>
                <w:sz w:val="20"/>
                <w:lang w:val="fr-CA"/>
              </w:rPr>
              <w:t xml:space="preserve"> (Qc) (Civile) (Autorisation)</w:t>
            </w:r>
          </w:p>
          <w:p w:rsidR="00D96177" w:rsidRPr="00D96177" w:rsidRDefault="00D96177" w:rsidP="00D96177">
            <w:pPr>
              <w:jc w:val="both"/>
              <w:rPr>
                <w:sz w:val="20"/>
                <w:lang w:val="fr-CA"/>
              </w:rPr>
            </w:pPr>
          </w:p>
        </w:tc>
      </w:tr>
      <w:tr w:rsidR="00D96177" w:rsidRPr="00584913" w:rsidTr="00D96177">
        <w:trPr>
          <w:cantSplit/>
        </w:trPr>
        <w:tc>
          <w:tcPr>
            <w:tcW w:w="1458" w:type="dxa"/>
          </w:tcPr>
          <w:p w:rsidR="00D96177" w:rsidRPr="00D96177" w:rsidRDefault="00D96177" w:rsidP="00D96177">
            <w:pPr>
              <w:jc w:val="both"/>
              <w:rPr>
                <w:sz w:val="20"/>
              </w:rPr>
            </w:pPr>
            <w:r w:rsidRPr="00D96177">
              <w:rPr>
                <w:sz w:val="20"/>
              </w:rPr>
              <w:t>Coram :</w:t>
            </w:r>
          </w:p>
        </w:tc>
        <w:tc>
          <w:tcPr>
            <w:tcW w:w="8118" w:type="dxa"/>
          </w:tcPr>
          <w:p w:rsidR="00D96177" w:rsidRPr="00D96177" w:rsidRDefault="00D96177" w:rsidP="00D96177">
            <w:pPr>
              <w:jc w:val="both"/>
              <w:rPr>
                <w:sz w:val="20"/>
                <w:lang w:val="fr-CA"/>
              </w:rPr>
            </w:pPr>
            <w:r w:rsidRPr="00D96177">
              <w:rPr>
                <w:sz w:val="20"/>
                <w:u w:val="single"/>
                <w:lang w:val="fr-CA"/>
              </w:rPr>
              <w:t>La juge en chef McLachlin et les juges Wagner et Gascon</w:t>
            </w:r>
          </w:p>
          <w:p w:rsidR="00D96177" w:rsidRPr="00D96177" w:rsidRDefault="00D96177" w:rsidP="00D96177">
            <w:pPr>
              <w:jc w:val="both"/>
              <w:rPr>
                <w:sz w:val="20"/>
                <w:u w:val="single"/>
                <w:lang w:val="fr-CA"/>
              </w:rPr>
            </w:pPr>
          </w:p>
        </w:tc>
      </w:tr>
      <w:tr w:rsidR="00D96177" w:rsidRPr="00D96177" w:rsidTr="00D96177">
        <w:trPr>
          <w:cantSplit/>
        </w:trPr>
        <w:tc>
          <w:tcPr>
            <w:tcW w:w="9576" w:type="dxa"/>
            <w:gridSpan w:val="2"/>
          </w:tcPr>
          <w:p w:rsidR="00D96177" w:rsidRPr="00D96177" w:rsidRDefault="00D96177" w:rsidP="00D96177">
            <w:pPr>
              <w:ind w:firstLine="720"/>
              <w:jc w:val="both"/>
              <w:rPr>
                <w:sz w:val="20"/>
                <w:lang w:val="fr-CA"/>
              </w:rPr>
            </w:pPr>
            <w:r w:rsidRPr="00D96177">
              <w:rPr>
                <w:sz w:val="20"/>
                <w:lang w:val="fr-CA"/>
              </w:rPr>
              <w:t>La demande d’autorisation d’appel de l’arrêt de la Cour d’appel du Québec (Montréal), numéro 500-09-022976-120, 2014 QCCA 1994, daté du 31 octobre 2014, est rejetée avec dépens.</w:t>
            </w:r>
          </w:p>
          <w:p w:rsidR="00D96177" w:rsidRPr="00D96177" w:rsidRDefault="00D96177" w:rsidP="00D96177">
            <w:pPr>
              <w:jc w:val="both"/>
              <w:rPr>
                <w:sz w:val="20"/>
                <w:lang w:val="fr-CA"/>
              </w:rPr>
            </w:pPr>
          </w:p>
          <w:p w:rsidR="00D96177" w:rsidRPr="00D96177" w:rsidRDefault="00D96177" w:rsidP="00D96177">
            <w:pPr>
              <w:ind w:firstLine="720"/>
              <w:jc w:val="both"/>
              <w:rPr>
                <w:sz w:val="20"/>
              </w:rPr>
            </w:pPr>
            <w:r w:rsidRPr="00D96177">
              <w:rPr>
                <w:sz w:val="20"/>
              </w:rPr>
              <w:t>The application for leave to appeal from the judgment of the Court of Appeal of Quebec (Montréal), Number 500-09-022976-120, 2014 QCCA 1994, dated October 31, 2014, is dismissed with costs.</w:t>
            </w:r>
          </w:p>
        </w:tc>
      </w:tr>
    </w:tbl>
    <w:p w:rsidR="00E318FE" w:rsidRPr="00D96177" w:rsidRDefault="00E318FE" w:rsidP="00841E19">
      <w:pPr>
        <w:jc w:val="both"/>
        <w:rPr>
          <w:rFonts w:eastAsia="Calibri" w:cs="Times New Roman"/>
          <w:sz w:val="20"/>
          <w:szCs w:val="20"/>
        </w:rPr>
      </w:pPr>
    </w:p>
    <w:p w:rsidR="00D96177" w:rsidRPr="001B157C" w:rsidRDefault="00D96177" w:rsidP="00D96177">
      <w:pPr>
        <w:rPr>
          <w:sz w:val="20"/>
          <w:szCs w:val="20"/>
          <w:u w:val="single"/>
        </w:rPr>
      </w:pPr>
      <w:r w:rsidRPr="001B157C">
        <w:rPr>
          <w:sz w:val="20"/>
          <w:szCs w:val="20"/>
          <w:u w:val="single"/>
        </w:rPr>
        <w:t>CASE SUMMARY</w:t>
      </w:r>
    </w:p>
    <w:p w:rsidR="00D96177" w:rsidRDefault="00D96177" w:rsidP="00D9617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96177" w:rsidRPr="00841E19" w:rsidTr="00D96177">
        <w:tc>
          <w:tcPr>
            <w:tcW w:w="5000" w:type="pct"/>
            <w:gridSpan w:val="3"/>
          </w:tcPr>
          <w:p w:rsidR="00D96177" w:rsidRPr="00841E19" w:rsidRDefault="00D96177" w:rsidP="00D96177">
            <w:pPr>
              <w:jc w:val="both"/>
              <w:rPr>
                <w:rFonts w:eastAsia="Calibri" w:cs="Times New Roman"/>
                <w:sz w:val="20"/>
                <w:szCs w:val="20"/>
              </w:rPr>
            </w:pPr>
            <w:r w:rsidRPr="00841E19">
              <w:rPr>
                <w:rFonts w:eastAsia="Calibri" w:cs="Times New Roman"/>
                <w:i/>
                <w:iCs/>
                <w:color w:val="000000"/>
                <w:sz w:val="20"/>
                <w:szCs w:val="20"/>
              </w:rPr>
              <w:t xml:space="preserve">Contracts and obligations — Bankruptcy and insolvency — Completion of duties — Evidence and procedure — Paulian action — Injurious, fraudulent act — </w:t>
            </w:r>
            <w:r w:rsidRPr="00841E19">
              <w:rPr>
                <w:rFonts w:eastAsia="Calibri" w:cs="Times New Roman"/>
                <w:sz w:val="20"/>
                <w:szCs w:val="20"/>
              </w:rPr>
              <w:t xml:space="preserve">Principles applicable to Paulian actions </w:t>
            </w:r>
            <w:r w:rsidRPr="00841E19">
              <w:rPr>
                <w:rFonts w:eastAsia="Calibri" w:cs="Times New Roman"/>
                <w:i/>
                <w:iCs/>
                <w:color w:val="000000"/>
                <w:sz w:val="20"/>
                <w:szCs w:val="20"/>
              </w:rPr>
              <w:t xml:space="preserve">— </w:t>
            </w:r>
            <w:r w:rsidRPr="00841E19">
              <w:rPr>
                <w:rFonts w:eastAsia="Calibri" w:cs="Times New Roman"/>
                <w:sz w:val="20"/>
                <w:szCs w:val="20"/>
              </w:rPr>
              <w:t xml:space="preserve">Appellate court’s power to intervene and deference with respect to trial judge’s findings of fact </w:t>
            </w:r>
            <w:r w:rsidRPr="00841E19">
              <w:rPr>
                <w:rFonts w:eastAsia="Calibri" w:cs="Times New Roman"/>
                <w:i/>
                <w:iCs/>
                <w:color w:val="000000"/>
                <w:sz w:val="20"/>
                <w:szCs w:val="20"/>
              </w:rPr>
              <w:t xml:space="preserve">— </w:t>
            </w:r>
            <w:r w:rsidRPr="00841E19">
              <w:rPr>
                <w:rFonts w:eastAsia="Calibri" w:cs="Times New Roman"/>
                <w:sz w:val="20"/>
                <w:szCs w:val="20"/>
              </w:rPr>
              <w:t>Public interest issues and stability of contractual relations.</w:t>
            </w:r>
          </w:p>
        </w:tc>
      </w:tr>
      <w:tr w:rsidR="00D96177" w:rsidRPr="00841E19" w:rsidTr="00D96177">
        <w:tc>
          <w:tcPr>
            <w:tcW w:w="5000" w:type="pct"/>
            <w:gridSpan w:val="3"/>
          </w:tcPr>
          <w:p w:rsidR="00D96177" w:rsidRPr="00841E19" w:rsidRDefault="00D96177" w:rsidP="00D96177">
            <w:pPr>
              <w:jc w:val="both"/>
              <w:rPr>
                <w:rFonts w:eastAsia="Calibri" w:cs="Times New Roman"/>
                <w:sz w:val="20"/>
                <w:szCs w:val="20"/>
              </w:rPr>
            </w:pPr>
          </w:p>
        </w:tc>
      </w:tr>
      <w:tr w:rsidR="00D96177" w:rsidRPr="00841E19" w:rsidTr="00D96177">
        <w:tc>
          <w:tcPr>
            <w:tcW w:w="5000" w:type="pct"/>
            <w:gridSpan w:val="3"/>
          </w:tcPr>
          <w:p w:rsidR="00D96177" w:rsidRPr="00841E19" w:rsidRDefault="00D96177" w:rsidP="00D96177">
            <w:pPr>
              <w:jc w:val="both"/>
              <w:rPr>
                <w:rFonts w:eastAsia="Calibri" w:cs="Times New Roman"/>
                <w:sz w:val="20"/>
                <w:szCs w:val="20"/>
              </w:rPr>
            </w:pPr>
            <w:r w:rsidRPr="00841E19">
              <w:rPr>
                <w:rFonts w:eastAsia="Calibri" w:cs="Times New Roman"/>
                <w:sz w:val="20"/>
                <w:szCs w:val="20"/>
              </w:rPr>
              <w:t>The respondent in its capacity as Vincent Lacroix’s trustee in bankruptcy sought $600,000 from the applicant, Mr. Simoneau, alleging that a transaction as part of which Mr. Simoneau sold Mr. Lacroix 100,000 shares in Norbourg Asset Management Inc. (“NAM”) for the amount of $600,000 could not be set up against it.  The trustee alleged that the transaction was carried out during the five years preceding Lacroix’s bankruptcy when Mr. Lacroix was insolvent. Consequently, Mr. Simoneau must be liable to reimburse the trustee for this amount plus  interest thereon since February 7, 2007.  The trustee alleges, moreover, that the transaction was carried out without valuable consideration and is therefore presumed to have been carried out in fraud of the rights of Mr. Lacroix’s creditors.  Mr. Simoneau submitted that this had not been an inexpensive transaction and that, moreover, he had had every reason to believe at the time that the price of the shares he owned was reasonable and set at the amount of $600,000, which Mr. Lacroix and he had agree on following a negotiation conducted in good faith by Mr. Simoneau.</w:t>
            </w:r>
          </w:p>
          <w:p w:rsidR="00D96177" w:rsidRPr="00841E19" w:rsidRDefault="00D96177" w:rsidP="00D96177">
            <w:pPr>
              <w:jc w:val="both"/>
              <w:rPr>
                <w:rFonts w:eastAsia="Calibri" w:cs="Times New Roman"/>
                <w:sz w:val="20"/>
                <w:szCs w:val="20"/>
              </w:rPr>
            </w:pPr>
          </w:p>
        </w:tc>
      </w:tr>
      <w:tr w:rsidR="00D96177" w:rsidRPr="00841E19" w:rsidTr="00D96177">
        <w:tc>
          <w:tcPr>
            <w:tcW w:w="2427" w:type="pct"/>
          </w:tcPr>
          <w:p w:rsidR="00D96177" w:rsidRPr="00841E19" w:rsidRDefault="00D96177" w:rsidP="00D96177">
            <w:pPr>
              <w:jc w:val="both"/>
              <w:rPr>
                <w:rFonts w:eastAsia="Calibri" w:cs="Times New Roman"/>
                <w:sz w:val="20"/>
                <w:szCs w:val="20"/>
              </w:rPr>
            </w:pPr>
            <w:r w:rsidRPr="00841E19">
              <w:rPr>
                <w:rFonts w:eastAsia="Calibri" w:cs="Times New Roman"/>
                <w:sz w:val="20"/>
                <w:szCs w:val="20"/>
              </w:rPr>
              <w:t>August 30, 2012</w:t>
            </w:r>
          </w:p>
          <w:p w:rsidR="00D96177" w:rsidRPr="00841E19" w:rsidRDefault="00D96177" w:rsidP="00D96177">
            <w:pPr>
              <w:jc w:val="both"/>
              <w:rPr>
                <w:rFonts w:eastAsia="Calibri" w:cs="Times New Roman"/>
                <w:sz w:val="20"/>
                <w:szCs w:val="20"/>
              </w:rPr>
            </w:pPr>
            <w:r w:rsidRPr="00841E19">
              <w:rPr>
                <w:rFonts w:eastAsia="Calibri" w:cs="Times New Roman"/>
                <w:sz w:val="20"/>
                <w:szCs w:val="20"/>
              </w:rPr>
              <w:t>Quebec Superior Court</w:t>
            </w:r>
          </w:p>
          <w:p w:rsidR="00D96177" w:rsidRPr="00841E19" w:rsidRDefault="00D96177" w:rsidP="00D96177">
            <w:pPr>
              <w:jc w:val="both"/>
              <w:rPr>
                <w:rFonts w:eastAsia="Calibri" w:cs="Times New Roman"/>
                <w:sz w:val="20"/>
                <w:szCs w:val="20"/>
              </w:rPr>
            </w:pPr>
            <w:r w:rsidRPr="00841E19">
              <w:rPr>
                <w:rFonts w:eastAsia="Calibri" w:cs="Times New Roman"/>
                <w:sz w:val="20"/>
                <w:szCs w:val="20"/>
              </w:rPr>
              <w:t>(Mongeon J.)</w:t>
            </w:r>
          </w:p>
          <w:p w:rsidR="00D96177" w:rsidRPr="00841E19" w:rsidRDefault="00417673" w:rsidP="00D96177">
            <w:pPr>
              <w:jc w:val="both"/>
              <w:rPr>
                <w:rFonts w:eastAsia="Calibri" w:cs="Times New Roman"/>
                <w:sz w:val="20"/>
                <w:szCs w:val="20"/>
              </w:rPr>
            </w:pPr>
            <w:hyperlink r:id="rId47" w:anchor="search/all=Robert%20Simoneau%20c.%20Ernst%20%26%20Young" w:history="1">
              <w:r w:rsidR="00D96177" w:rsidRPr="00841E19">
                <w:rPr>
                  <w:rFonts w:eastAsia="Calibri" w:cs="Times New Roman"/>
                  <w:color w:val="0000FF"/>
                  <w:sz w:val="20"/>
                  <w:szCs w:val="20"/>
                  <w:u w:val="single"/>
                </w:rPr>
                <w:t>2012 QCCS 4145</w:t>
              </w:r>
            </w:hyperlink>
          </w:p>
          <w:p w:rsidR="00D96177" w:rsidRPr="00841E19" w:rsidRDefault="00D96177" w:rsidP="00D96177">
            <w:pPr>
              <w:jc w:val="both"/>
              <w:rPr>
                <w:rFonts w:eastAsia="Calibri" w:cs="Times New Roman"/>
                <w:sz w:val="20"/>
                <w:szCs w:val="20"/>
              </w:rPr>
            </w:pPr>
          </w:p>
        </w:tc>
        <w:tc>
          <w:tcPr>
            <w:tcW w:w="243" w:type="pct"/>
          </w:tcPr>
          <w:p w:rsidR="00D96177" w:rsidRPr="00841E19" w:rsidRDefault="00D96177" w:rsidP="00D96177">
            <w:pPr>
              <w:jc w:val="both"/>
              <w:rPr>
                <w:rFonts w:eastAsia="Calibri" w:cs="Times New Roman"/>
                <w:sz w:val="20"/>
                <w:szCs w:val="20"/>
              </w:rPr>
            </w:pPr>
          </w:p>
        </w:tc>
        <w:tc>
          <w:tcPr>
            <w:tcW w:w="2330" w:type="pct"/>
          </w:tcPr>
          <w:p w:rsidR="00D96177" w:rsidRPr="00841E19" w:rsidRDefault="00D96177" w:rsidP="00D96177">
            <w:pPr>
              <w:jc w:val="both"/>
              <w:rPr>
                <w:rFonts w:eastAsia="Calibri" w:cs="Times New Roman"/>
                <w:sz w:val="20"/>
                <w:szCs w:val="20"/>
              </w:rPr>
            </w:pPr>
            <w:r w:rsidRPr="00841E19">
              <w:rPr>
                <w:rFonts w:eastAsia="Calibri" w:cs="Times New Roman"/>
                <w:sz w:val="20"/>
                <w:szCs w:val="20"/>
              </w:rPr>
              <w:t>Trustee’s action to recover funds and Paulian action dismissed</w:t>
            </w:r>
          </w:p>
          <w:p w:rsidR="00D96177" w:rsidRPr="00841E19" w:rsidRDefault="00D96177" w:rsidP="00D96177">
            <w:pPr>
              <w:jc w:val="both"/>
              <w:rPr>
                <w:rFonts w:eastAsia="Calibri" w:cs="Times New Roman"/>
                <w:sz w:val="20"/>
                <w:szCs w:val="20"/>
              </w:rPr>
            </w:pPr>
          </w:p>
          <w:p w:rsidR="00D96177" w:rsidRPr="00841E19" w:rsidRDefault="00D96177" w:rsidP="00D96177">
            <w:pPr>
              <w:jc w:val="both"/>
              <w:rPr>
                <w:rFonts w:eastAsia="Calibri" w:cs="Times New Roman"/>
                <w:sz w:val="20"/>
                <w:szCs w:val="20"/>
              </w:rPr>
            </w:pPr>
          </w:p>
        </w:tc>
      </w:tr>
      <w:tr w:rsidR="00D96177" w:rsidRPr="00841E19" w:rsidTr="00577386">
        <w:trPr>
          <w:cantSplit/>
        </w:trPr>
        <w:tc>
          <w:tcPr>
            <w:tcW w:w="2427" w:type="pct"/>
          </w:tcPr>
          <w:p w:rsidR="00D96177" w:rsidRPr="00841E19" w:rsidRDefault="00D96177" w:rsidP="00D96177">
            <w:pPr>
              <w:jc w:val="both"/>
              <w:rPr>
                <w:rFonts w:eastAsia="Calibri" w:cs="Times New Roman"/>
                <w:sz w:val="20"/>
                <w:szCs w:val="20"/>
              </w:rPr>
            </w:pPr>
            <w:r w:rsidRPr="00841E19">
              <w:rPr>
                <w:rFonts w:eastAsia="Calibri" w:cs="Times New Roman"/>
                <w:sz w:val="20"/>
                <w:szCs w:val="20"/>
              </w:rPr>
              <w:lastRenderedPageBreak/>
              <w:t>October 31, 2014</w:t>
            </w:r>
          </w:p>
          <w:p w:rsidR="00D96177" w:rsidRPr="00841E19" w:rsidRDefault="00D96177" w:rsidP="00D96177">
            <w:pPr>
              <w:jc w:val="both"/>
              <w:rPr>
                <w:rFonts w:eastAsia="Calibri" w:cs="Times New Roman"/>
                <w:sz w:val="20"/>
                <w:szCs w:val="20"/>
              </w:rPr>
            </w:pPr>
            <w:r w:rsidRPr="00841E19">
              <w:rPr>
                <w:rFonts w:eastAsia="Calibri" w:cs="Times New Roman"/>
                <w:sz w:val="20"/>
                <w:szCs w:val="20"/>
              </w:rPr>
              <w:t>Quebec Court of Appeal (Montréal)</w:t>
            </w:r>
          </w:p>
          <w:p w:rsidR="00D96177" w:rsidRPr="00841E19" w:rsidRDefault="00D96177" w:rsidP="00D96177">
            <w:pPr>
              <w:jc w:val="both"/>
              <w:rPr>
                <w:rFonts w:eastAsia="Calibri" w:cs="Times New Roman"/>
                <w:sz w:val="20"/>
                <w:szCs w:val="20"/>
              </w:rPr>
            </w:pPr>
            <w:r w:rsidRPr="00841E19">
              <w:rPr>
                <w:rFonts w:eastAsia="Calibri" w:cs="Times New Roman"/>
                <w:sz w:val="20"/>
                <w:szCs w:val="20"/>
              </w:rPr>
              <w:t>(Dalphond, Savard and Vauclair JJ.A.)</w:t>
            </w:r>
          </w:p>
          <w:p w:rsidR="00D96177" w:rsidRPr="00841E19" w:rsidRDefault="00417673" w:rsidP="00D96177">
            <w:pPr>
              <w:jc w:val="both"/>
              <w:rPr>
                <w:rFonts w:eastAsia="Calibri" w:cs="Times New Roman"/>
                <w:sz w:val="20"/>
                <w:szCs w:val="20"/>
              </w:rPr>
            </w:pPr>
            <w:hyperlink r:id="rId48" w:anchor="search/all=Robert%20Simoneau%20c.%20Ernst%20%26%20Young" w:history="1">
              <w:r w:rsidR="00D96177" w:rsidRPr="00841E19">
                <w:rPr>
                  <w:rFonts w:eastAsia="Calibri" w:cs="Times New Roman"/>
                  <w:color w:val="0000FF"/>
                  <w:sz w:val="20"/>
                  <w:szCs w:val="20"/>
                  <w:u w:val="single"/>
                </w:rPr>
                <w:t>2014 QCCA 1994</w:t>
              </w:r>
            </w:hyperlink>
          </w:p>
        </w:tc>
        <w:tc>
          <w:tcPr>
            <w:tcW w:w="243" w:type="pct"/>
          </w:tcPr>
          <w:p w:rsidR="00D96177" w:rsidRPr="00841E19" w:rsidRDefault="00D96177" w:rsidP="00D96177">
            <w:pPr>
              <w:jc w:val="both"/>
              <w:rPr>
                <w:rFonts w:eastAsia="Calibri" w:cs="Times New Roman"/>
                <w:sz w:val="20"/>
                <w:szCs w:val="20"/>
              </w:rPr>
            </w:pPr>
          </w:p>
        </w:tc>
        <w:tc>
          <w:tcPr>
            <w:tcW w:w="2330" w:type="pct"/>
          </w:tcPr>
          <w:p w:rsidR="00D96177" w:rsidRPr="00841E19" w:rsidRDefault="00D96177" w:rsidP="00D96177">
            <w:pPr>
              <w:jc w:val="both"/>
              <w:rPr>
                <w:rFonts w:eastAsia="Calibri" w:cs="Times New Roman"/>
                <w:sz w:val="20"/>
                <w:szCs w:val="20"/>
              </w:rPr>
            </w:pPr>
            <w:r w:rsidRPr="00841E19">
              <w:rPr>
                <w:rFonts w:eastAsia="Calibri" w:cs="Times New Roman"/>
                <w:sz w:val="20"/>
                <w:szCs w:val="20"/>
              </w:rPr>
              <w:t>Appeal allowed: trustee’s withdrawal with respect to $100,000 transferred on September 24, 2003, acknowledged, judgment under appeal set aside, trustee’s action allowed and declaration that $500,000 transferred by bankrupt to applicant on November 14, 2003, could not be set up against trustee obtained; applicant ordered to pay trustee $500,000</w:t>
            </w:r>
          </w:p>
          <w:p w:rsidR="00D96177" w:rsidRPr="00841E19" w:rsidRDefault="00D96177" w:rsidP="00D96177">
            <w:pPr>
              <w:jc w:val="both"/>
              <w:rPr>
                <w:rFonts w:eastAsia="Calibri" w:cs="Times New Roman"/>
                <w:sz w:val="20"/>
                <w:szCs w:val="20"/>
              </w:rPr>
            </w:pPr>
          </w:p>
        </w:tc>
      </w:tr>
      <w:tr w:rsidR="00D96177" w:rsidRPr="00841E19" w:rsidTr="00577386">
        <w:trPr>
          <w:cantSplit/>
        </w:trPr>
        <w:tc>
          <w:tcPr>
            <w:tcW w:w="2427" w:type="pct"/>
          </w:tcPr>
          <w:p w:rsidR="00D96177" w:rsidRPr="00841E19" w:rsidRDefault="00D96177" w:rsidP="00D96177">
            <w:pPr>
              <w:jc w:val="both"/>
              <w:rPr>
                <w:rFonts w:eastAsia="Calibri" w:cs="Times New Roman"/>
                <w:sz w:val="20"/>
                <w:szCs w:val="20"/>
              </w:rPr>
            </w:pPr>
            <w:r w:rsidRPr="00841E19">
              <w:rPr>
                <w:rFonts w:eastAsia="Calibri" w:cs="Times New Roman"/>
                <w:sz w:val="20"/>
                <w:szCs w:val="20"/>
              </w:rPr>
              <w:t>December 23, 2014</w:t>
            </w:r>
          </w:p>
          <w:p w:rsidR="00D96177" w:rsidRPr="00841E19" w:rsidRDefault="00D96177" w:rsidP="00D96177">
            <w:pPr>
              <w:jc w:val="both"/>
              <w:rPr>
                <w:rFonts w:eastAsia="Calibri" w:cs="Times New Roman"/>
                <w:sz w:val="20"/>
                <w:szCs w:val="20"/>
              </w:rPr>
            </w:pPr>
            <w:r w:rsidRPr="00841E19">
              <w:rPr>
                <w:rFonts w:eastAsia="Calibri" w:cs="Times New Roman"/>
                <w:sz w:val="20"/>
                <w:szCs w:val="20"/>
              </w:rPr>
              <w:t>Supreme Court of Canada</w:t>
            </w:r>
          </w:p>
        </w:tc>
        <w:tc>
          <w:tcPr>
            <w:tcW w:w="243" w:type="pct"/>
          </w:tcPr>
          <w:p w:rsidR="00D96177" w:rsidRPr="00841E19" w:rsidRDefault="00D96177" w:rsidP="00D96177">
            <w:pPr>
              <w:jc w:val="both"/>
              <w:rPr>
                <w:rFonts w:eastAsia="Calibri" w:cs="Times New Roman"/>
                <w:sz w:val="20"/>
                <w:szCs w:val="20"/>
              </w:rPr>
            </w:pPr>
          </w:p>
        </w:tc>
        <w:tc>
          <w:tcPr>
            <w:tcW w:w="2330" w:type="pct"/>
          </w:tcPr>
          <w:p w:rsidR="00D96177" w:rsidRPr="00841E19" w:rsidRDefault="00D96177" w:rsidP="00D96177">
            <w:pPr>
              <w:jc w:val="both"/>
              <w:rPr>
                <w:rFonts w:eastAsia="Calibri" w:cs="Times New Roman"/>
                <w:sz w:val="20"/>
                <w:szCs w:val="20"/>
              </w:rPr>
            </w:pPr>
            <w:bookmarkStart w:id="2" w:name="OLE_LINK1"/>
            <w:bookmarkStart w:id="3" w:name="OLE_LINK2"/>
            <w:r w:rsidRPr="00841E19">
              <w:rPr>
                <w:rFonts w:eastAsia="Calibri" w:cs="Times New Roman"/>
                <w:sz w:val="20"/>
                <w:szCs w:val="20"/>
              </w:rPr>
              <w:t>Application for leave to appeal filed</w:t>
            </w:r>
            <w:bookmarkEnd w:id="2"/>
            <w:bookmarkEnd w:id="3"/>
          </w:p>
          <w:p w:rsidR="00D96177" w:rsidRPr="00841E19" w:rsidRDefault="00D96177" w:rsidP="00D96177">
            <w:pPr>
              <w:jc w:val="both"/>
              <w:rPr>
                <w:rFonts w:eastAsia="Calibri" w:cs="Times New Roman"/>
                <w:sz w:val="20"/>
                <w:szCs w:val="20"/>
              </w:rPr>
            </w:pPr>
          </w:p>
        </w:tc>
      </w:tr>
    </w:tbl>
    <w:p w:rsidR="00D96177" w:rsidRPr="00204D62" w:rsidRDefault="00D96177" w:rsidP="00D96177">
      <w:pPr>
        <w:rPr>
          <w:sz w:val="20"/>
          <w:szCs w:val="20"/>
          <w:lang w:val="en-US"/>
        </w:rPr>
      </w:pPr>
    </w:p>
    <w:p w:rsidR="00D96177" w:rsidRPr="00C50A5C" w:rsidRDefault="00417673" w:rsidP="00D96177">
      <w:pPr>
        <w:rPr>
          <w:sz w:val="20"/>
          <w:szCs w:val="20"/>
        </w:rPr>
      </w:pPr>
      <w:r>
        <w:rPr>
          <w:sz w:val="20"/>
          <w:szCs w:val="20"/>
          <w:lang w:val="fr-CA"/>
        </w:rPr>
        <w:pict>
          <v:rect id="_x0000_i1056" style="width:2in;height:1pt" o:hrpct="0" o:hralign="center" o:hrstd="t" o:hrnoshade="t" o:hr="t" fillcolor="black [3213]" stroked="f"/>
        </w:pict>
      </w:r>
    </w:p>
    <w:p w:rsidR="00D96177" w:rsidRDefault="00D96177" w:rsidP="00D96177">
      <w:pPr>
        <w:rPr>
          <w:sz w:val="20"/>
          <w:szCs w:val="20"/>
        </w:rPr>
      </w:pPr>
    </w:p>
    <w:p w:rsidR="00D96177" w:rsidRPr="001B157C" w:rsidRDefault="00D96177" w:rsidP="00D96177">
      <w:pPr>
        <w:rPr>
          <w:sz w:val="20"/>
          <w:szCs w:val="20"/>
          <w:u w:val="single"/>
          <w:lang w:val="fr-CA"/>
        </w:rPr>
      </w:pPr>
      <w:r w:rsidRPr="001B157C">
        <w:rPr>
          <w:sz w:val="20"/>
          <w:szCs w:val="20"/>
          <w:u w:val="single"/>
          <w:lang w:val="fr-CA"/>
        </w:rPr>
        <w:t>RÉSUMÉ DE L’AFFAIRE</w:t>
      </w:r>
    </w:p>
    <w:p w:rsidR="00D96177" w:rsidRDefault="00D96177" w:rsidP="00D9617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96177" w:rsidRPr="00584913" w:rsidTr="00D96177">
        <w:tc>
          <w:tcPr>
            <w:tcW w:w="5000" w:type="pct"/>
            <w:gridSpan w:val="3"/>
          </w:tcPr>
          <w:p w:rsidR="00D96177" w:rsidRPr="00841E19" w:rsidRDefault="00D96177" w:rsidP="00D96177">
            <w:pPr>
              <w:jc w:val="both"/>
              <w:rPr>
                <w:rFonts w:eastAsia="Calibri" w:cs="Times New Roman"/>
                <w:sz w:val="20"/>
                <w:szCs w:val="20"/>
                <w:lang w:val="fr-CA"/>
              </w:rPr>
            </w:pPr>
            <w:r w:rsidRPr="00841E19">
              <w:rPr>
                <w:rFonts w:eastAsia="Calibri" w:cs="Times New Roman"/>
                <w:i/>
                <w:iCs/>
                <w:color w:val="000000"/>
                <w:sz w:val="20"/>
                <w:szCs w:val="20"/>
                <w:lang w:val="fr-CA"/>
              </w:rPr>
              <w:t xml:space="preserve">Contrats et obligations — Faillite et insolvabilité — Exécution des obligations — Preuve et procédure — Action en inopposabilité — Acte préjudiciable et frauduleux — </w:t>
            </w:r>
            <w:r w:rsidRPr="00841E19">
              <w:rPr>
                <w:rFonts w:eastAsia="Calibri" w:cs="Times New Roman"/>
                <w:sz w:val="20"/>
                <w:szCs w:val="20"/>
                <w:lang w:val="fr-CA"/>
              </w:rPr>
              <w:t xml:space="preserve">Principes applicables à l’action en inopposabilité </w:t>
            </w:r>
            <w:r w:rsidRPr="00841E19">
              <w:rPr>
                <w:rFonts w:eastAsia="Calibri" w:cs="Times New Roman"/>
                <w:i/>
                <w:iCs/>
                <w:color w:val="000000"/>
                <w:sz w:val="20"/>
                <w:szCs w:val="20"/>
                <w:lang w:val="fr-CA"/>
              </w:rPr>
              <w:t xml:space="preserve">— </w:t>
            </w:r>
            <w:r w:rsidRPr="00841E19">
              <w:rPr>
                <w:rFonts w:eastAsia="Calibri" w:cs="Times New Roman"/>
                <w:sz w:val="20"/>
                <w:szCs w:val="20"/>
                <w:lang w:val="fr-CA"/>
              </w:rPr>
              <w:t xml:space="preserve">Pouvoir d’intervention d’une Cour d’appel et respect des conclusions de faits d’un juge d’instance </w:t>
            </w:r>
            <w:r w:rsidRPr="00841E19">
              <w:rPr>
                <w:rFonts w:eastAsia="Calibri" w:cs="Times New Roman"/>
                <w:i/>
                <w:iCs/>
                <w:color w:val="000000"/>
                <w:sz w:val="20"/>
                <w:szCs w:val="20"/>
                <w:lang w:val="fr-CA"/>
              </w:rPr>
              <w:t xml:space="preserve">— </w:t>
            </w:r>
            <w:r w:rsidRPr="00841E19">
              <w:rPr>
                <w:rFonts w:eastAsia="Calibri" w:cs="Times New Roman"/>
                <w:sz w:val="20"/>
                <w:szCs w:val="20"/>
                <w:lang w:val="fr-CA"/>
              </w:rPr>
              <w:t>Questions d’intérêt public et stabilité des relations contractuelles.</w:t>
            </w:r>
          </w:p>
        </w:tc>
      </w:tr>
      <w:tr w:rsidR="00D96177" w:rsidRPr="00584913" w:rsidTr="00D96177">
        <w:tc>
          <w:tcPr>
            <w:tcW w:w="5000" w:type="pct"/>
            <w:gridSpan w:val="3"/>
          </w:tcPr>
          <w:p w:rsidR="00D96177" w:rsidRPr="00841E19" w:rsidRDefault="00D96177" w:rsidP="00D96177">
            <w:pPr>
              <w:jc w:val="both"/>
              <w:rPr>
                <w:rFonts w:eastAsia="Calibri" w:cs="Times New Roman"/>
                <w:sz w:val="20"/>
                <w:szCs w:val="20"/>
                <w:lang w:val="fr-CA"/>
              </w:rPr>
            </w:pPr>
          </w:p>
        </w:tc>
      </w:tr>
      <w:tr w:rsidR="00D96177" w:rsidRPr="00584913" w:rsidTr="00D96177">
        <w:tc>
          <w:tcPr>
            <w:tcW w:w="5000" w:type="pct"/>
            <w:gridSpan w:val="3"/>
          </w:tcPr>
          <w:p w:rsidR="00D96177" w:rsidRPr="00841E19" w:rsidRDefault="00D96177" w:rsidP="00D96177">
            <w:pPr>
              <w:jc w:val="both"/>
              <w:rPr>
                <w:rFonts w:eastAsia="Calibri" w:cs="Times New Roman"/>
                <w:sz w:val="20"/>
                <w:szCs w:val="20"/>
                <w:lang w:val="fr-CA"/>
              </w:rPr>
            </w:pPr>
            <w:r w:rsidRPr="00841E19">
              <w:rPr>
                <w:rFonts w:eastAsia="Calibri" w:cs="Times New Roman"/>
                <w:sz w:val="20"/>
                <w:szCs w:val="20"/>
                <w:lang w:val="fr-CA"/>
              </w:rPr>
              <w:t>L’intimée en sa qualité de syndic à la faillite de Vincent Lacroix réclame du demandeur, M. Simoneau la somme de 600 000$ alléguant qu’une transaction au cours de laquelle ce dernier a vendu à M. Lacroix 100 000 actions de Norbourg Gestion d’Actifs Inc. (« NGA ») pour un montant de 600 000$ lui est imposable.  Le Syndic prétend que cette transaction a été effectuée dans les cinq ans de la faillite de Lacroix et alors que Lacroix était insolvable.  En conséquence, M. Simoneau doit être tenu de rembourser cette somme au Syndic plus les intérêts y afférents depuis le 7 février 2007.  Le Syndic allègue en outre que cette transaction a été réalisée sans contre-partie valable et qu’elle est donc présumée avoir été exécutée en fraude des droits des créanciers de M. Lacroix.  M. Simoneau prétend de son côté que la transaction ne s’est pas faite à vil prix et, au surplus, qu’il avait tout lieu de croire que le prix des actions en question dont il était propriétaire était alors raisonnable et fixé à la somme de 600 000$ que M. Lacroix et lui ont fixée suite à une négociation que M. Simoneau a menée de bonne foi.</w:t>
            </w:r>
          </w:p>
          <w:p w:rsidR="00D96177" w:rsidRPr="00841E19" w:rsidRDefault="00D96177" w:rsidP="00D96177">
            <w:pPr>
              <w:jc w:val="both"/>
              <w:rPr>
                <w:rFonts w:eastAsia="Calibri" w:cs="Times New Roman"/>
                <w:sz w:val="20"/>
                <w:szCs w:val="20"/>
                <w:lang w:val="fr-CA"/>
              </w:rPr>
            </w:pPr>
          </w:p>
        </w:tc>
      </w:tr>
      <w:tr w:rsidR="00D96177" w:rsidRPr="00584913" w:rsidTr="00D96177">
        <w:tc>
          <w:tcPr>
            <w:tcW w:w="2427" w:type="pct"/>
          </w:tcPr>
          <w:p w:rsidR="00D96177" w:rsidRPr="00841E19" w:rsidRDefault="00D96177" w:rsidP="00D96177">
            <w:pPr>
              <w:jc w:val="both"/>
              <w:rPr>
                <w:rFonts w:eastAsia="Calibri" w:cs="Times New Roman"/>
                <w:sz w:val="20"/>
                <w:szCs w:val="20"/>
                <w:lang w:val="fr-CA"/>
              </w:rPr>
            </w:pPr>
            <w:r w:rsidRPr="00841E19">
              <w:rPr>
                <w:rFonts w:eastAsia="Calibri" w:cs="Times New Roman"/>
                <w:sz w:val="20"/>
                <w:szCs w:val="20"/>
                <w:lang w:val="fr-CA"/>
              </w:rPr>
              <w:t>Le 30 août 2012</w:t>
            </w:r>
          </w:p>
          <w:p w:rsidR="00D96177" w:rsidRPr="00841E19" w:rsidRDefault="00D96177" w:rsidP="00D96177">
            <w:pPr>
              <w:jc w:val="both"/>
              <w:rPr>
                <w:rFonts w:eastAsia="Calibri" w:cs="Times New Roman"/>
                <w:sz w:val="20"/>
                <w:szCs w:val="20"/>
                <w:lang w:val="fr-CA"/>
              </w:rPr>
            </w:pPr>
            <w:r w:rsidRPr="00841E19">
              <w:rPr>
                <w:rFonts w:eastAsia="Calibri" w:cs="Times New Roman"/>
                <w:sz w:val="20"/>
                <w:szCs w:val="20"/>
                <w:lang w:val="fr-CA"/>
              </w:rPr>
              <w:t>Cour supérieure du Québec</w:t>
            </w:r>
          </w:p>
          <w:p w:rsidR="00D96177" w:rsidRPr="00841E19" w:rsidRDefault="00D96177" w:rsidP="00D96177">
            <w:pPr>
              <w:jc w:val="both"/>
              <w:rPr>
                <w:rFonts w:eastAsia="Calibri" w:cs="Times New Roman"/>
                <w:sz w:val="20"/>
                <w:szCs w:val="20"/>
                <w:lang w:val="fr-CA"/>
              </w:rPr>
            </w:pPr>
            <w:r w:rsidRPr="00841E19">
              <w:rPr>
                <w:rFonts w:eastAsia="Calibri" w:cs="Times New Roman"/>
                <w:sz w:val="20"/>
                <w:szCs w:val="20"/>
                <w:lang w:val="fr-CA"/>
              </w:rPr>
              <w:t>(Le juge Mongeon)</w:t>
            </w:r>
          </w:p>
          <w:p w:rsidR="00D96177" w:rsidRPr="00841E19" w:rsidRDefault="00417673" w:rsidP="00D96177">
            <w:pPr>
              <w:jc w:val="both"/>
              <w:rPr>
                <w:rFonts w:eastAsia="Calibri" w:cs="Times New Roman"/>
                <w:sz w:val="20"/>
                <w:szCs w:val="20"/>
                <w:lang w:val="fr-CA"/>
              </w:rPr>
            </w:pPr>
            <w:hyperlink r:id="rId49" w:anchor="search/all=Robert%20Simoneau%20c.%20Ernst%20%26%20Young" w:history="1">
              <w:r w:rsidR="00D96177" w:rsidRPr="00841E19">
                <w:rPr>
                  <w:rFonts w:eastAsia="Calibri" w:cs="Times New Roman"/>
                  <w:color w:val="0000FF"/>
                  <w:sz w:val="20"/>
                  <w:szCs w:val="20"/>
                  <w:u w:val="single"/>
                  <w:lang w:val="fr-CA"/>
                </w:rPr>
                <w:t>2012 QCCS 4145</w:t>
              </w:r>
            </w:hyperlink>
          </w:p>
          <w:p w:rsidR="00D96177" w:rsidRPr="00841E19" w:rsidRDefault="00D96177" w:rsidP="00D96177">
            <w:pPr>
              <w:jc w:val="both"/>
              <w:rPr>
                <w:rFonts w:eastAsia="Calibri" w:cs="Times New Roman"/>
                <w:sz w:val="20"/>
                <w:szCs w:val="20"/>
                <w:lang w:val="fr-CA"/>
              </w:rPr>
            </w:pPr>
          </w:p>
        </w:tc>
        <w:tc>
          <w:tcPr>
            <w:tcW w:w="243" w:type="pct"/>
          </w:tcPr>
          <w:p w:rsidR="00D96177" w:rsidRPr="00841E19" w:rsidRDefault="00D96177" w:rsidP="00D96177">
            <w:pPr>
              <w:jc w:val="both"/>
              <w:rPr>
                <w:rFonts w:eastAsia="Calibri" w:cs="Times New Roman"/>
                <w:sz w:val="20"/>
                <w:szCs w:val="20"/>
                <w:lang w:val="en-US"/>
              </w:rPr>
            </w:pPr>
          </w:p>
        </w:tc>
        <w:tc>
          <w:tcPr>
            <w:tcW w:w="2330" w:type="pct"/>
          </w:tcPr>
          <w:p w:rsidR="00D96177" w:rsidRPr="00841E19" w:rsidRDefault="00D96177" w:rsidP="00D96177">
            <w:pPr>
              <w:jc w:val="both"/>
              <w:rPr>
                <w:rFonts w:eastAsia="Calibri" w:cs="Times New Roman"/>
                <w:sz w:val="20"/>
                <w:szCs w:val="20"/>
                <w:lang w:val="fr-CA"/>
              </w:rPr>
            </w:pPr>
            <w:r w:rsidRPr="00841E19">
              <w:rPr>
                <w:rFonts w:eastAsia="Calibri" w:cs="Times New Roman"/>
                <w:sz w:val="20"/>
                <w:szCs w:val="20"/>
                <w:lang w:val="fr-CA"/>
              </w:rPr>
              <w:t>Recours du syndic en recouvrement de deniers et inopposabilité rejeté</w:t>
            </w:r>
          </w:p>
          <w:p w:rsidR="00D96177" w:rsidRPr="00841E19" w:rsidRDefault="00D96177" w:rsidP="00D96177">
            <w:pPr>
              <w:jc w:val="both"/>
              <w:rPr>
                <w:rFonts w:eastAsia="Calibri" w:cs="Times New Roman"/>
                <w:sz w:val="20"/>
                <w:szCs w:val="20"/>
                <w:lang w:val="fr-CA"/>
              </w:rPr>
            </w:pPr>
          </w:p>
          <w:p w:rsidR="00D96177" w:rsidRPr="00841E19" w:rsidRDefault="00D96177" w:rsidP="00D96177">
            <w:pPr>
              <w:jc w:val="both"/>
              <w:rPr>
                <w:rFonts w:eastAsia="Calibri" w:cs="Times New Roman"/>
                <w:sz w:val="20"/>
                <w:szCs w:val="20"/>
                <w:lang w:val="fr-CA"/>
              </w:rPr>
            </w:pPr>
          </w:p>
        </w:tc>
      </w:tr>
      <w:tr w:rsidR="00D96177" w:rsidRPr="00584913" w:rsidTr="00D96177">
        <w:tc>
          <w:tcPr>
            <w:tcW w:w="2427" w:type="pct"/>
          </w:tcPr>
          <w:p w:rsidR="00D96177" w:rsidRPr="00841E19" w:rsidRDefault="00D96177" w:rsidP="00D96177">
            <w:pPr>
              <w:jc w:val="both"/>
              <w:rPr>
                <w:rFonts w:eastAsia="Calibri" w:cs="Times New Roman"/>
                <w:sz w:val="20"/>
                <w:szCs w:val="20"/>
                <w:lang w:val="fr-CA"/>
              </w:rPr>
            </w:pPr>
            <w:r w:rsidRPr="00841E19">
              <w:rPr>
                <w:rFonts w:eastAsia="Calibri" w:cs="Times New Roman"/>
                <w:sz w:val="20"/>
                <w:szCs w:val="20"/>
                <w:lang w:val="fr-CA"/>
              </w:rPr>
              <w:t>Le 31 octobre 2014</w:t>
            </w:r>
          </w:p>
          <w:p w:rsidR="00D96177" w:rsidRPr="00841E19" w:rsidRDefault="00D96177" w:rsidP="00D96177">
            <w:pPr>
              <w:jc w:val="both"/>
              <w:rPr>
                <w:rFonts w:eastAsia="Calibri" w:cs="Times New Roman"/>
                <w:sz w:val="20"/>
                <w:szCs w:val="20"/>
                <w:lang w:val="fr-CA"/>
              </w:rPr>
            </w:pPr>
            <w:r w:rsidRPr="00841E19">
              <w:rPr>
                <w:rFonts w:eastAsia="Calibri" w:cs="Times New Roman"/>
                <w:sz w:val="20"/>
                <w:szCs w:val="20"/>
                <w:lang w:val="fr-CA"/>
              </w:rPr>
              <w:t>Cour d’appel du Québec (Montréal)</w:t>
            </w:r>
          </w:p>
          <w:p w:rsidR="00D96177" w:rsidRPr="00841E19" w:rsidRDefault="00D96177" w:rsidP="00D96177">
            <w:pPr>
              <w:jc w:val="both"/>
              <w:rPr>
                <w:rFonts w:eastAsia="Calibri" w:cs="Times New Roman"/>
                <w:sz w:val="20"/>
                <w:szCs w:val="20"/>
                <w:lang w:val="fr-CA"/>
              </w:rPr>
            </w:pPr>
            <w:r w:rsidRPr="00841E19">
              <w:rPr>
                <w:rFonts w:eastAsia="Calibri" w:cs="Times New Roman"/>
                <w:sz w:val="20"/>
                <w:szCs w:val="20"/>
                <w:lang w:val="fr-CA"/>
              </w:rPr>
              <w:t>(Les juges Dalphond, Savard et Vauclair)</w:t>
            </w:r>
          </w:p>
          <w:p w:rsidR="00D96177" w:rsidRPr="00841E19" w:rsidRDefault="00417673" w:rsidP="00D96177">
            <w:pPr>
              <w:jc w:val="both"/>
              <w:rPr>
                <w:rFonts w:eastAsia="Calibri" w:cs="Times New Roman"/>
                <w:sz w:val="20"/>
                <w:szCs w:val="20"/>
                <w:lang w:val="fr-CA"/>
              </w:rPr>
            </w:pPr>
            <w:hyperlink r:id="rId50" w:anchor="search/all=Robert%20Simoneau%20c.%20Ernst%20%26%20Young" w:history="1">
              <w:r w:rsidR="00D96177" w:rsidRPr="00841E19">
                <w:rPr>
                  <w:rFonts w:eastAsia="Calibri" w:cs="Times New Roman"/>
                  <w:color w:val="0000FF"/>
                  <w:sz w:val="20"/>
                  <w:szCs w:val="20"/>
                  <w:u w:val="single"/>
                  <w:lang w:val="fr-CA"/>
                </w:rPr>
                <w:t>2014 QCCA 1994</w:t>
              </w:r>
            </w:hyperlink>
          </w:p>
        </w:tc>
        <w:tc>
          <w:tcPr>
            <w:tcW w:w="243" w:type="pct"/>
          </w:tcPr>
          <w:p w:rsidR="00D96177" w:rsidRPr="00841E19" w:rsidRDefault="00D96177" w:rsidP="00D96177">
            <w:pPr>
              <w:jc w:val="both"/>
              <w:rPr>
                <w:rFonts w:eastAsia="Calibri" w:cs="Times New Roman"/>
                <w:sz w:val="20"/>
                <w:szCs w:val="20"/>
                <w:lang w:val="fr-CA"/>
              </w:rPr>
            </w:pPr>
          </w:p>
        </w:tc>
        <w:tc>
          <w:tcPr>
            <w:tcW w:w="2330" w:type="pct"/>
          </w:tcPr>
          <w:p w:rsidR="00D96177" w:rsidRPr="00841E19" w:rsidRDefault="00D96177" w:rsidP="00D96177">
            <w:pPr>
              <w:jc w:val="both"/>
              <w:rPr>
                <w:rFonts w:eastAsia="Calibri" w:cs="Times New Roman"/>
                <w:sz w:val="20"/>
                <w:szCs w:val="20"/>
                <w:lang w:val="fr-CA"/>
              </w:rPr>
            </w:pPr>
            <w:r w:rsidRPr="00841E19">
              <w:rPr>
                <w:rFonts w:eastAsia="Calibri" w:cs="Times New Roman"/>
                <w:sz w:val="20"/>
                <w:szCs w:val="20"/>
                <w:lang w:val="fr-CA"/>
              </w:rPr>
              <w:t>Appel accueilli: prend acte du désistement du syndic à l’égard du transfert d’argent de 100 000$ effectué le 24 septembre 2003, jugement entrepris infirmé, demande du syndic accueillie et déclarer inopposable au syndic, transfert d’argent de 500 000$ effectué par le failli au demandeur le 14 novembre 2003 et il est condamné à payer au syndic 500 000$</w:t>
            </w:r>
          </w:p>
          <w:p w:rsidR="00D96177" w:rsidRPr="00841E19" w:rsidRDefault="00D96177" w:rsidP="00D96177">
            <w:pPr>
              <w:jc w:val="both"/>
              <w:rPr>
                <w:rFonts w:eastAsia="Calibri" w:cs="Times New Roman"/>
                <w:sz w:val="20"/>
                <w:szCs w:val="20"/>
                <w:lang w:val="fr-CA"/>
              </w:rPr>
            </w:pPr>
          </w:p>
        </w:tc>
      </w:tr>
      <w:tr w:rsidR="00D96177" w:rsidRPr="00841E19" w:rsidTr="00D96177">
        <w:tc>
          <w:tcPr>
            <w:tcW w:w="2427" w:type="pct"/>
          </w:tcPr>
          <w:p w:rsidR="00D96177" w:rsidRPr="00841E19" w:rsidRDefault="00D96177" w:rsidP="00D96177">
            <w:pPr>
              <w:jc w:val="both"/>
              <w:rPr>
                <w:rFonts w:eastAsia="Calibri" w:cs="Times New Roman"/>
                <w:sz w:val="20"/>
                <w:szCs w:val="20"/>
                <w:lang w:val="fr-CA"/>
              </w:rPr>
            </w:pPr>
            <w:r w:rsidRPr="00841E19">
              <w:rPr>
                <w:rFonts w:eastAsia="Calibri" w:cs="Times New Roman"/>
                <w:sz w:val="20"/>
                <w:szCs w:val="20"/>
                <w:lang w:val="fr-CA"/>
              </w:rPr>
              <w:t>Le 23 décembre 2014</w:t>
            </w:r>
          </w:p>
          <w:p w:rsidR="00D96177" w:rsidRPr="00841E19" w:rsidRDefault="00D96177" w:rsidP="00D96177">
            <w:pPr>
              <w:jc w:val="both"/>
              <w:rPr>
                <w:rFonts w:eastAsia="Calibri" w:cs="Times New Roman"/>
                <w:sz w:val="20"/>
                <w:szCs w:val="20"/>
                <w:lang w:val="fr-CA"/>
              </w:rPr>
            </w:pPr>
            <w:r w:rsidRPr="00841E19">
              <w:rPr>
                <w:rFonts w:eastAsia="Calibri" w:cs="Times New Roman"/>
                <w:sz w:val="20"/>
                <w:szCs w:val="20"/>
                <w:lang w:val="fr-CA"/>
              </w:rPr>
              <w:t>Cour suprême du Canada</w:t>
            </w:r>
          </w:p>
        </w:tc>
        <w:tc>
          <w:tcPr>
            <w:tcW w:w="243" w:type="pct"/>
          </w:tcPr>
          <w:p w:rsidR="00D96177" w:rsidRPr="00841E19" w:rsidRDefault="00D96177" w:rsidP="00D96177">
            <w:pPr>
              <w:jc w:val="both"/>
              <w:rPr>
                <w:rFonts w:eastAsia="Calibri" w:cs="Times New Roman"/>
                <w:sz w:val="20"/>
                <w:szCs w:val="20"/>
                <w:lang w:val="fr-CA"/>
              </w:rPr>
            </w:pPr>
          </w:p>
        </w:tc>
        <w:tc>
          <w:tcPr>
            <w:tcW w:w="2330" w:type="pct"/>
          </w:tcPr>
          <w:p w:rsidR="00D96177" w:rsidRPr="00841E19" w:rsidRDefault="00D96177" w:rsidP="00D96177">
            <w:pPr>
              <w:jc w:val="both"/>
              <w:rPr>
                <w:rFonts w:eastAsia="Calibri" w:cs="Times New Roman"/>
                <w:sz w:val="20"/>
                <w:szCs w:val="20"/>
                <w:lang w:val="fr-CA"/>
              </w:rPr>
            </w:pPr>
            <w:r w:rsidRPr="00841E19">
              <w:rPr>
                <w:rFonts w:eastAsia="Calibri" w:cs="Times New Roman"/>
                <w:sz w:val="20"/>
                <w:szCs w:val="20"/>
                <w:lang w:val="fr-CA"/>
              </w:rPr>
              <w:t>Demande d’autorisation d’appel déposée</w:t>
            </w:r>
          </w:p>
          <w:p w:rsidR="00D96177" w:rsidRPr="00841E19" w:rsidRDefault="00D96177" w:rsidP="00D96177">
            <w:pPr>
              <w:jc w:val="both"/>
              <w:rPr>
                <w:rFonts w:eastAsia="Calibri" w:cs="Times New Roman"/>
                <w:sz w:val="20"/>
                <w:szCs w:val="20"/>
                <w:lang w:val="fr-CA"/>
              </w:rPr>
            </w:pPr>
          </w:p>
        </w:tc>
      </w:tr>
    </w:tbl>
    <w:p w:rsidR="00D96177" w:rsidRPr="00841E19" w:rsidRDefault="00D96177" w:rsidP="00D96177">
      <w:pPr>
        <w:jc w:val="both"/>
        <w:rPr>
          <w:rFonts w:eastAsia="Calibri" w:cs="Times New Roman"/>
          <w:sz w:val="20"/>
          <w:szCs w:val="20"/>
        </w:rPr>
      </w:pPr>
    </w:p>
    <w:p w:rsidR="00D96177" w:rsidRPr="00C50A5C" w:rsidRDefault="00417673" w:rsidP="00D96177">
      <w:pPr>
        <w:rPr>
          <w:sz w:val="20"/>
          <w:szCs w:val="20"/>
        </w:rPr>
      </w:pPr>
      <w:r>
        <w:rPr>
          <w:sz w:val="20"/>
          <w:szCs w:val="20"/>
          <w:lang w:val="fr-CA"/>
        </w:rPr>
        <w:pict>
          <v:rect id="_x0000_i1057" style="width:2in;height:1pt" o:hrpct="0" o:hralign="center" o:hrstd="t" o:hrnoshade="t" o:hr="t" fillcolor="black [3213]" stroked="f"/>
        </w:pict>
      </w:r>
    </w:p>
    <w:p w:rsidR="00E318FE" w:rsidRDefault="00E318FE" w:rsidP="00841E19">
      <w:pPr>
        <w:jc w:val="both"/>
        <w:rPr>
          <w:rFonts w:eastAsia="Calibri" w:cs="Times New Roman"/>
          <w:sz w:val="20"/>
          <w:szCs w:val="20"/>
          <w:lang w:val="en-US"/>
        </w:rPr>
      </w:pPr>
    </w:p>
    <w:tbl>
      <w:tblPr>
        <w:tblStyle w:val="TableGrid9"/>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96177" w:rsidRPr="00D96177" w:rsidTr="00D96177">
        <w:trPr>
          <w:cantSplit/>
        </w:trPr>
        <w:tc>
          <w:tcPr>
            <w:tcW w:w="1458" w:type="dxa"/>
          </w:tcPr>
          <w:p w:rsidR="00D96177" w:rsidRPr="00D96177" w:rsidRDefault="00D96177" w:rsidP="00D96177">
            <w:pPr>
              <w:jc w:val="both"/>
              <w:rPr>
                <w:sz w:val="20"/>
              </w:rPr>
            </w:pPr>
            <w:r w:rsidRPr="00D96177">
              <w:rPr>
                <w:b/>
                <w:sz w:val="20"/>
                <w:lang w:val="fr-CA"/>
              </w:rPr>
              <w:lastRenderedPageBreak/>
              <w:t>36227</w:t>
            </w:r>
          </w:p>
          <w:p w:rsidR="00D96177" w:rsidRPr="00D96177" w:rsidRDefault="00D96177" w:rsidP="00D96177">
            <w:pPr>
              <w:jc w:val="both"/>
              <w:rPr>
                <w:b/>
                <w:sz w:val="20"/>
                <w:lang w:val="fr-CA"/>
              </w:rPr>
            </w:pPr>
          </w:p>
        </w:tc>
        <w:tc>
          <w:tcPr>
            <w:tcW w:w="8118" w:type="dxa"/>
          </w:tcPr>
          <w:p w:rsidR="00D96177" w:rsidRPr="00D96177" w:rsidRDefault="00D96177" w:rsidP="00D96177">
            <w:pPr>
              <w:jc w:val="both"/>
              <w:rPr>
                <w:sz w:val="20"/>
              </w:rPr>
            </w:pPr>
            <w:r w:rsidRPr="00D96177">
              <w:rPr>
                <w:b/>
                <w:sz w:val="20"/>
                <w:u w:val="single"/>
                <w:lang w:val="en-US"/>
              </w:rPr>
              <w:t>Apotex Inc. v. Pfizer Canada Inc., G.D. Searle &amp; Co.</w:t>
            </w:r>
            <w:r w:rsidR="00577386">
              <w:rPr>
                <w:b/>
                <w:sz w:val="20"/>
                <w:u w:val="single"/>
                <w:lang w:val="en-US"/>
              </w:rPr>
              <w:t xml:space="preserve"> and</w:t>
            </w:r>
            <w:r w:rsidRPr="00D96177">
              <w:rPr>
                <w:b/>
                <w:sz w:val="20"/>
                <w:u w:val="single"/>
                <w:lang w:val="en-US"/>
              </w:rPr>
              <w:t xml:space="preserve"> Minister of Health</w:t>
            </w:r>
            <w:r w:rsidRPr="00D96177">
              <w:rPr>
                <w:sz w:val="20"/>
              </w:rPr>
              <w:t xml:space="preserve"> (F</w:t>
            </w:r>
            <w:r w:rsidR="00577386">
              <w:rPr>
                <w:sz w:val="20"/>
              </w:rPr>
              <w:t>.</w:t>
            </w:r>
            <w:r w:rsidRPr="00D96177">
              <w:rPr>
                <w:sz w:val="20"/>
              </w:rPr>
              <w:t>C</w:t>
            </w:r>
            <w:r w:rsidR="00577386">
              <w:rPr>
                <w:sz w:val="20"/>
              </w:rPr>
              <w:t>.</w:t>
            </w:r>
            <w:r w:rsidRPr="00D96177">
              <w:rPr>
                <w:sz w:val="20"/>
              </w:rPr>
              <w:t>) (Civil) (By</w:t>
            </w:r>
            <w:r w:rsidR="00577386">
              <w:rPr>
                <w:sz w:val="20"/>
              </w:rPr>
              <w:t> </w:t>
            </w:r>
            <w:r w:rsidRPr="00D96177">
              <w:rPr>
                <w:sz w:val="20"/>
              </w:rPr>
              <w:t>Leave)</w:t>
            </w:r>
          </w:p>
          <w:p w:rsidR="00D96177" w:rsidRPr="00D96177" w:rsidRDefault="00D96177" w:rsidP="00D96177">
            <w:pPr>
              <w:jc w:val="both"/>
              <w:rPr>
                <w:sz w:val="20"/>
              </w:rPr>
            </w:pPr>
          </w:p>
        </w:tc>
      </w:tr>
      <w:tr w:rsidR="00D96177" w:rsidRPr="00D96177" w:rsidTr="00D96177">
        <w:trPr>
          <w:cantSplit/>
        </w:trPr>
        <w:tc>
          <w:tcPr>
            <w:tcW w:w="1458" w:type="dxa"/>
          </w:tcPr>
          <w:p w:rsidR="00D96177" w:rsidRPr="00D96177" w:rsidRDefault="00D96177" w:rsidP="00D96177">
            <w:pPr>
              <w:jc w:val="both"/>
              <w:rPr>
                <w:sz w:val="20"/>
              </w:rPr>
            </w:pPr>
            <w:r w:rsidRPr="00D96177">
              <w:rPr>
                <w:sz w:val="20"/>
              </w:rPr>
              <w:t>Coram :</w:t>
            </w:r>
          </w:p>
        </w:tc>
        <w:tc>
          <w:tcPr>
            <w:tcW w:w="8118" w:type="dxa"/>
          </w:tcPr>
          <w:p w:rsidR="00D96177" w:rsidRPr="00D96177" w:rsidRDefault="00D96177" w:rsidP="00D96177">
            <w:pPr>
              <w:jc w:val="both"/>
              <w:rPr>
                <w:sz w:val="20"/>
              </w:rPr>
            </w:pPr>
            <w:r w:rsidRPr="00D96177">
              <w:rPr>
                <w:sz w:val="20"/>
                <w:u w:val="single"/>
                <w:lang w:val="en-US"/>
              </w:rPr>
              <w:t>Rothstein, Cromwell and Moldaver JJ.</w:t>
            </w:r>
          </w:p>
          <w:p w:rsidR="00D96177" w:rsidRPr="00D96177" w:rsidRDefault="00D96177" w:rsidP="00D96177">
            <w:pPr>
              <w:jc w:val="both"/>
              <w:rPr>
                <w:sz w:val="20"/>
                <w:u w:val="single"/>
              </w:rPr>
            </w:pPr>
          </w:p>
        </w:tc>
      </w:tr>
      <w:tr w:rsidR="00D96177" w:rsidRPr="00584913" w:rsidTr="00D96177">
        <w:trPr>
          <w:cantSplit/>
        </w:trPr>
        <w:tc>
          <w:tcPr>
            <w:tcW w:w="9576" w:type="dxa"/>
            <w:gridSpan w:val="2"/>
          </w:tcPr>
          <w:p w:rsidR="00D96177" w:rsidRPr="00D96177" w:rsidRDefault="00D96177" w:rsidP="00D96177">
            <w:pPr>
              <w:ind w:firstLine="720"/>
              <w:jc w:val="both"/>
              <w:rPr>
                <w:sz w:val="20"/>
              </w:rPr>
            </w:pPr>
            <w:r w:rsidRPr="00D96177">
              <w:rPr>
                <w:sz w:val="20"/>
              </w:rPr>
              <w:t>The application for leave to appeal from the judgment of the Federal Court of Appeal, Number A-194-14, 2014 FCA 250, dated October 30, 2014, is dismissed with costs.</w:t>
            </w:r>
          </w:p>
          <w:p w:rsidR="00D96177" w:rsidRPr="00D96177" w:rsidRDefault="00D96177" w:rsidP="00D96177">
            <w:pPr>
              <w:jc w:val="both"/>
              <w:rPr>
                <w:sz w:val="20"/>
              </w:rPr>
            </w:pPr>
          </w:p>
          <w:p w:rsidR="00D96177" w:rsidRPr="00D96177" w:rsidRDefault="00D96177" w:rsidP="00D96177">
            <w:pPr>
              <w:ind w:firstLine="720"/>
              <w:jc w:val="both"/>
              <w:rPr>
                <w:sz w:val="20"/>
                <w:lang w:val="fr-CA"/>
              </w:rPr>
            </w:pPr>
            <w:r w:rsidRPr="00D96177">
              <w:rPr>
                <w:sz w:val="20"/>
                <w:lang w:val="fr-CA"/>
              </w:rPr>
              <w:t>La demande d’autorisation d’appel de l’arrêt de la Cour d’appel fédérale, numéro A-194-14, 2014 CAF 250, daté du 30 octobre 2014, est rejetée avec dépens.</w:t>
            </w:r>
          </w:p>
        </w:tc>
      </w:tr>
    </w:tbl>
    <w:p w:rsidR="00E318FE" w:rsidRPr="00D96177" w:rsidRDefault="00E318FE" w:rsidP="00841E19">
      <w:pPr>
        <w:jc w:val="both"/>
        <w:rPr>
          <w:rFonts w:eastAsia="Calibri" w:cs="Times New Roman"/>
          <w:sz w:val="20"/>
          <w:szCs w:val="20"/>
          <w:lang w:val="fr-CA"/>
        </w:rPr>
      </w:pPr>
    </w:p>
    <w:p w:rsidR="00D96177" w:rsidRPr="001B157C" w:rsidRDefault="00D96177" w:rsidP="00D96177">
      <w:pPr>
        <w:rPr>
          <w:sz w:val="20"/>
          <w:szCs w:val="20"/>
          <w:u w:val="single"/>
        </w:rPr>
      </w:pPr>
      <w:r w:rsidRPr="001B157C">
        <w:rPr>
          <w:sz w:val="20"/>
          <w:szCs w:val="20"/>
          <w:u w:val="single"/>
        </w:rPr>
        <w:t>CASE SUMMARY</w:t>
      </w:r>
    </w:p>
    <w:p w:rsidR="00D96177" w:rsidRDefault="00D96177" w:rsidP="00D9617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96177" w:rsidRPr="00841E19" w:rsidTr="00D96177">
        <w:tc>
          <w:tcPr>
            <w:tcW w:w="5000" w:type="pct"/>
            <w:gridSpan w:val="3"/>
          </w:tcPr>
          <w:p w:rsidR="00D96177" w:rsidRPr="00841E19" w:rsidRDefault="00D96177" w:rsidP="00D96177">
            <w:pPr>
              <w:jc w:val="both"/>
              <w:rPr>
                <w:rFonts w:eastAsia="Calibri" w:cs="Times New Roman"/>
                <w:sz w:val="20"/>
                <w:szCs w:val="20"/>
              </w:rPr>
            </w:pPr>
            <w:r w:rsidRPr="00841E19">
              <w:rPr>
                <w:rFonts w:eastAsia="Calibri" w:cs="Times New Roman"/>
                <w:sz w:val="20"/>
                <w:szCs w:val="20"/>
              </w:rPr>
              <w:t xml:space="preserve">Intellectual property – Patents – Medicines – Generic drug manufacturer seeking regulatory approval to market its generic version of anti-inflammatory drug, alleging respondent’s patent for comparator drug invalid for, </w:t>
            </w:r>
            <w:r w:rsidRPr="00841E19">
              <w:rPr>
                <w:rFonts w:eastAsia="Calibri" w:cs="Times New Roman"/>
                <w:i/>
                <w:sz w:val="20"/>
                <w:szCs w:val="20"/>
              </w:rPr>
              <w:t>inter alia</w:t>
            </w:r>
            <w:r w:rsidRPr="00841E19">
              <w:rPr>
                <w:rFonts w:eastAsia="Calibri" w:cs="Times New Roman"/>
                <w:sz w:val="20"/>
                <w:szCs w:val="20"/>
              </w:rPr>
              <w:t>, non-utility – How is the utility promised by the patent to be determined? – How does promise construction relate to general principles of patent construction? – In a subsequent proceeding dealing with an earlier-litigated patent, what circumstances justify a departure by a patentee or a court from a concession or judicial determination made in a prior proceeding on the same patent construction issue?</w:t>
            </w:r>
          </w:p>
        </w:tc>
      </w:tr>
      <w:tr w:rsidR="00D96177" w:rsidRPr="00841E19" w:rsidTr="00D96177">
        <w:tc>
          <w:tcPr>
            <w:tcW w:w="5000" w:type="pct"/>
            <w:gridSpan w:val="3"/>
          </w:tcPr>
          <w:p w:rsidR="00D96177" w:rsidRPr="00841E19" w:rsidRDefault="00D96177" w:rsidP="00D96177">
            <w:pPr>
              <w:jc w:val="both"/>
              <w:rPr>
                <w:rFonts w:eastAsia="Calibri" w:cs="Times New Roman"/>
                <w:sz w:val="20"/>
                <w:szCs w:val="20"/>
              </w:rPr>
            </w:pPr>
          </w:p>
        </w:tc>
      </w:tr>
      <w:tr w:rsidR="00D96177" w:rsidRPr="00841E19" w:rsidTr="00D96177">
        <w:tc>
          <w:tcPr>
            <w:tcW w:w="5000" w:type="pct"/>
            <w:gridSpan w:val="3"/>
          </w:tcPr>
          <w:p w:rsidR="00D96177" w:rsidRPr="00841E19" w:rsidRDefault="00D96177" w:rsidP="00D96177">
            <w:pPr>
              <w:jc w:val="both"/>
              <w:rPr>
                <w:rFonts w:eastAsia="Calibri" w:cs="Times New Roman"/>
                <w:sz w:val="20"/>
                <w:szCs w:val="20"/>
              </w:rPr>
            </w:pPr>
            <w:r w:rsidRPr="00841E19">
              <w:rPr>
                <w:rFonts w:eastAsia="Calibri" w:cs="Times New Roman"/>
                <w:sz w:val="20"/>
                <w:szCs w:val="20"/>
              </w:rPr>
              <w:t xml:space="preserve">Apotex Inc. (“Apotex”) sought to obtain regulatory approval to market its generic version of celecoxib, a drug marketed under the brand name “Celebrex” by the respondents (collectively, “Pfizer”).  It is known as a non-steroidal anti-inflammatory drug, used in the treatment of inflammatory disorders such as arthritis.  Pfizer filed for the ‘576 patent for Celebrex in November, 1994.  The patent issued on October 26, 1999 and expired on November 14, 2014.   Apotex served a Notice of Allegation on Pfizer, alleging that the ‘576 patent was invalid for the purposes of the </w:t>
            </w:r>
            <w:r w:rsidRPr="00841E19">
              <w:rPr>
                <w:rFonts w:eastAsia="Calibri" w:cs="Times New Roman"/>
                <w:i/>
                <w:sz w:val="20"/>
                <w:szCs w:val="20"/>
              </w:rPr>
              <w:t>Patented Medicines (Notice of Compliance) Regulations</w:t>
            </w:r>
            <w:r w:rsidRPr="00841E19">
              <w:rPr>
                <w:rFonts w:eastAsia="Calibri" w:cs="Times New Roman"/>
                <w:sz w:val="20"/>
                <w:szCs w:val="20"/>
              </w:rPr>
              <w:t>, SOR 93/133, primarily on the ground that utility had not been demonstrated or soundly predicted at the time the patent was filed.  Pfizer sought an order to prohibit the Minister from issuing a Notice of Compliance to Apotex.</w:t>
            </w:r>
          </w:p>
          <w:p w:rsidR="00D96177" w:rsidRPr="00841E19" w:rsidRDefault="00D96177" w:rsidP="00D96177">
            <w:pPr>
              <w:jc w:val="both"/>
              <w:rPr>
                <w:rFonts w:eastAsia="Calibri" w:cs="Times New Roman"/>
                <w:sz w:val="20"/>
                <w:szCs w:val="20"/>
              </w:rPr>
            </w:pPr>
          </w:p>
        </w:tc>
      </w:tr>
      <w:tr w:rsidR="00D96177" w:rsidRPr="00841E19" w:rsidTr="00D96177">
        <w:tc>
          <w:tcPr>
            <w:tcW w:w="2427" w:type="pct"/>
          </w:tcPr>
          <w:p w:rsidR="00D96177" w:rsidRPr="00841E19" w:rsidRDefault="00D96177" w:rsidP="00D96177">
            <w:pPr>
              <w:jc w:val="both"/>
              <w:rPr>
                <w:rFonts w:eastAsia="Calibri" w:cs="Times New Roman"/>
                <w:sz w:val="20"/>
                <w:szCs w:val="20"/>
              </w:rPr>
            </w:pPr>
            <w:r w:rsidRPr="00841E19">
              <w:rPr>
                <w:rFonts w:eastAsia="Calibri" w:cs="Times New Roman"/>
                <w:sz w:val="20"/>
                <w:szCs w:val="20"/>
              </w:rPr>
              <w:t>April 15, 2014</w:t>
            </w:r>
          </w:p>
          <w:p w:rsidR="00D96177" w:rsidRPr="00841E19" w:rsidRDefault="00D96177" w:rsidP="00D96177">
            <w:pPr>
              <w:jc w:val="both"/>
              <w:rPr>
                <w:rFonts w:eastAsia="Calibri" w:cs="Times New Roman"/>
                <w:sz w:val="20"/>
                <w:szCs w:val="20"/>
              </w:rPr>
            </w:pPr>
            <w:r w:rsidRPr="00841E19">
              <w:rPr>
                <w:rFonts w:eastAsia="Calibri" w:cs="Times New Roman"/>
                <w:sz w:val="20"/>
                <w:szCs w:val="20"/>
              </w:rPr>
              <w:t>Federal Court</w:t>
            </w:r>
          </w:p>
          <w:p w:rsidR="00D96177" w:rsidRPr="00841E19" w:rsidRDefault="00D96177" w:rsidP="00D96177">
            <w:pPr>
              <w:jc w:val="both"/>
              <w:rPr>
                <w:rFonts w:eastAsia="Calibri" w:cs="Times New Roman"/>
                <w:sz w:val="20"/>
                <w:szCs w:val="20"/>
              </w:rPr>
            </w:pPr>
            <w:r w:rsidRPr="00841E19">
              <w:rPr>
                <w:rFonts w:eastAsia="Calibri" w:cs="Times New Roman"/>
                <w:sz w:val="20"/>
                <w:szCs w:val="20"/>
              </w:rPr>
              <w:t>(Harrington J.)</w:t>
            </w:r>
          </w:p>
          <w:p w:rsidR="00D96177" w:rsidRPr="00841E19" w:rsidRDefault="00417673" w:rsidP="00D96177">
            <w:pPr>
              <w:jc w:val="both"/>
              <w:rPr>
                <w:rFonts w:eastAsia="Calibri" w:cs="Times New Roman"/>
                <w:sz w:val="20"/>
                <w:szCs w:val="20"/>
              </w:rPr>
            </w:pPr>
            <w:hyperlink r:id="rId51" w:history="1">
              <w:r w:rsidR="00D96177" w:rsidRPr="00841E19">
                <w:rPr>
                  <w:rFonts w:eastAsia="Calibri" w:cs="Times New Roman"/>
                  <w:color w:val="0000FF"/>
                  <w:sz w:val="20"/>
                  <w:szCs w:val="20"/>
                  <w:u w:val="single"/>
                </w:rPr>
                <w:t>2014 FC 314</w:t>
              </w:r>
            </w:hyperlink>
            <w:r w:rsidR="00D96177" w:rsidRPr="00841E19">
              <w:rPr>
                <w:rFonts w:eastAsia="Calibri" w:cs="Times New Roman"/>
                <w:sz w:val="20"/>
                <w:szCs w:val="20"/>
              </w:rPr>
              <w:t xml:space="preserve"> </w:t>
            </w:r>
          </w:p>
          <w:p w:rsidR="00D96177" w:rsidRPr="00841E19" w:rsidRDefault="00D96177" w:rsidP="00D96177">
            <w:pPr>
              <w:jc w:val="both"/>
              <w:rPr>
                <w:rFonts w:eastAsia="Calibri" w:cs="Times New Roman"/>
                <w:sz w:val="20"/>
                <w:szCs w:val="20"/>
              </w:rPr>
            </w:pPr>
          </w:p>
        </w:tc>
        <w:tc>
          <w:tcPr>
            <w:tcW w:w="243" w:type="pct"/>
          </w:tcPr>
          <w:p w:rsidR="00D96177" w:rsidRPr="00841E19" w:rsidRDefault="00D96177" w:rsidP="00D96177">
            <w:pPr>
              <w:jc w:val="both"/>
              <w:rPr>
                <w:rFonts w:eastAsia="Calibri" w:cs="Times New Roman"/>
                <w:sz w:val="20"/>
                <w:szCs w:val="20"/>
              </w:rPr>
            </w:pPr>
          </w:p>
        </w:tc>
        <w:tc>
          <w:tcPr>
            <w:tcW w:w="2330" w:type="pct"/>
          </w:tcPr>
          <w:p w:rsidR="00D96177" w:rsidRPr="00841E19" w:rsidRDefault="00D96177" w:rsidP="00D96177">
            <w:pPr>
              <w:jc w:val="both"/>
              <w:rPr>
                <w:rFonts w:eastAsia="Calibri" w:cs="Times New Roman"/>
                <w:sz w:val="20"/>
                <w:szCs w:val="20"/>
              </w:rPr>
            </w:pPr>
            <w:r w:rsidRPr="00841E19">
              <w:rPr>
                <w:rFonts w:eastAsia="Calibri" w:cs="Times New Roman"/>
                <w:sz w:val="20"/>
                <w:szCs w:val="20"/>
              </w:rPr>
              <w:t xml:space="preserve">Minister of Health prohibited from issuing a Notice of Compliance to Apotex until after expiry of ‘576 patent </w:t>
            </w:r>
          </w:p>
          <w:p w:rsidR="00D96177" w:rsidRPr="00841E19" w:rsidRDefault="00D96177" w:rsidP="00D96177">
            <w:pPr>
              <w:jc w:val="both"/>
              <w:rPr>
                <w:rFonts w:eastAsia="Calibri" w:cs="Times New Roman"/>
                <w:sz w:val="20"/>
                <w:szCs w:val="20"/>
              </w:rPr>
            </w:pPr>
          </w:p>
        </w:tc>
      </w:tr>
      <w:tr w:rsidR="00D96177" w:rsidRPr="00841E19" w:rsidTr="00D96177">
        <w:tc>
          <w:tcPr>
            <w:tcW w:w="2427" w:type="pct"/>
          </w:tcPr>
          <w:p w:rsidR="00D96177" w:rsidRPr="00841E19" w:rsidRDefault="00D96177" w:rsidP="00D96177">
            <w:pPr>
              <w:jc w:val="both"/>
              <w:rPr>
                <w:rFonts w:eastAsia="Calibri" w:cs="Times New Roman"/>
                <w:sz w:val="20"/>
                <w:szCs w:val="20"/>
              </w:rPr>
            </w:pPr>
            <w:r w:rsidRPr="00841E19">
              <w:rPr>
                <w:rFonts w:eastAsia="Calibri" w:cs="Times New Roman"/>
                <w:sz w:val="20"/>
                <w:szCs w:val="20"/>
              </w:rPr>
              <w:t>October 30, 2014</w:t>
            </w:r>
          </w:p>
          <w:p w:rsidR="00D96177" w:rsidRPr="00841E19" w:rsidRDefault="00D96177" w:rsidP="00D96177">
            <w:pPr>
              <w:jc w:val="both"/>
              <w:rPr>
                <w:rFonts w:eastAsia="Calibri" w:cs="Times New Roman"/>
                <w:sz w:val="20"/>
                <w:szCs w:val="20"/>
              </w:rPr>
            </w:pPr>
            <w:r w:rsidRPr="00841E19">
              <w:rPr>
                <w:rFonts w:eastAsia="Calibri" w:cs="Times New Roman"/>
                <w:sz w:val="20"/>
                <w:szCs w:val="20"/>
              </w:rPr>
              <w:t>Federal Court of Appeal</w:t>
            </w:r>
          </w:p>
          <w:p w:rsidR="00D96177" w:rsidRPr="00841E19" w:rsidRDefault="00D96177" w:rsidP="00D96177">
            <w:pPr>
              <w:jc w:val="both"/>
              <w:rPr>
                <w:rFonts w:eastAsia="Calibri" w:cs="Times New Roman"/>
                <w:sz w:val="20"/>
                <w:szCs w:val="20"/>
              </w:rPr>
            </w:pPr>
            <w:r w:rsidRPr="00841E19">
              <w:rPr>
                <w:rFonts w:eastAsia="Calibri" w:cs="Times New Roman"/>
                <w:sz w:val="20"/>
                <w:szCs w:val="20"/>
              </w:rPr>
              <w:t>(Noël C.J., Trudel and Boivin JJ.A.)</w:t>
            </w:r>
          </w:p>
          <w:p w:rsidR="00D96177" w:rsidRPr="00841E19" w:rsidRDefault="00417673" w:rsidP="00D96177">
            <w:pPr>
              <w:jc w:val="both"/>
              <w:rPr>
                <w:rFonts w:eastAsia="Calibri" w:cs="Times New Roman"/>
                <w:sz w:val="20"/>
                <w:szCs w:val="20"/>
              </w:rPr>
            </w:pPr>
            <w:hyperlink r:id="rId52" w:history="1">
              <w:r w:rsidR="00D96177" w:rsidRPr="00841E19">
                <w:rPr>
                  <w:rFonts w:eastAsia="Calibri" w:cs="Times New Roman"/>
                  <w:color w:val="0000FF"/>
                  <w:sz w:val="20"/>
                  <w:szCs w:val="20"/>
                  <w:u w:val="single"/>
                </w:rPr>
                <w:t>2014 FCA 250</w:t>
              </w:r>
            </w:hyperlink>
          </w:p>
          <w:p w:rsidR="00D96177" w:rsidRPr="00841E19" w:rsidRDefault="00D96177" w:rsidP="00D96177">
            <w:pPr>
              <w:jc w:val="both"/>
              <w:rPr>
                <w:rFonts w:eastAsia="Calibri" w:cs="Times New Roman"/>
                <w:sz w:val="20"/>
                <w:szCs w:val="20"/>
              </w:rPr>
            </w:pPr>
          </w:p>
        </w:tc>
        <w:tc>
          <w:tcPr>
            <w:tcW w:w="243" w:type="pct"/>
          </w:tcPr>
          <w:p w:rsidR="00D96177" w:rsidRPr="00841E19" w:rsidRDefault="00D96177" w:rsidP="00D96177">
            <w:pPr>
              <w:jc w:val="both"/>
              <w:rPr>
                <w:rFonts w:eastAsia="Calibri" w:cs="Times New Roman"/>
                <w:sz w:val="20"/>
                <w:szCs w:val="20"/>
              </w:rPr>
            </w:pPr>
          </w:p>
        </w:tc>
        <w:tc>
          <w:tcPr>
            <w:tcW w:w="2330" w:type="pct"/>
          </w:tcPr>
          <w:p w:rsidR="00D96177" w:rsidRPr="00841E19" w:rsidRDefault="00D96177" w:rsidP="00D96177">
            <w:pPr>
              <w:jc w:val="both"/>
              <w:rPr>
                <w:rFonts w:eastAsia="Calibri" w:cs="Times New Roman"/>
                <w:sz w:val="20"/>
                <w:szCs w:val="20"/>
              </w:rPr>
            </w:pPr>
            <w:r w:rsidRPr="00841E19">
              <w:rPr>
                <w:rFonts w:eastAsia="Calibri" w:cs="Times New Roman"/>
                <w:sz w:val="20"/>
                <w:szCs w:val="20"/>
              </w:rPr>
              <w:t>Appeals dismissed</w:t>
            </w:r>
          </w:p>
          <w:p w:rsidR="00D96177" w:rsidRPr="00841E19" w:rsidRDefault="00D96177" w:rsidP="00D96177">
            <w:pPr>
              <w:jc w:val="both"/>
              <w:rPr>
                <w:rFonts w:eastAsia="Calibri" w:cs="Times New Roman"/>
                <w:sz w:val="20"/>
                <w:szCs w:val="20"/>
              </w:rPr>
            </w:pPr>
          </w:p>
        </w:tc>
      </w:tr>
      <w:tr w:rsidR="00D96177" w:rsidRPr="00841E19" w:rsidTr="00D96177">
        <w:tc>
          <w:tcPr>
            <w:tcW w:w="2427" w:type="pct"/>
          </w:tcPr>
          <w:p w:rsidR="00D96177" w:rsidRPr="00841E19" w:rsidRDefault="00D96177" w:rsidP="00D96177">
            <w:pPr>
              <w:jc w:val="both"/>
              <w:rPr>
                <w:rFonts w:eastAsia="Calibri" w:cs="Times New Roman"/>
                <w:sz w:val="20"/>
                <w:szCs w:val="20"/>
              </w:rPr>
            </w:pPr>
            <w:r w:rsidRPr="00841E19">
              <w:rPr>
                <w:rFonts w:eastAsia="Calibri" w:cs="Times New Roman"/>
                <w:sz w:val="20"/>
                <w:szCs w:val="20"/>
              </w:rPr>
              <w:t>December 23, 2014</w:t>
            </w:r>
          </w:p>
          <w:p w:rsidR="00D96177" w:rsidRPr="00841E19" w:rsidRDefault="00D96177" w:rsidP="00D96177">
            <w:pPr>
              <w:jc w:val="both"/>
              <w:rPr>
                <w:rFonts w:eastAsia="Calibri" w:cs="Times New Roman"/>
                <w:sz w:val="20"/>
                <w:szCs w:val="20"/>
              </w:rPr>
            </w:pPr>
            <w:r w:rsidRPr="00841E19">
              <w:rPr>
                <w:rFonts w:eastAsia="Calibri" w:cs="Times New Roman"/>
                <w:sz w:val="20"/>
                <w:szCs w:val="20"/>
              </w:rPr>
              <w:t>Supreme Court of Canada</w:t>
            </w:r>
          </w:p>
        </w:tc>
        <w:tc>
          <w:tcPr>
            <w:tcW w:w="243" w:type="pct"/>
          </w:tcPr>
          <w:p w:rsidR="00D96177" w:rsidRPr="00841E19" w:rsidRDefault="00D96177" w:rsidP="00D96177">
            <w:pPr>
              <w:jc w:val="both"/>
              <w:rPr>
                <w:rFonts w:eastAsia="Calibri" w:cs="Times New Roman"/>
                <w:sz w:val="20"/>
                <w:szCs w:val="20"/>
              </w:rPr>
            </w:pPr>
          </w:p>
        </w:tc>
        <w:tc>
          <w:tcPr>
            <w:tcW w:w="2330" w:type="pct"/>
          </w:tcPr>
          <w:p w:rsidR="00D96177" w:rsidRPr="00841E19" w:rsidRDefault="00D96177" w:rsidP="00D96177">
            <w:pPr>
              <w:jc w:val="both"/>
              <w:rPr>
                <w:rFonts w:eastAsia="Calibri" w:cs="Times New Roman"/>
                <w:sz w:val="20"/>
                <w:szCs w:val="20"/>
              </w:rPr>
            </w:pPr>
            <w:r w:rsidRPr="00841E19">
              <w:rPr>
                <w:rFonts w:eastAsia="Calibri" w:cs="Times New Roman"/>
                <w:sz w:val="20"/>
                <w:szCs w:val="20"/>
              </w:rPr>
              <w:t>Application for leave to appeal filed</w:t>
            </w:r>
          </w:p>
          <w:p w:rsidR="00D96177" w:rsidRPr="00841E19" w:rsidRDefault="00D96177" w:rsidP="00D96177">
            <w:pPr>
              <w:jc w:val="both"/>
              <w:rPr>
                <w:rFonts w:eastAsia="Calibri" w:cs="Times New Roman"/>
                <w:sz w:val="20"/>
                <w:szCs w:val="20"/>
              </w:rPr>
            </w:pPr>
          </w:p>
        </w:tc>
      </w:tr>
    </w:tbl>
    <w:p w:rsidR="00D96177" w:rsidRPr="00841E19" w:rsidRDefault="00D96177" w:rsidP="00D96177">
      <w:pPr>
        <w:jc w:val="both"/>
        <w:rPr>
          <w:rFonts w:eastAsia="Calibri" w:cs="Times New Roman"/>
          <w:sz w:val="20"/>
          <w:szCs w:val="20"/>
        </w:rPr>
      </w:pPr>
    </w:p>
    <w:p w:rsidR="00D96177" w:rsidRPr="00C50A5C" w:rsidRDefault="00417673" w:rsidP="00D96177">
      <w:pPr>
        <w:rPr>
          <w:sz w:val="20"/>
          <w:szCs w:val="20"/>
        </w:rPr>
      </w:pPr>
      <w:r>
        <w:rPr>
          <w:sz w:val="20"/>
          <w:szCs w:val="20"/>
          <w:lang w:val="fr-CA"/>
        </w:rPr>
        <w:pict>
          <v:rect id="_x0000_i1058" style="width:2in;height:1pt" o:hrpct="0" o:hralign="center" o:hrstd="t" o:hrnoshade="t" o:hr="t" fillcolor="black [3213]" stroked="f"/>
        </w:pict>
      </w:r>
    </w:p>
    <w:p w:rsidR="00D96177" w:rsidRDefault="00D96177" w:rsidP="00D96177">
      <w:pPr>
        <w:rPr>
          <w:sz w:val="20"/>
          <w:szCs w:val="20"/>
        </w:rPr>
      </w:pPr>
    </w:p>
    <w:p w:rsidR="00D96177" w:rsidRPr="001B157C" w:rsidRDefault="00D96177" w:rsidP="00D96177">
      <w:pPr>
        <w:rPr>
          <w:sz w:val="20"/>
          <w:szCs w:val="20"/>
          <w:u w:val="single"/>
          <w:lang w:val="fr-CA"/>
        </w:rPr>
      </w:pPr>
      <w:r w:rsidRPr="001B157C">
        <w:rPr>
          <w:sz w:val="20"/>
          <w:szCs w:val="20"/>
          <w:u w:val="single"/>
          <w:lang w:val="fr-CA"/>
        </w:rPr>
        <w:t>RÉSUMÉ DE L’AFFAIRE</w:t>
      </w:r>
    </w:p>
    <w:p w:rsidR="00D96177" w:rsidRDefault="00D96177" w:rsidP="00D9617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96177" w:rsidRPr="00584913" w:rsidTr="00D96177">
        <w:tc>
          <w:tcPr>
            <w:tcW w:w="5000" w:type="pct"/>
            <w:gridSpan w:val="3"/>
          </w:tcPr>
          <w:p w:rsidR="00D96177" w:rsidRPr="00841E19" w:rsidRDefault="00D96177" w:rsidP="00D96177">
            <w:pPr>
              <w:jc w:val="both"/>
              <w:rPr>
                <w:rFonts w:eastAsia="Calibri" w:cs="Times New Roman"/>
                <w:sz w:val="20"/>
                <w:szCs w:val="20"/>
                <w:lang w:val="fr-CA"/>
              </w:rPr>
            </w:pPr>
            <w:r w:rsidRPr="00841E19">
              <w:rPr>
                <w:rFonts w:eastAsia="Calibri" w:cs="Times New Roman"/>
                <w:sz w:val="20"/>
                <w:szCs w:val="20"/>
                <w:lang w:val="fr-CA"/>
              </w:rPr>
              <w:t xml:space="preserve">Propriété intellectuelle – Brevets – Médicaments – Un fabricant de médicaments génériques demande l’approbation réglementaire pour commercialiser sa version générique d’un médicament anti-inflammatoire, alléguant l’invalidité du brevet de l’intimée sur le produit de comparaison, notamment pour cause d’inutilité – Comment faut-il déterminer l’utilité promise par le brevet? – Quel est le rapport entre l’interprétation d’une promesse et les principes généraux </w:t>
            </w:r>
            <w:r w:rsidRPr="00841E19">
              <w:rPr>
                <w:rFonts w:eastAsia="Calibri" w:cs="Times New Roman"/>
                <w:sz w:val="20"/>
                <w:szCs w:val="20"/>
                <w:lang w:val="fr-CA"/>
              </w:rPr>
              <w:lastRenderedPageBreak/>
              <w:t>d’interprétation des brevets? – Dans une instance subséquente portant sur un brevet ayant déjà fait l’objet d’un litige, quelles circonstances justifient qu’un breveté ou un tribunal s’éloigne d’une concession ou d’un jugement rendu dans l’instance antérieure sur la même question d’interprétation du brevet?</w:t>
            </w:r>
          </w:p>
        </w:tc>
      </w:tr>
      <w:tr w:rsidR="00D96177" w:rsidRPr="00584913" w:rsidTr="00D96177">
        <w:tc>
          <w:tcPr>
            <w:tcW w:w="5000" w:type="pct"/>
            <w:gridSpan w:val="3"/>
          </w:tcPr>
          <w:p w:rsidR="00D96177" w:rsidRPr="00841E19" w:rsidRDefault="00D96177" w:rsidP="00D96177">
            <w:pPr>
              <w:jc w:val="both"/>
              <w:rPr>
                <w:rFonts w:eastAsia="Calibri" w:cs="Times New Roman"/>
                <w:sz w:val="20"/>
                <w:szCs w:val="20"/>
                <w:lang w:val="fr-CA"/>
              </w:rPr>
            </w:pPr>
          </w:p>
        </w:tc>
      </w:tr>
      <w:tr w:rsidR="00D96177" w:rsidRPr="00584913" w:rsidTr="00D96177">
        <w:tc>
          <w:tcPr>
            <w:tcW w:w="5000" w:type="pct"/>
            <w:gridSpan w:val="3"/>
          </w:tcPr>
          <w:p w:rsidR="00D96177" w:rsidRPr="00841E19" w:rsidRDefault="00D96177" w:rsidP="00D96177">
            <w:pPr>
              <w:jc w:val="both"/>
              <w:rPr>
                <w:rFonts w:eastAsia="Calibri" w:cs="Times New Roman"/>
                <w:sz w:val="20"/>
                <w:szCs w:val="20"/>
                <w:lang w:val="fr-CA"/>
              </w:rPr>
            </w:pPr>
            <w:r w:rsidRPr="00841E19">
              <w:rPr>
                <w:rFonts w:eastAsia="Calibri" w:cs="Times New Roman"/>
                <w:sz w:val="20"/>
                <w:szCs w:val="20"/>
                <w:lang w:val="fr-CA"/>
              </w:rPr>
              <w:t xml:space="preserve">Apotex Inc. (« Apotex ») a demandé l’approbation réglementaire pour commercialiser sa version générique du célécoxib, un médicament commercialisé sous la marque « Celebrex » par les intimées (collectivement, « Pfizer »).  Ce médicament est connu en tant qu’anti-inflammatoire non stéroïdien utilisé dans le traitement de troubles inflammatoires comme l’arthrite.  Pfizer a déposé le brevet 576 pour le Celebrex en novembre 1994.  Le brevet a été délivré le 26 octobre 1999 et est venu à échéance le 14 novembre 2014.  Apotex a signifié à Pfizer un avis d’allégation selon lequel le brevet 576 était invalide au regard du </w:t>
            </w:r>
            <w:r w:rsidRPr="00841E19">
              <w:rPr>
                <w:rFonts w:eastAsia="Calibri" w:cs="Times New Roman"/>
                <w:i/>
                <w:sz w:val="20"/>
                <w:szCs w:val="20"/>
                <w:lang w:val="fr-CA"/>
              </w:rPr>
              <w:t>Règlement sur les médicaments brevetés (avis de conformité)</w:t>
            </w:r>
            <w:r w:rsidRPr="00841E19">
              <w:rPr>
                <w:rFonts w:eastAsia="Calibri" w:cs="Times New Roman"/>
                <w:sz w:val="20"/>
                <w:szCs w:val="20"/>
                <w:lang w:val="fr-CA"/>
              </w:rPr>
              <w:t>, DORS 93/133, principalement au motif que l’utilité n’avait pas été démontrée ou valablement prédite à l’époque où le brevet avait été déposé.  Pfizer a sollicité une ordonnance interdisant au ministre de délivrer un avis de conformité à Apotex.</w:t>
            </w:r>
          </w:p>
          <w:p w:rsidR="00D96177" w:rsidRPr="00841E19" w:rsidRDefault="00D96177" w:rsidP="00D96177">
            <w:pPr>
              <w:jc w:val="both"/>
              <w:rPr>
                <w:rFonts w:eastAsia="Calibri" w:cs="Times New Roman"/>
                <w:sz w:val="20"/>
                <w:szCs w:val="20"/>
                <w:lang w:val="fr-CA"/>
              </w:rPr>
            </w:pPr>
          </w:p>
        </w:tc>
      </w:tr>
      <w:tr w:rsidR="00D96177" w:rsidRPr="00584913" w:rsidTr="00D96177">
        <w:tc>
          <w:tcPr>
            <w:tcW w:w="2427" w:type="pct"/>
          </w:tcPr>
          <w:p w:rsidR="00D96177" w:rsidRPr="00841E19" w:rsidRDefault="00D96177" w:rsidP="00D96177">
            <w:pPr>
              <w:jc w:val="both"/>
              <w:rPr>
                <w:rFonts w:eastAsia="Calibri" w:cs="Times New Roman"/>
                <w:sz w:val="20"/>
                <w:szCs w:val="20"/>
                <w:lang w:val="fr-CA"/>
              </w:rPr>
            </w:pPr>
            <w:r w:rsidRPr="00841E19">
              <w:rPr>
                <w:rFonts w:eastAsia="Calibri" w:cs="Times New Roman"/>
                <w:sz w:val="20"/>
                <w:szCs w:val="20"/>
                <w:lang w:val="fr-CA"/>
              </w:rPr>
              <w:t>15 avril 2014</w:t>
            </w:r>
          </w:p>
          <w:p w:rsidR="00D96177" w:rsidRPr="00841E19" w:rsidRDefault="00D96177" w:rsidP="00D96177">
            <w:pPr>
              <w:jc w:val="both"/>
              <w:rPr>
                <w:rFonts w:eastAsia="Calibri" w:cs="Times New Roman"/>
                <w:sz w:val="20"/>
                <w:szCs w:val="20"/>
                <w:lang w:val="fr-CA"/>
              </w:rPr>
            </w:pPr>
            <w:r w:rsidRPr="00841E19">
              <w:rPr>
                <w:rFonts w:eastAsia="Calibri" w:cs="Times New Roman"/>
                <w:sz w:val="20"/>
                <w:szCs w:val="20"/>
                <w:lang w:val="fr-CA"/>
              </w:rPr>
              <w:t>Cour fédérale</w:t>
            </w:r>
          </w:p>
          <w:p w:rsidR="00D96177" w:rsidRPr="00841E19" w:rsidRDefault="00D96177" w:rsidP="00D96177">
            <w:pPr>
              <w:jc w:val="both"/>
              <w:rPr>
                <w:rFonts w:eastAsia="Calibri" w:cs="Times New Roman"/>
                <w:sz w:val="20"/>
                <w:szCs w:val="20"/>
                <w:lang w:val="fr-CA"/>
              </w:rPr>
            </w:pPr>
            <w:r w:rsidRPr="00841E19">
              <w:rPr>
                <w:rFonts w:eastAsia="Calibri" w:cs="Times New Roman"/>
                <w:sz w:val="20"/>
                <w:szCs w:val="20"/>
                <w:lang w:val="fr-CA"/>
              </w:rPr>
              <w:t>(Juge Harrington)</w:t>
            </w:r>
          </w:p>
          <w:p w:rsidR="00D96177" w:rsidRPr="00841E19" w:rsidRDefault="00417673" w:rsidP="00D96177">
            <w:pPr>
              <w:jc w:val="both"/>
              <w:rPr>
                <w:rFonts w:eastAsia="Calibri" w:cs="Times New Roman"/>
                <w:sz w:val="20"/>
                <w:szCs w:val="20"/>
                <w:lang w:val="fr-CA"/>
              </w:rPr>
            </w:pPr>
            <w:hyperlink r:id="rId53" w:history="1">
              <w:r w:rsidR="00D96177" w:rsidRPr="00841E19">
                <w:rPr>
                  <w:rFonts w:eastAsia="Calibri" w:cs="Times New Roman"/>
                  <w:color w:val="0000FF"/>
                  <w:sz w:val="20"/>
                  <w:szCs w:val="20"/>
                  <w:u w:val="single"/>
                  <w:lang w:val="fr-CA"/>
                </w:rPr>
                <w:t>2014 FC 314</w:t>
              </w:r>
            </w:hyperlink>
            <w:r w:rsidR="00D96177" w:rsidRPr="00841E19">
              <w:rPr>
                <w:rFonts w:eastAsia="Calibri" w:cs="Times New Roman"/>
                <w:sz w:val="20"/>
                <w:szCs w:val="20"/>
                <w:lang w:val="fr-CA"/>
              </w:rPr>
              <w:t xml:space="preserve"> </w:t>
            </w:r>
          </w:p>
          <w:p w:rsidR="00D96177" w:rsidRPr="00841E19" w:rsidRDefault="00D96177" w:rsidP="00D96177">
            <w:pPr>
              <w:jc w:val="both"/>
              <w:rPr>
                <w:rFonts w:eastAsia="Calibri" w:cs="Times New Roman"/>
                <w:sz w:val="20"/>
                <w:szCs w:val="20"/>
                <w:lang w:val="fr-CA"/>
              </w:rPr>
            </w:pPr>
          </w:p>
        </w:tc>
        <w:tc>
          <w:tcPr>
            <w:tcW w:w="243" w:type="pct"/>
          </w:tcPr>
          <w:p w:rsidR="00D96177" w:rsidRPr="00841E19" w:rsidRDefault="00D96177" w:rsidP="00D96177">
            <w:pPr>
              <w:jc w:val="both"/>
              <w:rPr>
                <w:rFonts w:eastAsia="Calibri" w:cs="Times New Roman"/>
                <w:sz w:val="20"/>
                <w:szCs w:val="20"/>
                <w:lang w:val="fr-CA"/>
              </w:rPr>
            </w:pPr>
          </w:p>
        </w:tc>
        <w:tc>
          <w:tcPr>
            <w:tcW w:w="2330" w:type="pct"/>
          </w:tcPr>
          <w:p w:rsidR="00D96177" w:rsidRPr="00841E19" w:rsidRDefault="00D96177" w:rsidP="00D96177">
            <w:pPr>
              <w:jc w:val="both"/>
              <w:rPr>
                <w:rFonts w:eastAsia="Calibri" w:cs="Times New Roman"/>
                <w:sz w:val="20"/>
                <w:szCs w:val="20"/>
                <w:lang w:val="fr-CA"/>
              </w:rPr>
            </w:pPr>
            <w:r w:rsidRPr="00841E19">
              <w:rPr>
                <w:rFonts w:eastAsia="Calibri" w:cs="Times New Roman"/>
                <w:sz w:val="20"/>
                <w:szCs w:val="20"/>
                <w:lang w:val="fr-CA"/>
              </w:rPr>
              <w:t xml:space="preserve">Interdiction au ministre de délivrer à Apotex un avis de conformité avant l’expiration du brevet 576 </w:t>
            </w:r>
          </w:p>
          <w:p w:rsidR="00D96177" w:rsidRPr="00841E19" w:rsidRDefault="00D96177" w:rsidP="00D96177">
            <w:pPr>
              <w:jc w:val="both"/>
              <w:rPr>
                <w:rFonts w:eastAsia="Calibri" w:cs="Times New Roman"/>
                <w:sz w:val="20"/>
                <w:szCs w:val="20"/>
                <w:lang w:val="fr-CA"/>
              </w:rPr>
            </w:pPr>
          </w:p>
          <w:p w:rsidR="00D96177" w:rsidRPr="00841E19" w:rsidRDefault="00D96177" w:rsidP="00D96177">
            <w:pPr>
              <w:jc w:val="both"/>
              <w:rPr>
                <w:rFonts w:eastAsia="Calibri" w:cs="Times New Roman"/>
                <w:sz w:val="20"/>
                <w:szCs w:val="20"/>
                <w:lang w:val="fr-CA"/>
              </w:rPr>
            </w:pPr>
          </w:p>
        </w:tc>
      </w:tr>
      <w:tr w:rsidR="00D96177" w:rsidRPr="00841E19" w:rsidTr="00D96177">
        <w:tc>
          <w:tcPr>
            <w:tcW w:w="2427" w:type="pct"/>
          </w:tcPr>
          <w:p w:rsidR="00D96177" w:rsidRPr="00841E19" w:rsidRDefault="00D96177" w:rsidP="00D96177">
            <w:pPr>
              <w:jc w:val="both"/>
              <w:rPr>
                <w:rFonts w:eastAsia="Calibri" w:cs="Times New Roman"/>
                <w:sz w:val="20"/>
                <w:szCs w:val="20"/>
                <w:lang w:val="fr-CA"/>
              </w:rPr>
            </w:pPr>
            <w:r w:rsidRPr="00841E19">
              <w:rPr>
                <w:rFonts w:eastAsia="Calibri" w:cs="Times New Roman"/>
                <w:sz w:val="20"/>
                <w:szCs w:val="20"/>
                <w:lang w:val="fr-CA"/>
              </w:rPr>
              <w:t>30 octobre 2014</w:t>
            </w:r>
          </w:p>
          <w:p w:rsidR="00D96177" w:rsidRPr="00841E19" w:rsidRDefault="00D96177" w:rsidP="00D96177">
            <w:pPr>
              <w:jc w:val="both"/>
              <w:rPr>
                <w:rFonts w:eastAsia="Calibri" w:cs="Times New Roman"/>
                <w:sz w:val="20"/>
                <w:szCs w:val="20"/>
                <w:lang w:val="fr-CA"/>
              </w:rPr>
            </w:pPr>
            <w:r w:rsidRPr="00841E19">
              <w:rPr>
                <w:rFonts w:eastAsia="Calibri" w:cs="Times New Roman"/>
                <w:sz w:val="20"/>
                <w:szCs w:val="20"/>
                <w:lang w:val="fr-CA"/>
              </w:rPr>
              <w:t>Cour d’appel fédérale</w:t>
            </w:r>
          </w:p>
          <w:p w:rsidR="00D96177" w:rsidRPr="00841E19" w:rsidRDefault="00D96177" w:rsidP="00D96177">
            <w:pPr>
              <w:jc w:val="both"/>
              <w:rPr>
                <w:rFonts w:eastAsia="Calibri" w:cs="Times New Roman"/>
                <w:sz w:val="20"/>
                <w:szCs w:val="20"/>
                <w:lang w:val="fr-CA"/>
              </w:rPr>
            </w:pPr>
            <w:r w:rsidRPr="00841E19">
              <w:rPr>
                <w:rFonts w:eastAsia="Calibri" w:cs="Times New Roman"/>
                <w:sz w:val="20"/>
                <w:szCs w:val="20"/>
                <w:lang w:val="fr-CA"/>
              </w:rPr>
              <w:t>(Juge en chef Noël, juges Trudel et Boivin)</w:t>
            </w:r>
          </w:p>
          <w:p w:rsidR="00D96177" w:rsidRPr="00841E19" w:rsidRDefault="00417673" w:rsidP="00D96177">
            <w:pPr>
              <w:jc w:val="both"/>
              <w:rPr>
                <w:rFonts w:eastAsia="Calibri" w:cs="Times New Roman"/>
                <w:sz w:val="20"/>
                <w:szCs w:val="20"/>
                <w:lang w:val="fr-CA"/>
              </w:rPr>
            </w:pPr>
            <w:hyperlink r:id="rId54" w:history="1">
              <w:r w:rsidR="00D96177" w:rsidRPr="00841E19">
                <w:rPr>
                  <w:rFonts w:eastAsia="Calibri" w:cs="Times New Roman"/>
                  <w:color w:val="0000FF"/>
                  <w:sz w:val="20"/>
                  <w:szCs w:val="20"/>
                  <w:u w:val="single"/>
                  <w:lang w:val="fr-CA"/>
                </w:rPr>
                <w:t>2014 FCA 250</w:t>
              </w:r>
            </w:hyperlink>
          </w:p>
          <w:p w:rsidR="00D96177" w:rsidRPr="00841E19" w:rsidRDefault="00D96177" w:rsidP="00D96177">
            <w:pPr>
              <w:jc w:val="both"/>
              <w:rPr>
                <w:rFonts w:eastAsia="Calibri" w:cs="Times New Roman"/>
                <w:sz w:val="20"/>
                <w:szCs w:val="20"/>
                <w:lang w:val="fr-CA"/>
              </w:rPr>
            </w:pPr>
          </w:p>
        </w:tc>
        <w:tc>
          <w:tcPr>
            <w:tcW w:w="243" w:type="pct"/>
          </w:tcPr>
          <w:p w:rsidR="00D96177" w:rsidRPr="00841E19" w:rsidRDefault="00D96177" w:rsidP="00D96177">
            <w:pPr>
              <w:jc w:val="both"/>
              <w:rPr>
                <w:rFonts w:eastAsia="Calibri" w:cs="Times New Roman"/>
                <w:sz w:val="20"/>
                <w:szCs w:val="20"/>
                <w:lang w:val="fr-CA"/>
              </w:rPr>
            </w:pPr>
          </w:p>
        </w:tc>
        <w:tc>
          <w:tcPr>
            <w:tcW w:w="2330" w:type="pct"/>
          </w:tcPr>
          <w:p w:rsidR="00D96177" w:rsidRPr="00841E19" w:rsidRDefault="00D96177" w:rsidP="00D96177">
            <w:pPr>
              <w:jc w:val="both"/>
              <w:rPr>
                <w:rFonts w:eastAsia="Calibri" w:cs="Times New Roman"/>
                <w:sz w:val="20"/>
                <w:szCs w:val="20"/>
                <w:lang w:val="fr-CA"/>
              </w:rPr>
            </w:pPr>
            <w:r w:rsidRPr="00841E19">
              <w:rPr>
                <w:rFonts w:eastAsia="Calibri" w:cs="Times New Roman"/>
                <w:sz w:val="20"/>
                <w:szCs w:val="20"/>
                <w:lang w:val="fr-CA"/>
              </w:rPr>
              <w:t>Rejet des appels</w:t>
            </w:r>
          </w:p>
          <w:p w:rsidR="00D96177" w:rsidRPr="00841E19" w:rsidRDefault="00D96177" w:rsidP="00D96177">
            <w:pPr>
              <w:jc w:val="both"/>
              <w:rPr>
                <w:rFonts w:eastAsia="Calibri" w:cs="Times New Roman"/>
                <w:sz w:val="20"/>
                <w:szCs w:val="20"/>
                <w:lang w:val="fr-CA"/>
              </w:rPr>
            </w:pPr>
          </w:p>
        </w:tc>
      </w:tr>
      <w:tr w:rsidR="00D96177" w:rsidRPr="00584913" w:rsidTr="00D96177">
        <w:tc>
          <w:tcPr>
            <w:tcW w:w="2427" w:type="pct"/>
          </w:tcPr>
          <w:p w:rsidR="00D96177" w:rsidRPr="00841E19" w:rsidRDefault="00D96177" w:rsidP="00D96177">
            <w:pPr>
              <w:jc w:val="both"/>
              <w:rPr>
                <w:rFonts w:eastAsia="Calibri" w:cs="Times New Roman"/>
                <w:sz w:val="20"/>
                <w:szCs w:val="20"/>
                <w:lang w:val="fr-CA"/>
              </w:rPr>
            </w:pPr>
            <w:r w:rsidRPr="00841E19">
              <w:rPr>
                <w:rFonts w:eastAsia="Calibri" w:cs="Times New Roman"/>
                <w:sz w:val="20"/>
                <w:szCs w:val="20"/>
                <w:lang w:val="fr-CA"/>
              </w:rPr>
              <w:t>23 décembre 2014</w:t>
            </w:r>
          </w:p>
          <w:p w:rsidR="00D96177" w:rsidRPr="00841E19" w:rsidRDefault="00D96177" w:rsidP="00D96177">
            <w:pPr>
              <w:jc w:val="both"/>
              <w:rPr>
                <w:rFonts w:eastAsia="Calibri" w:cs="Times New Roman"/>
                <w:sz w:val="20"/>
                <w:szCs w:val="20"/>
                <w:lang w:val="fr-CA"/>
              </w:rPr>
            </w:pPr>
            <w:r w:rsidRPr="00841E19">
              <w:rPr>
                <w:rFonts w:eastAsia="Calibri" w:cs="Times New Roman"/>
                <w:sz w:val="20"/>
                <w:szCs w:val="20"/>
                <w:lang w:val="fr-CA"/>
              </w:rPr>
              <w:t>Cour suprême du Canada</w:t>
            </w:r>
          </w:p>
        </w:tc>
        <w:tc>
          <w:tcPr>
            <w:tcW w:w="243" w:type="pct"/>
          </w:tcPr>
          <w:p w:rsidR="00D96177" w:rsidRPr="00841E19" w:rsidRDefault="00D96177" w:rsidP="00D96177">
            <w:pPr>
              <w:jc w:val="both"/>
              <w:rPr>
                <w:rFonts w:eastAsia="Calibri" w:cs="Times New Roman"/>
                <w:sz w:val="20"/>
                <w:szCs w:val="20"/>
                <w:lang w:val="fr-CA"/>
              </w:rPr>
            </w:pPr>
          </w:p>
        </w:tc>
        <w:tc>
          <w:tcPr>
            <w:tcW w:w="2330" w:type="pct"/>
          </w:tcPr>
          <w:p w:rsidR="00D96177" w:rsidRPr="00841E19" w:rsidRDefault="00D96177" w:rsidP="00D96177">
            <w:pPr>
              <w:jc w:val="both"/>
              <w:rPr>
                <w:rFonts w:eastAsia="Calibri" w:cs="Times New Roman"/>
                <w:sz w:val="20"/>
                <w:szCs w:val="20"/>
                <w:lang w:val="fr-CA"/>
              </w:rPr>
            </w:pPr>
            <w:r w:rsidRPr="00841E19">
              <w:rPr>
                <w:rFonts w:eastAsia="Calibri" w:cs="Times New Roman"/>
                <w:sz w:val="20"/>
                <w:szCs w:val="20"/>
                <w:lang w:val="fr-CA"/>
              </w:rPr>
              <w:t>Dépôt de la demande d’autorisation d’appel</w:t>
            </w:r>
          </w:p>
          <w:p w:rsidR="00D96177" w:rsidRPr="00841E19" w:rsidRDefault="00D96177" w:rsidP="00D96177">
            <w:pPr>
              <w:jc w:val="both"/>
              <w:rPr>
                <w:rFonts w:eastAsia="Calibri" w:cs="Times New Roman"/>
                <w:sz w:val="20"/>
                <w:szCs w:val="20"/>
                <w:lang w:val="fr-CA"/>
              </w:rPr>
            </w:pPr>
          </w:p>
        </w:tc>
      </w:tr>
    </w:tbl>
    <w:p w:rsidR="00D96177" w:rsidRPr="00204D62" w:rsidRDefault="00D96177" w:rsidP="00D96177">
      <w:pPr>
        <w:jc w:val="both"/>
        <w:rPr>
          <w:rFonts w:eastAsia="Calibri" w:cs="Times New Roman"/>
          <w:sz w:val="20"/>
          <w:szCs w:val="20"/>
          <w:lang w:val="fr-CA"/>
        </w:rPr>
      </w:pPr>
    </w:p>
    <w:p w:rsidR="00D96177" w:rsidRPr="00C50A5C" w:rsidRDefault="00417673" w:rsidP="00D96177">
      <w:pPr>
        <w:rPr>
          <w:sz w:val="20"/>
          <w:szCs w:val="20"/>
        </w:rPr>
      </w:pPr>
      <w:r>
        <w:rPr>
          <w:sz w:val="20"/>
          <w:szCs w:val="20"/>
          <w:lang w:val="fr-CA"/>
        </w:rPr>
        <w:pict>
          <v:rect id="_x0000_i1059" style="width:2in;height:1pt" o:hrpct="0" o:hralign="center" o:hrstd="t" o:hrnoshade="t" o:hr="t" fillcolor="black [3213]" stroked="f"/>
        </w:pict>
      </w:r>
    </w:p>
    <w:p w:rsidR="00D96177" w:rsidRPr="00D96177" w:rsidRDefault="00D96177" w:rsidP="00841E19">
      <w:pPr>
        <w:jc w:val="both"/>
        <w:rPr>
          <w:rFonts w:eastAsia="Calibri" w:cs="Times New Roman"/>
          <w:sz w:val="20"/>
          <w:szCs w:val="20"/>
          <w:lang w:val="fr-CA"/>
        </w:rPr>
      </w:pPr>
    </w:p>
    <w:tbl>
      <w:tblPr>
        <w:tblStyle w:val="TableGrid10"/>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96177" w:rsidRPr="00D96177" w:rsidTr="00D96177">
        <w:trPr>
          <w:cantSplit/>
        </w:trPr>
        <w:tc>
          <w:tcPr>
            <w:tcW w:w="1458" w:type="dxa"/>
          </w:tcPr>
          <w:p w:rsidR="00D96177" w:rsidRPr="00D96177" w:rsidRDefault="00D96177" w:rsidP="00D96177">
            <w:pPr>
              <w:jc w:val="both"/>
              <w:rPr>
                <w:sz w:val="20"/>
              </w:rPr>
            </w:pPr>
            <w:r w:rsidRPr="00D96177">
              <w:rPr>
                <w:b/>
                <w:sz w:val="20"/>
                <w:lang w:val="fr-CA"/>
              </w:rPr>
              <w:t>36228</w:t>
            </w:r>
          </w:p>
          <w:p w:rsidR="00D96177" w:rsidRPr="00D96177" w:rsidRDefault="00D96177" w:rsidP="00D96177">
            <w:pPr>
              <w:jc w:val="both"/>
              <w:rPr>
                <w:b/>
                <w:sz w:val="20"/>
                <w:lang w:val="fr-CA"/>
              </w:rPr>
            </w:pPr>
          </w:p>
        </w:tc>
        <w:tc>
          <w:tcPr>
            <w:tcW w:w="8118" w:type="dxa"/>
          </w:tcPr>
          <w:p w:rsidR="00D96177" w:rsidRPr="00D96177" w:rsidRDefault="00D96177" w:rsidP="00D96177">
            <w:pPr>
              <w:jc w:val="both"/>
              <w:rPr>
                <w:sz w:val="20"/>
              </w:rPr>
            </w:pPr>
            <w:r w:rsidRPr="00D96177">
              <w:rPr>
                <w:b/>
                <w:sz w:val="20"/>
                <w:u w:val="single"/>
                <w:lang w:val="en-US"/>
              </w:rPr>
              <w:t>Mylan Pharmaceuticals ULC v. Pfizer Canada Inc., G.D. Searle &amp; Co.</w:t>
            </w:r>
            <w:r w:rsidR="00577386">
              <w:rPr>
                <w:b/>
                <w:sz w:val="20"/>
                <w:u w:val="single"/>
                <w:lang w:val="en-US"/>
              </w:rPr>
              <w:t xml:space="preserve"> and</w:t>
            </w:r>
            <w:r w:rsidR="00367911">
              <w:rPr>
                <w:b/>
                <w:sz w:val="20"/>
                <w:u w:val="single"/>
                <w:lang w:val="en-US"/>
              </w:rPr>
              <w:t xml:space="preserve"> Minister of Health</w:t>
            </w:r>
            <w:r w:rsidRPr="00D96177">
              <w:rPr>
                <w:sz w:val="20"/>
              </w:rPr>
              <w:t xml:space="preserve"> (F</w:t>
            </w:r>
            <w:r w:rsidR="00577386">
              <w:rPr>
                <w:sz w:val="20"/>
              </w:rPr>
              <w:t>.</w:t>
            </w:r>
            <w:r w:rsidRPr="00D96177">
              <w:rPr>
                <w:sz w:val="20"/>
              </w:rPr>
              <w:t>C</w:t>
            </w:r>
            <w:r w:rsidR="00577386">
              <w:rPr>
                <w:sz w:val="20"/>
              </w:rPr>
              <w:t>.</w:t>
            </w:r>
            <w:r w:rsidRPr="00D96177">
              <w:rPr>
                <w:sz w:val="20"/>
              </w:rPr>
              <w:t>) (Civil) (By Leave)</w:t>
            </w:r>
          </w:p>
          <w:p w:rsidR="00D96177" w:rsidRPr="00D96177" w:rsidRDefault="00D96177" w:rsidP="00D96177">
            <w:pPr>
              <w:jc w:val="both"/>
              <w:rPr>
                <w:sz w:val="20"/>
              </w:rPr>
            </w:pPr>
          </w:p>
        </w:tc>
      </w:tr>
      <w:tr w:rsidR="00D96177" w:rsidRPr="00D96177" w:rsidTr="00D96177">
        <w:trPr>
          <w:cantSplit/>
        </w:trPr>
        <w:tc>
          <w:tcPr>
            <w:tcW w:w="1458" w:type="dxa"/>
          </w:tcPr>
          <w:p w:rsidR="00D96177" w:rsidRPr="00D96177" w:rsidRDefault="00D96177" w:rsidP="00D96177">
            <w:pPr>
              <w:jc w:val="both"/>
              <w:rPr>
                <w:sz w:val="20"/>
              </w:rPr>
            </w:pPr>
            <w:r w:rsidRPr="00D96177">
              <w:rPr>
                <w:sz w:val="20"/>
              </w:rPr>
              <w:t>Coram :</w:t>
            </w:r>
          </w:p>
        </w:tc>
        <w:tc>
          <w:tcPr>
            <w:tcW w:w="8118" w:type="dxa"/>
          </w:tcPr>
          <w:p w:rsidR="00D96177" w:rsidRPr="00D96177" w:rsidRDefault="00D96177" w:rsidP="00D96177">
            <w:pPr>
              <w:jc w:val="both"/>
              <w:rPr>
                <w:sz w:val="20"/>
              </w:rPr>
            </w:pPr>
            <w:r w:rsidRPr="00D96177">
              <w:rPr>
                <w:sz w:val="20"/>
                <w:u w:val="single"/>
                <w:lang w:val="en-US"/>
              </w:rPr>
              <w:t>Rothstein, Cromwell and Moldaver JJ.</w:t>
            </w:r>
          </w:p>
          <w:p w:rsidR="00D96177" w:rsidRPr="00D96177" w:rsidRDefault="00D96177" w:rsidP="00D96177">
            <w:pPr>
              <w:jc w:val="both"/>
              <w:rPr>
                <w:sz w:val="20"/>
                <w:u w:val="single"/>
              </w:rPr>
            </w:pPr>
          </w:p>
        </w:tc>
      </w:tr>
      <w:tr w:rsidR="00D96177" w:rsidRPr="00584913" w:rsidTr="00D96177">
        <w:trPr>
          <w:cantSplit/>
        </w:trPr>
        <w:tc>
          <w:tcPr>
            <w:tcW w:w="9576" w:type="dxa"/>
            <w:gridSpan w:val="2"/>
          </w:tcPr>
          <w:p w:rsidR="00D96177" w:rsidRPr="00D96177" w:rsidRDefault="00D96177" w:rsidP="00D96177">
            <w:pPr>
              <w:ind w:firstLine="720"/>
              <w:jc w:val="both"/>
              <w:rPr>
                <w:sz w:val="20"/>
              </w:rPr>
            </w:pPr>
            <w:r w:rsidRPr="00D96177">
              <w:rPr>
                <w:sz w:val="20"/>
              </w:rPr>
              <w:t>The motion to add the Minister of Health as a party is granted. The application for leave to appeal from the judgment of the Federal Court of Appeal, Number A-94-14, 2014 FCA 250, dated October 30, 2014, is dismissed with costs.</w:t>
            </w:r>
          </w:p>
          <w:p w:rsidR="00D96177" w:rsidRPr="00D96177" w:rsidRDefault="00D96177" w:rsidP="00D96177">
            <w:pPr>
              <w:jc w:val="both"/>
              <w:rPr>
                <w:sz w:val="20"/>
              </w:rPr>
            </w:pPr>
          </w:p>
          <w:p w:rsidR="00D96177" w:rsidRPr="00D96177" w:rsidRDefault="00D96177" w:rsidP="00D96177">
            <w:pPr>
              <w:ind w:firstLine="720"/>
              <w:jc w:val="both"/>
              <w:rPr>
                <w:sz w:val="20"/>
                <w:lang w:val="fr-CA"/>
              </w:rPr>
            </w:pPr>
            <w:r w:rsidRPr="00D96177">
              <w:rPr>
                <w:sz w:val="20"/>
                <w:lang w:val="fr-CA"/>
              </w:rPr>
              <w:t>La requête en vue d’ajouter le ministre de la Santé comme partie est accordée. La demande d’autorisation d’appel de l’arrêt de la Cour d’appel fédérale, numéro A-94-14, 2014 CAF 250, daté du 30 octobre 2014, est rejetée avec dépens.</w:t>
            </w:r>
          </w:p>
        </w:tc>
      </w:tr>
    </w:tbl>
    <w:p w:rsidR="00D96177" w:rsidRPr="00D96177" w:rsidRDefault="00D96177" w:rsidP="00841E19">
      <w:pPr>
        <w:jc w:val="both"/>
        <w:rPr>
          <w:rFonts w:eastAsia="Calibri" w:cs="Times New Roman"/>
          <w:sz w:val="20"/>
          <w:szCs w:val="20"/>
          <w:lang w:val="fr-CA"/>
        </w:rPr>
      </w:pPr>
    </w:p>
    <w:p w:rsidR="00017F43" w:rsidRPr="001B157C" w:rsidRDefault="00017F43" w:rsidP="00017F43">
      <w:pPr>
        <w:rPr>
          <w:sz w:val="20"/>
          <w:szCs w:val="20"/>
          <w:u w:val="single"/>
        </w:rPr>
      </w:pPr>
      <w:r w:rsidRPr="001B157C">
        <w:rPr>
          <w:sz w:val="20"/>
          <w:szCs w:val="20"/>
          <w:u w:val="single"/>
        </w:rPr>
        <w:t>CASE SUMMARY</w:t>
      </w:r>
    </w:p>
    <w:p w:rsidR="00017F43" w:rsidRDefault="00017F43" w:rsidP="00017F4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17F43" w:rsidRPr="00841E19" w:rsidTr="00102938">
        <w:tc>
          <w:tcPr>
            <w:tcW w:w="5000" w:type="pct"/>
            <w:gridSpan w:val="3"/>
          </w:tcPr>
          <w:p w:rsidR="00017F43" w:rsidRPr="00841E19" w:rsidRDefault="00017F43" w:rsidP="00102938">
            <w:pPr>
              <w:jc w:val="both"/>
              <w:rPr>
                <w:rFonts w:eastAsia="Calibri" w:cs="Times New Roman"/>
                <w:sz w:val="20"/>
                <w:szCs w:val="20"/>
              </w:rPr>
            </w:pPr>
            <w:r w:rsidRPr="00841E19">
              <w:rPr>
                <w:rFonts w:eastAsia="Calibri" w:cs="Times New Roman"/>
                <w:sz w:val="20"/>
                <w:szCs w:val="20"/>
              </w:rPr>
              <w:t xml:space="preserve">Intellectual property – Patents – Medicines – Generic drug manufacturer seeking regulatory approval to market its generic version of anti-inflammatory drug, alleging respondent’s patent for comparator drug invalid for, </w:t>
            </w:r>
            <w:r w:rsidRPr="00841E19">
              <w:rPr>
                <w:rFonts w:eastAsia="Calibri" w:cs="Times New Roman"/>
                <w:i/>
                <w:sz w:val="20"/>
                <w:szCs w:val="20"/>
              </w:rPr>
              <w:t>inter alia</w:t>
            </w:r>
            <w:r w:rsidRPr="00841E19">
              <w:rPr>
                <w:rFonts w:eastAsia="Calibri" w:cs="Times New Roman"/>
                <w:sz w:val="20"/>
                <w:szCs w:val="20"/>
              </w:rPr>
              <w:t>, non-utility – How is the utility promised by the patent to be determined? – How does promise construction relate to general principles of patent construction? – In a subsequent proceeding dealing with an earlier-litigated patent, what circumstances justify a departure by a patentee or a court from a concession or judicial determination made in a prior proceeding on the same patent construction issue?</w:t>
            </w:r>
          </w:p>
          <w:p w:rsidR="00017F43" w:rsidRPr="00841E19" w:rsidRDefault="00017F43" w:rsidP="00102938">
            <w:pPr>
              <w:jc w:val="both"/>
              <w:rPr>
                <w:rFonts w:eastAsia="Calibri" w:cs="Times New Roman"/>
                <w:sz w:val="20"/>
                <w:szCs w:val="20"/>
              </w:rPr>
            </w:pPr>
          </w:p>
          <w:p w:rsidR="00017F43" w:rsidRPr="00841E19" w:rsidRDefault="00017F43" w:rsidP="00102938">
            <w:pPr>
              <w:jc w:val="both"/>
              <w:rPr>
                <w:rFonts w:eastAsia="Calibri" w:cs="Times New Roman"/>
                <w:sz w:val="20"/>
                <w:szCs w:val="20"/>
              </w:rPr>
            </w:pPr>
            <w:r w:rsidRPr="00841E19">
              <w:rPr>
                <w:rFonts w:eastAsia="Calibri" w:cs="Times New Roman"/>
                <w:sz w:val="20"/>
                <w:szCs w:val="20"/>
              </w:rPr>
              <w:t xml:space="preserve">Mylan Pharmaceuticals ULC (“Mylan”) sought to obtain regulatory approval to market its generic version of celecoxib, a drug marketed under the brand name “Celebrex” by the respondents (collectively, “Pfizer”) used in the treatment of inflammatory disorders.  It is known as a non-steroidal anti-inflammatory drug (“NSAID”) used in the treatment of inflammatory disorders such as arthritis. Pfizer filed for the ‘576 patent for Celebrex in November, 1994.  The patent issued on October 26, 1999 and expired on November 14, 2014.  Mylan served a Notice of Allegation on Pfizer, alleging that the ‘576 patent was invalid for the purposes of the </w:t>
            </w:r>
            <w:r w:rsidRPr="00841E19">
              <w:rPr>
                <w:rFonts w:eastAsia="Calibri" w:cs="Times New Roman"/>
                <w:i/>
                <w:sz w:val="20"/>
                <w:szCs w:val="20"/>
              </w:rPr>
              <w:t>Patented Medicines (Notice of Compliance) Regulations</w:t>
            </w:r>
            <w:r w:rsidRPr="00841E19">
              <w:rPr>
                <w:rFonts w:eastAsia="Calibri" w:cs="Times New Roman"/>
                <w:sz w:val="20"/>
                <w:szCs w:val="20"/>
              </w:rPr>
              <w:t>, SOR 93/133, primarily on the ground that a promise had been made in the patent with respect to reduced side effects as compared to other NSAIDs that had not been met.  Pfizer sought an order to prohibit the Minister from issuing a Notice of Compliance to Mylan.</w:t>
            </w:r>
          </w:p>
        </w:tc>
      </w:tr>
      <w:tr w:rsidR="00017F43" w:rsidRPr="00841E19" w:rsidTr="00102938">
        <w:tc>
          <w:tcPr>
            <w:tcW w:w="5000" w:type="pct"/>
            <w:gridSpan w:val="3"/>
          </w:tcPr>
          <w:p w:rsidR="00017F43" w:rsidRPr="00841E19" w:rsidRDefault="00017F43" w:rsidP="00102938">
            <w:pPr>
              <w:jc w:val="both"/>
              <w:rPr>
                <w:rFonts w:eastAsia="Calibri" w:cs="Times New Roman"/>
                <w:sz w:val="20"/>
                <w:szCs w:val="20"/>
              </w:rPr>
            </w:pPr>
          </w:p>
        </w:tc>
      </w:tr>
      <w:tr w:rsidR="00017F43" w:rsidRPr="00841E19" w:rsidTr="00102938">
        <w:tc>
          <w:tcPr>
            <w:tcW w:w="2427" w:type="pct"/>
          </w:tcPr>
          <w:p w:rsidR="00017F43" w:rsidRPr="00841E19" w:rsidRDefault="00017F43" w:rsidP="00102938">
            <w:pPr>
              <w:jc w:val="both"/>
              <w:rPr>
                <w:rFonts w:eastAsia="Calibri" w:cs="Times New Roman"/>
                <w:sz w:val="20"/>
                <w:szCs w:val="20"/>
              </w:rPr>
            </w:pPr>
            <w:r w:rsidRPr="00841E19">
              <w:rPr>
                <w:rFonts w:eastAsia="Calibri" w:cs="Times New Roman"/>
                <w:sz w:val="20"/>
                <w:szCs w:val="20"/>
              </w:rPr>
              <w:t>January 14, 2014</w:t>
            </w:r>
          </w:p>
          <w:p w:rsidR="00017F43" w:rsidRPr="00841E19" w:rsidRDefault="00017F43" w:rsidP="00102938">
            <w:pPr>
              <w:jc w:val="both"/>
              <w:rPr>
                <w:rFonts w:eastAsia="Calibri" w:cs="Times New Roman"/>
                <w:sz w:val="20"/>
                <w:szCs w:val="20"/>
              </w:rPr>
            </w:pPr>
            <w:r w:rsidRPr="00841E19">
              <w:rPr>
                <w:rFonts w:eastAsia="Calibri" w:cs="Times New Roman"/>
                <w:sz w:val="20"/>
                <w:szCs w:val="20"/>
              </w:rPr>
              <w:t>Federal Court</w:t>
            </w:r>
          </w:p>
          <w:p w:rsidR="00017F43" w:rsidRPr="00841E19" w:rsidRDefault="00017F43" w:rsidP="00102938">
            <w:pPr>
              <w:jc w:val="both"/>
              <w:rPr>
                <w:rFonts w:eastAsia="Calibri" w:cs="Times New Roman"/>
                <w:sz w:val="20"/>
                <w:szCs w:val="20"/>
              </w:rPr>
            </w:pPr>
            <w:r w:rsidRPr="00841E19">
              <w:rPr>
                <w:rFonts w:eastAsia="Calibri" w:cs="Times New Roman"/>
                <w:sz w:val="20"/>
                <w:szCs w:val="20"/>
              </w:rPr>
              <w:t>(Harrington J.)</w:t>
            </w:r>
          </w:p>
          <w:p w:rsidR="00017F43" w:rsidRPr="00841E19" w:rsidRDefault="00417673" w:rsidP="00102938">
            <w:pPr>
              <w:jc w:val="both"/>
              <w:rPr>
                <w:rFonts w:eastAsia="Calibri" w:cs="Times New Roman"/>
                <w:sz w:val="20"/>
                <w:szCs w:val="20"/>
              </w:rPr>
            </w:pPr>
            <w:hyperlink r:id="rId55" w:history="1">
              <w:r w:rsidR="00017F43" w:rsidRPr="00841E19">
                <w:rPr>
                  <w:rFonts w:eastAsia="Calibri" w:cs="Times New Roman"/>
                  <w:color w:val="0000FF"/>
                  <w:sz w:val="20"/>
                  <w:szCs w:val="20"/>
                  <w:u w:val="single"/>
                </w:rPr>
                <w:t>2014 FC 38</w:t>
              </w:r>
            </w:hyperlink>
            <w:r w:rsidR="00017F43" w:rsidRPr="00841E19">
              <w:rPr>
                <w:rFonts w:eastAsia="Calibri" w:cs="Times New Roman"/>
                <w:sz w:val="20"/>
                <w:szCs w:val="20"/>
              </w:rPr>
              <w:t xml:space="preserve"> </w:t>
            </w:r>
          </w:p>
          <w:p w:rsidR="00017F43" w:rsidRPr="00841E19" w:rsidRDefault="00017F43" w:rsidP="00102938">
            <w:pPr>
              <w:jc w:val="both"/>
              <w:rPr>
                <w:rFonts w:eastAsia="Calibri" w:cs="Times New Roman"/>
                <w:sz w:val="20"/>
                <w:szCs w:val="20"/>
              </w:rPr>
            </w:pPr>
          </w:p>
        </w:tc>
        <w:tc>
          <w:tcPr>
            <w:tcW w:w="243" w:type="pct"/>
          </w:tcPr>
          <w:p w:rsidR="00017F43" w:rsidRPr="00841E19" w:rsidRDefault="00017F43" w:rsidP="00102938">
            <w:pPr>
              <w:jc w:val="both"/>
              <w:rPr>
                <w:rFonts w:eastAsia="Calibri" w:cs="Times New Roman"/>
                <w:sz w:val="20"/>
                <w:szCs w:val="20"/>
              </w:rPr>
            </w:pPr>
          </w:p>
        </w:tc>
        <w:tc>
          <w:tcPr>
            <w:tcW w:w="2330" w:type="pct"/>
          </w:tcPr>
          <w:p w:rsidR="00017F43" w:rsidRPr="00841E19" w:rsidRDefault="00017F43" w:rsidP="00102938">
            <w:pPr>
              <w:jc w:val="both"/>
              <w:rPr>
                <w:rFonts w:eastAsia="Calibri" w:cs="Times New Roman"/>
                <w:sz w:val="20"/>
                <w:szCs w:val="20"/>
              </w:rPr>
            </w:pPr>
            <w:r w:rsidRPr="00841E19">
              <w:rPr>
                <w:rFonts w:eastAsia="Calibri" w:cs="Times New Roman"/>
                <w:sz w:val="20"/>
                <w:szCs w:val="20"/>
              </w:rPr>
              <w:t>Minister of Health prohibited from issuing a Notice of Compliance to applicant until after expiry of ‘576 patent</w:t>
            </w:r>
          </w:p>
          <w:p w:rsidR="00017F43" w:rsidRPr="00841E19" w:rsidRDefault="00017F43" w:rsidP="00102938">
            <w:pPr>
              <w:jc w:val="both"/>
              <w:rPr>
                <w:rFonts w:eastAsia="Calibri" w:cs="Times New Roman"/>
                <w:sz w:val="20"/>
                <w:szCs w:val="20"/>
              </w:rPr>
            </w:pPr>
          </w:p>
        </w:tc>
      </w:tr>
      <w:tr w:rsidR="00017F43" w:rsidRPr="00841E19" w:rsidTr="00102938">
        <w:tc>
          <w:tcPr>
            <w:tcW w:w="2427" w:type="pct"/>
          </w:tcPr>
          <w:p w:rsidR="00017F43" w:rsidRPr="00841E19" w:rsidRDefault="00017F43" w:rsidP="00102938">
            <w:pPr>
              <w:jc w:val="both"/>
              <w:rPr>
                <w:rFonts w:eastAsia="Calibri" w:cs="Times New Roman"/>
                <w:sz w:val="20"/>
                <w:szCs w:val="20"/>
              </w:rPr>
            </w:pPr>
            <w:r w:rsidRPr="00841E19">
              <w:rPr>
                <w:rFonts w:eastAsia="Calibri" w:cs="Times New Roman"/>
                <w:sz w:val="20"/>
                <w:szCs w:val="20"/>
              </w:rPr>
              <w:t>October 30, 2014</w:t>
            </w:r>
          </w:p>
          <w:p w:rsidR="00017F43" w:rsidRPr="00841E19" w:rsidRDefault="00017F43" w:rsidP="00102938">
            <w:pPr>
              <w:jc w:val="both"/>
              <w:rPr>
                <w:rFonts w:eastAsia="Calibri" w:cs="Times New Roman"/>
                <w:sz w:val="20"/>
                <w:szCs w:val="20"/>
              </w:rPr>
            </w:pPr>
            <w:r w:rsidRPr="00841E19">
              <w:rPr>
                <w:rFonts w:eastAsia="Calibri" w:cs="Times New Roman"/>
                <w:sz w:val="20"/>
                <w:szCs w:val="20"/>
              </w:rPr>
              <w:t>Federal Court of Appeal</w:t>
            </w:r>
          </w:p>
          <w:p w:rsidR="00017F43" w:rsidRPr="00841E19" w:rsidRDefault="00017F43" w:rsidP="00102938">
            <w:pPr>
              <w:jc w:val="both"/>
              <w:rPr>
                <w:rFonts w:eastAsia="Calibri" w:cs="Times New Roman"/>
                <w:sz w:val="20"/>
                <w:szCs w:val="20"/>
              </w:rPr>
            </w:pPr>
            <w:r w:rsidRPr="00841E19">
              <w:rPr>
                <w:rFonts w:eastAsia="Calibri" w:cs="Times New Roman"/>
                <w:sz w:val="20"/>
                <w:szCs w:val="20"/>
              </w:rPr>
              <w:t>(Noël C.J., Trudel and Boivin JJ.A.)</w:t>
            </w:r>
          </w:p>
          <w:p w:rsidR="00017F43" w:rsidRPr="00841E19" w:rsidRDefault="00417673" w:rsidP="00102938">
            <w:pPr>
              <w:jc w:val="both"/>
              <w:rPr>
                <w:rFonts w:eastAsia="Calibri" w:cs="Times New Roman"/>
                <w:sz w:val="20"/>
                <w:szCs w:val="20"/>
              </w:rPr>
            </w:pPr>
            <w:hyperlink r:id="rId56" w:history="1">
              <w:r w:rsidR="00017F43" w:rsidRPr="00841E19">
                <w:rPr>
                  <w:rFonts w:eastAsia="Calibri" w:cs="Times New Roman"/>
                  <w:color w:val="0000FF"/>
                  <w:sz w:val="20"/>
                  <w:szCs w:val="20"/>
                  <w:u w:val="single"/>
                </w:rPr>
                <w:t>2014 FCA 250</w:t>
              </w:r>
            </w:hyperlink>
          </w:p>
          <w:p w:rsidR="00017F43" w:rsidRPr="00841E19" w:rsidRDefault="00017F43" w:rsidP="00102938">
            <w:pPr>
              <w:jc w:val="both"/>
              <w:rPr>
                <w:rFonts w:eastAsia="Calibri" w:cs="Times New Roman"/>
                <w:sz w:val="20"/>
                <w:szCs w:val="20"/>
              </w:rPr>
            </w:pPr>
          </w:p>
        </w:tc>
        <w:tc>
          <w:tcPr>
            <w:tcW w:w="243" w:type="pct"/>
          </w:tcPr>
          <w:p w:rsidR="00017F43" w:rsidRPr="00841E19" w:rsidRDefault="00017F43" w:rsidP="00102938">
            <w:pPr>
              <w:jc w:val="both"/>
              <w:rPr>
                <w:rFonts w:eastAsia="Calibri" w:cs="Times New Roman"/>
                <w:sz w:val="20"/>
                <w:szCs w:val="20"/>
              </w:rPr>
            </w:pPr>
          </w:p>
        </w:tc>
        <w:tc>
          <w:tcPr>
            <w:tcW w:w="2330" w:type="pct"/>
          </w:tcPr>
          <w:p w:rsidR="00017F43" w:rsidRPr="00841E19" w:rsidRDefault="00017F43" w:rsidP="00102938">
            <w:pPr>
              <w:jc w:val="both"/>
              <w:rPr>
                <w:rFonts w:eastAsia="Calibri" w:cs="Times New Roman"/>
                <w:sz w:val="20"/>
                <w:szCs w:val="20"/>
              </w:rPr>
            </w:pPr>
            <w:r w:rsidRPr="00841E19">
              <w:rPr>
                <w:rFonts w:eastAsia="Calibri" w:cs="Times New Roman"/>
                <w:sz w:val="20"/>
                <w:szCs w:val="20"/>
              </w:rPr>
              <w:t>Appeals dismissed</w:t>
            </w:r>
          </w:p>
          <w:p w:rsidR="00017F43" w:rsidRPr="00841E19" w:rsidRDefault="00017F43" w:rsidP="00102938">
            <w:pPr>
              <w:jc w:val="both"/>
              <w:rPr>
                <w:rFonts w:eastAsia="Calibri" w:cs="Times New Roman"/>
                <w:sz w:val="20"/>
                <w:szCs w:val="20"/>
              </w:rPr>
            </w:pPr>
          </w:p>
        </w:tc>
      </w:tr>
      <w:tr w:rsidR="00017F43" w:rsidRPr="00841E19" w:rsidTr="00102938">
        <w:tc>
          <w:tcPr>
            <w:tcW w:w="2427" w:type="pct"/>
          </w:tcPr>
          <w:p w:rsidR="00017F43" w:rsidRPr="00841E19" w:rsidRDefault="00017F43" w:rsidP="00102938">
            <w:pPr>
              <w:jc w:val="both"/>
              <w:rPr>
                <w:rFonts w:eastAsia="Calibri" w:cs="Times New Roman"/>
                <w:sz w:val="20"/>
                <w:szCs w:val="20"/>
              </w:rPr>
            </w:pPr>
            <w:r w:rsidRPr="00841E19">
              <w:rPr>
                <w:rFonts w:eastAsia="Calibri" w:cs="Times New Roman"/>
                <w:sz w:val="20"/>
                <w:szCs w:val="20"/>
              </w:rPr>
              <w:t>December 23, 2014</w:t>
            </w:r>
          </w:p>
          <w:p w:rsidR="00017F43" w:rsidRPr="00841E19" w:rsidRDefault="00017F43" w:rsidP="00102938">
            <w:pPr>
              <w:jc w:val="both"/>
              <w:rPr>
                <w:rFonts w:eastAsia="Calibri" w:cs="Times New Roman"/>
                <w:sz w:val="20"/>
                <w:szCs w:val="20"/>
              </w:rPr>
            </w:pPr>
            <w:r w:rsidRPr="00841E19">
              <w:rPr>
                <w:rFonts w:eastAsia="Calibri" w:cs="Times New Roman"/>
                <w:sz w:val="20"/>
                <w:szCs w:val="20"/>
              </w:rPr>
              <w:t>Supreme Court of Canada</w:t>
            </w:r>
          </w:p>
        </w:tc>
        <w:tc>
          <w:tcPr>
            <w:tcW w:w="243" w:type="pct"/>
          </w:tcPr>
          <w:p w:rsidR="00017F43" w:rsidRPr="00841E19" w:rsidRDefault="00017F43" w:rsidP="00102938">
            <w:pPr>
              <w:jc w:val="both"/>
              <w:rPr>
                <w:rFonts w:eastAsia="Calibri" w:cs="Times New Roman"/>
                <w:sz w:val="20"/>
                <w:szCs w:val="20"/>
              </w:rPr>
            </w:pPr>
          </w:p>
        </w:tc>
        <w:tc>
          <w:tcPr>
            <w:tcW w:w="2330" w:type="pct"/>
          </w:tcPr>
          <w:p w:rsidR="00017F43" w:rsidRPr="00841E19" w:rsidRDefault="00017F43" w:rsidP="00102938">
            <w:pPr>
              <w:jc w:val="both"/>
              <w:rPr>
                <w:rFonts w:eastAsia="Calibri" w:cs="Times New Roman"/>
                <w:sz w:val="20"/>
                <w:szCs w:val="20"/>
              </w:rPr>
            </w:pPr>
            <w:r w:rsidRPr="00841E19">
              <w:rPr>
                <w:rFonts w:eastAsia="Calibri" w:cs="Times New Roman"/>
                <w:sz w:val="20"/>
                <w:szCs w:val="20"/>
              </w:rPr>
              <w:t>Application for leave to appeal filed</w:t>
            </w:r>
          </w:p>
          <w:p w:rsidR="00017F43" w:rsidRPr="00841E19" w:rsidRDefault="00017F43" w:rsidP="00102938">
            <w:pPr>
              <w:jc w:val="both"/>
              <w:rPr>
                <w:rFonts w:eastAsia="Calibri" w:cs="Times New Roman"/>
                <w:sz w:val="20"/>
                <w:szCs w:val="20"/>
              </w:rPr>
            </w:pPr>
          </w:p>
        </w:tc>
      </w:tr>
    </w:tbl>
    <w:p w:rsidR="00017F43" w:rsidRPr="00204D62" w:rsidRDefault="00017F43" w:rsidP="00017F43">
      <w:pPr>
        <w:rPr>
          <w:sz w:val="20"/>
          <w:szCs w:val="20"/>
          <w:lang w:val="en-US"/>
        </w:rPr>
      </w:pPr>
    </w:p>
    <w:p w:rsidR="00017F43" w:rsidRPr="00C50A5C" w:rsidRDefault="00417673" w:rsidP="00017F43">
      <w:pPr>
        <w:rPr>
          <w:sz w:val="20"/>
          <w:szCs w:val="20"/>
        </w:rPr>
      </w:pPr>
      <w:r>
        <w:rPr>
          <w:sz w:val="20"/>
          <w:szCs w:val="20"/>
          <w:lang w:val="fr-CA"/>
        </w:rPr>
        <w:pict>
          <v:rect id="_x0000_i1060" style="width:2in;height:1pt" o:hrpct="0" o:hralign="center" o:hrstd="t" o:hrnoshade="t" o:hr="t" fillcolor="black [3213]" stroked="f"/>
        </w:pict>
      </w:r>
    </w:p>
    <w:p w:rsidR="00017F43" w:rsidRDefault="00017F43" w:rsidP="00017F43">
      <w:pPr>
        <w:rPr>
          <w:sz w:val="20"/>
          <w:szCs w:val="20"/>
        </w:rPr>
      </w:pPr>
    </w:p>
    <w:p w:rsidR="00017F43" w:rsidRPr="001B157C" w:rsidRDefault="00017F43" w:rsidP="00017F43">
      <w:pPr>
        <w:rPr>
          <w:sz w:val="20"/>
          <w:szCs w:val="20"/>
          <w:u w:val="single"/>
          <w:lang w:val="fr-CA"/>
        </w:rPr>
      </w:pPr>
      <w:r w:rsidRPr="001B157C">
        <w:rPr>
          <w:sz w:val="20"/>
          <w:szCs w:val="20"/>
          <w:u w:val="single"/>
          <w:lang w:val="fr-CA"/>
        </w:rPr>
        <w:t>RÉSUMÉ DE L’AFFAIRE</w:t>
      </w:r>
    </w:p>
    <w:p w:rsidR="00017F43" w:rsidRDefault="00017F43" w:rsidP="00017F4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17F43" w:rsidRPr="00584913" w:rsidTr="00102938">
        <w:tc>
          <w:tcPr>
            <w:tcW w:w="5000" w:type="pct"/>
            <w:gridSpan w:val="3"/>
          </w:tcPr>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Propriété intellectuelle – Brevets – Médicaments – Un fabricant de médicaments génériques demande l’approbation réglementaire pour commercialiser sa version générique d’un médicament anti-inflammatoire, alléguant l’invalidité du brevet de l’intimée sur le produit de comparaison, notamment pour cause d’inutilité – Comment faut-il déterminer l’utilité promise par le brevet? – Quel est le rapport entre l’interprétation d’une promesse et les principes généraux d’interprétation des brevets? – Dans une instance subséquente portant sur un brevet ayant déjà fait l’objet d’un litige, quelles circonstances justifient qu’un breveté ou un tribunal s’éloigne d’une concession ou d’un jugement rendu dans l’instance antérieure sur la même question d’interprétation du brevet?</w:t>
            </w:r>
          </w:p>
        </w:tc>
      </w:tr>
      <w:tr w:rsidR="00017F43" w:rsidRPr="00584913" w:rsidTr="00102938">
        <w:tc>
          <w:tcPr>
            <w:tcW w:w="5000" w:type="pct"/>
            <w:gridSpan w:val="3"/>
          </w:tcPr>
          <w:p w:rsidR="00017F43" w:rsidRPr="00841E19" w:rsidRDefault="00017F43" w:rsidP="00102938">
            <w:pPr>
              <w:jc w:val="both"/>
              <w:rPr>
                <w:rFonts w:eastAsia="Calibri" w:cs="Times New Roman"/>
                <w:sz w:val="20"/>
                <w:szCs w:val="20"/>
                <w:lang w:val="fr-CA"/>
              </w:rPr>
            </w:pPr>
          </w:p>
        </w:tc>
      </w:tr>
      <w:tr w:rsidR="00017F43" w:rsidRPr="00584913" w:rsidTr="00102938">
        <w:tc>
          <w:tcPr>
            <w:tcW w:w="5000" w:type="pct"/>
            <w:gridSpan w:val="3"/>
          </w:tcPr>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 xml:space="preserve">Mylan Pharmaceuticals ULC (« Mylan ») a demandé l’approbation réglementaire pour commercialiser sa version générique du célécoxib, un médicament commercialisé sous la marque « Celebrex » par les intimées (collectivement, « Pfizer »).  Ce médicament est connu en tant qu’anti-inflammatoire non stéroïdien (« AINS ») utilisé dans le traitement de troubles inflammatoires comme l’arthrite.  Pfizer a déposé le brevet 576 pour le Celebrex en novembre 1994.  Le brevet a été délivré le 26 octobre 1999 et est venu à échéance le 14 novembre 2014.  Mylan a signifié à Pfizer un avis d’allégation selon lequel le brevet 576 était invalide au regard du </w:t>
            </w:r>
            <w:r w:rsidRPr="00841E19">
              <w:rPr>
                <w:rFonts w:eastAsia="Calibri" w:cs="Times New Roman"/>
                <w:i/>
                <w:sz w:val="20"/>
                <w:szCs w:val="20"/>
                <w:lang w:val="fr-CA"/>
              </w:rPr>
              <w:t>Règlement sur les médicaments brevetés (avis de conformité)</w:t>
            </w:r>
            <w:r w:rsidRPr="00841E19">
              <w:rPr>
                <w:rFonts w:eastAsia="Calibri" w:cs="Times New Roman"/>
                <w:sz w:val="20"/>
                <w:szCs w:val="20"/>
                <w:lang w:val="fr-CA"/>
              </w:rPr>
              <w:t>, DORS 93/133, principalement au motif qu’une promesse faite dans le brevet à l’égard d’effets secondaires réduits en comparaison avec d’autres AINS ne s’était pas concrétisée.  Pfizer a sollicité une ordonnance interdisant au ministre de délivrer un avis de conformité à Mylan.</w:t>
            </w:r>
          </w:p>
          <w:p w:rsidR="00017F43" w:rsidRPr="00841E19" w:rsidRDefault="00017F43" w:rsidP="00102938">
            <w:pPr>
              <w:jc w:val="both"/>
              <w:rPr>
                <w:rFonts w:eastAsia="Calibri" w:cs="Times New Roman"/>
                <w:sz w:val="20"/>
                <w:szCs w:val="20"/>
                <w:lang w:val="fr-CA"/>
              </w:rPr>
            </w:pPr>
          </w:p>
        </w:tc>
      </w:tr>
      <w:tr w:rsidR="00017F43" w:rsidRPr="00584913" w:rsidTr="00102938">
        <w:tc>
          <w:tcPr>
            <w:tcW w:w="2427" w:type="pct"/>
          </w:tcPr>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14 janvier 2014</w:t>
            </w:r>
          </w:p>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Cour fédérale</w:t>
            </w:r>
          </w:p>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(Juge Harrington)</w:t>
            </w:r>
          </w:p>
          <w:p w:rsidR="00017F43" w:rsidRPr="00841E19" w:rsidRDefault="00417673" w:rsidP="00102938">
            <w:pPr>
              <w:jc w:val="both"/>
              <w:rPr>
                <w:rFonts w:eastAsia="Calibri" w:cs="Times New Roman"/>
                <w:sz w:val="20"/>
                <w:szCs w:val="20"/>
                <w:lang w:val="fr-CA"/>
              </w:rPr>
            </w:pPr>
            <w:hyperlink r:id="rId57" w:history="1">
              <w:r w:rsidR="00017F43" w:rsidRPr="00841E19">
                <w:rPr>
                  <w:rFonts w:eastAsia="Calibri" w:cs="Times New Roman"/>
                  <w:color w:val="0000FF"/>
                  <w:sz w:val="20"/>
                  <w:szCs w:val="20"/>
                  <w:u w:val="single"/>
                  <w:lang w:val="fr-CA"/>
                </w:rPr>
                <w:t>2014 FC 38</w:t>
              </w:r>
            </w:hyperlink>
            <w:r w:rsidR="00017F43" w:rsidRPr="00841E19">
              <w:rPr>
                <w:rFonts w:eastAsia="Calibri" w:cs="Times New Roman"/>
                <w:sz w:val="20"/>
                <w:szCs w:val="20"/>
                <w:lang w:val="fr-CA"/>
              </w:rPr>
              <w:t xml:space="preserve"> </w:t>
            </w:r>
          </w:p>
          <w:p w:rsidR="00017F43" w:rsidRPr="00841E19" w:rsidRDefault="00017F43" w:rsidP="00102938">
            <w:pPr>
              <w:jc w:val="both"/>
              <w:rPr>
                <w:rFonts w:eastAsia="Calibri" w:cs="Times New Roman"/>
                <w:sz w:val="20"/>
                <w:szCs w:val="20"/>
                <w:lang w:val="fr-CA"/>
              </w:rPr>
            </w:pPr>
          </w:p>
        </w:tc>
        <w:tc>
          <w:tcPr>
            <w:tcW w:w="243" w:type="pct"/>
          </w:tcPr>
          <w:p w:rsidR="00017F43" w:rsidRPr="00841E19" w:rsidRDefault="00017F43" w:rsidP="00102938">
            <w:pPr>
              <w:jc w:val="both"/>
              <w:rPr>
                <w:rFonts w:eastAsia="Calibri" w:cs="Times New Roman"/>
                <w:sz w:val="20"/>
                <w:szCs w:val="20"/>
                <w:lang w:val="fr-CA"/>
              </w:rPr>
            </w:pPr>
          </w:p>
        </w:tc>
        <w:tc>
          <w:tcPr>
            <w:tcW w:w="2330" w:type="pct"/>
          </w:tcPr>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 xml:space="preserve">Interdiction au ministre de délivrer à la demanderesse un avis de conformité avant l’expiration du brevet 576 </w:t>
            </w:r>
          </w:p>
          <w:p w:rsidR="00017F43" w:rsidRPr="00841E19" w:rsidRDefault="00017F43" w:rsidP="00102938">
            <w:pPr>
              <w:jc w:val="both"/>
              <w:rPr>
                <w:rFonts w:eastAsia="Calibri" w:cs="Times New Roman"/>
                <w:sz w:val="20"/>
                <w:szCs w:val="20"/>
                <w:lang w:val="fr-CA"/>
              </w:rPr>
            </w:pPr>
          </w:p>
        </w:tc>
      </w:tr>
      <w:tr w:rsidR="00017F43" w:rsidRPr="00841E19" w:rsidTr="00102938">
        <w:tc>
          <w:tcPr>
            <w:tcW w:w="2427" w:type="pct"/>
          </w:tcPr>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lastRenderedPageBreak/>
              <w:t>30 octobre 2014</w:t>
            </w:r>
          </w:p>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Cour d’appel fédérale</w:t>
            </w:r>
          </w:p>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(Juge en chef Noël, juges Trudel et Boivin)</w:t>
            </w:r>
          </w:p>
          <w:p w:rsidR="00017F43" w:rsidRPr="00841E19" w:rsidRDefault="00417673" w:rsidP="00102938">
            <w:pPr>
              <w:jc w:val="both"/>
              <w:rPr>
                <w:rFonts w:eastAsia="Calibri" w:cs="Times New Roman"/>
                <w:sz w:val="20"/>
                <w:szCs w:val="20"/>
                <w:lang w:val="fr-CA"/>
              </w:rPr>
            </w:pPr>
            <w:hyperlink r:id="rId58" w:history="1">
              <w:r w:rsidR="00017F43" w:rsidRPr="00841E19">
                <w:rPr>
                  <w:rFonts w:eastAsia="Calibri" w:cs="Times New Roman"/>
                  <w:color w:val="0000FF"/>
                  <w:sz w:val="20"/>
                  <w:szCs w:val="20"/>
                  <w:u w:val="single"/>
                  <w:lang w:val="fr-CA"/>
                </w:rPr>
                <w:t>2014 FCA 250</w:t>
              </w:r>
            </w:hyperlink>
          </w:p>
          <w:p w:rsidR="00017F43" w:rsidRPr="00841E19" w:rsidRDefault="00017F43" w:rsidP="00102938">
            <w:pPr>
              <w:jc w:val="both"/>
              <w:rPr>
                <w:rFonts w:eastAsia="Calibri" w:cs="Times New Roman"/>
                <w:sz w:val="20"/>
                <w:szCs w:val="20"/>
                <w:lang w:val="fr-CA"/>
              </w:rPr>
            </w:pPr>
          </w:p>
        </w:tc>
        <w:tc>
          <w:tcPr>
            <w:tcW w:w="243" w:type="pct"/>
          </w:tcPr>
          <w:p w:rsidR="00017F43" w:rsidRPr="00841E19" w:rsidRDefault="00017F43" w:rsidP="00102938">
            <w:pPr>
              <w:jc w:val="both"/>
              <w:rPr>
                <w:rFonts w:eastAsia="Calibri" w:cs="Times New Roman"/>
                <w:sz w:val="20"/>
                <w:szCs w:val="20"/>
                <w:lang w:val="fr-CA"/>
              </w:rPr>
            </w:pPr>
          </w:p>
        </w:tc>
        <w:tc>
          <w:tcPr>
            <w:tcW w:w="2330" w:type="pct"/>
          </w:tcPr>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Rejet des appels</w:t>
            </w:r>
          </w:p>
          <w:p w:rsidR="00017F43" w:rsidRPr="00841E19" w:rsidRDefault="00017F43" w:rsidP="00102938">
            <w:pPr>
              <w:jc w:val="both"/>
              <w:rPr>
                <w:rFonts w:eastAsia="Calibri" w:cs="Times New Roman"/>
                <w:sz w:val="20"/>
                <w:szCs w:val="20"/>
                <w:lang w:val="fr-CA"/>
              </w:rPr>
            </w:pPr>
          </w:p>
        </w:tc>
      </w:tr>
      <w:tr w:rsidR="00017F43" w:rsidRPr="00584913" w:rsidTr="00102938">
        <w:tc>
          <w:tcPr>
            <w:tcW w:w="2427" w:type="pct"/>
          </w:tcPr>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23 décembre 2014</w:t>
            </w:r>
          </w:p>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Cour suprême du Canada</w:t>
            </w:r>
          </w:p>
        </w:tc>
        <w:tc>
          <w:tcPr>
            <w:tcW w:w="243" w:type="pct"/>
          </w:tcPr>
          <w:p w:rsidR="00017F43" w:rsidRPr="00841E19" w:rsidRDefault="00017F43" w:rsidP="00102938">
            <w:pPr>
              <w:jc w:val="both"/>
              <w:rPr>
                <w:rFonts w:eastAsia="Calibri" w:cs="Times New Roman"/>
                <w:sz w:val="20"/>
                <w:szCs w:val="20"/>
                <w:lang w:val="fr-CA"/>
              </w:rPr>
            </w:pPr>
          </w:p>
        </w:tc>
        <w:tc>
          <w:tcPr>
            <w:tcW w:w="2330" w:type="pct"/>
          </w:tcPr>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Dépôt de la demande d’autorisation d’appel</w:t>
            </w:r>
          </w:p>
          <w:p w:rsidR="00017F43" w:rsidRPr="00841E19" w:rsidRDefault="00017F43" w:rsidP="00102938">
            <w:pPr>
              <w:jc w:val="both"/>
              <w:rPr>
                <w:rFonts w:eastAsia="Calibri" w:cs="Times New Roman"/>
                <w:sz w:val="20"/>
                <w:szCs w:val="20"/>
                <w:lang w:val="fr-CA"/>
              </w:rPr>
            </w:pPr>
          </w:p>
        </w:tc>
      </w:tr>
    </w:tbl>
    <w:p w:rsidR="00017F43" w:rsidRPr="0016547E" w:rsidRDefault="00017F43" w:rsidP="00017F43">
      <w:pPr>
        <w:rPr>
          <w:sz w:val="20"/>
          <w:szCs w:val="20"/>
          <w:lang w:val="fr-CA"/>
        </w:rPr>
      </w:pPr>
    </w:p>
    <w:p w:rsidR="00017F43" w:rsidRPr="00C50A5C" w:rsidRDefault="00417673" w:rsidP="00017F43">
      <w:pPr>
        <w:rPr>
          <w:sz w:val="20"/>
          <w:szCs w:val="20"/>
        </w:rPr>
      </w:pPr>
      <w:r>
        <w:rPr>
          <w:sz w:val="20"/>
          <w:szCs w:val="20"/>
          <w:lang w:val="fr-CA"/>
        </w:rPr>
        <w:pict>
          <v:rect id="_x0000_i1061" style="width:2in;height:1pt" o:hrpct="0" o:hralign="center" o:hrstd="t" o:hrnoshade="t" o:hr="t" fillcolor="black [3213]" stroked="f"/>
        </w:pict>
      </w:r>
    </w:p>
    <w:p w:rsidR="00D96177" w:rsidRDefault="00D96177" w:rsidP="00841E19">
      <w:pPr>
        <w:jc w:val="both"/>
        <w:rPr>
          <w:rFonts w:eastAsia="Calibri" w:cs="Times New Roman"/>
          <w:sz w:val="20"/>
          <w:szCs w:val="20"/>
          <w:lang w:val="fr-CA"/>
        </w:rPr>
      </w:pPr>
    </w:p>
    <w:tbl>
      <w:tblPr>
        <w:tblStyle w:val="TableGrid1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17F43" w:rsidRPr="00017F43" w:rsidTr="00102938">
        <w:trPr>
          <w:cantSplit/>
        </w:trPr>
        <w:tc>
          <w:tcPr>
            <w:tcW w:w="1458" w:type="dxa"/>
          </w:tcPr>
          <w:p w:rsidR="00017F43" w:rsidRPr="00017F43" w:rsidRDefault="00017F43" w:rsidP="00017F43">
            <w:pPr>
              <w:jc w:val="both"/>
              <w:rPr>
                <w:sz w:val="20"/>
              </w:rPr>
            </w:pPr>
            <w:r w:rsidRPr="00017F43">
              <w:rPr>
                <w:b/>
                <w:sz w:val="20"/>
                <w:lang w:val="fr-CA"/>
              </w:rPr>
              <w:t>36229</w:t>
            </w:r>
          </w:p>
          <w:p w:rsidR="00017F43" w:rsidRPr="00017F43" w:rsidRDefault="00017F43" w:rsidP="00017F43">
            <w:pPr>
              <w:jc w:val="both"/>
              <w:rPr>
                <w:b/>
                <w:sz w:val="20"/>
                <w:lang w:val="fr-CA"/>
              </w:rPr>
            </w:pPr>
          </w:p>
        </w:tc>
        <w:tc>
          <w:tcPr>
            <w:tcW w:w="8118" w:type="dxa"/>
          </w:tcPr>
          <w:p w:rsidR="00017F43" w:rsidRPr="00017F43" w:rsidRDefault="00017F43" w:rsidP="00017F43">
            <w:pPr>
              <w:jc w:val="both"/>
              <w:rPr>
                <w:sz w:val="20"/>
              </w:rPr>
            </w:pPr>
            <w:r w:rsidRPr="00017F43">
              <w:rPr>
                <w:b/>
                <w:sz w:val="20"/>
                <w:u w:val="single"/>
                <w:lang w:val="en-US"/>
              </w:rPr>
              <w:t>Mona Lisa Nowak v. Michael Charles John Nowak</w:t>
            </w:r>
            <w:r w:rsidRPr="00017F43">
              <w:rPr>
                <w:sz w:val="20"/>
              </w:rPr>
              <w:t xml:space="preserve"> (B.C.) (Civil) (By Leave)</w:t>
            </w:r>
          </w:p>
          <w:p w:rsidR="00017F43" w:rsidRPr="00017F43" w:rsidRDefault="00017F43" w:rsidP="00017F43">
            <w:pPr>
              <w:jc w:val="both"/>
              <w:rPr>
                <w:sz w:val="20"/>
              </w:rPr>
            </w:pPr>
          </w:p>
        </w:tc>
      </w:tr>
      <w:tr w:rsidR="00017F43" w:rsidRPr="00017F43" w:rsidTr="00102938">
        <w:trPr>
          <w:cantSplit/>
        </w:trPr>
        <w:tc>
          <w:tcPr>
            <w:tcW w:w="1458" w:type="dxa"/>
          </w:tcPr>
          <w:p w:rsidR="00017F43" w:rsidRPr="00017F43" w:rsidRDefault="00017F43" w:rsidP="00017F43">
            <w:pPr>
              <w:jc w:val="both"/>
              <w:rPr>
                <w:sz w:val="20"/>
              </w:rPr>
            </w:pPr>
            <w:r w:rsidRPr="00017F43">
              <w:rPr>
                <w:sz w:val="20"/>
              </w:rPr>
              <w:t>Coram :</w:t>
            </w:r>
          </w:p>
        </w:tc>
        <w:tc>
          <w:tcPr>
            <w:tcW w:w="8118" w:type="dxa"/>
          </w:tcPr>
          <w:p w:rsidR="00017F43" w:rsidRPr="00017F43" w:rsidRDefault="00017F43" w:rsidP="00017F43">
            <w:pPr>
              <w:jc w:val="both"/>
              <w:rPr>
                <w:sz w:val="20"/>
              </w:rPr>
            </w:pPr>
            <w:r w:rsidRPr="00017F43">
              <w:rPr>
                <w:sz w:val="20"/>
                <w:u w:val="single"/>
                <w:lang w:val="en-US"/>
              </w:rPr>
              <w:t>Rothstein, Cromwell and Moldaver JJ.</w:t>
            </w:r>
          </w:p>
          <w:p w:rsidR="00017F43" w:rsidRPr="00017F43" w:rsidRDefault="00017F43" w:rsidP="00017F43">
            <w:pPr>
              <w:jc w:val="both"/>
              <w:rPr>
                <w:sz w:val="20"/>
                <w:u w:val="single"/>
              </w:rPr>
            </w:pPr>
          </w:p>
        </w:tc>
      </w:tr>
      <w:tr w:rsidR="00017F43" w:rsidRPr="00584913" w:rsidTr="00102938">
        <w:trPr>
          <w:cantSplit/>
        </w:trPr>
        <w:tc>
          <w:tcPr>
            <w:tcW w:w="9576" w:type="dxa"/>
            <w:gridSpan w:val="2"/>
          </w:tcPr>
          <w:p w:rsidR="00017F43" w:rsidRPr="00017F43" w:rsidRDefault="00017F43" w:rsidP="00017F43">
            <w:pPr>
              <w:ind w:firstLine="720"/>
              <w:jc w:val="both"/>
              <w:rPr>
                <w:sz w:val="20"/>
              </w:rPr>
            </w:pPr>
            <w:r w:rsidRPr="00017F43">
              <w:rPr>
                <w:sz w:val="20"/>
              </w:rPr>
              <w:t>The application for leave to appeal from the judgment of the Court of Appeal for British Columbia (Vancouver), Number CA041328, 2014 BCCA 409, dated October 27, 2014, is dismissed with costs.</w:t>
            </w:r>
          </w:p>
          <w:p w:rsidR="00017F43" w:rsidRPr="00017F43" w:rsidRDefault="00017F43" w:rsidP="00017F43">
            <w:pPr>
              <w:jc w:val="both"/>
              <w:rPr>
                <w:sz w:val="20"/>
              </w:rPr>
            </w:pPr>
          </w:p>
          <w:p w:rsidR="00017F43" w:rsidRPr="00017F43" w:rsidRDefault="00017F43" w:rsidP="00017F43">
            <w:pPr>
              <w:ind w:firstLine="720"/>
              <w:jc w:val="both"/>
              <w:rPr>
                <w:sz w:val="20"/>
                <w:lang w:val="fr-CA"/>
              </w:rPr>
            </w:pPr>
            <w:r w:rsidRPr="00017F43">
              <w:rPr>
                <w:sz w:val="20"/>
                <w:lang w:val="fr-CA"/>
              </w:rPr>
              <w:t>La demande d’autorisation d’appel de l’arrêt de la Cour d’appel de la Colombie-Britannique (Vancouver), numéro CA041328, 2014 BCCA 409, daté du 27 octobre 2014, est rejetée avec dépens.</w:t>
            </w:r>
          </w:p>
        </w:tc>
      </w:tr>
    </w:tbl>
    <w:p w:rsidR="00D96177" w:rsidRDefault="00D96177" w:rsidP="00841E19">
      <w:pPr>
        <w:jc w:val="both"/>
        <w:rPr>
          <w:rFonts w:eastAsia="Calibri" w:cs="Times New Roman"/>
          <w:sz w:val="20"/>
          <w:szCs w:val="20"/>
          <w:lang w:val="fr-CA"/>
        </w:rPr>
      </w:pPr>
    </w:p>
    <w:p w:rsidR="00017F43" w:rsidRPr="001B157C" w:rsidRDefault="00017F43" w:rsidP="00017F43">
      <w:pPr>
        <w:rPr>
          <w:sz w:val="20"/>
          <w:szCs w:val="20"/>
          <w:u w:val="single"/>
        </w:rPr>
      </w:pPr>
      <w:r w:rsidRPr="001B157C">
        <w:rPr>
          <w:sz w:val="20"/>
          <w:szCs w:val="20"/>
          <w:u w:val="single"/>
        </w:rPr>
        <w:t>CASE SUMMARY</w:t>
      </w:r>
    </w:p>
    <w:p w:rsidR="00017F43" w:rsidRDefault="00017F43" w:rsidP="00017F4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17F43" w:rsidRPr="00841E19" w:rsidTr="00102938">
        <w:tc>
          <w:tcPr>
            <w:tcW w:w="5000" w:type="pct"/>
            <w:gridSpan w:val="3"/>
          </w:tcPr>
          <w:p w:rsidR="00017F43" w:rsidRPr="00841E19" w:rsidRDefault="00017F43" w:rsidP="00102938">
            <w:pPr>
              <w:jc w:val="both"/>
              <w:rPr>
                <w:rFonts w:eastAsia="Calibri" w:cs="Times New Roman"/>
                <w:smallCaps/>
                <w:sz w:val="20"/>
                <w:szCs w:val="20"/>
              </w:rPr>
            </w:pPr>
            <w:r w:rsidRPr="00841E19">
              <w:rPr>
                <w:rFonts w:eastAsia="Calibri" w:cs="Times New Roman"/>
                <w:smallCaps/>
                <w:sz w:val="20"/>
                <w:szCs w:val="20"/>
              </w:rPr>
              <w:t>(</w:t>
            </w:r>
            <w:r w:rsidR="00577386">
              <w:rPr>
                <w:rFonts w:eastAsia="Calibri" w:cs="Times New Roman"/>
                <w:smallCaps/>
                <w:sz w:val="20"/>
                <w:szCs w:val="20"/>
              </w:rPr>
              <w:t>S</w:t>
            </w:r>
            <w:r w:rsidRPr="00841E19">
              <w:rPr>
                <w:rFonts w:eastAsia="Calibri" w:cs="Times New Roman"/>
                <w:smallCaps/>
                <w:sz w:val="20"/>
                <w:szCs w:val="20"/>
              </w:rPr>
              <w:t xml:space="preserve">ealing </w:t>
            </w:r>
            <w:r w:rsidR="00577386">
              <w:rPr>
                <w:rFonts w:eastAsia="Calibri" w:cs="Times New Roman"/>
                <w:smallCaps/>
                <w:sz w:val="20"/>
                <w:szCs w:val="20"/>
              </w:rPr>
              <w:t>O</w:t>
            </w:r>
            <w:r w:rsidRPr="00841E19">
              <w:rPr>
                <w:rFonts w:eastAsia="Calibri" w:cs="Times New Roman"/>
                <w:smallCaps/>
                <w:sz w:val="20"/>
                <w:szCs w:val="20"/>
              </w:rPr>
              <w:t>rder)</w:t>
            </w:r>
          </w:p>
          <w:p w:rsidR="00017F43" w:rsidRPr="00841E19" w:rsidRDefault="00017F43" w:rsidP="00102938">
            <w:pPr>
              <w:jc w:val="both"/>
              <w:rPr>
                <w:rFonts w:eastAsia="Calibri" w:cs="Times New Roman"/>
                <w:sz w:val="20"/>
                <w:szCs w:val="20"/>
              </w:rPr>
            </w:pPr>
          </w:p>
        </w:tc>
      </w:tr>
      <w:tr w:rsidR="00017F43" w:rsidRPr="00841E19" w:rsidTr="00102938">
        <w:tc>
          <w:tcPr>
            <w:tcW w:w="5000" w:type="pct"/>
            <w:gridSpan w:val="3"/>
          </w:tcPr>
          <w:p w:rsidR="00017F43" w:rsidRPr="00841E19" w:rsidRDefault="00017F43" w:rsidP="00102938">
            <w:pPr>
              <w:jc w:val="both"/>
              <w:rPr>
                <w:rFonts w:eastAsia="Calibri" w:cs="Times New Roman"/>
                <w:sz w:val="20"/>
                <w:szCs w:val="20"/>
              </w:rPr>
            </w:pPr>
            <w:r w:rsidRPr="00841E19">
              <w:rPr>
                <w:rFonts w:eastAsia="Calibri" w:cs="Times New Roman"/>
                <w:sz w:val="20"/>
                <w:szCs w:val="20"/>
              </w:rPr>
              <w:t xml:space="preserve">Family law – Family assets – Reapportionment – Appeals – Courts – Jurisdiction – Whether a commercial strata property owned by a corporation in which the respondent held all the shares, in his own right or in trust, is a family asset – Whether the Court of Appeal erred in law by substituting its own credibility assessment for that of the trial judge or by making contrary findings of fact absent palpable and overriding error – Whether there was limited use of the income from the property – Whether the property was a passive investment – Whether the parties intended the property to provide for retirement for both of them – Whether the Court of Appeal erred in law by intervening in the Trial Judge’s discretionary jurisdiction under s. 65 of the </w:t>
            </w:r>
            <w:r w:rsidRPr="00841E19">
              <w:rPr>
                <w:rFonts w:eastAsia="Calibri" w:cs="Times New Roman"/>
                <w:i/>
                <w:sz w:val="20"/>
                <w:szCs w:val="20"/>
              </w:rPr>
              <w:t>Family Relations</w:t>
            </w:r>
            <w:r w:rsidRPr="00841E19">
              <w:rPr>
                <w:rFonts w:eastAsia="Calibri" w:cs="Times New Roman"/>
                <w:sz w:val="20"/>
                <w:szCs w:val="20"/>
              </w:rPr>
              <w:t xml:space="preserve"> </w:t>
            </w:r>
            <w:r w:rsidRPr="00841E19">
              <w:rPr>
                <w:rFonts w:eastAsia="Calibri" w:cs="Times New Roman"/>
                <w:i/>
                <w:sz w:val="20"/>
                <w:szCs w:val="20"/>
              </w:rPr>
              <w:t>Act</w:t>
            </w:r>
            <w:r w:rsidRPr="00841E19">
              <w:rPr>
                <w:rFonts w:eastAsia="Calibri" w:cs="Times New Roman"/>
                <w:sz w:val="20"/>
                <w:szCs w:val="20"/>
              </w:rPr>
              <w:t>,</w:t>
            </w:r>
            <w:r w:rsidRPr="00841E19">
              <w:rPr>
                <w:rFonts w:eastAsia="Calibri" w:cs="Times New Roman"/>
                <w:i/>
                <w:sz w:val="20"/>
                <w:szCs w:val="20"/>
              </w:rPr>
              <w:t xml:space="preserve"> </w:t>
            </w:r>
            <w:r w:rsidRPr="00841E19">
              <w:rPr>
                <w:rFonts w:eastAsia="Calibri" w:cs="Times New Roman"/>
                <w:sz w:val="20"/>
                <w:szCs w:val="20"/>
              </w:rPr>
              <w:t>R.S.B.C. 1996, c. 128 (the “</w:t>
            </w:r>
            <w:r w:rsidRPr="00841E19">
              <w:rPr>
                <w:rFonts w:eastAsia="Calibri" w:cs="Times New Roman"/>
                <w:i/>
                <w:sz w:val="20"/>
                <w:szCs w:val="20"/>
              </w:rPr>
              <w:t>Act</w:t>
            </w:r>
            <w:r w:rsidRPr="00841E19">
              <w:rPr>
                <w:rFonts w:eastAsia="Calibri" w:cs="Times New Roman"/>
                <w:sz w:val="20"/>
                <w:szCs w:val="20"/>
              </w:rPr>
              <w:t>”).</w:t>
            </w:r>
          </w:p>
          <w:p w:rsidR="00017F43" w:rsidRPr="00841E19" w:rsidRDefault="00017F43" w:rsidP="00102938">
            <w:pPr>
              <w:jc w:val="both"/>
              <w:rPr>
                <w:rFonts w:eastAsia="Calibri" w:cs="Times New Roman"/>
                <w:sz w:val="20"/>
                <w:szCs w:val="20"/>
              </w:rPr>
            </w:pPr>
          </w:p>
        </w:tc>
      </w:tr>
      <w:tr w:rsidR="00017F43" w:rsidRPr="00841E19" w:rsidTr="00102938">
        <w:tc>
          <w:tcPr>
            <w:tcW w:w="5000" w:type="pct"/>
            <w:gridSpan w:val="3"/>
          </w:tcPr>
          <w:p w:rsidR="00017F43" w:rsidRPr="00841E19" w:rsidRDefault="00017F43" w:rsidP="00102938">
            <w:pPr>
              <w:jc w:val="both"/>
              <w:rPr>
                <w:rFonts w:eastAsia="Calibri" w:cs="Times New Roman"/>
                <w:sz w:val="20"/>
                <w:szCs w:val="20"/>
              </w:rPr>
            </w:pPr>
            <w:r w:rsidRPr="00841E19">
              <w:rPr>
                <w:rFonts w:eastAsia="Calibri" w:cs="Times New Roman"/>
                <w:sz w:val="20"/>
                <w:szCs w:val="20"/>
              </w:rPr>
              <w:t xml:space="preserve">Mr. and Mrs. Nowak co-habited since 1990 and married in October 1995.  Both had children from previous marriages.  They separated after 16 years of marriage, when the husband was 61 years of age and the wife 57.  Among the issues raised in their matrimonial proceedings was whether a commercial property purchased by the husband before the marriage was an excluded asset or a family asset.  The Supreme Court of British Columbia held that the property is a family asset and that the respondent must pay the applicant $950,000 as compensation for her one-half interest in the property.  The Court of Appeal for British Columbia allowed the respondent’s appeal in part.  The Court confirmed that the shares of the corporation holding legal title to the property are a family asset.  However, pursuant to s. 65 of the </w:t>
            </w:r>
            <w:r w:rsidRPr="00841E19">
              <w:rPr>
                <w:rFonts w:eastAsia="Calibri" w:cs="Times New Roman"/>
                <w:i/>
                <w:sz w:val="20"/>
                <w:szCs w:val="20"/>
              </w:rPr>
              <w:t>Act</w:t>
            </w:r>
            <w:r w:rsidRPr="00841E19">
              <w:rPr>
                <w:rFonts w:eastAsia="Calibri" w:cs="Times New Roman"/>
                <w:sz w:val="20"/>
                <w:szCs w:val="20"/>
              </w:rPr>
              <w:t xml:space="preserve">, the Court ordered that the value of the shares be reapportioned on the basis of a 90/10 split in favour of the respondent.  The majority remitted the issue to the trial judge for a determination of the present value of the shares.  Garson J.A., dissenting in part, would have interpreted s. 58 of the </w:t>
            </w:r>
            <w:r w:rsidRPr="00841E19">
              <w:rPr>
                <w:rFonts w:eastAsia="Calibri" w:cs="Times New Roman"/>
                <w:i/>
                <w:sz w:val="20"/>
                <w:szCs w:val="20"/>
              </w:rPr>
              <w:t>Act</w:t>
            </w:r>
            <w:r w:rsidRPr="00841E19">
              <w:rPr>
                <w:rFonts w:eastAsia="Calibri" w:cs="Times New Roman"/>
                <w:sz w:val="20"/>
                <w:szCs w:val="20"/>
              </w:rPr>
              <w:t xml:space="preserve"> to result in the commercial property itself being the family asset.</w:t>
            </w:r>
          </w:p>
          <w:p w:rsidR="00017F43" w:rsidRPr="00841E19" w:rsidRDefault="00017F43" w:rsidP="00102938">
            <w:pPr>
              <w:jc w:val="both"/>
              <w:rPr>
                <w:rFonts w:eastAsia="Calibri" w:cs="Times New Roman"/>
                <w:sz w:val="20"/>
                <w:szCs w:val="20"/>
              </w:rPr>
            </w:pPr>
          </w:p>
        </w:tc>
      </w:tr>
      <w:tr w:rsidR="00017F43" w:rsidRPr="00841E19" w:rsidTr="00102938">
        <w:tc>
          <w:tcPr>
            <w:tcW w:w="2427" w:type="pct"/>
          </w:tcPr>
          <w:p w:rsidR="00017F43" w:rsidRPr="00841E19" w:rsidRDefault="00017F43" w:rsidP="00102938">
            <w:pPr>
              <w:jc w:val="both"/>
              <w:rPr>
                <w:rFonts w:eastAsia="Calibri" w:cs="Times New Roman"/>
                <w:sz w:val="20"/>
                <w:szCs w:val="20"/>
              </w:rPr>
            </w:pPr>
            <w:r w:rsidRPr="00841E19">
              <w:rPr>
                <w:rFonts w:eastAsia="Calibri" w:cs="Times New Roman"/>
                <w:sz w:val="20"/>
                <w:szCs w:val="20"/>
              </w:rPr>
              <w:t>October 4, 2013</w:t>
            </w:r>
          </w:p>
          <w:p w:rsidR="00017F43" w:rsidRPr="00841E19" w:rsidRDefault="00017F43" w:rsidP="00102938">
            <w:pPr>
              <w:jc w:val="both"/>
              <w:rPr>
                <w:rFonts w:eastAsia="Calibri" w:cs="Times New Roman"/>
                <w:sz w:val="20"/>
                <w:szCs w:val="20"/>
              </w:rPr>
            </w:pPr>
            <w:r w:rsidRPr="00841E19">
              <w:rPr>
                <w:rFonts w:eastAsia="Calibri" w:cs="Times New Roman"/>
                <w:sz w:val="20"/>
                <w:szCs w:val="20"/>
              </w:rPr>
              <w:t>Supreme Court of British Columbia</w:t>
            </w:r>
          </w:p>
          <w:p w:rsidR="00017F43" w:rsidRPr="00841E19" w:rsidRDefault="00017F43" w:rsidP="00102938">
            <w:pPr>
              <w:jc w:val="both"/>
              <w:rPr>
                <w:rFonts w:eastAsia="Calibri" w:cs="Times New Roman"/>
                <w:sz w:val="20"/>
                <w:szCs w:val="20"/>
              </w:rPr>
            </w:pPr>
            <w:r w:rsidRPr="00841E19">
              <w:rPr>
                <w:rFonts w:eastAsia="Calibri" w:cs="Times New Roman"/>
                <w:sz w:val="20"/>
                <w:szCs w:val="20"/>
              </w:rPr>
              <w:t>(Brown J.)</w:t>
            </w:r>
          </w:p>
          <w:p w:rsidR="00017F43" w:rsidRPr="00841E19" w:rsidRDefault="00417673" w:rsidP="00102938">
            <w:pPr>
              <w:jc w:val="both"/>
              <w:rPr>
                <w:rFonts w:eastAsia="Calibri" w:cs="Times New Roman"/>
                <w:sz w:val="20"/>
                <w:szCs w:val="20"/>
              </w:rPr>
            </w:pPr>
            <w:hyperlink r:id="rId59" w:history="1">
              <w:r w:rsidR="00017F43" w:rsidRPr="00841E19">
                <w:rPr>
                  <w:rFonts w:eastAsia="Calibri" w:cs="Times New Roman"/>
                  <w:color w:val="0000FF"/>
                  <w:sz w:val="20"/>
                  <w:szCs w:val="20"/>
                  <w:u w:val="single"/>
                </w:rPr>
                <w:t>2013 BCSC 1827</w:t>
              </w:r>
            </w:hyperlink>
          </w:p>
          <w:p w:rsidR="00017F43" w:rsidRPr="00841E19" w:rsidRDefault="00017F43" w:rsidP="00102938">
            <w:pPr>
              <w:jc w:val="both"/>
              <w:rPr>
                <w:rFonts w:eastAsia="Calibri" w:cs="Times New Roman"/>
                <w:sz w:val="20"/>
                <w:szCs w:val="20"/>
              </w:rPr>
            </w:pPr>
          </w:p>
        </w:tc>
        <w:tc>
          <w:tcPr>
            <w:tcW w:w="243" w:type="pct"/>
          </w:tcPr>
          <w:p w:rsidR="00017F43" w:rsidRPr="00841E19" w:rsidRDefault="00017F43" w:rsidP="00102938">
            <w:pPr>
              <w:jc w:val="both"/>
              <w:rPr>
                <w:rFonts w:eastAsia="Calibri" w:cs="Times New Roman"/>
                <w:sz w:val="20"/>
                <w:szCs w:val="20"/>
              </w:rPr>
            </w:pPr>
          </w:p>
        </w:tc>
        <w:tc>
          <w:tcPr>
            <w:tcW w:w="2330" w:type="pct"/>
          </w:tcPr>
          <w:p w:rsidR="00017F43" w:rsidRPr="00841E19" w:rsidRDefault="00017F43" w:rsidP="00102938">
            <w:pPr>
              <w:jc w:val="both"/>
              <w:rPr>
                <w:rFonts w:eastAsia="Calibri" w:cs="Times New Roman"/>
                <w:sz w:val="20"/>
                <w:szCs w:val="20"/>
              </w:rPr>
            </w:pPr>
            <w:r w:rsidRPr="00841E19">
              <w:rPr>
                <w:rFonts w:eastAsia="Calibri" w:cs="Times New Roman"/>
                <w:sz w:val="20"/>
                <w:szCs w:val="20"/>
              </w:rPr>
              <w:t xml:space="preserve">Order, </w:t>
            </w:r>
            <w:r w:rsidRPr="00841E19">
              <w:rPr>
                <w:rFonts w:eastAsia="Calibri" w:cs="Times New Roman"/>
                <w:i/>
                <w:sz w:val="20"/>
                <w:szCs w:val="20"/>
              </w:rPr>
              <w:t>inter alia</w:t>
            </w:r>
            <w:r w:rsidRPr="00841E19">
              <w:rPr>
                <w:rFonts w:eastAsia="Calibri" w:cs="Times New Roman"/>
                <w:sz w:val="20"/>
                <w:szCs w:val="20"/>
              </w:rPr>
              <w:t xml:space="preserve">, that the commercial strata property is a family asset and the respondent must pay the applicant $950,000 as compensation for a one-half interest </w:t>
            </w:r>
          </w:p>
        </w:tc>
      </w:tr>
      <w:tr w:rsidR="00017F43" w:rsidRPr="00841E19" w:rsidTr="00102938">
        <w:tc>
          <w:tcPr>
            <w:tcW w:w="2427" w:type="pct"/>
          </w:tcPr>
          <w:p w:rsidR="00017F43" w:rsidRPr="00841E19" w:rsidRDefault="00017F43" w:rsidP="00102938">
            <w:pPr>
              <w:jc w:val="both"/>
              <w:rPr>
                <w:rFonts w:eastAsia="Calibri" w:cs="Times New Roman"/>
                <w:sz w:val="20"/>
                <w:szCs w:val="20"/>
              </w:rPr>
            </w:pPr>
            <w:r w:rsidRPr="00841E19">
              <w:rPr>
                <w:rFonts w:eastAsia="Calibri" w:cs="Times New Roman"/>
                <w:sz w:val="20"/>
                <w:szCs w:val="20"/>
              </w:rPr>
              <w:lastRenderedPageBreak/>
              <w:t>October 27, 2014</w:t>
            </w:r>
          </w:p>
          <w:p w:rsidR="00017F43" w:rsidRPr="00841E19" w:rsidRDefault="00017F43" w:rsidP="00102938">
            <w:pPr>
              <w:jc w:val="both"/>
              <w:rPr>
                <w:rFonts w:eastAsia="Calibri" w:cs="Times New Roman"/>
                <w:sz w:val="20"/>
                <w:szCs w:val="20"/>
              </w:rPr>
            </w:pPr>
            <w:r w:rsidRPr="00841E19">
              <w:rPr>
                <w:rFonts w:eastAsia="Calibri" w:cs="Times New Roman"/>
                <w:sz w:val="20"/>
                <w:szCs w:val="20"/>
              </w:rPr>
              <w:t xml:space="preserve">Court of Appeal for British Columbia </w:t>
            </w:r>
          </w:p>
          <w:p w:rsidR="00017F43" w:rsidRPr="00841E19" w:rsidRDefault="00017F43" w:rsidP="00102938">
            <w:pPr>
              <w:jc w:val="both"/>
              <w:rPr>
                <w:rFonts w:eastAsia="Calibri" w:cs="Times New Roman"/>
                <w:sz w:val="20"/>
                <w:szCs w:val="20"/>
              </w:rPr>
            </w:pPr>
            <w:r w:rsidRPr="00841E19">
              <w:rPr>
                <w:rFonts w:eastAsia="Calibri" w:cs="Times New Roman"/>
                <w:sz w:val="20"/>
                <w:szCs w:val="20"/>
              </w:rPr>
              <w:t>(Vancouver)</w:t>
            </w:r>
          </w:p>
          <w:p w:rsidR="00017F43" w:rsidRPr="00841E19" w:rsidRDefault="00017F43" w:rsidP="00102938">
            <w:pPr>
              <w:jc w:val="both"/>
              <w:rPr>
                <w:rFonts w:eastAsia="Calibri" w:cs="Times New Roman"/>
                <w:sz w:val="20"/>
                <w:szCs w:val="20"/>
              </w:rPr>
            </w:pPr>
            <w:r w:rsidRPr="00841E19">
              <w:rPr>
                <w:rFonts w:eastAsia="Calibri" w:cs="Times New Roman"/>
                <w:sz w:val="20"/>
                <w:szCs w:val="20"/>
              </w:rPr>
              <w:t xml:space="preserve">(Kirkpatrick, Smith and Garson (dissenting in </w:t>
            </w:r>
          </w:p>
          <w:p w:rsidR="00017F43" w:rsidRPr="00841E19" w:rsidRDefault="00017F43" w:rsidP="00102938">
            <w:pPr>
              <w:jc w:val="both"/>
              <w:rPr>
                <w:rFonts w:eastAsia="Calibri" w:cs="Times New Roman"/>
                <w:sz w:val="20"/>
                <w:szCs w:val="20"/>
              </w:rPr>
            </w:pPr>
            <w:r w:rsidRPr="00841E19">
              <w:rPr>
                <w:rFonts w:eastAsia="Calibri" w:cs="Times New Roman"/>
                <w:sz w:val="20"/>
                <w:szCs w:val="20"/>
              </w:rPr>
              <w:t>part) JJ.A.)</w:t>
            </w:r>
          </w:p>
          <w:p w:rsidR="00017F43" w:rsidRPr="00841E19" w:rsidRDefault="00417673" w:rsidP="00102938">
            <w:pPr>
              <w:jc w:val="both"/>
              <w:rPr>
                <w:rFonts w:eastAsia="Calibri" w:cs="Times New Roman"/>
                <w:sz w:val="20"/>
                <w:szCs w:val="20"/>
              </w:rPr>
            </w:pPr>
            <w:hyperlink r:id="rId60" w:history="1">
              <w:r w:rsidR="00017F43" w:rsidRPr="00841E19">
                <w:rPr>
                  <w:rFonts w:eastAsia="Calibri" w:cs="Times New Roman"/>
                  <w:color w:val="0000FF"/>
                  <w:sz w:val="20"/>
                  <w:szCs w:val="20"/>
                  <w:u w:val="single"/>
                </w:rPr>
                <w:t>2014 BCCA 409</w:t>
              </w:r>
            </w:hyperlink>
            <w:r w:rsidR="00017F43" w:rsidRPr="00841E19">
              <w:rPr>
                <w:rFonts w:eastAsia="Calibri" w:cs="Times New Roman"/>
                <w:sz w:val="20"/>
                <w:szCs w:val="20"/>
              </w:rPr>
              <w:t>;CA041328</w:t>
            </w:r>
          </w:p>
          <w:p w:rsidR="00017F43" w:rsidRPr="00841E19" w:rsidRDefault="00017F43" w:rsidP="00102938">
            <w:pPr>
              <w:jc w:val="both"/>
              <w:rPr>
                <w:rFonts w:eastAsia="Calibri" w:cs="Times New Roman"/>
                <w:sz w:val="20"/>
                <w:szCs w:val="20"/>
              </w:rPr>
            </w:pPr>
          </w:p>
        </w:tc>
        <w:tc>
          <w:tcPr>
            <w:tcW w:w="243" w:type="pct"/>
          </w:tcPr>
          <w:p w:rsidR="00017F43" w:rsidRPr="00841E19" w:rsidRDefault="00017F43" w:rsidP="00102938">
            <w:pPr>
              <w:jc w:val="both"/>
              <w:rPr>
                <w:rFonts w:eastAsia="Calibri" w:cs="Times New Roman"/>
                <w:sz w:val="20"/>
                <w:szCs w:val="20"/>
              </w:rPr>
            </w:pPr>
          </w:p>
        </w:tc>
        <w:tc>
          <w:tcPr>
            <w:tcW w:w="2330" w:type="pct"/>
          </w:tcPr>
          <w:p w:rsidR="00017F43" w:rsidRPr="00841E19" w:rsidRDefault="00017F43" w:rsidP="00102938">
            <w:pPr>
              <w:jc w:val="both"/>
              <w:rPr>
                <w:rFonts w:eastAsia="Calibri" w:cs="Times New Roman"/>
                <w:sz w:val="20"/>
                <w:szCs w:val="20"/>
              </w:rPr>
            </w:pPr>
            <w:r w:rsidRPr="00841E19">
              <w:rPr>
                <w:rFonts w:eastAsia="Calibri" w:cs="Times New Roman"/>
                <w:sz w:val="20"/>
                <w:szCs w:val="20"/>
              </w:rPr>
              <w:t>Appeal allowed in part; Order that common and preferred shares of Nowak Enterprises Ltd. are family assets and are reapportioned on a 90/10 split in favour of respondent; issue of how to be divided is remitted to the trial judge</w:t>
            </w:r>
          </w:p>
        </w:tc>
      </w:tr>
      <w:tr w:rsidR="00017F43" w:rsidRPr="00841E19" w:rsidTr="00102938">
        <w:tc>
          <w:tcPr>
            <w:tcW w:w="2427" w:type="pct"/>
          </w:tcPr>
          <w:p w:rsidR="00017F43" w:rsidRPr="00841E19" w:rsidRDefault="00017F43" w:rsidP="00102938">
            <w:pPr>
              <w:jc w:val="both"/>
              <w:rPr>
                <w:rFonts w:eastAsia="Calibri" w:cs="Times New Roman"/>
                <w:sz w:val="20"/>
                <w:szCs w:val="20"/>
              </w:rPr>
            </w:pPr>
            <w:r w:rsidRPr="00841E19">
              <w:rPr>
                <w:rFonts w:eastAsia="Calibri" w:cs="Times New Roman"/>
                <w:sz w:val="20"/>
                <w:szCs w:val="20"/>
              </w:rPr>
              <w:t>December 23, 2014</w:t>
            </w:r>
          </w:p>
          <w:p w:rsidR="00017F43" w:rsidRPr="00841E19" w:rsidRDefault="00017F43" w:rsidP="00102938">
            <w:pPr>
              <w:jc w:val="both"/>
              <w:rPr>
                <w:rFonts w:eastAsia="Calibri" w:cs="Times New Roman"/>
                <w:sz w:val="20"/>
                <w:szCs w:val="20"/>
              </w:rPr>
            </w:pPr>
            <w:r w:rsidRPr="00841E19">
              <w:rPr>
                <w:rFonts w:eastAsia="Calibri" w:cs="Times New Roman"/>
                <w:sz w:val="20"/>
                <w:szCs w:val="20"/>
              </w:rPr>
              <w:t>Supreme Court of Canada</w:t>
            </w:r>
          </w:p>
        </w:tc>
        <w:tc>
          <w:tcPr>
            <w:tcW w:w="243" w:type="pct"/>
          </w:tcPr>
          <w:p w:rsidR="00017F43" w:rsidRPr="00841E19" w:rsidRDefault="00017F43" w:rsidP="00102938">
            <w:pPr>
              <w:jc w:val="both"/>
              <w:rPr>
                <w:rFonts w:eastAsia="Calibri" w:cs="Times New Roman"/>
                <w:sz w:val="20"/>
                <w:szCs w:val="20"/>
              </w:rPr>
            </w:pPr>
          </w:p>
        </w:tc>
        <w:tc>
          <w:tcPr>
            <w:tcW w:w="2330" w:type="pct"/>
          </w:tcPr>
          <w:p w:rsidR="00017F43" w:rsidRPr="00841E19" w:rsidRDefault="00017F43" w:rsidP="00102938">
            <w:pPr>
              <w:jc w:val="both"/>
              <w:rPr>
                <w:rFonts w:eastAsia="Calibri" w:cs="Times New Roman"/>
                <w:sz w:val="20"/>
                <w:szCs w:val="20"/>
              </w:rPr>
            </w:pPr>
            <w:r w:rsidRPr="00841E19">
              <w:rPr>
                <w:rFonts w:eastAsia="Calibri" w:cs="Times New Roman"/>
                <w:sz w:val="20"/>
                <w:szCs w:val="20"/>
              </w:rPr>
              <w:t>Application for leave to appeal filed</w:t>
            </w:r>
          </w:p>
          <w:p w:rsidR="00017F43" w:rsidRPr="00841E19" w:rsidRDefault="00017F43" w:rsidP="00102938">
            <w:pPr>
              <w:jc w:val="both"/>
              <w:rPr>
                <w:rFonts w:eastAsia="Calibri" w:cs="Times New Roman"/>
                <w:sz w:val="20"/>
                <w:szCs w:val="20"/>
              </w:rPr>
            </w:pPr>
          </w:p>
        </w:tc>
      </w:tr>
    </w:tbl>
    <w:p w:rsidR="00017F43" w:rsidRPr="00841E19" w:rsidRDefault="00017F43" w:rsidP="00017F43">
      <w:pPr>
        <w:jc w:val="both"/>
        <w:rPr>
          <w:rFonts w:eastAsia="Calibri" w:cs="Times New Roman"/>
          <w:sz w:val="20"/>
          <w:szCs w:val="20"/>
        </w:rPr>
      </w:pPr>
    </w:p>
    <w:p w:rsidR="00017F43" w:rsidRPr="00C50A5C" w:rsidRDefault="00417673" w:rsidP="00017F43">
      <w:pPr>
        <w:rPr>
          <w:sz w:val="20"/>
          <w:szCs w:val="20"/>
        </w:rPr>
      </w:pPr>
      <w:r>
        <w:rPr>
          <w:sz w:val="20"/>
          <w:szCs w:val="20"/>
          <w:lang w:val="fr-CA"/>
        </w:rPr>
        <w:pict>
          <v:rect id="_x0000_i1062" style="width:2in;height:1pt" o:hrpct="0" o:hralign="center" o:hrstd="t" o:hrnoshade="t" o:hr="t" fillcolor="black [3213]" stroked="f"/>
        </w:pict>
      </w:r>
    </w:p>
    <w:p w:rsidR="00017F43" w:rsidRDefault="00017F43" w:rsidP="00017F43">
      <w:pPr>
        <w:rPr>
          <w:sz w:val="20"/>
          <w:szCs w:val="20"/>
        </w:rPr>
      </w:pPr>
    </w:p>
    <w:p w:rsidR="00017F43" w:rsidRPr="001B157C" w:rsidRDefault="00017F43" w:rsidP="00017F43">
      <w:pPr>
        <w:rPr>
          <w:sz w:val="20"/>
          <w:szCs w:val="20"/>
          <w:u w:val="single"/>
          <w:lang w:val="fr-CA"/>
        </w:rPr>
      </w:pPr>
      <w:r w:rsidRPr="001B157C">
        <w:rPr>
          <w:sz w:val="20"/>
          <w:szCs w:val="20"/>
          <w:u w:val="single"/>
          <w:lang w:val="fr-CA"/>
        </w:rPr>
        <w:t>RÉSUMÉ DE L’AFFAIRE</w:t>
      </w:r>
    </w:p>
    <w:p w:rsidR="00017F43" w:rsidRDefault="00017F43" w:rsidP="00017F4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17F43" w:rsidRPr="00584913" w:rsidTr="00102938">
        <w:tc>
          <w:tcPr>
            <w:tcW w:w="5000" w:type="pct"/>
            <w:gridSpan w:val="3"/>
          </w:tcPr>
          <w:p w:rsidR="00017F43" w:rsidRPr="00841E19" w:rsidRDefault="00017F43" w:rsidP="00102938">
            <w:pPr>
              <w:jc w:val="both"/>
              <w:rPr>
                <w:rFonts w:eastAsia="Calibri" w:cs="Times New Roman"/>
                <w:smallCaps/>
                <w:sz w:val="20"/>
                <w:szCs w:val="20"/>
                <w:lang w:val="fr-CA"/>
              </w:rPr>
            </w:pPr>
            <w:r w:rsidRPr="00841E19">
              <w:rPr>
                <w:rFonts w:eastAsia="Calibri" w:cs="Times New Roman"/>
                <w:smallCaps/>
                <w:sz w:val="20"/>
                <w:szCs w:val="20"/>
                <w:lang w:val="fr-CA"/>
              </w:rPr>
              <w:t>(Ordonnance de mise sous scellés)</w:t>
            </w:r>
          </w:p>
          <w:p w:rsidR="00017F43" w:rsidRPr="00841E19" w:rsidRDefault="00017F43" w:rsidP="00102938">
            <w:pPr>
              <w:jc w:val="both"/>
              <w:rPr>
                <w:rFonts w:eastAsia="Calibri" w:cs="Times New Roman"/>
                <w:sz w:val="20"/>
                <w:szCs w:val="20"/>
                <w:lang w:val="fr-CA"/>
              </w:rPr>
            </w:pPr>
          </w:p>
        </w:tc>
      </w:tr>
      <w:tr w:rsidR="00017F43" w:rsidRPr="00584913" w:rsidTr="00102938">
        <w:tc>
          <w:tcPr>
            <w:tcW w:w="5000" w:type="pct"/>
            <w:gridSpan w:val="3"/>
          </w:tcPr>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 xml:space="preserve">Droit de la famille – Biens familiaux – Nouvelle répartition – Appels – Tribunaux – Compétence – Un immeuble commercial en copropriété appartenant à une société par actions dont l’intimé était l’unique actionnaire, personnellement ou en fiducie, est-il un bien familial? – La Cour d’appel a-t-elle commis une erreur de droit en substituant sa propre évaluation de la crédibilité à celle du juge de première instance ou en tirant des conclusions de fait contraires en l’absence d’erreur manifeste et dominante? – L’usage du revenu tiré du bien était-il limité? – Le bien représentait-il un placement passif? – Les parties entendaient-elles que le bien leur procure à toutes les deux un revenu à la retraite? – La Cour d’appel a-t-elle commis une erreur de droit en intervenant à l’égard de l’exercice du pouvoir discrétionnaire du juge de première instance en application de l’art. 65 de la </w:t>
            </w:r>
            <w:r w:rsidRPr="00841E19">
              <w:rPr>
                <w:rFonts w:eastAsia="Calibri" w:cs="Times New Roman"/>
                <w:i/>
                <w:sz w:val="20"/>
                <w:szCs w:val="20"/>
                <w:lang w:val="fr-CA"/>
              </w:rPr>
              <w:t>Family Relations</w:t>
            </w:r>
            <w:r w:rsidRPr="00841E19">
              <w:rPr>
                <w:rFonts w:eastAsia="Calibri" w:cs="Times New Roman"/>
                <w:sz w:val="20"/>
                <w:szCs w:val="20"/>
                <w:lang w:val="fr-CA"/>
              </w:rPr>
              <w:t xml:space="preserve"> </w:t>
            </w:r>
            <w:r w:rsidRPr="00841E19">
              <w:rPr>
                <w:rFonts w:eastAsia="Calibri" w:cs="Times New Roman"/>
                <w:i/>
                <w:sz w:val="20"/>
                <w:szCs w:val="20"/>
                <w:lang w:val="fr-CA"/>
              </w:rPr>
              <w:t>Act</w:t>
            </w:r>
            <w:r w:rsidRPr="00841E19">
              <w:rPr>
                <w:rFonts w:eastAsia="Calibri" w:cs="Times New Roman"/>
                <w:sz w:val="20"/>
                <w:szCs w:val="20"/>
                <w:lang w:val="fr-CA"/>
              </w:rPr>
              <w:t>,</w:t>
            </w:r>
            <w:r w:rsidRPr="00841E19">
              <w:rPr>
                <w:rFonts w:eastAsia="Calibri" w:cs="Times New Roman"/>
                <w:i/>
                <w:sz w:val="20"/>
                <w:szCs w:val="20"/>
                <w:lang w:val="fr-CA"/>
              </w:rPr>
              <w:t xml:space="preserve"> </w:t>
            </w:r>
            <w:r w:rsidRPr="00841E19">
              <w:rPr>
                <w:rFonts w:eastAsia="Calibri" w:cs="Times New Roman"/>
                <w:sz w:val="20"/>
                <w:szCs w:val="20"/>
                <w:lang w:val="fr-CA"/>
              </w:rPr>
              <w:t>R.S.B.C. 1996, ch. 128 (la « </w:t>
            </w:r>
            <w:r w:rsidRPr="00841E19">
              <w:rPr>
                <w:rFonts w:eastAsia="Calibri" w:cs="Times New Roman"/>
                <w:i/>
                <w:sz w:val="20"/>
                <w:szCs w:val="20"/>
                <w:lang w:val="fr-CA"/>
              </w:rPr>
              <w:t>Loi</w:t>
            </w:r>
            <w:r w:rsidRPr="00841E19">
              <w:rPr>
                <w:rFonts w:eastAsia="Calibri" w:cs="Times New Roman"/>
                <w:sz w:val="20"/>
                <w:szCs w:val="20"/>
                <w:lang w:val="fr-CA"/>
              </w:rPr>
              <w:t> »)?</w:t>
            </w:r>
          </w:p>
          <w:p w:rsidR="00017F43" w:rsidRPr="00841E19" w:rsidRDefault="00017F43" w:rsidP="00102938">
            <w:pPr>
              <w:jc w:val="both"/>
              <w:rPr>
                <w:rFonts w:eastAsia="Calibri" w:cs="Times New Roman"/>
                <w:sz w:val="20"/>
                <w:szCs w:val="20"/>
                <w:lang w:val="fr-CA"/>
              </w:rPr>
            </w:pPr>
          </w:p>
        </w:tc>
      </w:tr>
      <w:tr w:rsidR="00017F43" w:rsidRPr="00584913" w:rsidTr="00102938">
        <w:tc>
          <w:tcPr>
            <w:tcW w:w="5000" w:type="pct"/>
            <w:gridSpan w:val="3"/>
          </w:tcPr>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 xml:space="preserve">Monsieur et Mme Nowak ont cohabité depuis 1990 et ils se sont mariés en octobre 1995.  Les deux avaient des enfants issus de mariages antérieurs.  Ils se sont séparés après 16 ans de mariage, alors que le mari était âgé de 61 ans et l’épouse était âgée de 57 ans.  Parmi les questions soulevées dans le cadre de leur instance en matière matrimoniale se posait celle de savoir si un immeuble commercial qu’avait acheté le mari avant le mariage était un bien exclu ou un bien familial.  La Cour suprême de la Colombie-Britannique a statué que le bien était un bien familial et que l’intimé devait payer à la demanderesse la somme de 950 000 $ en guise d’indemnité au titre de son droit au bien pour moitié.  La Cour d’appel de la Colombie-Britannique a accueilli l’appel de l’intimé en partie.  La Cour a confirmé que les actions de la société légalement propriétaire du bien étaient un bien familial.  Toutefois, en application de l’art. 65 de la </w:t>
            </w:r>
            <w:r w:rsidRPr="00841E19">
              <w:rPr>
                <w:rFonts w:eastAsia="Calibri" w:cs="Times New Roman"/>
                <w:i/>
                <w:sz w:val="20"/>
                <w:szCs w:val="20"/>
                <w:lang w:val="fr-CA"/>
              </w:rPr>
              <w:t>Loi</w:t>
            </w:r>
            <w:r w:rsidRPr="00841E19">
              <w:rPr>
                <w:rFonts w:eastAsia="Calibri" w:cs="Times New Roman"/>
                <w:sz w:val="20"/>
                <w:szCs w:val="20"/>
                <w:lang w:val="fr-CA"/>
              </w:rPr>
              <w:t xml:space="preserve">, la Cour a ordonné que la valeur des actions fasse l’objet d’une nouvelle répartition selon la proportion de 90/10 en faveur de l’intimé.  Les juges majoritaires ont renvoyé la question au juge de première instance pour qu’il détermine la valeur actuelle des actions.  La juge Garson, dissidente en partie, aurait interprété l’art. 58 de la </w:t>
            </w:r>
            <w:r w:rsidRPr="00841E19">
              <w:rPr>
                <w:rFonts w:eastAsia="Calibri" w:cs="Times New Roman"/>
                <w:i/>
                <w:sz w:val="20"/>
                <w:szCs w:val="20"/>
                <w:lang w:val="fr-CA"/>
              </w:rPr>
              <w:t>Loi</w:t>
            </w:r>
            <w:r w:rsidRPr="00841E19">
              <w:rPr>
                <w:rFonts w:eastAsia="Calibri" w:cs="Times New Roman"/>
                <w:sz w:val="20"/>
                <w:szCs w:val="20"/>
                <w:lang w:val="fr-CA"/>
              </w:rPr>
              <w:t xml:space="preserve"> de manière à ce que l’immeuble commercial lui-même soit un bien familial.</w:t>
            </w:r>
          </w:p>
          <w:p w:rsidR="00017F43" w:rsidRPr="00841E19" w:rsidRDefault="00017F43" w:rsidP="00102938">
            <w:pPr>
              <w:jc w:val="both"/>
              <w:rPr>
                <w:rFonts w:eastAsia="Calibri" w:cs="Times New Roman"/>
                <w:sz w:val="20"/>
                <w:szCs w:val="20"/>
                <w:lang w:val="fr-CA"/>
              </w:rPr>
            </w:pPr>
          </w:p>
        </w:tc>
      </w:tr>
      <w:tr w:rsidR="00017F43" w:rsidRPr="00584913" w:rsidTr="00102938">
        <w:tc>
          <w:tcPr>
            <w:tcW w:w="2427" w:type="pct"/>
          </w:tcPr>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4 octobre 2013</w:t>
            </w:r>
          </w:p>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Cour suprême de la Colombie-Britannique</w:t>
            </w:r>
          </w:p>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(Juge Brown)</w:t>
            </w:r>
          </w:p>
          <w:p w:rsidR="00017F43" w:rsidRPr="00841E19" w:rsidRDefault="00417673" w:rsidP="00102938">
            <w:pPr>
              <w:jc w:val="both"/>
              <w:rPr>
                <w:rFonts w:eastAsia="Calibri" w:cs="Times New Roman"/>
                <w:sz w:val="20"/>
                <w:szCs w:val="20"/>
                <w:lang w:val="fr-CA"/>
              </w:rPr>
            </w:pPr>
            <w:hyperlink r:id="rId61" w:history="1">
              <w:r w:rsidR="00017F43" w:rsidRPr="00841E19">
                <w:rPr>
                  <w:rFonts w:eastAsia="Calibri" w:cs="Times New Roman"/>
                  <w:color w:val="0000FF"/>
                  <w:sz w:val="20"/>
                  <w:szCs w:val="20"/>
                  <w:u w:val="single"/>
                  <w:lang w:val="fr-CA"/>
                </w:rPr>
                <w:t>2013 BCSC 1827</w:t>
              </w:r>
            </w:hyperlink>
          </w:p>
          <w:p w:rsidR="00017F43" w:rsidRPr="00841E19" w:rsidRDefault="00017F43" w:rsidP="00102938">
            <w:pPr>
              <w:jc w:val="both"/>
              <w:rPr>
                <w:rFonts w:eastAsia="Calibri" w:cs="Times New Roman"/>
                <w:sz w:val="20"/>
                <w:szCs w:val="20"/>
                <w:lang w:val="fr-CA"/>
              </w:rPr>
            </w:pPr>
          </w:p>
        </w:tc>
        <w:tc>
          <w:tcPr>
            <w:tcW w:w="243" w:type="pct"/>
          </w:tcPr>
          <w:p w:rsidR="00017F43" w:rsidRPr="00841E19" w:rsidRDefault="00017F43" w:rsidP="00102938">
            <w:pPr>
              <w:jc w:val="both"/>
              <w:rPr>
                <w:rFonts w:eastAsia="Calibri" w:cs="Times New Roman"/>
                <w:sz w:val="20"/>
                <w:szCs w:val="20"/>
                <w:lang w:val="fr-CA"/>
              </w:rPr>
            </w:pPr>
          </w:p>
        </w:tc>
        <w:tc>
          <w:tcPr>
            <w:tcW w:w="2330" w:type="pct"/>
          </w:tcPr>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 xml:space="preserve">Ordonnance portant notamment que l’immeuble commercial en copropriété est un bien familial et condamnant l’intimé à payer à la demanderesse la somme de 950 000 $ en guise d’indemnité au titre d’un droit pour moitié </w:t>
            </w:r>
          </w:p>
          <w:p w:rsidR="00017F43" w:rsidRPr="00841E19" w:rsidRDefault="00017F43" w:rsidP="00102938">
            <w:pPr>
              <w:jc w:val="both"/>
              <w:rPr>
                <w:rFonts w:eastAsia="Calibri" w:cs="Times New Roman"/>
                <w:sz w:val="20"/>
                <w:szCs w:val="20"/>
                <w:lang w:val="fr-CA"/>
              </w:rPr>
            </w:pPr>
          </w:p>
        </w:tc>
      </w:tr>
      <w:tr w:rsidR="00017F43" w:rsidRPr="00584913" w:rsidTr="00102938">
        <w:tc>
          <w:tcPr>
            <w:tcW w:w="2427" w:type="pct"/>
          </w:tcPr>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27 octobre 2014</w:t>
            </w:r>
          </w:p>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Cour d’appel de la Colombie-Britannique</w:t>
            </w:r>
          </w:p>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(Vancouver)</w:t>
            </w:r>
          </w:p>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(Juges Kirkpatrick, Smith et Garson (dissidente en partie))</w:t>
            </w:r>
          </w:p>
          <w:p w:rsidR="00017F43" w:rsidRPr="00841E19" w:rsidRDefault="00417673" w:rsidP="00102938">
            <w:pPr>
              <w:jc w:val="both"/>
              <w:rPr>
                <w:rFonts w:eastAsia="Calibri" w:cs="Times New Roman"/>
                <w:sz w:val="20"/>
                <w:szCs w:val="20"/>
                <w:lang w:val="fr-CA"/>
              </w:rPr>
            </w:pPr>
            <w:hyperlink r:id="rId62" w:history="1">
              <w:r w:rsidR="00017F43" w:rsidRPr="00841E19">
                <w:rPr>
                  <w:rFonts w:eastAsia="Calibri" w:cs="Times New Roman"/>
                  <w:color w:val="0000FF"/>
                  <w:sz w:val="20"/>
                  <w:szCs w:val="20"/>
                  <w:u w:val="single"/>
                  <w:lang w:val="fr-CA"/>
                </w:rPr>
                <w:t>2014 BCCA 409</w:t>
              </w:r>
            </w:hyperlink>
            <w:r w:rsidR="00017F43" w:rsidRPr="00841E19">
              <w:rPr>
                <w:rFonts w:eastAsia="Calibri" w:cs="Times New Roman"/>
                <w:sz w:val="20"/>
                <w:szCs w:val="20"/>
                <w:lang w:val="fr-CA"/>
              </w:rPr>
              <w:t>;CA041328</w:t>
            </w:r>
          </w:p>
          <w:p w:rsidR="00017F43" w:rsidRPr="00841E19" w:rsidRDefault="00017F43" w:rsidP="00102938">
            <w:pPr>
              <w:jc w:val="both"/>
              <w:rPr>
                <w:rFonts w:eastAsia="Calibri" w:cs="Times New Roman"/>
                <w:sz w:val="20"/>
                <w:szCs w:val="20"/>
                <w:lang w:val="fr-CA"/>
              </w:rPr>
            </w:pPr>
          </w:p>
        </w:tc>
        <w:tc>
          <w:tcPr>
            <w:tcW w:w="243" w:type="pct"/>
          </w:tcPr>
          <w:p w:rsidR="00017F43" w:rsidRPr="00841E19" w:rsidRDefault="00017F43" w:rsidP="00102938">
            <w:pPr>
              <w:jc w:val="both"/>
              <w:rPr>
                <w:rFonts w:eastAsia="Calibri" w:cs="Times New Roman"/>
                <w:sz w:val="20"/>
                <w:szCs w:val="20"/>
                <w:lang w:val="fr-CA"/>
              </w:rPr>
            </w:pPr>
          </w:p>
        </w:tc>
        <w:tc>
          <w:tcPr>
            <w:tcW w:w="2330" w:type="pct"/>
          </w:tcPr>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 xml:space="preserve">Arrêt accueillant l’appel en partie; ordonnance portant que les actions privilégiées de Nowak Enterprises Ltd. sont des biens familiaux et qu’elles doivent faire l’objet d’une nouvelle répartition selon la proportion de 90/10 en faveur de l’intimé; renvoi au juge de première instance de la question des modalités de </w:t>
            </w:r>
            <w:r w:rsidRPr="00841E19">
              <w:rPr>
                <w:rFonts w:eastAsia="Calibri" w:cs="Times New Roman"/>
                <w:sz w:val="20"/>
                <w:szCs w:val="20"/>
                <w:lang w:val="fr-CA"/>
              </w:rPr>
              <w:lastRenderedPageBreak/>
              <w:t xml:space="preserve">partage </w:t>
            </w:r>
          </w:p>
          <w:p w:rsidR="00017F43" w:rsidRPr="00841E19" w:rsidRDefault="00017F43" w:rsidP="00102938">
            <w:pPr>
              <w:jc w:val="both"/>
              <w:rPr>
                <w:rFonts w:eastAsia="Calibri" w:cs="Times New Roman"/>
                <w:sz w:val="20"/>
                <w:szCs w:val="20"/>
                <w:lang w:val="fr-CA"/>
              </w:rPr>
            </w:pPr>
          </w:p>
        </w:tc>
      </w:tr>
      <w:tr w:rsidR="00017F43" w:rsidRPr="00584913" w:rsidTr="00102938">
        <w:tc>
          <w:tcPr>
            <w:tcW w:w="2427" w:type="pct"/>
          </w:tcPr>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lastRenderedPageBreak/>
              <w:t>23 décembre 2014</w:t>
            </w:r>
          </w:p>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Cour suprême du Canada</w:t>
            </w:r>
          </w:p>
        </w:tc>
        <w:tc>
          <w:tcPr>
            <w:tcW w:w="243" w:type="pct"/>
          </w:tcPr>
          <w:p w:rsidR="00017F43" w:rsidRPr="00841E19" w:rsidRDefault="00017F43" w:rsidP="00102938">
            <w:pPr>
              <w:jc w:val="both"/>
              <w:rPr>
                <w:rFonts w:eastAsia="Calibri" w:cs="Times New Roman"/>
                <w:sz w:val="20"/>
                <w:szCs w:val="20"/>
                <w:lang w:val="fr-CA"/>
              </w:rPr>
            </w:pPr>
          </w:p>
        </w:tc>
        <w:tc>
          <w:tcPr>
            <w:tcW w:w="2330" w:type="pct"/>
          </w:tcPr>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Dépôt de la demande d’autorisation d’appel</w:t>
            </w:r>
          </w:p>
          <w:p w:rsidR="00017F43" w:rsidRPr="00841E19" w:rsidRDefault="00017F43" w:rsidP="00102938">
            <w:pPr>
              <w:jc w:val="both"/>
              <w:rPr>
                <w:rFonts w:eastAsia="Calibri" w:cs="Times New Roman"/>
                <w:sz w:val="20"/>
                <w:szCs w:val="20"/>
                <w:lang w:val="fr-CA"/>
              </w:rPr>
            </w:pPr>
          </w:p>
        </w:tc>
      </w:tr>
    </w:tbl>
    <w:p w:rsidR="00017F43" w:rsidRPr="0016547E" w:rsidRDefault="00017F43" w:rsidP="00017F43">
      <w:pPr>
        <w:rPr>
          <w:sz w:val="20"/>
          <w:szCs w:val="20"/>
          <w:lang w:val="fr-CA"/>
        </w:rPr>
      </w:pPr>
    </w:p>
    <w:p w:rsidR="00017F43" w:rsidRPr="00C50A5C" w:rsidRDefault="00417673" w:rsidP="00017F43">
      <w:pPr>
        <w:rPr>
          <w:sz w:val="20"/>
          <w:szCs w:val="20"/>
        </w:rPr>
      </w:pPr>
      <w:r>
        <w:rPr>
          <w:sz w:val="20"/>
          <w:szCs w:val="20"/>
          <w:lang w:val="fr-CA"/>
        </w:rPr>
        <w:pict>
          <v:rect id="_x0000_i1063" style="width:2in;height:1pt" o:hrpct="0" o:hralign="center" o:hrstd="t" o:hrnoshade="t" o:hr="t" fillcolor="black [3213]" stroked="f"/>
        </w:pict>
      </w:r>
    </w:p>
    <w:p w:rsidR="00D96177" w:rsidRDefault="00D96177" w:rsidP="00841E19">
      <w:pPr>
        <w:jc w:val="both"/>
        <w:rPr>
          <w:rFonts w:eastAsia="Calibri" w:cs="Times New Roman"/>
          <w:sz w:val="20"/>
          <w:szCs w:val="20"/>
          <w:lang w:val="fr-CA"/>
        </w:rPr>
      </w:pPr>
    </w:p>
    <w:tbl>
      <w:tblPr>
        <w:tblStyle w:val="TableGrid1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17F43" w:rsidRPr="00017F43" w:rsidTr="00102938">
        <w:trPr>
          <w:cantSplit/>
        </w:trPr>
        <w:tc>
          <w:tcPr>
            <w:tcW w:w="1458" w:type="dxa"/>
          </w:tcPr>
          <w:p w:rsidR="00017F43" w:rsidRPr="00017F43" w:rsidRDefault="00017F43" w:rsidP="00017F43">
            <w:pPr>
              <w:jc w:val="both"/>
              <w:rPr>
                <w:sz w:val="20"/>
              </w:rPr>
            </w:pPr>
            <w:r w:rsidRPr="00017F43">
              <w:rPr>
                <w:b/>
                <w:sz w:val="20"/>
                <w:lang w:val="fr-CA"/>
              </w:rPr>
              <w:t>36235</w:t>
            </w:r>
          </w:p>
          <w:p w:rsidR="00017F43" w:rsidRPr="00017F43" w:rsidRDefault="00017F43" w:rsidP="00017F43">
            <w:pPr>
              <w:jc w:val="both"/>
              <w:rPr>
                <w:b/>
                <w:sz w:val="20"/>
                <w:lang w:val="fr-CA"/>
              </w:rPr>
            </w:pPr>
          </w:p>
        </w:tc>
        <w:tc>
          <w:tcPr>
            <w:tcW w:w="8118" w:type="dxa"/>
          </w:tcPr>
          <w:p w:rsidR="00017F43" w:rsidRPr="00017F43" w:rsidRDefault="00017F43" w:rsidP="00017F43">
            <w:pPr>
              <w:jc w:val="both"/>
              <w:rPr>
                <w:sz w:val="20"/>
              </w:rPr>
            </w:pPr>
            <w:r w:rsidRPr="00017F43">
              <w:rPr>
                <w:b/>
                <w:sz w:val="20"/>
                <w:u w:val="single"/>
                <w:lang w:val="en-US"/>
              </w:rPr>
              <w:t>Phylum Corporation v. Dominion of Canada General Insurance Company</w:t>
            </w:r>
            <w:r w:rsidRPr="00017F43">
              <w:rPr>
                <w:sz w:val="20"/>
              </w:rPr>
              <w:t xml:space="preserve"> (Ont.) (Civil) (By</w:t>
            </w:r>
            <w:r w:rsidR="00A1636E">
              <w:rPr>
                <w:sz w:val="20"/>
              </w:rPr>
              <w:t> </w:t>
            </w:r>
            <w:r w:rsidRPr="00017F43">
              <w:rPr>
                <w:sz w:val="20"/>
              </w:rPr>
              <w:t>Leave)</w:t>
            </w:r>
          </w:p>
          <w:p w:rsidR="00017F43" w:rsidRPr="00017F43" w:rsidRDefault="00017F43" w:rsidP="00017F43">
            <w:pPr>
              <w:jc w:val="both"/>
              <w:rPr>
                <w:sz w:val="20"/>
              </w:rPr>
            </w:pPr>
          </w:p>
        </w:tc>
      </w:tr>
      <w:tr w:rsidR="00017F43" w:rsidRPr="00017F43" w:rsidTr="00102938">
        <w:trPr>
          <w:cantSplit/>
        </w:trPr>
        <w:tc>
          <w:tcPr>
            <w:tcW w:w="1458" w:type="dxa"/>
          </w:tcPr>
          <w:p w:rsidR="00017F43" w:rsidRPr="00017F43" w:rsidRDefault="00017F43" w:rsidP="00017F43">
            <w:pPr>
              <w:jc w:val="both"/>
              <w:rPr>
                <w:sz w:val="20"/>
              </w:rPr>
            </w:pPr>
            <w:r w:rsidRPr="00017F43">
              <w:rPr>
                <w:sz w:val="20"/>
              </w:rPr>
              <w:t>Coram :</w:t>
            </w:r>
          </w:p>
        </w:tc>
        <w:tc>
          <w:tcPr>
            <w:tcW w:w="8118" w:type="dxa"/>
          </w:tcPr>
          <w:p w:rsidR="00017F43" w:rsidRPr="00017F43" w:rsidRDefault="00017F43" w:rsidP="00017F43">
            <w:pPr>
              <w:jc w:val="both"/>
              <w:rPr>
                <w:sz w:val="20"/>
              </w:rPr>
            </w:pPr>
            <w:r w:rsidRPr="00017F43">
              <w:rPr>
                <w:sz w:val="20"/>
                <w:u w:val="single"/>
                <w:lang w:val="en-US"/>
              </w:rPr>
              <w:t>McLachlin C.J. and Wagner and Gascon JJ.</w:t>
            </w:r>
          </w:p>
          <w:p w:rsidR="00017F43" w:rsidRPr="00017F43" w:rsidRDefault="00017F43" w:rsidP="00017F43">
            <w:pPr>
              <w:jc w:val="both"/>
              <w:rPr>
                <w:sz w:val="20"/>
                <w:u w:val="single"/>
              </w:rPr>
            </w:pPr>
          </w:p>
        </w:tc>
      </w:tr>
      <w:tr w:rsidR="00017F43" w:rsidRPr="00584913" w:rsidTr="00102938">
        <w:trPr>
          <w:cantSplit/>
        </w:trPr>
        <w:tc>
          <w:tcPr>
            <w:tcW w:w="9576" w:type="dxa"/>
            <w:gridSpan w:val="2"/>
          </w:tcPr>
          <w:p w:rsidR="00017F43" w:rsidRPr="00017F43" w:rsidRDefault="00017F43" w:rsidP="00017F43">
            <w:pPr>
              <w:ind w:firstLine="720"/>
              <w:jc w:val="both"/>
              <w:rPr>
                <w:sz w:val="20"/>
              </w:rPr>
            </w:pPr>
            <w:r w:rsidRPr="00017F43">
              <w:rPr>
                <w:sz w:val="20"/>
              </w:rPr>
              <w:t>The application for leave to appeal from the judgment of the Court of Appeal for Ontario, Number C59125, 2014 ONCA 886, dated December 3, 2014, is dismissed with costs.</w:t>
            </w:r>
          </w:p>
          <w:p w:rsidR="00017F43" w:rsidRPr="00017F43" w:rsidRDefault="00017F43" w:rsidP="00017F43">
            <w:pPr>
              <w:jc w:val="both"/>
              <w:rPr>
                <w:sz w:val="20"/>
              </w:rPr>
            </w:pPr>
          </w:p>
          <w:p w:rsidR="00017F43" w:rsidRPr="00017F43" w:rsidRDefault="00017F43" w:rsidP="00017F43">
            <w:pPr>
              <w:ind w:firstLine="720"/>
              <w:jc w:val="both"/>
              <w:rPr>
                <w:sz w:val="20"/>
                <w:lang w:val="fr-CA"/>
              </w:rPr>
            </w:pPr>
            <w:r w:rsidRPr="00017F43">
              <w:rPr>
                <w:sz w:val="20"/>
                <w:lang w:val="fr-CA"/>
              </w:rPr>
              <w:t>La demande d’autorisation d’appel de l’arrêt de la Cour d’appel de l’Ontario, numéro C59125, 2014 ONCA 886, daté du 3 décembre 2014, est rejetée avec dépens.</w:t>
            </w:r>
          </w:p>
        </w:tc>
      </w:tr>
    </w:tbl>
    <w:p w:rsidR="00D96177" w:rsidRDefault="00D96177" w:rsidP="00841E19">
      <w:pPr>
        <w:jc w:val="both"/>
        <w:rPr>
          <w:rFonts w:eastAsia="Calibri" w:cs="Times New Roman"/>
          <w:sz w:val="20"/>
          <w:szCs w:val="20"/>
          <w:lang w:val="fr-CA"/>
        </w:rPr>
      </w:pPr>
    </w:p>
    <w:p w:rsidR="00017F43" w:rsidRPr="00017F43" w:rsidRDefault="00017F43" w:rsidP="00017F43">
      <w:pPr>
        <w:rPr>
          <w:sz w:val="20"/>
          <w:szCs w:val="20"/>
          <w:u w:val="single"/>
        </w:rPr>
      </w:pPr>
      <w:r w:rsidRPr="00017F43">
        <w:rPr>
          <w:sz w:val="20"/>
          <w:szCs w:val="20"/>
          <w:u w:val="single"/>
        </w:rPr>
        <w:t>CASE SUMMARY</w:t>
      </w:r>
    </w:p>
    <w:p w:rsidR="00017F43" w:rsidRPr="00017F43" w:rsidRDefault="00017F43" w:rsidP="00017F4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17F43" w:rsidRPr="00017F43" w:rsidTr="00102938">
        <w:tc>
          <w:tcPr>
            <w:tcW w:w="5000" w:type="pct"/>
            <w:gridSpan w:val="3"/>
          </w:tcPr>
          <w:p w:rsidR="00017F43" w:rsidRPr="00017F43" w:rsidRDefault="00017F43" w:rsidP="00017F43">
            <w:pPr>
              <w:jc w:val="both"/>
              <w:rPr>
                <w:rFonts w:eastAsia="Calibri" w:cs="Times New Roman"/>
                <w:sz w:val="20"/>
                <w:szCs w:val="20"/>
              </w:rPr>
            </w:pPr>
            <w:r w:rsidRPr="00017F43">
              <w:rPr>
                <w:rFonts w:eastAsia="Calibri" w:cs="Times New Roman"/>
                <w:sz w:val="20"/>
                <w:szCs w:val="20"/>
              </w:rPr>
              <w:t xml:space="preserve">Insurance law – Property insurance – Appointment of umpire – Parties unable to agree on appointment of umpire – Applicant applying to court to have umpire appointed – Is there unequal justice in the eyes of the law regarding the appointment of an umpire in an insurance appraisal? – Is a Motion Judge’s decision from a lower court bound by </w:t>
            </w:r>
            <w:r w:rsidRPr="00017F43">
              <w:rPr>
                <w:rFonts w:eastAsia="Calibri" w:cs="Times New Roman"/>
                <w:i/>
                <w:sz w:val="20"/>
                <w:szCs w:val="20"/>
              </w:rPr>
              <w:t>stare decisis</w:t>
            </w:r>
            <w:r w:rsidRPr="00017F43">
              <w:rPr>
                <w:rFonts w:eastAsia="Calibri" w:cs="Times New Roman"/>
                <w:sz w:val="20"/>
                <w:szCs w:val="20"/>
              </w:rPr>
              <w:t>? – Is it in the capacity of an umpire in the insurance appraisal to hear evidence and make a judgement on that evidence? – What qualifications are necessary for a person to act as an umpire in an insurance appraisal?</w:t>
            </w:r>
          </w:p>
        </w:tc>
      </w:tr>
      <w:tr w:rsidR="00017F43" w:rsidRPr="00017F43" w:rsidTr="00102938">
        <w:tc>
          <w:tcPr>
            <w:tcW w:w="5000" w:type="pct"/>
            <w:gridSpan w:val="3"/>
          </w:tcPr>
          <w:p w:rsidR="00017F43" w:rsidRPr="00017F43" w:rsidRDefault="00017F43" w:rsidP="00017F43">
            <w:pPr>
              <w:jc w:val="both"/>
              <w:rPr>
                <w:rFonts w:eastAsia="Calibri" w:cs="Times New Roman"/>
                <w:sz w:val="20"/>
                <w:szCs w:val="20"/>
              </w:rPr>
            </w:pPr>
          </w:p>
        </w:tc>
      </w:tr>
      <w:tr w:rsidR="00017F43" w:rsidRPr="00017F43" w:rsidTr="00102938">
        <w:tc>
          <w:tcPr>
            <w:tcW w:w="5000" w:type="pct"/>
            <w:gridSpan w:val="3"/>
          </w:tcPr>
          <w:p w:rsidR="00017F43" w:rsidRPr="00017F43" w:rsidRDefault="00017F43" w:rsidP="00017F43">
            <w:pPr>
              <w:jc w:val="both"/>
              <w:rPr>
                <w:rFonts w:eastAsia="Calibri" w:cs="Times New Roman"/>
                <w:sz w:val="20"/>
                <w:szCs w:val="20"/>
              </w:rPr>
            </w:pPr>
            <w:r w:rsidRPr="00017F43">
              <w:rPr>
                <w:rFonts w:eastAsia="Calibri" w:cs="Times New Roman"/>
                <w:sz w:val="20"/>
                <w:szCs w:val="20"/>
              </w:rPr>
              <w:t xml:space="preserve">In February, 2012 a building and its contents owned by the applicant and insured by the respondent were damaged by a fire.  The appraisers for the parties were unable to agree on an umpire and the applicant brought a motion under the </w:t>
            </w:r>
            <w:r w:rsidRPr="00017F43">
              <w:rPr>
                <w:rFonts w:eastAsia="Calibri" w:cs="Times New Roman"/>
                <w:i/>
                <w:sz w:val="20"/>
                <w:szCs w:val="20"/>
              </w:rPr>
              <w:t>Insurance Act</w:t>
            </w:r>
            <w:r w:rsidRPr="00017F43">
              <w:rPr>
                <w:rFonts w:eastAsia="Calibri" w:cs="Times New Roman"/>
                <w:sz w:val="20"/>
                <w:szCs w:val="20"/>
              </w:rPr>
              <w:t>, R.S.O. 1990, c. I.8 to have an umpire appointed.  The applicant put forward two nominees and the insurer proposed three names.</w:t>
            </w:r>
          </w:p>
          <w:p w:rsidR="00017F43" w:rsidRPr="00017F43" w:rsidRDefault="00017F43" w:rsidP="00017F43">
            <w:pPr>
              <w:jc w:val="both"/>
              <w:rPr>
                <w:rFonts w:eastAsia="Calibri" w:cs="Times New Roman"/>
                <w:sz w:val="20"/>
                <w:szCs w:val="20"/>
              </w:rPr>
            </w:pPr>
          </w:p>
        </w:tc>
      </w:tr>
      <w:tr w:rsidR="00017F43" w:rsidRPr="00017F43" w:rsidTr="00102938">
        <w:tc>
          <w:tcPr>
            <w:tcW w:w="2427" w:type="pct"/>
          </w:tcPr>
          <w:p w:rsidR="00017F43" w:rsidRPr="00017F43" w:rsidRDefault="00017F43" w:rsidP="00017F43">
            <w:pPr>
              <w:jc w:val="both"/>
              <w:rPr>
                <w:rFonts w:eastAsia="Calibri" w:cs="Times New Roman"/>
                <w:sz w:val="20"/>
                <w:szCs w:val="20"/>
              </w:rPr>
            </w:pPr>
            <w:r w:rsidRPr="00017F43">
              <w:rPr>
                <w:rFonts w:eastAsia="Calibri" w:cs="Times New Roman"/>
                <w:sz w:val="20"/>
                <w:szCs w:val="20"/>
              </w:rPr>
              <w:t>June 24, 2014</w:t>
            </w:r>
          </w:p>
          <w:p w:rsidR="00017F43" w:rsidRPr="00017F43" w:rsidRDefault="00017F43" w:rsidP="00017F43">
            <w:pPr>
              <w:jc w:val="both"/>
              <w:rPr>
                <w:rFonts w:eastAsia="Calibri" w:cs="Times New Roman"/>
                <w:sz w:val="20"/>
                <w:szCs w:val="20"/>
              </w:rPr>
            </w:pPr>
            <w:r w:rsidRPr="00017F43">
              <w:rPr>
                <w:rFonts w:eastAsia="Calibri" w:cs="Times New Roman"/>
                <w:sz w:val="20"/>
                <w:szCs w:val="20"/>
              </w:rPr>
              <w:t>Ontario Superior Court of Justice</w:t>
            </w:r>
          </w:p>
          <w:p w:rsidR="00017F43" w:rsidRPr="00017F43" w:rsidRDefault="00017F43" w:rsidP="00017F43">
            <w:pPr>
              <w:jc w:val="both"/>
              <w:rPr>
                <w:rFonts w:eastAsia="Calibri" w:cs="Times New Roman"/>
                <w:sz w:val="20"/>
                <w:szCs w:val="20"/>
              </w:rPr>
            </w:pPr>
            <w:r w:rsidRPr="00017F43">
              <w:rPr>
                <w:rFonts w:eastAsia="Calibri" w:cs="Times New Roman"/>
                <w:sz w:val="20"/>
                <w:szCs w:val="20"/>
              </w:rPr>
              <w:t>(O'Marra J.)</w:t>
            </w:r>
          </w:p>
          <w:p w:rsidR="00017F43" w:rsidRPr="00017F43" w:rsidRDefault="00017F43" w:rsidP="00017F43">
            <w:pPr>
              <w:jc w:val="both"/>
              <w:rPr>
                <w:rFonts w:eastAsia="Calibri" w:cs="Times New Roman"/>
                <w:sz w:val="20"/>
                <w:szCs w:val="20"/>
              </w:rPr>
            </w:pPr>
            <w:r w:rsidRPr="00017F43">
              <w:rPr>
                <w:rFonts w:eastAsia="Calibri" w:cs="Times New Roman"/>
                <w:sz w:val="20"/>
                <w:szCs w:val="20"/>
              </w:rPr>
              <w:t>2014 ONSC 3849</w:t>
            </w:r>
          </w:p>
          <w:p w:rsidR="00017F43" w:rsidRPr="00017F43" w:rsidRDefault="00017F43" w:rsidP="00017F43">
            <w:pPr>
              <w:jc w:val="both"/>
              <w:rPr>
                <w:rFonts w:eastAsia="Calibri" w:cs="Times New Roman"/>
                <w:sz w:val="20"/>
                <w:szCs w:val="20"/>
              </w:rPr>
            </w:pPr>
          </w:p>
        </w:tc>
        <w:tc>
          <w:tcPr>
            <w:tcW w:w="243" w:type="pct"/>
          </w:tcPr>
          <w:p w:rsidR="00017F43" w:rsidRPr="00017F43" w:rsidRDefault="00017F43" w:rsidP="00017F43">
            <w:pPr>
              <w:jc w:val="both"/>
              <w:rPr>
                <w:rFonts w:eastAsia="Calibri" w:cs="Times New Roman"/>
                <w:sz w:val="20"/>
                <w:szCs w:val="20"/>
              </w:rPr>
            </w:pPr>
          </w:p>
        </w:tc>
        <w:tc>
          <w:tcPr>
            <w:tcW w:w="2330" w:type="pct"/>
          </w:tcPr>
          <w:p w:rsidR="00017F43" w:rsidRPr="00017F43" w:rsidRDefault="00017F43" w:rsidP="00017F43">
            <w:pPr>
              <w:jc w:val="both"/>
              <w:rPr>
                <w:rFonts w:eastAsia="Calibri" w:cs="Times New Roman"/>
                <w:sz w:val="20"/>
                <w:szCs w:val="20"/>
              </w:rPr>
            </w:pPr>
            <w:r w:rsidRPr="00017F43">
              <w:rPr>
                <w:rFonts w:eastAsia="Calibri" w:cs="Times New Roman"/>
                <w:sz w:val="20"/>
                <w:szCs w:val="20"/>
              </w:rPr>
              <w:t>Umpire appointed</w:t>
            </w:r>
          </w:p>
          <w:p w:rsidR="00017F43" w:rsidRPr="00017F43" w:rsidRDefault="00017F43" w:rsidP="00017F43">
            <w:pPr>
              <w:jc w:val="both"/>
              <w:rPr>
                <w:rFonts w:eastAsia="Calibri" w:cs="Times New Roman"/>
                <w:sz w:val="20"/>
                <w:szCs w:val="20"/>
              </w:rPr>
            </w:pPr>
          </w:p>
        </w:tc>
      </w:tr>
      <w:tr w:rsidR="00017F43" w:rsidRPr="00017F43" w:rsidTr="00102938">
        <w:tc>
          <w:tcPr>
            <w:tcW w:w="2427" w:type="pct"/>
          </w:tcPr>
          <w:p w:rsidR="00017F43" w:rsidRPr="00017F43" w:rsidRDefault="00017F43" w:rsidP="00017F43">
            <w:pPr>
              <w:jc w:val="both"/>
              <w:rPr>
                <w:rFonts w:eastAsia="Calibri" w:cs="Times New Roman"/>
                <w:sz w:val="20"/>
                <w:szCs w:val="20"/>
              </w:rPr>
            </w:pPr>
            <w:r w:rsidRPr="00017F43">
              <w:rPr>
                <w:rFonts w:eastAsia="Calibri" w:cs="Times New Roman"/>
                <w:sz w:val="20"/>
                <w:szCs w:val="20"/>
              </w:rPr>
              <w:t>December 3, 2014</w:t>
            </w:r>
          </w:p>
          <w:p w:rsidR="00017F43" w:rsidRPr="00017F43" w:rsidRDefault="00017F43" w:rsidP="00017F43">
            <w:pPr>
              <w:jc w:val="both"/>
              <w:rPr>
                <w:rFonts w:eastAsia="Calibri" w:cs="Times New Roman"/>
                <w:sz w:val="20"/>
                <w:szCs w:val="20"/>
              </w:rPr>
            </w:pPr>
            <w:r w:rsidRPr="00017F43">
              <w:rPr>
                <w:rFonts w:eastAsia="Calibri" w:cs="Times New Roman"/>
                <w:sz w:val="20"/>
                <w:szCs w:val="20"/>
              </w:rPr>
              <w:t>Court of Appeal for Ontario</w:t>
            </w:r>
          </w:p>
          <w:p w:rsidR="00017F43" w:rsidRPr="00017F43" w:rsidRDefault="00017F43" w:rsidP="00017F43">
            <w:pPr>
              <w:jc w:val="both"/>
              <w:rPr>
                <w:rFonts w:eastAsia="Calibri" w:cs="Times New Roman"/>
                <w:sz w:val="20"/>
                <w:szCs w:val="20"/>
              </w:rPr>
            </w:pPr>
            <w:r w:rsidRPr="00017F43">
              <w:rPr>
                <w:rFonts w:eastAsia="Calibri" w:cs="Times New Roman"/>
                <w:sz w:val="20"/>
                <w:szCs w:val="20"/>
              </w:rPr>
              <w:t>(Laskin, Cronk and Pepall JJ.A.)</w:t>
            </w:r>
          </w:p>
          <w:p w:rsidR="00017F43" w:rsidRPr="00017F43" w:rsidRDefault="00417673" w:rsidP="00017F43">
            <w:pPr>
              <w:jc w:val="both"/>
              <w:rPr>
                <w:rFonts w:eastAsia="Calibri" w:cs="Times New Roman"/>
                <w:sz w:val="20"/>
                <w:szCs w:val="20"/>
              </w:rPr>
            </w:pPr>
            <w:hyperlink r:id="rId63" w:history="1">
              <w:r w:rsidR="00017F43" w:rsidRPr="00017F43">
                <w:rPr>
                  <w:rFonts w:eastAsia="Calibri" w:cs="Times New Roman"/>
                  <w:color w:val="0000FF"/>
                  <w:sz w:val="20"/>
                  <w:szCs w:val="20"/>
                  <w:u w:val="single"/>
                </w:rPr>
                <w:t>2014 ONCA 886</w:t>
              </w:r>
            </w:hyperlink>
          </w:p>
          <w:p w:rsidR="00017F43" w:rsidRPr="00017F43" w:rsidRDefault="00017F43" w:rsidP="00017F43">
            <w:pPr>
              <w:jc w:val="both"/>
              <w:rPr>
                <w:rFonts w:eastAsia="Calibri" w:cs="Times New Roman"/>
                <w:sz w:val="20"/>
                <w:szCs w:val="20"/>
              </w:rPr>
            </w:pPr>
          </w:p>
        </w:tc>
        <w:tc>
          <w:tcPr>
            <w:tcW w:w="243" w:type="pct"/>
          </w:tcPr>
          <w:p w:rsidR="00017F43" w:rsidRPr="00017F43" w:rsidRDefault="00017F43" w:rsidP="00017F43">
            <w:pPr>
              <w:jc w:val="both"/>
              <w:rPr>
                <w:rFonts w:eastAsia="Calibri" w:cs="Times New Roman"/>
                <w:sz w:val="20"/>
                <w:szCs w:val="20"/>
              </w:rPr>
            </w:pPr>
          </w:p>
        </w:tc>
        <w:tc>
          <w:tcPr>
            <w:tcW w:w="2330" w:type="pct"/>
          </w:tcPr>
          <w:p w:rsidR="00017F43" w:rsidRPr="00017F43" w:rsidRDefault="00017F43" w:rsidP="00017F43">
            <w:pPr>
              <w:jc w:val="both"/>
              <w:rPr>
                <w:rFonts w:eastAsia="Calibri" w:cs="Times New Roman"/>
                <w:sz w:val="20"/>
                <w:szCs w:val="20"/>
              </w:rPr>
            </w:pPr>
            <w:r w:rsidRPr="00017F43">
              <w:rPr>
                <w:rFonts w:eastAsia="Calibri" w:cs="Times New Roman"/>
                <w:sz w:val="20"/>
                <w:szCs w:val="20"/>
              </w:rPr>
              <w:t>Appeal dismissed</w:t>
            </w:r>
          </w:p>
          <w:p w:rsidR="00017F43" w:rsidRPr="00017F43" w:rsidRDefault="00017F43" w:rsidP="00017F43">
            <w:pPr>
              <w:jc w:val="both"/>
              <w:rPr>
                <w:rFonts w:eastAsia="Calibri" w:cs="Times New Roman"/>
                <w:sz w:val="20"/>
                <w:szCs w:val="20"/>
              </w:rPr>
            </w:pPr>
          </w:p>
        </w:tc>
      </w:tr>
      <w:tr w:rsidR="00017F43" w:rsidRPr="00017F43" w:rsidTr="00102938">
        <w:tc>
          <w:tcPr>
            <w:tcW w:w="2427" w:type="pct"/>
          </w:tcPr>
          <w:p w:rsidR="00017F43" w:rsidRPr="00017F43" w:rsidRDefault="00017F43" w:rsidP="00017F43">
            <w:pPr>
              <w:jc w:val="both"/>
              <w:rPr>
                <w:rFonts w:eastAsia="Calibri" w:cs="Times New Roman"/>
                <w:sz w:val="20"/>
                <w:szCs w:val="20"/>
              </w:rPr>
            </w:pPr>
            <w:r w:rsidRPr="00017F43">
              <w:rPr>
                <w:rFonts w:eastAsia="Calibri" w:cs="Times New Roman"/>
                <w:sz w:val="20"/>
                <w:szCs w:val="20"/>
              </w:rPr>
              <w:t>January 29, 2015</w:t>
            </w:r>
          </w:p>
          <w:p w:rsidR="00017F43" w:rsidRPr="00017F43" w:rsidRDefault="00017F43" w:rsidP="00017F43">
            <w:pPr>
              <w:jc w:val="both"/>
              <w:rPr>
                <w:rFonts w:eastAsia="Calibri" w:cs="Times New Roman"/>
                <w:sz w:val="20"/>
                <w:szCs w:val="20"/>
              </w:rPr>
            </w:pPr>
            <w:r w:rsidRPr="00017F43">
              <w:rPr>
                <w:rFonts w:eastAsia="Calibri" w:cs="Times New Roman"/>
                <w:sz w:val="20"/>
                <w:szCs w:val="20"/>
              </w:rPr>
              <w:t>Supreme Court of Canada</w:t>
            </w:r>
          </w:p>
        </w:tc>
        <w:tc>
          <w:tcPr>
            <w:tcW w:w="243" w:type="pct"/>
          </w:tcPr>
          <w:p w:rsidR="00017F43" w:rsidRPr="00017F43" w:rsidRDefault="00017F43" w:rsidP="00017F43">
            <w:pPr>
              <w:jc w:val="both"/>
              <w:rPr>
                <w:rFonts w:eastAsia="Calibri" w:cs="Times New Roman"/>
                <w:sz w:val="20"/>
                <w:szCs w:val="20"/>
              </w:rPr>
            </w:pPr>
          </w:p>
        </w:tc>
        <w:tc>
          <w:tcPr>
            <w:tcW w:w="2330" w:type="pct"/>
          </w:tcPr>
          <w:p w:rsidR="00017F43" w:rsidRPr="00017F43" w:rsidRDefault="00017F43" w:rsidP="00017F43">
            <w:pPr>
              <w:jc w:val="both"/>
              <w:rPr>
                <w:rFonts w:eastAsia="Calibri" w:cs="Times New Roman"/>
                <w:sz w:val="20"/>
                <w:szCs w:val="20"/>
              </w:rPr>
            </w:pPr>
            <w:r w:rsidRPr="00017F43">
              <w:rPr>
                <w:rFonts w:eastAsia="Calibri" w:cs="Times New Roman"/>
                <w:sz w:val="20"/>
                <w:szCs w:val="20"/>
              </w:rPr>
              <w:t>Application for leave to appeal filed</w:t>
            </w:r>
          </w:p>
          <w:p w:rsidR="00017F43" w:rsidRPr="00017F43" w:rsidRDefault="00017F43" w:rsidP="00017F43">
            <w:pPr>
              <w:jc w:val="both"/>
              <w:rPr>
                <w:rFonts w:eastAsia="Calibri" w:cs="Times New Roman"/>
                <w:sz w:val="20"/>
                <w:szCs w:val="20"/>
              </w:rPr>
            </w:pPr>
          </w:p>
        </w:tc>
      </w:tr>
    </w:tbl>
    <w:p w:rsidR="00017F43" w:rsidRPr="00017F43" w:rsidRDefault="00017F43" w:rsidP="00017F43">
      <w:pPr>
        <w:rPr>
          <w:sz w:val="20"/>
          <w:szCs w:val="20"/>
          <w:lang w:val="en-US"/>
        </w:rPr>
      </w:pPr>
    </w:p>
    <w:p w:rsidR="00017F43" w:rsidRPr="00017F43" w:rsidRDefault="00417673" w:rsidP="00017F43">
      <w:pPr>
        <w:rPr>
          <w:sz w:val="20"/>
          <w:szCs w:val="20"/>
        </w:rPr>
      </w:pPr>
      <w:r>
        <w:rPr>
          <w:sz w:val="20"/>
          <w:szCs w:val="20"/>
          <w:lang w:val="fr-CA"/>
        </w:rPr>
        <w:pict>
          <v:rect id="_x0000_i1064" style="width:2in;height:1pt" o:hrpct="0" o:hralign="center" o:hrstd="t" o:hrnoshade="t" o:hr="t" fillcolor="black [3213]" stroked="f"/>
        </w:pict>
      </w:r>
    </w:p>
    <w:p w:rsidR="00017F43" w:rsidRPr="00017F43" w:rsidRDefault="00017F43" w:rsidP="00017F43">
      <w:pPr>
        <w:rPr>
          <w:sz w:val="20"/>
          <w:szCs w:val="20"/>
        </w:rPr>
      </w:pPr>
    </w:p>
    <w:p w:rsidR="00017F43" w:rsidRPr="00017F43" w:rsidRDefault="00017F43" w:rsidP="00017F43">
      <w:pPr>
        <w:rPr>
          <w:sz w:val="20"/>
          <w:szCs w:val="20"/>
          <w:u w:val="single"/>
          <w:lang w:val="fr-CA"/>
        </w:rPr>
      </w:pPr>
      <w:r w:rsidRPr="00017F43">
        <w:rPr>
          <w:sz w:val="20"/>
          <w:szCs w:val="20"/>
          <w:u w:val="single"/>
          <w:lang w:val="fr-CA"/>
        </w:rPr>
        <w:t>RÉSUMÉ DE L’AFFAIRE</w:t>
      </w:r>
    </w:p>
    <w:p w:rsidR="00017F43" w:rsidRPr="00017F43" w:rsidRDefault="00017F43" w:rsidP="00017F4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17F43" w:rsidRPr="00584913" w:rsidTr="00102938">
        <w:tc>
          <w:tcPr>
            <w:tcW w:w="5000" w:type="pct"/>
            <w:gridSpan w:val="3"/>
          </w:tcPr>
          <w:p w:rsidR="00017F43" w:rsidRPr="00017F43" w:rsidRDefault="00017F43" w:rsidP="00017F43">
            <w:pPr>
              <w:jc w:val="both"/>
              <w:rPr>
                <w:rFonts w:eastAsia="Calibri" w:cs="Times New Roman"/>
                <w:sz w:val="20"/>
                <w:szCs w:val="20"/>
                <w:lang w:val="fr-CA"/>
              </w:rPr>
            </w:pPr>
            <w:r w:rsidRPr="00017F43">
              <w:rPr>
                <w:rFonts w:eastAsia="Calibri" w:cs="Times New Roman"/>
                <w:sz w:val="20"/>
                <w:szCs w:val="20"/>
                <w:lang w:val="fr-CA"/>
              </w:rPr>
              <w:t xml:space="preserve">Droit des assurances – Assurance de biens – Nomination d’un arbitre – Les parties sont incapables de s’entendre sur la </w:t>
            </w:r>
            <w:r w:rsidRPr="00017F43">
              <w:rPr>
                <w:rFonts w:eastAsia="Calibri" w:cs="Times New Roman"/>
                <w:sz w:val="20"/>
                <w:szCs w:val="20"/>
                <w:lang w:val="fr-CA"/>
              </w:rPr>
              <w:lastRenderedPageBreak/>
              <w:t xml:space="preserve">nomination d’un arbitre – Le demandeur demande au tribunal de nommer un arbitre – Au regard du droit, y a-t-il une injustice à ce qu’un arbitre soit nommé dans le cadre d’une estimation d’assurance? – En rendant sa décision, le juge de première instance est-il lié par la règle du </w:t>
            </w:r>
            <w:r w:rsidRPr="00017F43">
              <w:rPr>
                <w:rFonts w:eastAsia="Calibri" w:cs="Times New Roman"/>
                <w:i/>
                <w:sz w:val="20"/>
                <w:szCs w:val="20"/>
                <w:lang w:val="fr-CA"/>
              </w:rPr>
              <w:t>stare decisis</w:t>
            </w:r>
            <w:r w:rsidRPr="00017F43">
              <w:rPr>
                <w:rFonts w:eastAsia="Calibri" w:cs="Times New Roman"/>
                <w:sz w:val="20"/>
                <w:szCs w:val="20"/>
                <w:lang w:val="fr-CA"/>
              </w:rPr>
              <w:t>? – Dans une estimation d’assurance, l’arbitre a-t-il compétence pour entendre la preuve et porter un jugement sur cette preuve? – Quelles qualifications doit-on posséder pour agir comme arbitre dans le cadre d’une estimation d’assurance?</w:t>
            </w:r>
          </w:p>
        </w:tc>
      </w:tr>
      <w:tr w:rsidR="00017F43" w:rsidRPr="00584913" w:rsidTr="00102938">
        <w:tc>
          <w:tcPr>
            <w:tcW w:w="5000" w:type="pct"/>
            <w:gridSpan w:val="3"/>
          </w:tcPr>
          <w:p w:rsidR="00017F43" w:rsidRPr="00017F43" w:rsidRDefault="00017F43" w:rsidP="00017F43">
            <w:pPr>
              <w:jc w:val="both"/>
              <w:rPr>
                <w:rFonts w:eastAsia="Calibri" w:cs="Times New Roman"/>
                <w:sz w:val="20"/>
                <w:szCs w:val="20"/>
                <w:lang w:val="fr-CA"/>
              </w:rPr>
            </w:pPr>
          </w:p>
        </w:tc>
      </w:tr>
      <w:tr w:rsidR="00017F43" w:rsidRPr="00584913" w:rsidTr="00102938">
        <w:tc>
          <w:tcPr>
            <w:tcW w:w="5000" w:type="pct"/>
            <w:gridSpan w:val="3"/>
          </w:tcPr>
          <w:p w:rsidR="00017F43" w:rsidRPr="00017F43" w:rsidRDefault="00017F43" w:rsidP="00017F43">
            <w:pPr>
              <w:jc w:val="both"/>
              <w:rPr>
                <w:rFonts w:eastAsia="Calibri" w:cs="Times New Roman"/>
                <w:sz w:val="20"/>
                <w:szCs w:val="20"/>
                <w:lang w:val="fr-CA"/>
              </w:rPr>
            </w:pPr>
            <w:r w:rsidRPr="00017F43">
              <w:rPr>
                <w:rFonts w:eastAsia="Calibri" w:cs="Times New Roman"/>
                <w:sz w:val="20"/>
                <w:szCs w:val="20"/>
                <w:lang w:val="fr-CA"/>
              </w:rPr>
              <w:t xml:space="preserve">En février 2012, un bâtiment et son contenu, appartenant à la demanderesse et assurés par l’intimée, ont été endommagés par un incendie.  Les estimateurs des parties n’ont pas pu s’entendre sur un arbitre et la demanderesse a présenté une motion en application de la </w:t>
            </w:r>
            <w:r w:rsidRPr="00017F43">
              <w:rPr>
                <w:rFonts w:eastAsia="Calibri" w:cs="Times New Roman"/>
                <w:i/>
                <w:sz w:val="20"/>
                <w:szCs w:val="20"/>
                <w:lang w:val="fr-CA"/>
              </w:rPr>
              <w:t>Loi sur les assurances</w:t>
            </w:r>
            <w:r w:rsidRPr="00017F43">
              <w:rPr>
                <w:rFonts w:eastAsia="Calibri" w:cs="Times New Roman"/>
                <w:sz w:val="20"/>
                <w:szCs w:val="20"/>
                <w:lang w:val="fr-CA"/>
              </w:rPr>
              <w:t>, L.R.O. 1990, ch. I.8 pour en faire nommer un.  La demanderesse a proposé deux candidats et l’assureur en a proposé trois.</w:t>
            </w:r>
          </w:p>
          <w:p w:rsidR="00017F43" w:rsidRPr="00017F43" w:rsidRDefault="00017F43" w:rsidP="00017F43">
            <w:pPr>
              <w:jc w:val="both"/>
              <w:rPr>
                <w:rFonts w:eastAsia="Calibri" w:cs="Times New Roman"/>
                <w:sz w:val="20"/>
                <w:szCs w:val="20"/>
                <w:lang w:val="fr-CA"/>
              </w:rPr>
            </w:pPr>
          </w:p>
        </w:tc>
      </w:tr>
      <w:tr w:rsidR="00017F43" w:rsidRPr="00017F43" w:rsidTr="00102938">
        <w:tc>
          <w:tcPr>
            <w:tcW w:w="2427" w:type="pct"/>
          </w:tcPr>
          <w:p w:rsidR="00017F43" w:rsidRPr="00017F43" w:rsidRDefault="00017F43" w:rsidP="00017F43">
            <w:pPr>
              <w:jc w:val="both"/>
              <w:rPr>
                <w:rFonts w:eastAsia="Calibri" w:cs="Times New Roman"/>
                <w:sz w:val="20"/>
                <w:szCs w:val="20"/>
                <w:lang w:val="fr-CA"/>
              </w:rPr>
            </w:pPr>
            <w:r w:rsidRPr="00017F43">
              <w:rPr>
                <w:rFonts w:eastAsia="Calibri" w:cs="Times New Roman"/>
                <w:sz w:val="20"/>
                <w:szCs w:val="20"/>
                <w:lang w:val="fr-CA"/>
              </w:rPr>
              <w:t>24 juin 2014</w:t>
            </w:r>
          </w:p>
          <w:p w:rsidR="00017F43" w:rsidRPr="00017F43" w:rsidRDefault="00017F43" w:rsidP="00017F43">
            <w:pPr>
              <w:jc w:val="both"/>
              <w:rPr>
                <w:rFonts w:eastAsia="Calibri" w:cs="Times New Roman"/>
                <w:sz w:val="20"/>
                <w:szCs w:val="20"/>
                <w:lang w:val="fr-CA"/>
              </w:rPr>
            </w:pPr>
            <w:r w:rsidRPr="00017F43">
              <w:rPr>
                <w:rFonts w:eastAsia="Calibri" w:cs="Times New Roman"/>
                <w:sz w:val="20"/>
                <w:szCs w:val="20"/>
                <w:lang w:val="fr-CA"/>
              </w:rPr>
              <w:t>Cour supérieure de justice de l’Ontario</w:t>
            </w:r>
          </w:p>
          <w:p w:rsidR="00017F43" w:rsidRPr="00017F43" w:rsidRDefault="00017F43" w:rsidP="00017F43">
            <w:pPr>
              <w:jc w:val="both"/>
              <w:rPr>
                <w:rFonts w:eastAsia="Calibri" w:cs="Times New Roman"/>
                <w:sz w:val="20"/>
                <w:szCs w:val="20"/>
                <w:lang w:val="fr-CA"/>
              </w:rPr>
            </w:pPr>
            <w:r w:rsidRPr="00017F43">
              <w:rPr>
                <w:rFonts w:eastAsia="Calibri" w:cs="Times New Roman"/>
                <w:sz w:val="20"/>
                <w:szCs w:val="20"/>
                <w:lang w:val="fr-CA"/>
              </w:rPr>
              <w:t>(Juge O'Marra)</w:t>
            </w:r>
          </w:p>
          <w:p w:rsidR="00017F43" w:rsidRPr="00017F43" w:rsidRDefault="00017F43" w:rsidP="00017F43">
            <w:pPr>
              <w:jc w:val="both"/>
              <w:rPr>
                <w:rFonts w:eastAsia="Calibri" w:cs="Times New Roman"/>
                <w:sz w:val="20"/>
                <w:szCs w:val="20"/>
                <w:lang w:val="fr-CA"/>
              </w:rPr>
            </w:pPr>
            <w:r w:rsidRPr="00017F43">
              <w:rPr>
                <w:rFonts w:eastAsia="Calibri" w:cs="Times New Roman"/>
                <w:sz w:val="20"/>
                <w:szCs w:val="20"/>
                <w:lang w:val="fr-CA"/>
              </w:rPr>
              <w:t>2014 ONSC 3849</w:t>
            </w:r>
          </w:p>
          <w:p w:rsidR="00017F43" w:rsidRPr="00017F43" w:rsidRDefault="00017F43" w:rsidP="00017F43">
            <w:pPr>
              <w:jc w:val="both"/>
              <w:rPr>
                <w:rFonts w:eastAsia="Calibri" w:cs="Times New Roman"/>
                <w:sz w:val="20"/>
                <w:szCs w:val="20"/>
                <w:lang w:val="fr-CA"/>
              </w:rPr>
            </w:pPr>
          </w:p>
        </w:tc>
        <w:tc>
          <w:tcPr>
            <w:tcW w:w="243" w:type="pct"/>
          </w:tcPr>
          <w:p w:rsidR="00017F43" w:rsidRPr="00017F43" w:rsidRDefault="00017F43" w:rsidP="00017F43">
            <w:pPr>
              <w:jc w:val="both"/>
              <w:rPr>
                <w:rFonts w:eastAsia="Calibri" w:cs="Times New Roman"/>
                <w:sz w:val="20"/>
                <w:szCs w:val="20"/>
                <w:lang w:val="fr-CA"/>
              </w:rPr>
            </w:pPr>
          </w:p>
        </w:tc>
        <w:tc>
          <w:tcPr>
            <w:tcW w:w="2330" w:type="pct"/>
          </w:tcPr>
          <w:p w:rsidR="00017F43" w:rsidRPr="00017F43" w:rsidRDefault="00017F43" w:rsidP="00017F43">
            <w:pPr>
              <w:jc w:val="both"/>
              <w:rPr>
                <w:rFonts w:eastAsia="Calibri" w:cs="Times New Roman"/>
                <w:sz w:val="20"/>
                <w:szCs w:val="20"/>
                <w:lang w:val="fr-CA"/>
              </w:rPr>
            </w:pPr>
            <w:r w:rsidRPr="00017F43">
              <w:rPr>
                <w:rFonts w:eastAsia="Calibri" w:cs="Times New Roman"/>
                <w:sz w:val="20"/>
                <w:szCs w:val="20"/>
                <w:lang w:val="fr-CA"/>
              </w:rPr>
              <w:t>Nomination d’un arbitre</w:t>
            </w:r>
          </w:p>
          <w:p w:rsidR="00017F43" w:rsidRPr="00017F43" w:rsidRDefault="00017F43" w:rsidP="00017F43">
            <w:pPr>
              <w:jc w:val="both"/>
              <w:rPr>
                <w:rFonts w:eastAsia="Calibri" w:cs="Times New Roman"/>
                <w:sz w:val="20"/>
                <w:szCs w:val="20"/>
                <w:lang w:val="fr-CA"/>
              </w:rPr>
            </w:pPr>
          </w:p>
        </w:tc>
      </w:tr>
      <w:tr w:rsidR="00017F43" w:rsidRPr="00017F43" w:rsidTr="00102938">
        <w:tc>
          <w:tcPr>
            <w:tcW w:w="2427" w:type="pct"/>
          </w:tcPr>
          <w:p w:rsidR="00017F43" w:rsidRPr="00017F43" w:rsidRDefault="00017F43" w:rsidP="00017F43">
            <w:pPr>
              <w:jc w:val="both"/>
              <w:rPr>
                <w:rFonts w:eastAsia="Calibri" w:cs="Times New Roman"/>
                <w:sz w:val="20"/>
                <w:szCs w:val="20"/>
                <w:lang w:val="fr-CA"/>
              </w:rPr>
            </w:pPr>
            <w:r w:rsidRPr="00017F43">
              <w:rPr>
                <w:rFonts w:eastAsia="Calibri" w:cs="Times New Roman"/>
                <w:sz w:val="20"/>
                <w:szCs w:val="20"/>
                <w:lang w:val="fr-CA"/>
              </w:rPr>
              <w:t>3 décembre 2014</w:t>
            </w:r>
          </w:p>
          <w:p w:rsidR="00017F43" w:rsidRPr="00017F43" w:rsidRDefault="00017F43" w:rsidP="00017F43">
            <w:pPr>
              <w:jc w:val="both"/>
              <w:rPr>
                <w:rFonts w:eastAsia="Calibri" w:cs="Times New Roman"/>
                <w:sz w:val="20"/>
                <w:szCs w:val="20"/>
                <w:lang w:val="fr-CA"/>
              </w:rPr>
            </w:pPr>
            <w:r w:rsidRPr="00017F43">
              <w:rPr>
                <w:rFonts w:eastAsia="Calibri" w:cs="Times New Roman"/>
                <w:sz w:val="20"/>
                <w:szCs w:val="20"/>
                <w:lang w:val="fr-CA"/>
              </w:rPr>
              <w:t>Cour d’appel de l’Ontario</w:t>
            </w:r>
          </w:p>
          <w:p w:rsidR="00017F43" w:rsidRPr="00017F43" w:rsidRDefault="00017F43" w:rsidP="00017F43">
            <w:pPr>
              <w:jc w:val="both"/>
              <w:rPr>
                <w:rFonts w:eastAsia="Calibri" w:cs="Times New Roman"/>
                <w:sz w:val="20"/>
                <w:szCs w:val="20"/>
                <w:lang w:val="fr-CA"/>
              </w:rPr>
            </w:pPr>
            <w:r w:rsidRPr="00017F43">
              <w:rPr>
                <w:rFonts w:eastAsia="Calibri" w:cs="Times New Roman"/>
                <w:sz w:val="20"/>
                <w:szCs w:val="20"/>
                <w:lang w:val="fr-CA"/>
              </w:rPr>
              <w:t>(Juges Laskin, Cronk et Pepall)</w:t>
            </w:r>
          </w:p>
          <w:p w:rsidR="00017F43" w:rsidRPr="00017F43" w:rsidRDefault="00417673" w:rsidP="00017F43">
            <w:pPr>
              <w:jc w:val="both"/>
              <w:rPr>
                <w:rFonts w:eastAsia="Calibri" w:cs="Times New Roman"/>
                <w:sz w:val="20"/>
                <w:szCs w:val="20"/>
                <w:lang w:val="fr-CA"/>
              </w:rPr>
            </w:pPr>
            <w:hyperlink r:id="rId64" w:history="1">
              <w:r w:rsidR="00017F43" w:rsidRPr="00017F43">
                <w:rPr>
                  <w:rFonts w:eastAsia="Calibri" w:cs="Times New Roman"/>
                  <w:color w:val="0000FF"/>
                  <w:sz w:val="20"/>
                  <w:szCs w:val="20"/>
                  <w:u w:val="single"/>
                  <w:lang w:val="fr-CA"/>
                </w:rPr>
                <w:t>2014 ONCA 886</w:t>
              </w:r>
            </w:hyperlink>
          </w:p>
          <w:p w:rsidR="00017F43" w:rsidRPr="00017F43" w:rsidRDefault="00017F43" w:rsidP="00017F43">
            <w:pPr>
              <w:jc w:val="both"/>
              <w:rPr>
                <w:rFonts w:eastAsia="Calibri" w:cs="Times New Roman"/>
                <w:sz w:val="20"/>
                <w:szCs w:val="20"/>
                <w:lang w:val="fr-CA"/>
              </w:rPr>
            </w:pPr>
          </w:p>
        </w:tc>
        <w:tc>
          <w:tcPr>
            <w:tcW w:w="243" w:type="pct"/>
          </w:tcPr>
          <w:p w:rsidR="00017F43" w:rsidRPr="00017F43" w:rsidRDefault="00017F43" w:rsidP="00017F43">
            <w:pPr>
              <w:jc w:val="both"/>
              <w:rPr>
                <w:rFonts w:eastAsia="Calibri" w:cs="Times New Roman"/>
                <w:sz w:val="20"/>
                <w:szCs w:val="20"/>
                <w:lang w:val="fr-CA"/>
              </w:rPr>
            </w:pPr>
          </w:p>
        </w:tc>
        <w:tc>
          <w:tcPr>
            <w:tcW w:w="2330" w:type="pct"/>
          </w:tcPr>
          <w:p w:rsidR="00017F43" w:rsidRPr="00017F43" w:rsidRDefault="00017F43" w:rsidP="00017F43">
            <w:pPr>
              <w:jc w:val="both"/>
              <w:rPr>
                <w:rFonts w:eastAsia="Calibri" w:cs="Times New Roman"/>
                <w:sz w:val="20"/>
                <w:szCs w:val="20"/>
                <w:lang w:val="fr-CA"/>
              </w:rPr>
            </w:pPr>
            <w:r w:rsidRPr="00017F43">
              <w:rPr>
                <w:rFonts w:eastAsia="Calibri" w:cs="Times New Roman"/>
                <w:sz w:val="20"/>
                <w:szCs w:val="20"/>
                <w:lang w:val="fr-CA"/>
              </w:rPr>
              <w:t>Rejet de l’appel</w:t>
            </w:r>
          </w:p>
          <w:p w:rsidR="00017F43" w:rsidRPr="00017F43" w:rsidRDefault="00017F43" w:rsidP="00017F43">
            <w:pPr>
              <w:jc w:val="both"/>
              <w:rPr>
                <w:rFonts w:eastAsia="Calibri" w:cs="Times New Roman"/>
                <w:sz w:val="20"/>
                <w:szCs w:val="20"/>
                <w:lang w:val="fr-CA"/>
              </w:rPr>
            </w:pPr>
          </w:p>
        </w:tc>
      </w:tr>
      <w:tr w:rsidR="00017F43" w:rsidRPr="00584913" w:rsidTr="00102938">
        <w:tc>
          <w:tcPr>
            <w:tcW w:w="2427" w:type="pct"/>
          </w:tcPr>
          <w:p w:rsidR="00017F43" w:rsidRPr="00017F43" w:rsidRDefault="00017F43" w:rsidP="00017F43">
            <w:pPr>
              <w:jc w:val="both"/>
              <w:rPr>
                <w:rFonts w:eastAsia="Calibri" w:cs="Times New Roman"/>
                <w:sz w:val="20"/>
                <w:szCs w:val="20"/>
                <w:lang w:val="fr-CA"/>
              </w:rPr>
            </w:pPr>
            <w:r w:rsidRPr="00017F43">
              <w:rPr>
                <w:rFonts w:eastAsia="Calibri" w:cs="Times New Roman"/>
                <w:sz w:val="20"/>
                <w:szCs w:val="20"/>
                <w:lang w:val="fr-CA"/>
              </w:rPr>
              <w:t>29 janvier 2015</w:t>
            </w:r>
          </w:p>
          <w:p w:rsidR="00017F43" w:rsidRPr="00017F43" w:rsidRDefault="00017F43" w:rsidP="00017F43">
            <w:pPr>
              <w:jc w:val="both"/>
              <w:rPr>
                <w:rFonts w:eastAsia="Calibri" w:cs="Times New Roman"/>
                <w:sz w:val="20"/>
                <w:szCs w:val="20"/>
                <w:lang w:val="fr-CA"/>
              </w:rPr>
            </w:pPr>
            <w:r w:rsidRPr="00017F43">
              <w:rPr>
                <w:rFonts w:eastAsia="Calibri" w:cs="Times New Roman"/>
                <w:sz w:val="20"/>
                <w:szCs w:val="20"/>
                <w:lang w:val="fr-CA"/>
              </w:rPr>
              <w:t>Cour suprême du Canada</w:t>
            </w:r>
          </w:p>
        </w:tc>
        <w:tc>
          <w:tcPr>
            <w:tcW w:w="243" w:type="pct"/>
          </w:tcPr>
          <w:p w:rsidR="00017F43" w:rsidRPr="00017F43" w:rsidRDefault="00017F43" w:rsidP="00017F43">
            <w:pPr>
              <w:jc w:val="both"/>
              <w:rPr>
                <w:rFonts w:eastAsia="Calibri" w:cs="Times New Roman"/>
                <w:sz w:val="20"/>
                <w:szCs w:val="20"/>
                <w:lang w:val="fr-CA"/>
              </w:rPr>
            </w:pPr>
          </w:p>
        </w:tc>
        <w:tc>
          <w:tcPr>
            <w:tcW w:w="2330" w:type="pct"/>
          </w:tcPr>
          <w:p w:rsidR="00017F43" w:rsidRPr="00017F43" w:rsidRDefault="00017F43" w:rsidP="00017F43">
            <w:pPr>
              <w:jc w:val="both"/>
              <w:rPr>
                <w:rFonts w:eastAsia="Calibri" w:cs="Times New Roman"/>
                <w:sz w:val="20"/>
                <w:szCs w:val="20"/>
                <w:lang w:val="fr-CA"/>
              </w:rPr>
            </w:pPr>
            <w:r w:rsidRPr="00017F43">
              <w:rPr>
                <w:rFonts w:eastAsia="Calibri" w:cs="Times New Roman"/>
                <w:sz w:val="20"/>
                <w:szCs w:val="20"/>
                <w:lang w:val="fr-CA"/>
              </w:rPr>
              <w:t>Dépôt de la demande d’autorisation d’appel</w:t>
            </w:r>
          </w:p>
          <w:p w:rsidR="00017F43" w:rsidRPr="00017F43" w:rsidRDefault="00017F43" w:rsidP="00017F43">
            <w:pPr>
              <w:jc w:val="both"/>
              <w:rPr>
                <w:rFonts w:eastAsia="Calibri" w:cs="Times New Roman"/>
                <w:sz w:val="20"/>
                <w:szCs w:val="20"/>
                <w:lang w:val="fr-CA"/>
              </w:rPr>
            </w:pPr>
          </w:p>
        </w:tc>
      </w:tr>
    </w:tbl>
    <w:p w:rsidR="00017F43" w:rsidRPr="00017F43" w:rsidRDefault="00017F43" w:rsidP="00017F43">
      <w:pPr>
        <w:rPr>
          <w:sz w:val="20"/>
          <w:szCs w:val="20"/>
          <w:lang w:val="fr-CA"/>
        </w:rPr>
      </w:pPr>
    </w:p>
    <w:p w:rsidR="00017F43" w:rsidRPr="00017F43" w:rsidRDefault="00417673" w:rsidP="00017F43">
      <w:pPr>
        <w:rPr>
          <w:sz w:val="20"/>
          <w:szCs w:val="20"/>
        </w:rPr>
      </w:pPr>
      <w:r>
        <w:rPr>
          <w:sz w:val="20"/>
          <w:szCs w:val="20"/>
          <w:lang w:val="fr-CA"/>
        </w:rPr>
        <w:pict>
          <v:rect id="_x0000_i1065" style="width:2in;height:1pt" o:hrpct="0" o:hralign="center" o:hrstd="t" o:hrnoshade="t" o:hr="t" fillcolor="black [3213]" stroked="f"/>
        </w:pict>
      </w:r>
    </w:p>
    <w:p w:rsidR="00D96177" w:rsidRPr="00D96177" w:rsidRDefault="00D96177" w:rsidP="00841E19">
      <w:pPr>
        <w:jc w:val="both"/>
        <w:rPr>
          <w:rFonts w:eastAsia="Calibri" w:cs="Times New Roman"/>
          <w:sz w:val="20"/>
          <w:szCs w:val="20"/>
          <w:lang w:val="fr-CA"/>
        </w:rPr>
      </w:pPr>
    </w:p>
    <w:tbl>
      <w:tblPr>
        <w:tblStyle w:val="TableGrid1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17F43" w:rsidRPr="00584913" w:rsidTr="00102938">
        <w:trPr>
          <w:cantSplit/>
        </w:trPr>
        <w:tc>
          <w:tcPr>
            <w:tcW w:w="1458" w:type="dxa"/>
          </w:tcPr>
          <w:p w:rsidR="00017F43" w:rsidRPr="00017F43" w:rsidRDefault="00017F43" w:rsidP="00017F43">
            <w:pPr>
              <w:jc w:val="both"/>
              <w:rPr>
                <w:sz w:val="20"/>
              </w:rPr>
            </w:pPr>
            <w:r w:rsidRPr="00017F43">
              <w:rPr>
                <w:b/>
                <w:sz w:val="20"/>
                <w:lang w:val="fr-CA"/>
              </w:rPr>
              <w:t>36236</w:t>
            </w:r>
          </w:p>
          <w:p w:rsidR="00017F43" w:rsidRPr="00017F43" w:rsidRDefault="00017F43" w:rsidP="00017F43">
            <w:pPr>
              <w:jc w:val="both"/>
              <w:rPr>
                <w:b/>
                <w:sz w:val="20"/>
                <w:lang w:val="fr-CA"/>
              </w:rPr>
            </w:pPr>
          </w:p>
        </w:tc>
        <w:tc>
          <w:tcPr>
            <w:tcW w:w="8118" w:type="dxa"/>
          </w:tcPr>
          <w:p w:rsidR="00017F43" w:rsidRPr="00017F43" w:rsidRDefault="00017F43" w:rsidP="00017F43">
            <w:pPr>
              <w:jc w:val="both"/>
              <w:rPr>
                <w:sz w:val="20"/>
                <w:lang w:val="fr-CA"/>
              </w:rPr>
            </w:pPr>
            <w:r w:rsidRPr="00017F43">
              <w:rPr>
                <w:b/>
                <w:sz w:val="20"/>
                <w:u w:val="single"/>
                <w:lang w:val="fr-CA"/>
              </w:rPr>
              <w:t>Succession de feu D.U.C. c. Régie des rentes du Québec</w:t>
            </w:r>
            <w:r w:rsidRPr="00017F43">
              <w:rPr>
                <w:sz w:val="20"/>
                <w:lang w:val="fr-CA"/>
              </w:rPr>
              <w:t xml:space="preserve"> (Qc) (Civile) (Autorisation)</w:t>
            </w:r>
          </w:p>
          <w:p w:rsidR="00017F43" w:rsidRPr="00017F43" w:rsidRDefault="00017F43" w:rsidP="00017F43">
            <w:pPr>
              <w:jc w:val="both"/>
              <w:rPr>
                <w:sz w:val="20"/>
                <w:lang w:val="fr-CA"/>
              </w:rPr>
            </w:pPr>
          </w:p>
        </w:tc>
      </w:tr>
      <w:tr w:rsidR="00017F43" w:rsidRPr="00584913" w:rsidTr="00102938">
        <w:trPr>
          <w:cantSplit/>
        </w:trPr>
        <w:tc>
          <w:tcPr>
            <w:tcW w:w="1458" w:type="dxa"/>
          </w:tcPr>
          <w:p w:rsidR="00017F43" w:rsidRPr="00017F43" w:rsidRDefault="00017F43" w:rsidP="00017F43">
            <w:pPr>
              <w:jc w:val="both"/>
              <w:rPr>
                <w:sz w:val="20"/>
              </w:rPr>
            </w:pPr>
            <w:r w:rsidRPr="00017F43">
              <w:rPr>
                <w:sz w:val="20"/>
              </w:rPr>
              <w:t>Coram :</w:t>
            </w:r>
          </w:p>
        </w:tc>
        <w:tc>
          <w:tcPr>
            <w:tcW w:w="8118" w:type="dxa"/>
          </w:tcPr>
          <w:p w:rsidR="00017F43" w:rsidRPr="00017F43" w:rsidRDefault="00017F43" w:rsidP="00017F43">
            <w:pPr>
              <w:jc w:val="both"/>
              <w:rPr>
                <w:sz w:val="20"/>
                <w:lang w:val="fr-CA"/>
              </w:rPr>
            </w:pPr>
            <w:r w:rsidRPr="00017F43">
              <w:rPr>
                <w:sz w:val="20"/>
                <w:u w:val="single"/>
                <w:lang w:val="fr-CA"/>
              </w:rPr>
              <w:t>Les juges Abella, Karakatsanis et Côté</w:t>
            </w:r>
          </w:p>
          <w:p w:rsidR="00017F43" w:rsidRPr="00017F43" w:rsidRDefault="00017F43" w:rsidP="00017F43">
            <w:pPr>
              <w:jc w:val="both"/>
              <w:rPr>
                <w:sz w:val="20"/>
                <w:u w:val="single"/>
                <w:lang w:val="fr-CA"/>
              </w:rPr>
            </w:pPr>
          </w:p>
        </w:tc>
      </w:tr>
      <w:tr w:rsidR="00017F43" w:rsidRPr="00017F43" w:rsidTr="00102938">
        <w:trPr>
          <w:cantSplit/>
        </w:trPr>
        <w:tc>
          <w:tcPr>
            <w:tcW w:w="9576" w:type="dxa"/>
            <w:gridSpan w:val="2"/>
          </w:tcPr>
          <w:p w:rsidR="00017F43" w:rsidRPr="00017F43" w:rsidRDefault="00017F43" w:rsidP="00017F43">
            <w:pPr>
              <w:ind w:firstLine="720"/>
              <w:jc w:val="both"/>
              <w:rPr>
                <w:sz w:val="20"/>
                <w:lang w:val="fr-CA"/>
              </w:rPr>
            </w:pPr>
            <w:r w:rsidRPr="00017F43">
              <w:rPr>
                <w:sz w:val="20"/>
                <w:lang w:val="fr-CA"/>
              </w:rPr>
              <w:t>La requête en prorogation du délai de signification et de dépôt de la demande d’autorisation d’appel est accueillie. La demande d’autorisation d’appel de l’arrêt de la Cour d’appel du Québec (Montréal), numéro 500-09-023477-136, 2014 QCCA 1817, daté du 3 octobre 2014, est rejetée avec dépens.</w:t>
            </w:r>
          </w:p>
          <w:p w:rsidR="00017F43" w:rsidRPr="00017F43" w:rsidRDefault="00017F43" w:rsidP="00017F43">
            <w:pPr>
              <w:jc w:val="both"/>
              <w:rPr>
                <w:sz w:val="20"/>
                <w:lang w:val="fr-CA"/>
              </w:rPr>
            </w:pPr>
          </w:p>
          <w:p w:rsidR="00017F43" w:rsidRPr="00017F43" w:rsidRDefault="00017F43" w:rsidP="00017F43">
            <w:pPr>
              <w:ind w:firstLine="720"/>
              <w:jc w:val="both"/>
              <w:rPr>
                <w:sz w:val="20"/>
              </w:rPr>
            </w:pPr>
            <w:r w:rsidRPr="00017F43">
              <w:rPr>
                <w:sz w:val="20"/>
              </w:rPr>
              <w:t>The motion for an extension of time to serve and file the application for leave to appeal is granted. The application for leave to appeal from the judgment of the Court of Appeal of Quebec (Montréal), Number 500-09-023477-136, 2014 QCCA 1817, dated October 3, 2014, is dismissed with costs.</w:t>
            </w:r>
          </w:p>
        </w:tc>
      </w:tr>
    </w:tbl>
    <w:p w:rsidR="00017F43" w:rsidRPr="00EF485B" w:rsidRDefault="00017F43" w:rsidP="00017F43">
      <w:pPr>
        <w:rPr>
          <w:sz w:val="20"/>
          <w:szCs w:val="20"/>
          <w:lang w:val="en-US"/>
        </w:rPr>
      </w:pPr>
    </w:p>
    <w:p w:rsidR="00017F43" w:rsidRPr="001B157C" w:rsidRDefault="00017F43" w:rsidP="00017F43">
      <w:pPr>
        <w:rPr>
          <w:sz w:val="20"/>
          <w:szCs w:val="20"/>
          <w:u w:val="single"/>
        </w:rPr>
      </w:pPr>
      <w:r w:rsidRPr="001B157C">
        <w:rPr>
          <w:sz w:val="20"/>
          <w:szCs w:val="20"/>
          <w:u w:val="single"/>
        </w:rPr>
        <w:t>CASE SUMMARY</w:t>
      </w:r>
    </w:p>
    <w:p w:rsidR="00017F43" w:rsidRDefault="00017F43" w:rsidP="00017F4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17F43" w:rsidRPr="00841E19" w:rsidTr="00102938">
        <w:tc>
          <w:tcPr>
            <w:tcW w:w="5000" w:type="pct"/>
            <w:gridSpan w:val="3"/>
          </w:tcPr>
          <w:p w:rsidR="00017F43" w:rsidRPr="00841E19" w:rsidRDefault="00017F43" w:rsidP="00102938">
            <w:pPr>
              <w:jc w:val="both"/>
              <w:rPr>
                <w:rFonts w:eastAsia="Calibri" w:cs="Times New Roman"/>
                <w:sz w:val="20"/>
                <w:szCs w:val="20"/>
              </w:rPr>
            </w:pPr>
            <w:r w:rsidRPr="00841E19">
              <w:rPr>
                <w:rFonts w:eastAsia="Calibri" w:cs="Times New Roman"/>
                <w:sz w:val="20"/>
                <w:szCs w:val="20"/>
              </w:rPr>
              <w:t xml:space="preserve">Social law – Surviving spouse’s pension under </w:t>
            </w:r>
            <w:r w:rsidRPr="00841E19">
              <w:rPr>
                <w:rFonts w:eastAsia="Calibri" w:cs="Times New Roman"/>
                <w:i/>
                <w:iCs/>
                <w:sz w:val="20"/>
                <w:szCs w:val="20"/>
              </w:rPr>
              <w:t>Act respecting the Québec Pension Plan</w:t>
            </w:r>
            <w:r w:rsidRPr="00841E19">
              <w:rPr>
                <w:rFonts w:eastAsia="Calibri" w:cs="Times New Roman"/>
                <w:sz w:val="20"/>
                <w:szCs w:val="20"/>
              </w:rPr>
              <w:t xml:space="preserve">, CQLR, c. R-9 – Judgments and orders – </w:t>
            </w:r>
            <w:r w:rsidRPr="00841E19">
              <w:rPr>
                <w:rFonts w:eastAsia="Calibri" w:cs="Times New Roman"/>
                <w:i/>
                <w:sz w:val="20"/>
                <w:szCs w:val="20"/>
              </w:rPr>
              <w:t>Res judicata</w:t>
            </w:r>
            <w:r w:rsidRPr="00841E19">
              <w:rPr>
                <w:rFonts w:eastAsia="Calibri" w:cs="Times New Roman"/>
                <w:sz w:val="20"/>
                <w:szCs w:val="20"/>
              </w:rPr>
              <w:t xml:space="preserve"> – Whether judgment in question has authority of final judgment on question of recognition of foreign decision annulling marriage – Whether applicant entitled to surviving spouse’s pension under Act.</w:t>
            </w:r>
          </w:p>
        </w:tc>
      </w:tr>
      <w:tr w:rsidR="00017F43" w:rsidRPr="00841E19" w:rsidTr="00102938">
        <w:tc>
          <w:tcPr>
            <w:tcW w:w="5000" w:type="pct"/>
            <w:gridSpan w:val="3"/>
          </w:tcPr>
          <w:p w:rsidR="00017F43" w:rsidRPr="00841E19" w:rsidRDefault="00017F43" w:rsidP="00102938">
            <w:pPr>
              <w:jc w:val="both"/>
              <w:rPr>
                <w:rFonts w:eastAsia="Calibri" w:cs="Times New Roman"/>
                <w:sz w:val="20"/>
                <w:szCs w:val="20"/>
              </w:rPr>
            </w:pPr>
          </w:p>
        </w:tc>
      </w:tr>
      <w:tr w:rsidR="00017F43" w:rsidRPr="00841E19" w:rsidTr="00102938">
        <w:tc>
          <w:tcPr>
            <w:tcW w:w="5000" w:type="pct"/>
            <w:gridSpan w:val="3"/>
          </w:tcPr>
          <w:p w:rsidR="00017F43" w:rsidRPr="00841E19" w:rsidRDefault="00017F43" w:rsidP="00102938">
            <w:pPr>
              <w:jc w:val="both"/>
              <w:rPr>
                <w:rFonts w:eastAsia="Calibri" w:cs="Times New Roman"/>
                <w:sz w:val="20"/>
                <w:szCs w:val="20"/>
              </w:rPr>
            </w:pPr>
            <w:r w:rsidRPr="00841E19">
              <w:rPr>
                <w:rFonts w:eastAsia="Calibri" w:cs="Times New Roman"/>
                <w:sz w:val="20"/>
                <w:szCs w:val="20"/>
              </w:rPr>
              <w:t xml:space="preserve">In 2003, D.U.C. and M.C. were married in the Republic of Moldova.  In 2008, M.C. died.  The applicant, the Estate of the late D.U.C., applied to the Régie des rentes du Québec (the “Régie”) for a surviving spouse pension under s. 105 of the </w:t>
            </w:r>
            <w:r w:rsidRPr="00841E19">
              <w:rPr>
                <w:rFonts w:eastAsia="Calibri" w:cs="Times New Roman"/>
                <w:i/>
                <w:iCs/>
                <w:sz w:val="20"/>
                <w:szCs w:val="20"/>
              </w:rPr>
              <w:t>Act respecting the Québec Pension Plan</w:t>
            </w:r>
            <w:r w:rsidRPr="00841E19">
              <w:rPr>
                <w:rFonts w:eastAsia="Calibri" w:cs="Times New Roman"/>
                <w:sz w:val="20"/>
                <w:szCs w:val="20"/>
              </w:rPr>
              <w:t xml:space="preserve">, CQLR, c. R-9.  Relying on a document from the Republic of Moldova certifying the marriage of D.U.C. to M.C. and the annulment of that marriage by the Moldovan courts, the Régie denied the application on the basis that at the time of his death, M.C. was not married to D.U.C. D.U.C. was </w:t>
            </w:r>
            <w:r w:rsidRPr="00841E19">
              <w:rPr>
                <w:rFonts w:eastAsia="Calibri" w:cs="Times New Roman"/>
                <w:sz w:val="20"/>
                <w:szCs w:val="20"/>
              </w:rPr>
              <w:lastRenderedPageBreak/>
              <w:t xml:space="preserve">unsuccessful in challenging that decision before the Administrative Tribunal of Québec (the “ATQ”).  However, the Superior Court allowed the motion for judicial review filed by D.U.C.  In the Court’s opinion, a 2010 judgment of the Superior Court in the divorce case of D.U.C. and M.C. had already refused to recognize the foreign decision declaring the marriage annulled.  There was therefore </w:t>
            </w:r>
            <w:r w:rsidRPr="00841E19">
              <w:rPr>
                <w:rFonts w:eastAsia="Calibri" w:cs="Times New Roman"/>
                <w:i/>
                <w:sz w:val="20"/>
                <w:szCs w:val="20"/>
              </w:rPr>
              <w:t xml:space="preserve">res judicata </w:t>
            </w:r>
            <w:r w:rsidRPr="00841E19">
              <w:rPr>
                <w:rFonts w:eastAsia="Calibri" w:cs="Times New Roman"/>
                <w:sz w:val="20"/>
                <w:szCs w:val="20"/>
              </w:rPr>
              <w:t>on this point, and the ATQ could not base its decision on a foreign declaration that the Superior Court had already refused to recognize.  The Court of Appeal allowed the appeal.</w:t>
            </w:r>
          </w:p>
          <w:p w:rsidR="00017F43" w:rsidRPr="00841E19" w:rsidRDefault="00017F43" w:rsidP="00102938">
            <w:pPr>
              <w:jc w:val="both"/>
              <w:rPr>
                <w:rFonts w:eastAsia="Calibri" w:cs="Times New Roman"/>
                <w:sz w:val="20"/>
                <w:szCs w:val="20"/>
              </w:rPr>
            </w:pPr>
          </w:p>
        </w:tc>
      </w:tr>
      <w:tr w:rsidR="00017F43" w:rsidRPr="00841E19" w:rsidTr="00102938">
        <w:tc>
          <w:tcPr>
            <w:tcW w:w="2427" w:type="pct"/>
          </w:tcPr>
          <w:p w:rsidR="00017F43" w:rsidRPr="00841E19" w:rsidRDefault="00017F43" w:rsidP="00102938">
            <w:pPr>
              <w:jc w:val="both"/>
              <w:rPr>
                <w:rFonts w:eastAsia="Calibri" w:cs="Times New Roman"/>
                <w:sz w:val="20"/>
                <w:szCs w:val="20"/>
              </w:rPr>
            </w:pPr>
            <w:r w:rsidRPr="00841E19">
              <w:rPr>
                <w:rFonts w:eastAsia="Calibri" w:cs="Times New Roman"/>
                <w:sz w:val="20"/>
                <w:szCs w:val="20"/>
              </w:rPr>
              <w:lastRenderedPageBreak/>
              <w:t>March 12, 2013</w:t>
            </w:r>
          </w:p>
          <w:p w:rsidR="00017F43" w:rsidRPr="00841E19" w:rsidRDefault="00017F43" w:rsidP="00102938">
            <w:pPr>
              <w:jc w:val="both"/>
              <w:rPr>
                <w:rFonts w:eastAsia="Calibri" w:cs="Times New Roman"/>
                <w:sz w:val="20"/>
                <w:szCs w:val="20"/>
              </w:rPr>
            </w:pPr>
            <w:r w:rsidRPr="00841E19">
              <w:rPr>
                <w:rFonts w:eastAsia="Calibri" w:cs="Times New Roman"/>
                <w:sz w:val="20"/>
                <w:szCs w:val="20"/>
              </w:rPr>
              <w:t>Quebec Superior Court</w:t>
            </w:r>
          </w:p>
          <w:p w:rsidR="00017F43" w:rsidRPr="00841E19" w:rsidRDefault="00017F43" w:rsidP="00102938">
            <w:pPr>
              <w:jc w:val="both"/>
              <w:rPr>
                <w:rFonts w:eastAsia="Calibri" w:cs="Times New Roman"/>
                <w:sz w:val="20"/>
                <w:szCs w:val="20"/>
              </w:rPr>
            </w:pPr>
            <w:r w:rsidRPr="00841E19">
              <w:rPr>
                <w:rFonts w:eastAsia="Calibri" w:cs="Times New Roman"/>
                <w:sz w:val="20"/>
                <w:szCs w:val="20"/>
              </w:rPr>
              <w:t>(Picard J.)</w:t>
            </w:r>
          </w:p>
          <w:p w:rsidR="00017F43" w:rsidRPr="00841E19" w:rsidRDefault="00417673" w:rsidP="00102938">
            <w:pPr>
              <w:jc w:val="both"/>
              <w:rPr>
                <w:rFonts w:eastAsia="Calibri" w:cs="Times New Roman"/>
                <w:sz w:val="20"/>
                <w:szCs w:val="20"/>
              </w:rPr>
            </w:pPr>
            <w:hyperlink r:id="rId65" w:history="1">
              <w:r w:rsidR="00017F43" w:rsidRPr="00841E19">
                <w:rPr>
                  <w:rFonts w:eastAsia="Calibri" w:cs="Times New Roman"/>
                  <w:color w:val="0000FF"/>
                  <w:sz w:val="20"/>
                  <w:szCs w:val="20"/>
                  <w:u w:val="single"/>
                </w:rPr>
                <w:t>2013 QCCS 1539</w:t>
              </w:r>
            </w:hyperlink>
          </w:p>
          <w:p w:rsidR="00017F43" w:rsidRPr="00841E19" w:rsidRDefault="00017F43" w:rsidP="00102938">
            <w:pPr>
              <w:jc w:val="both"/>
              <w:rPr>
                <w:rFonts w:eastAsia="Calibri" w:cs="Times New Roman"/>
                <w:sz w:val="20"/>
                <w:szCs w:val="20"/>
              </w:rPr>
            </w:pPr>
          </w:p>
        </w:tc>
        <w:tc>
          <w:tcPr>
            <w:tcW w:w="243" w:type="pct"/>
          </w:tcPr>
          <w:p w:rsidR="00017F43" w:rsidRPr="00841E19" w:rsidRDefault="00017F43" w:rsidP="00102938">
            <w:pPr>
              <w:jc w:val="both"/>
              <w:rPr>
                <w:rFonts w:eastAsia="Calibri" w:cs="Times New Roman"/>
                <w:sz w:val="20"/>
                <w:szCs w:val="20"/>
              </w:rPr>
            </w:pPr>
          </w:p>
        </w:tc>
        <w:tc>
          <w:tcPr>
            <w:tcW w:w="2330" w:type="pct"/>
          </w:tcPr>
          <w:p w:rsidR="00017F43" w:rsidRPr="00841E19" w:rsidRDefault="00017F43" w:rsidP="00102938">
            <w:pPr>
              <w:jc w:val="both"/>
              <w:rPr>
                <w:rFonts w:eastAsia="Calibri" w:cs="Times New Roman"/>
                <w:sz w:val="20"/>
                <w:szCs w:val="20"/>
              </w:rPr>
            </w:pPr>
            <w:r w:rsidRPr="00841E19">
              <w:rPr>
                <w:rFonts w:eastAsia="Calibri" w:cs="Times New Roman"/>
                <w:sz w:val="20"/>
                <w:szCs w:val="20"/>
              </w:rPr>
              <w:t>Motion for judicial review allowed</w:t>
            </w:r>
          </w:p>
          <w:p w:rsidR="00017F43" w:rsidRPr="00841E19" w:rsidRDefault="00017F43" w:rsidP="00102938">
            <w:pPr>
              <w:jc w:val="both"/>
              <w:rPr>
                <w:rFonts w:eastAsia="Calibri" w:cs="Times New Roman"/>
                <w:sz w:val="20"/>
                <w:szCs w:val="20"/>
              </w:rPr>
            </w:pPr>
          </w:p>
        </w:tc>
      </w:tr>
      <w:tr w:rsidR="00017F43" w:rsidRPr="00841E19" w:rsidTr="00102938">
        <w:tc>
          <w:tcPr>
            <w:tcW w:w="2427" w:type="pct"/>
          </w:tcPr>
          <w:p w:rsidR="00017F43" w:rsidRPr="00841E19" w:rsidRDefault="00017F43" w:rsidP="00102938">
            <w:pPr>
              <w:jc w:val="both"/>
              <w:rPr>
                <w:rFonts w:eastAsia="Calibri" w:cs="Times New Roman"/>
                <w:sz w:val="20"/>
                <w:szCs w:val="20"/>
              </w:rPr>
            </w:pPr>
            <w:r w:rsidRPr="00841E19">
              <w:rPr>
                <w:rFonts w:eastAsia="Calibri" w:cs="Times New Roman"/>
                <w:sz w:val="20"/>
                <w:szCs w:val="20"/>
              </w:rPr>
              <w:t>October 3, 2014</w:t>
            </w:r>
          </w:p>
          <w:p w:rsidR="00017F43" w:rsidRPr="00841E19" w:rsidRDefault="00017F43" w:rsidP="00102938">
            <w:pPr>
              <w:jc w:val="both"/>
              <w:rPr>
                <w:rFonts w:eastAsia="Calibri" w:cs="Times New Roman"/>
                <w:sz w:val="20"/>
                <w:szCs w:val="20"/>
              </w:rPr>
            </w:pPr>
            <w:r w:rsidRPr="00841E19">
              <w:rPr>
                <w:rFonts w:eastAsia="Calibri" w:cs="Times New Roman"/>
                <w:sz w:val="20"/>
                <w:szCs w:val="20"/>
              </w:rPr>
              <w:t>Quebec Court of Appeal (Montréal)</w:t>
            </w:r>
          </w:p>
          <w:p w:rsidR="00017F43" w:rsidRPr="00841E19" w:rsidRDefault="00017F43" w:rsidP="00102938">
            <w:pPr>
              <w:jc w:val="both"/>
              <w:rPr>
                <w:rFonts w:eastAsia="Calibri" w:cs="Times New Roman"/>
                <w:sz w:val="20"/>
                <w:szCs w:val="20"/>
              </w:rPr>
            </w:pPr>
            <w:r w:rsidRPr="00841E19">
              <w:rPr>
                <w:rFonts w:eastAsia="Calibri" w:cs="Times New Roman"/>
                <w:sz w:val="20"/>
                <w:szCs w:val="20"/>
              </w:rPr>
              <w:t>(Dufresne, Savard and Vauclair JJ.A.)</w:t>
            </w:r>
          </w:p>
          <w:p w:rsidR="00017F43" w:rsidRPr="00841E19" w:rsidRDefault="00417673" w:rsidP="00102938">
            <w:pPr>
              <w:jc w:val="both"/>
              <w:rPr>
                <w:rFonts w:eastAsia="Calibri" w:cs="Times New Roman"/>
                <w:sz w:val="20"/>
                <w:szCs w:val="20"/>
              </w:rPr>
            </w:pPr>
            <w:hyperlink r:id="rId66" w:history="1">
              <w:r w:rsidR="00017F43" w:rsidRPr="00841E19">
                <w:rPr>
                  <w:rFonts w:eastAsia="Calibri" w:cs="Times New Roman"/>
                  <w:color w:val="0000FF"/>
                  <w:sz w:val="20"/>
                  <w:szCs w:val="20"/>
                  <w:u w:val="single"/>
                </w:rPr>
                <w:t>2014 QCCA 1817</w:t>
              </w:r>
            </w:hyperlink>
          </w:p>
          <w:p w:rsidR="00017F43" w:rsidRPr="00841E19" w:rsidRDefault="00017F43" w:rsidP="00102938">
            <w:pPr>
              <w:jc w:val="both"/>
              <w:rPr>
                <w:rFonts w:eastAsia="Calibri" w:cs="Times New Roman"/>
                <w:sz w:val="20"/>
                <w:szCs w:val="20"/>
              </w:rPr>
            </w:pPr>
          </w:p>
        </w:tc>
        <w:tc>
          <w:tcPr>
            <w:tcW w:w="243" w:type="pct"/>
          </w:tcPr>
          <w:p w:rsidR="00017F43" w:rsidRPr="00841E19" w:rsidRDefault="00017F43" w:rsidP="00102938">
            <w:pPr>
              <w:jc w:val="both"/>
              <w:rPr>
                <w:rFonts w:eastAsia="Calibri" w:cs="Times New Roman"/>
                <w:sz w:val="20"/>
                <w:szCs w:val="20"/>
              </w:rPr>
            </w:pPr>
          </w:p>
        </w:tc>
        <w:tc>
          <w:tcPr>
            <w:tcW w:w="2330" w:type="pct"/>
          </w:tcPr>
          <w:p w:rsidR="00017F43" w:rsidRPr="00841E19" w:rsidRDefault="00017F43" w:rsidP="00102938">
            <w:pPr>
              <w:jc w:val="both"/>
              <w:rPr>
                <w:rFonts w:eastAsia="Calibri" w:cs="Times New Roman"/>
                <w:sz w:val="20"/>
                <w:szCs w:val="20"/>
              </w:rPr>
            </w:pPr>
            <w:r w:rsidRPr="00841E19">
              <w:rPr>
                <w:rFonts w:eastAsia="Calibri" w:cs="Times New Roman"/>
                <w:sz w:val="20"/>
                <w:szCs w:val="20"/>
              </w:rPr>
              <w:t>Appeal allowed; motion for judicial review dismissed</w:t>
            </w:r>
          </w:p>
          <w:p w:rsidR="00017F43" w:rsidRPr="00841E19" w:rsidRDefault="00017F43" w:rsidP="00102938">
            <w:pPr>
              <w:jc w:val="both"/>
              <w:rPr>
                <w:rFonts w:eastAsia="Calibri" w:cs="Times New Roman"/>
                <w:sz w:val="20"/>
                <w:szCs w:val="20"/>
              </w:rPr>
            </w:pPr>
          </w:p>
        </w:tc>
      </w:tr>
      <w:tr w:rsidR="00017F43" w:rsidRPr="00841E19" w:rsidTr="00102938">
        <w:tc>
          <w:tcPr>
            <w:tcW w:w="2427" w:type="pct"/>
          </w:tcPr>
          <w:p w:rsidR="00017F43" w:rsidRPr="00841E19" w:rsidRDefault="00017F43" w:rsidP="00102938">
            <w:pPr>
              <w:jc w:val="both"/>
              <w:rPr>
                <w:rFonts w:eastAsia="Calibri" w:cs="Times New Roman"/>
                <w:sz w:val="20"/>
                <w:szCs w:val="20"/>
              </w:rPr>
            </w:pPr>
            <w:r w:rsidRPr="00841E19">
              <w:rPr>
                <w:rFonts w:eastAsia="Calibri" w:cs="Times New Roman"/>
                <w:sz w:val="20"/>
                <w:szCs w:val="20"/>
              </w:rPr>
              <w:t>December 3, 2014</w:t>
            </w:r>
          </w:p>
          <w:p w:rsidR="00017F43" w:rsidRPr="00841E19" w:rsidRDefault="00017F43" w:rsidP="00102938">
            <w:pPr>
              <w:jc w:val="both"/>
              <w:rPr>
                <w:rFonts w:eastAsia="Calibri" w:cs="Times New Roman"/>
                <w:sz w:val="20"/>
                <w:szCs w:val="20"/>
              </w:rPr>
            </w:pPr>
            <w:r w:rsidRPr="00841E19">
              <w:rPr>
                <w:rFonts w:eastAsia="Calibri" w:cs="Times New Roman"/>
                <w:sz w:val="20"/>
                <w:szCs w:val="20"/>
              </w:rPr>
              <w:t>Supreme Court of Canada</w:t>
            </w:r>
          </w:p>
        </w:tc>
        <w:tc>
          <w:tcPr>
            <w:tcW w:w="243" w:type="pct"/>
          </w:tcPr>
          <w:p w:rsidR="00017F43" w:rsidRPr="00841E19" w:rsidRDefault="00017F43" w:rsidP="00102938">
            <w:pPr>
              <w:jc w:val="both"/>
              <w:rPr>
                <w:rFonts w:eastAsia="Calibri" w:cs="Times New Roman"/>
                <w:sz w:val="20"/>
                <w:szCs w:val="20"/>
              </w:rPr>
            </w:pPr>
          </w:p>
        </w:tc>
        <w:tc>
          <w:tcPr>
            <w:tcW w:w="2330" w:type="pct"/>
          </w:tcPr>
          <w:p w:rsidR="00017F43" w:rsidRPr="00841E19" w:rsidRDefault="00017F43" w:rsidP="00102938">
            <w:pPr>
              <w:jc w:val="both"/>
              <w:rPr>
                <w:rFonts w:eastAsia="Calibri" w:cs="Times New Roman"/>
                <w:sz w:val="20"/>
                <w:szCs w:val="20"/>
              </w:rPr>
            </w:pPr>
            <w:r w:rsidRPr="00841E19">
              <w:rPr>
                <w:rFonts w:eastAsia="Calibri" w:cs="Times New Roman"/>
                <w:sz w:val="20"/>
                <w:szCs w:val="20"/>
              </w:rPr>
              <w:t>Motion for extension of time and application for leave to appeal filed</w:t>
            </w:r>
          </w:p>
        </w:tc>
      </w:tr>
    </w:tbl>
    <w:p w:rsidR="00017F43" w:rsidRPr="00841E19" w:rsidRDefault="00017F43" w:rsidP="00017F43">
      <w:pPr>
        <w:jc w:val="both"/>
        <w:rPr>
          <w:rFonts w:eastAsia="Calibri" w:cs="Times New Roman"/>
          <w:sz w:val="20"/>
          <w:szCs w:val="20"/>
        </w:rPr>
      </w:pPr>
    </w:p>
    <w:p w:rsidR="00017F43" w:rsidRPr="00C50A5C" w:rsidRDefault="00417673" w:rsidP="00017F43">
      <w:pPr>
        <w:rPr>
          <w:sz w:val="20"/>
          <w:szCs w:val="20"/>
        </w:rPr>
      </w:pPr>
      <w:r>
        <w:rPr>
          <w:sz w:val="20"/>
          <w:szCs w:val="20"/>
          <w:lang w:val="fr-CA"/>
        </w:rPr>
        <w:pict>
          <v:rect id="_x0000_i1066" style="width:2in;height:1pt" o:hrpct="0" o:hralign="center" o:hrstd="t" o:hrnoshade="t" o:hr="t" fillcolor="black [3213]" stroked="f"/>
        </w:pict>
      </w:r>
    </w:p>
    <w:p w:rsidR="00017F43" w:rsidRDefault="00017F43" w:rsidP="00017F43">
      <w:pPr>
        <w:rPr>
          <w:sz w:val="20"/>
          <w:szCs w:val="20"/>
        </w:rPr>
      </w:pPr>
    </w:p>
    <w:p w:rsidR="00017F43" w:rsidRPr="001B157C" w:rsidRDefault="00017F43" w:rsidP="00017F43">
      <w:pPr>
        <w:rPr>
          <w:sz w:val="20"/>
          <w:szCs w:val="20"/>
          <w:u w:val="single"/>
          <w:lang w:val="fr-CA"/>
        </w:rPr>
      </w:pPr>
      <w:r w:rsidRPr="001B157C">
        <w:rPr>
          <w:sz w:val="20"/>
          <w:szCs w:val="20"/>
          <w:u w:val="single"/>
          <w:lang w:val="fr-CA"/>
        </w:rPr>
        <w:t>RÉSUMÉ DE L’AFFAIRE</w:t>
      </w:r>
    </w:p>
    <w:p w:rsidR="00017F43" w:rsidRDefault="00017F43" w:rsidP="00017F4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17F43" w:rsidRPr="00584913" w:rsidTr="00102938">
        <w:tc>
          <w:tcPr>
            <w:tcW w:w="5000" w:type="pct"/>
            <w:gridSpan w:val="3"/>
          </w:tcPr>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 xml:space="preserve">Droit social – Rente de conjoint survivant prévue à la </w:t>
            </w:r>
            <w:r w:rsidRPr="00841E19">
              <w:rPr>
                <w:rFonts w:eastAsia="Calibri" w:cs="Times New Roman"/>
                <w:i/>
                <w:iCs/>
                <w:sz w:val="20"/>
                <w:szCs w:val="20"/>
                <w:lang w:val="fr-CA"/>
              </w:rPr>
              <w:t>Loi sur le régime de rentes du Québec</w:t>
            </w:r>
            <w:r w:rsidRPr="00841E19">
              <w:rPr>
                <w:rFonts w:eastAsia="Calibri" w:cs="Times New Roman"/>
                <w:sz w:val="20"/>
                <w:szCs w:val="20"/>
                <w:lang w:val="fr-CA"/>
              </w:rPr>
              <w:t xml:space="preserve">, RLRQ, c. R-9 – Jugements et ordonnances – Autorité de la chose jugée – Le jugement en question avait-il autorité de la chose jugée sur la question de la reconnaissance d’une décision étrangère prononçant l’annulation du mariage? – La demanderesse a-t-elle droit à la rente de conjoint survivant prévue à la </w:t>
            </w:r>
            <w:r w:rsidRPr="00841E19">
              <w:rPr>
                <w:rFonts w:eastAsia="Calibri" w:cs="Times New Roman"/>
                <w:i/>
                <w:sz w:val="20"/>
                <w:szCs w:val="20"/>
                <w:lang w:val="fr-CA"/>
              </w:rPr>
              <w:t>Loi</w:t>
            </w:r>
            <w:r w:rsidRPr="00841E19">
              <w:rPr>
                <w:rFonts w:eastAsia="Calibri" w:cs="Times New Roman"/>
                <w:sz w:val="20"/>
                <w:szCs w:val="20"/>
                <w:lang w:val="fr-CA"/>
              </w:rPr>
              <w:t>?</w:t>
            </w:r>
          </w:p>
        </w:tc>
      </w:tr>
      <w:tr w:rsidR="00017F43" w:rsidRPr="00584913" w:rsidTr="00102938">
        <w:tc>
          <w:tcPr>
            <w:tcW w:w="5000" w:type="pct"/>
            <w:gridSpan w:val="3"/>
          </w:tcPr>
          <w:p w:rsidR="00017F43" w:rsidRPr="00841E19" w:rsidRDefault="00017F43" w:rsidP="00102938">
            <w:pPr>
              <w:jc w:val="both"/>
              <w:rPr>
                <w:rFonts w:eastAsia="Calibri" w:cs="Times New Roman"/>
                <w:sz w:val="20"/>
                <w:szCs w:val="20"/>
                <w:lang w:val="fr-CA"/>
              </w:rPr>
            </w:pPr>
          </w:p>
        </w:tc>
      </w:tr>
      <w:tr w:rsidR="00017F43" w:rsidRPr="00841E19" w:rsidTr="00102938">
        <w:tc>
          <w:tcPr>
            <w:tcW w:w="5000" w:type="pct"/>
            <w:gridSpan w:val="3"/>
          </w:tcPr>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 xml:space="preserve">En 2003, D.U.C. et M.C. se sont mariés en République de Moldavie.  En 2008, M.C. est décédé. La demanderesse, Succession de feu D.U.C., réclame de la Régie des rentes du Québec (la « Régie ») la rente de conjoint survivant prévue à l’article 105 de la </w:t>
            </w:r>
            <w:r w:rsidRPr="00841E19">
              <w:rPr>
                <w:rFonts w:eastAsia="Calibri" w:cs="Times New Roman"/>
                <w:i/>
                <w:iCs/>
                <w:sz w:val="20"/>
                <w:szCs w:val="20"/>
                <w:lang w:val="fr-CA"/>
              </w:rPr>
              <w:t>Loi sur le régime de rentes du Québec</w:t>
            </w:r>
            <w:r w:rsidRPr="00841E19">
              <w:rPr>
                <w:rFonts w:eastAsia="Calibri" w:cs="Times New Roman"/>
                <w:sz w:val="20"/>
                <w:szCs w:val="20"/>
                <w:lang w:val="fr-CA"/>
              </w:rPr>
              <w:t>, RLRQ, c. R-9. S’appuyant sur un document provenant de la République de Moldavie attestant le mariage de D.U.C. à M.C. et l’annulation de ce mariage par les instances judiciaires de Moldavie, la Régie a refusé la demande au motif qu’au moment de son décès, M.C. n’était pas marié à D.U.C. D.U.C. a contesté sans succès cette décision auprès du Tribunal administratif du Québec (le « TAQ »).  Cependant, la Cour supérieure a accueilli la requête en révision judiciaire déposée par D.U.C.  De l’avis de la Cour, un jugement de 2010 de la Cour supérieure dans le dossier de divorce de D.U.C. et M.C., avait déjà refusé de reconnaître la décision étrangère déclarant l’annulation du mariage.  Il y avait donc autorité de la chose jugée à cet égard et le TAQ ne pouvait fonder sa décision sur une déclaration étrangère que la Cour supérieure avait refusé de reconnaître.  La Cour d’appel a accueilli l’appel.</w:t>
            </w:r>
          </w:p>
          <w:p w:rsidR="00017F43" w:rsidRPr="00841E19" w:rsidRDefault="00017F43" w:rsidP="00102938">
            <w:pPr>
              <w:jc w:val="both"/>
              <w:rPr>
                <w:rFonts w:eastAsia="Calibri" w:cs="Times New Roman"/>
                <w:sz w:val="20"/>
                <w:szCs w:val="20"/>
                <w:lang w:val="fr-CA"/>
              </w:rPr>
            </w:pPr>
          </w:p>
        </w:tc>
      </w:tr>
      <w:tr w:rsidR="00017F43" w:rsidRPr="00841E19" w:rsidTr="00102938">
        <w:tc>
          <w:tcPr>
            <w:tcW w:w="2427" w:type="pct"/>
          </w:tcPr>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Le 12 mars 2013</w:t>
            </w:r>
          </w:p>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Cour supérieure du Québec</w:t>
            </w:r>
          </w:p>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(La juge Picard)</w:t>
            </w:r>
          </w:p>
          <w:p w:rsidR="00017F43" w:rsidRPr="00841E19" w:rsidRDefault="00417673" w:rsidP="00102938">
            <w:pPr>
              <w:jc w:val="both"/>
              <w:rPr>
                <w:rFonts w:eastAsia="Calibri" w:cs="Times New Roman"/>
                <w:sz w:val="20"/>
                <w:szCs w:val="20"/>
                <w:lang w:val="fr-CA"/>
              </w:rPr>
            </w:pPr>
            <w:hyperlink r:id="rId67" w:history="1">
              <w:r w:rsidR="00017F43" w:rsidRPr="00841E19">
                <w:rPr>
                  <w:rFonts w:eastAsia="Calibri" w:cs="Times New Roman"/>
                  <w:color w:val="0000FF"/>
                  <w:sz w:val="20"/>
                  <w:szCs w:val="20"/>
                  <w:u w:val="single"/>
                  <w:lang w:val="fr-CA"/>
                </w:rPr>
                <w:t>2013 QCCS 1539</w:t>
              </w:r>
            </w:hyperlink>
          </w:p>
          <w:p w:rsidR="00017F43" w:rsidRPr="00841E19" w:rsidRDefault="00017F43" w:rsidP="00102938">
            <w:pPr>
              <w:jc w:val="both"/>
              <w:rPr>
                <w:rFonts w:eastAsia="Calibri" w:cs="Times New Roman"/>
                <w:sz w:val="20"/>
                <w:szCs w:val="20"/>
                <w:lang w:val="en-US"/>
              </w:rPr>
            </w:pPr>
          </w:p>
        </w:tc>
        <w:tc>
          <w:tcPr>
            <w:tcW w:w="243" w:type="pct"/>
          </w:tcPr>
          <w:p w:rsidR="00017F43" w:rsidRPr="00841E19" w:rsidRDefault="00017F43" w:rsidP="00102938">
            <w:pPr>
              <w:jc w:val="both"/>
              <w:rPr>
                <w:rFonts w:eastAsia="Calibri" w:cs="Times New Roman"/>
                <w:sz w:val="20"/>
                <w:szCs w:val="20"/>
                <w:lang w:val="en-US"/>
              </w:rPr>
            </w:pPr>
          </w:p>
        </w:tc>
        <w:tc>
          <w:tcPr>
            <w:tcW w:w="2330" w:type="pct"/>
          </w:tcPr>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Requête en révision judiciaire accueillie</w:t>
            </w:r>
          </w:p>
          <w:p w:rsidR="00017F43" w:rsidRPr="00841E19" w:rsidRDefault="00017F43" w:rsidP="00102938">
            <w:pPr>
              <w:jc w:val="both"/>
              <w:rPr>
                <w:rFonts w:eastAsia="Calibri" w:cs="Times New Roman"/>
                <w:sz w:val="20"/>
                <w:szCs w:val="20"/>
                <w:lang w:val="fr-CA"/>
              </w:rPr>
            </w:pPr>
          </w:p>
        </w:tc>
      </w:tr>
      <w:tr w:rsidR="00017F43" w:rsidRPr="00584913" w:rsidTr="00102938">
        <w:tc>
          <w:tcPr>
            <w:tcW w:w="2427" w:type="pct"/>
          </w:tcPr>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Le 3 octobre 2014</w:t>
            </w:r>
          </w:p>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Cour d’appel du Québec (Montréal)</w:t>
            </w:r>
          </w:p>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(Les juges Dufresne, Savard et Vauclair)</w:t>
            </w:r>
          </w:p>
          <w:p w:rsidR="00017F43" w:rsidRPr="00841E19" w:rsidRDefault="00417673" w:rsidP="00102938">
            <w:pPr>
              <w:jc w:val="both"/>
              <w:rPr>
                <w:rFonts w:eastAsia="Calibri" w:cs="Times New Roman"/>
                <w:sz w:val="20"/>
                <w:szCs w:val="20"/>
                <w:lang w:val="fr-CA"/>
              </w:rPr>
            </w:pPr>
            <w:hyperlink r:id="rId68" w:history="1">
              <w:r w:rsidR="00017F43" w:rsidRPr="00841E19">
                <w:rPr>
                  <w:rFonts w:eastAsia="Calibri" w:cs="Times New Roman"/>
                  <w:color w:val="0000FF"/>
                  <w:sz w:val="20"/>
                  <w:szCs w:val="20"/>
                  <w:u w:val="single"/>
                  <w:lang w:val="fr-CA"/>
                </w:rPr>
                <w:t>2014 QCCA 1817</w:t>
              </w:r>
            </w:hyperlink>
          </w:p>
          <w:p w:rsidR="00017F43" w:rsidRPr="00841E19" w:rsidRDefault="00017F43" w:rsidP="00102938">
            <w:pPr>
              <w:jc w:val="both"/>
              <w:rPr>
                <w:rFonts w:eastAsia="Calibri" w:cs="Times New Roman"/>
                <w:sz w:val="20"/>
                <w:szCs w:val="20"/>
                <w:lang w:val="fr-CA"/>
              </w:rPr>
            </w:pPr>
          </w:p>
        </w:tc>
        <w:tc>
          <w:tcPr>
            <w:tcW w:w="243" w:type="pct"/>
          </w:tcPr>
          <w:p w:rsidR="00017F43" w:rsidRPr="00841E19" w:rsidRDefault="00017F43" w:rsidP="00102938">
            <w:pPr>
              <w:jc w:val="both"/>
              <w:rPr>
                <w:rFonts w:eastAsia="Calibri" w:cs="Times New Roman"/>
                <w:sz w:val="20"/>
                <w:szCs w:val="20"/>
                <w:lang w:val="fr-CA"/>
              </w:rPr>
            </w:pPr>
          </w:p>
        </w:tc>
        <w:tc>
          <w:tcPr>
            <w:tcW w:w="2330" w:type="pct"/>
          </w:tcPr>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Appel accueilli; requête en révision judiciaire rejetée</w:t>
            </w:r>
          </w:p>
          <w:p w:rsidR="00017F43" w:rsidRPr="00841E19" w:rsidRDefault="00017F43" w:rsidP="00102938">
            <w:pPr>
              <w:jc w:val="both"/>
              <w:rPr>
                <w:rFonts w:eastAsia="Calibri" w:cs="Times New Roman"/>
                <w:sz w:val="20"/>
                <w:szCs w:val="20"/>
                <w:lang w:val="fr-CA"/>
              </w:rPr>
            </w:pPr>
          </w:p>
        </w:tc>
      </w:tr>
      <w:tr w:rsidR="00017F43" w:rsidRPr="00FA0DB6" w:rsidTr="00102938">
        <w:tc>
          <w:tcPr>
            <w:tcW w:w="2427" w:type="pct"/>
          </w:tcPr>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lastRenderedPageBreak/>
              <w:t>Le 3 décembre 2014</w:t>
            </w:r>
          </w:p>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Cour suprême du Canada</w:t>
            </w:r>
          </w:p>
        </w:tc>
        <w:tc>
          <w:tcPr>
            <w:tcW w:w="243" w:type="pct"/>
          </w:tcPr>
          <w:p w:rsidR="00017F43" w:rsidRPr="00841E19" w:rsidRDefault="00017F43" w:rsidP="00102938">
            <w:pPr>
              <w:jc w:val="both"/>
              <w:rPr>
                <w:rFonts w:eastAsia="Calibri" w:cs="Times New Roman"/>
                <w:sz w:val="20"/>
                <w:szCs w:val="20"/>
                <w:lang w:val="fr-CA"/>
              </w:rPr>
            </w:pPr>
          </w:p>
        </w:tc>
        <w:tc>
          <w:tcPr>
            <w:tcW w:w="2330" w:type="pct"/>
          </w:tcPr>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Requête en prorogation de délai et demande d’autorisation d’appel déposées</w:t>
            </w:r>
          </w:p>
        </w:tc>
      </w:tr>
    </w:tbl>
    <w:p w:rsidR="00017F43" w:rsidRPr="0016547E" w:rsidRDefault="00017F43" w:rsidP="00017F43">
      <w:pPr>
        <w:rPr>
          <w:sz w:val="20"/>
          <w:szCs w:val="20"/>
          <w:lang w:val="fr-CA"/>
        </w:rPr>
      </w:pPr>
    </w:p>
    <w:p w:rsidR="00017F43" w:rsidRPr="00C50A5C" w:rsidRDefault="00417673" w:rsidP="00017F43">
      <w:pPr>
        <w:rPr>
          <w:sz w:val="20"/>
          <w:szCs w:val="20"/>
        </w:rPr>
      </w:pPr>
      <w:r>
        <w:rPr>
          <w:sz w:val="20"/>
          <w:szCs w:val="20"/>
          <w:lang w:val="fr-CA"/>
        </w:rPr>
        <w:pict>
          <v:rect id="_x0000_i1067" style="width:2in;height:1pt" o:hrpct="0" o:hralign="center" o:hrstd="t" o:hrnoshade="t" o:hr="t" fillcolor="black [3213]" stroked="f"/>
        </w:pict>
      </w:r>
    </w:p>
    <w:p w:rsidR="00017F43" w:rsidRPr="00017F43" w:rsidRDefault="00017F43" w:rsidP="00017F43">
      <w:pPr>
        <w:rPr>
          <w:sz w:val="20"/>
          <w:szCs w:val="24"/>
        </w:rPr>
      </w:pPr>
    </w:p>
    <w:tbl>
      <w:tblPr>
        <w:tblStyle w:val="TableGrid1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17F43" w:rsidRPr="00584913" w:rsidTr="00102938">
        <w:trPr>
          <w:cantSplit/>
        </w:trPr>
        <w:tc>
          <w:tcPr>
            <w:tcW w:w="1458" w:type="dxa"/>
          </w:tcPr>
          <w:p w:rsidR="00017F43" w:rsidRPr="00017F43" w:rsidRDefault="00017F43" w:rsidP="00017F43">
            <w:pPr>
              <w:jc w:val="both"/>
              <w:rPr>
                <w:sz w:val="20"/>
              </w:rPr>
            </w:pPr>
            <w:r w:rsidRPr="00017F43">
              <w:rPr>
                <w:b/>
                <w:sz w:val="20"/>
                <w:lang w:val="fr-CA"/>
              </w:rPr>
              <w:t>36237</w:t>
            </w:r>
          </w:p>
          <w:p w:rsidR="00017F43" w:rsidRPr="00017F43" w:rsidRDefault="00017F43" w:rsidP="00017F43">
            <w:pPr>
              <w:jc w:val="both"/>
              <w:rPr>
                <w:b/>
                <w:sz w:val="20"/>
                <w:lang w:val="fr-CA"/>
              </w:rPr>
            </w:pPr>
          </w:p>
        </w:tc>
        <w:tc>
          <w:tcPr>
            <w:tcW w:w="8118" w:type="dxa"/>
          </w:tcPr>
          <w:p w:rsidR="00017F43" w:rsidRPr="00017F43" w:rsidRDefault="00017F43" w:rsidP="00017F43">
            <w:pPr>
              <w:jc w:val="both"/>
              <w:rPr>
                <w:sz w:val="20"/>
                <w:lang w:val="fr-CA"/>
              </w:rPr>
            </w:pPr>
            <w:r w:rsidRPr="00017F43">
              <w:rPr>
                <w:b/>
                <w:sz w:val="20"/>
                <w:u w:val="single"/>
                <w:lang w:val="fr-CA"/>
              </w:rPr>
              <w:t>Érik Charest c. Dessau inc., Rosaire Sauriol, SNC-Lavalin inc., Yves Cadotte, WSP Canada inc. (anciennement Genivar inc.), François Perreault, BPR inc., Pierre Lavallée, Groupe S.M. inc., Geni</w:t>
            </w:r>
            <w:r w:rsidR="00A1636E">
              <w:rPr>
                <w:b/>
                <w:sz w:val="20"/>
                <w:u w:val="single"/>
                <w:lang w:val="fr-CA"/>
              </w:rPr>
              <w:t>us Conseil inc., Michel Lalonde et</w:t>
            </w:r>
            <w:r w:rsidRPr="00017F43">
              <w:rPr>
                <w:b/>
                <w:sz w:val="20"/>
                <w:u w:val="single"/>
                <w:lang w:val="fr-CA"/>
              </w:rPr>
              <w:t xml:space="preserve"> Robert Marcil</w:t>
            </w:r>
            <w:r w:rsidRPr="00017F43">
              <w:rPr>
                <w:sz w:val="20"/>
                <w:lang w:val="fr-CA"/>
              </w:rPr>
              <w:t xml:space="preserve"> (Qc) (Civile) (Autorisation)</w:t>
            </w:r>
          </w:p>
          <w:p w:rsidR="00017F43" w:rsidRPr="00017F43" w:rsidRDefault="00017F43" w:rsidP="00017F43">
            <w:pPr>
              <w:jc w:val="both"/>
              <w:rPr>
                <w:sz w:val="20"/>
                <w:lang w:val="fr-CA"/>
              </w:rPr>
            </w:pPr>
          </w:p>
        </w:tc>
      </w:tr>
      <w:tr w:rsidR="00017F43" w:rsidRPr="00584913" w:rsidTr="00102938">
        <w:trPr>
          <w:cantSplit/>
        </w:trPr>
        <w:tc>
          <w:tcPr>
            <w:tcW w:w="1458" w:type="dxa"/>
          </w:tcPr>
          <w:p w:rsidR="00017F43" w:rsidRPr="00017F43" w:rsidRDefault="00017F43" w:rsidP="00017F43">
            <w:pPr>
              <w:jc w:val="both"/>
              <w:rPr>
                <w:sz w:val="20"/>
              </w:rPr>
            </w:pPr>
            <w:r w:rsidRPr="00017F43">
              <w:rPr>
                <w:sz w:val="20"/>
              </w:rPr>
              <w:t>Coram :</w:t>
            </w:r>
          </w:p>
        </w:tc>
        <w:tc>
          <w:tcPr>
            <w:tcW w:w="8118" w:type="dxa"/>
          </w:tcPr>
          <w:p w:rsidR="00017F43" w:rsidRPr="00017F43" w:rsidRDefault="00017F43" w:rsidP="00017F43">
            <w:pPr>
              <w:jc w:val="both"/>
              <w:rPr>
                <w:sz w:val="20"/>
                <w:lang w:val="fr-CA"/>
              </w:rPr>
            </w:pPr>
            <w:r w:rsidRPr="00017F43">
              <w:rPr>
                <w:sz w:val="20"/>
                <w:u w:val="single"/>
                <w:lang w:val="fr-CA"/>
              </w:rPr>
              <w:t>La juge en chef McLachlin et les juges Wagner et Gascon</w:t>
            </w:r>
          </w:p>
          <w:p w:rsidR="00017F43" w:rsidRPr="00017F43" w:rsidRDefault="00017F43" w:rsidP="00017F43">
            <w:pPr>
              <w:jc w:val="both"/>
              <w:rPr>
                <w:sz w:val="20"/>
                <w:u w:val="single"/>
                <w:lang w:val="fr-CA"/>
              </w:rPr>
            </w:pPr>
          </w:p>
        </w:tc>
      </w:tr>
      <w:tr w:rsidR="00017F43" w:rsidRPr="00017F43" w:rsidTr="00102938">
        <w:trPr>
          <w:cantSplit/>
        </w:trPr>
        <w:tc>
          <w:tcPr>
            <w:tcW w:w="9576" w:type="dxa"/>
            <w:gridSpan w:val="2"/>
          </w:tcPr>
          <w:p w:rsidR="00017F43" w:rsidRPr="00017F43" w:rsidRDefault="00017F43" w:rsidP="00017F43">
            <w:pPr>
              <w:ind w:firstLine="720"/>
              <w:jc w:val="both"/>
              <w:rPr>
                <w:sz w:val="20"/>
                <w:lang w:val="fr-CA"/>
              </w:rPr>
            </w:pPr>
            <w:r w:rsidRPr="00017F43">
              <w:rPr>
                <w:sz w:val="20"/>
                <w:lang w:val="fr-CA"/>
              </w:rPr>
              <w:t>La demande d’autorisation d’appel de l’arrêt de la Cour d’appel du Québec (Montréal), numéro 500-09-024488-140, 2014 QCCA 2052, daté du 3 novembre 2014, est rejetée sans dépens.</w:t>
            </w:r>
          </w:p>
          <w:p w:rsidR="00017F43" w:rsidRPr="00017F43" w:rsidRDefault="00017F43" w:rsidP="00017F43">
            <w:pPr>
              <w:jc w:val="both"/>
              <w:rPr>
                <w:sz w:val="20"/>
                <w:lang w:val="fr-CA"/>
              </w:rPr>
            </w:pPr>
          </w:p>
          <w:p w:rsidR="00017F43" w:rsidRPr="00017F43" w:rsidRDefault="00017F43" w:rsidP="00017F43">
            <w:pPr>
              <w:ind w:firstLine="720"/>
              <w:jc w:val="both"/>
              <w:rPr>
                <w:sz w:val="20"/>
              </w:rPr>
            </w:pPr>
            <w:r w:rsidRPr="00017F43">
              <w:rPr>
                <w:sz w:val="20"/>
              </w:rPr>
              <w:t>The application for leave to appeal from the judgment of the Court of Appeal of Quebec (Montréal), Number 500-09-024488-140, 2014 QCCA 2052, dated November 3, 2014, is dismissed without costs.</w:t>
            </w:r>
          </w:p>
        </w:tc>
      </w:tr>
    </w:tbl>
    <w:p w:rsidR="00017F43" w:rsidRDefault="00017F43" w:rsidP="00017F43">
      <w:pPr>
        <w:rPr>
          <w:sz w:val="20"/>
          <w:szCs w:val="20"/>
          <w:u w:val="single"/>
        </w:rPr>
      </w:pPr>
    </w:p>
    <w:p w:rsidR="00017F43" w:rsidRPr="001B157C" w:rsidRDefault="00017F43" w:rsidP="00017F43">
      <w:pPr>
        <w:rPr>
          <w:sz w:val="20"/>
          <w:szCs w:val="20"/>
          <w:u w:val="single"/>
        </w:rPr>
      </w:pPr>
      <w:r w:rsidRPr="001B157C">
        <w:rPr>
          <w:sz w:val="20"/>
          <w:szCs w:val="20"/>
          <w:u w:val="single"/>
        </w:rPr>
        <w:t>CASE SUMMARY</w:t>
      </w:r>
    </w:p>
    <w:p w:rsidR="00017F43" w:rsidRDefault="00017F43" w:rsidP="00017F4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17F43" w:rsidRPr="00841E19" w:rsidTr="00102938">
        <w:trPr>
          <w:trHeight w:val="720"/>
        </w:trPr>
        <w:tc>
          <w:tcPr>
            <w:tcW w:w="5000" w:type="pct"/>
            <w:gridSpan w:val="3"/>
          </w:tcPr>
          <w:p w:rsidR="00017F43" w:rsidRPr="00841E19" w:rsidRDefault="00017F43" w:rsidP="00102938">
            <w:pPr>
              <w:jc w:val="both"/>
              <w:rPr>
                <w:rFonts w:eastAsia="Calibri" w:cs="Times New Roman"/>
                <w:sz w:val="20"/>
                <w:szCs w:val="20"/>
              </w:rPr>
            </w:pPr>
            <w:r w:rsidRPr="00841E19">
              <w:rPr>
                <w:rFonts w:eastAsia="Calibri" w:cs="Times New Roman"/>
                <w:sz w:val="20"/>
                <w:szCs w:val="20"/>
              </w:rPr>
              <w:t xml:space="preserve">Civil procedure – Class actions – Interest to bring an action – Whether taxpayers may institute legal proceedings to recover money misappropriated from municipality through collusive practices – Whether taxpayers may be treated as indirect purchasers within meaning of </w:t>
            </w:r>
            <w:r w:rsidRPr="00841E19">
              <w:rPr>
                <w:rFonts w:eastAsia="Calibri" w:cs="Times New Roman"/>
                <w:i/>
                <w:sz w:val="20"/>
                <w:szCs w:val="20"/>
              </w:rPr>
              <w:t>Infineon Technologies AG v. Option consommateurs</w:t>
            </w:r>
            <w:r w:rsidRPr="00841E19">
              <w:rPr>
                <w:rFonts w:eastAsia="Calibri" w:cs="Times New Roman"/>
                <w:sz w:val="20"/>
                <w:szCs w:val="20"/>
              </w:rPr>
              <w:t xml:space="preserve">, 2013 SCC 59, [2013] 3 S.C.R. 600 – Whether taxpayers have sufficient interest to bring action when elected officials and executives of municipality participated in collusive practices in question – </w:t>
            </w:r>
            <w:r w:rsidRPr="00841E19">
              <w:rPr>
                <w:rFonts w:eastAsia="Calibri" w:cs="Times New Roman"/>
                <w:i/>
                <w:sz w:val="20"/>
                <w:szCs w:val="20"/>
              </w:rPr>
              <w:t>Code of Civil Procedure</w:t>
            </w:r>
            <w:r w:rsidRPr="00841E19">
              <w:rPr>
                <w:rFonts w:eastAsia="Calibri" w:cs="Times New Roman"/>
                <w:sz w:val="20"/>
                <w:szCs w:val="20"/>
              </w:rPr>
              <w:t>, CQLR c. C-25, arts. 55, 1003(</w:t>
            </w:r>
            <w:r w:rsidRPr="00841E19">
              <w:rPr>
                <w:rFonts w:eastAsia="Calibri" w:cs="Times New Roman"/>
                <w:i/>
                <w:sz w:val="20"/>
                <w:szCs w:val="20"/>
              </w:rPr>
              <w:t>b</w:t>
            </w:r>
            <w:r w:rsidRPr="00841E19">
              <w:rPr>
                <w:rFonts w:eastAsia="Calibri" w:cs="Times New Roman"/>
                <w:sz w:val="20"/>
                <w:szCs w:val="20"/>
              </w:rPr>
              <w:t>)).</w:t>
            </w:r>
          </w:p>
        </w:tc>
      </w:tr>
      <w:tr w:rsidR="00017F43" w:rsidRPr="00841E19" w:rsidTr="00102938">
        <w:tc>
          <w:tcPr>
            <w:tcW w:w="5000" w:type="pct"/>
            <w:gridSpan w:val="3"/>
          </w:tcPr>
          <w:p w:rsidR="00017F43" w:rsidRPr="00841E19" w:rsidRDefault="00017F43" w:rsidP="00102938">
            <w:pPr>
              <w:jc w:val="both"/>
              <w:rPr>
                <w:rFonts w:eastAsia="Calibri" w:cs="Times New Roman"/>
                <w:sz w:val="20"/>
                <w:szCs w:val="20"/>
              </w:rPr>
            </w:pPr>
          </w:p>
        </w:tc>
      </w:tr>
      <w:tr w:rsidR="00017F43" w:rsidRPr="00841E19" w:rsidTr="00102938">
        <w:tc>
          <w:tcPr>
            <w:tcW w:w="5000" w:type="pct"/>
            <w:gridSpan w:val="3"/>
          </w:tcPr>
          <w:p w:rsidR="00017F43" w:rsidRPr="00841E19" w:rsidRDefault="00017F43" w:rsidP="00102938">
            <w:pPr>
              <w:jc w:val="both"/>
              <w:rPr>
                <w:rFonts w:eastAsia="Calibri" w:cs="Times New Roman"/>
                <w:sz w:val="20"/>
                <w:szCs w:val="20"/>
              </w:rPr>
            </w:pPr>
            <w:r w:rsidRPr="00841E19">
              <w:rPr>
                <w:rFonts w:eastAsia="Calibri" w:cs="Times New Roman"/>
                <w:sz w:val="20"/>
                <w:szCs w:val="20"/>
              </w:rPr>
              <w:t>Mr. Charest, the applicant, is a City of Montréal taxpayer.  The respondents are consulting engineering firms and executives of these firms.  Mr. Charest filed a motion for leave to bring a class action against the respondents.  He sought compensatory and punitive damages.  The motion for leave alleged that the respondents had participated in a system of collusion to share contracts awarded by the City and that the executives participated in, supervised, coordinated and approved collusive and anti-competitive practices for their companies.  Mr. Charest intended to represent a group he defined as being [</w:t>
            </w:r>
            <w:r w:rsidRPr="00841E19">
              <w:rPr>
                <w:rFonts w:eastAsia="Calibri" w:cs="Times New Roman"/>
                <w:smallCaps/>
                <w:sz w:val="20"/>
                <w:szCs w:val="20"/>
              </w:rPr>
              <w:t>translation</w:t>
            </w:r>
            <w:r w:rsidRPr="00841E19">
              <w:rPr>
                <w:rFonts w:eastAsia="Calibri" w:cs="Times New Roman"/>
                <w:sz w:val="20"/>
                <w:szCs w:val="20"/>
              </w:rPr>
              <w:t>] “all natural and legal persons with 50 or fewer employees since April 19, 2012, and having, between January 1, 1998, and December 31, 2010, paid property and/or municipal taxes to the City of Montréal and  benefitted from the City’s services”.  The Superior Court dismissed the motion for leave.  The Court of Appeal allowed the respondent’s motions to dismiss the appeal and dismissed the appeal.</w:t>
            </w:r>
          </w:p>
          <w:p w:rsidR="00017F43" w:rsidRPr="00841E19" w:rsidRDefault="00017F43" w:rsidP="00102938">
            <w:pPr>
              <w:jc w:val="both"/>
              <w:rPr>
                <w:rFonts w:eastAsia="Calibri" w:cs="Times New Roman"/>
                <w:sz w:val="20"/>
                <w:szCs w:val="20"/>
              </w:rPr>
            </w:pPr>
          </w:p>
        </w:tc>
      </w:tr>
      <w:tr w:rsidR="00017F43" w:rsidRPr="00841E19" w:rsidTr="00102938">
        <w:tc>
          <w:tcPr>
            <w:tcW w:w="2427" w:type="pct"/>
          </w:tcPr>
          <w:p w:rsidR="00017F43" w:rsidRPr="00841E19" w:rsidRDefault="00017F43" w:rsidP="00102938">
            <w:pPr>
              <w:jc w:val="both"/>
              <w:rPr>
                <w:rFonts w:eastAsia="Calibri" w:cs="Times New Roman"/>
                <w:sz w:val="20"/>
                <w:szCs w:val="20"/>
              </w:rPr>
            </w:pPr>
            <w:r w:rsidRPr="00841E19">
              <w:rPr>
                <w:rFonts w:eastAsia="Calibri" w:cs="Times New Roman"/>
                <w:sz w:val="20"/>
                <w:szCs w:val="20"/>
              </w:rPr>
              <w:t>May 6, 2014</w:t>
            </w:r>
          </w:p>
          <w:p w:rsidR="00017F43" w:rsidRPr="00841E19" w:rsidRDefault="00017F43" w:rsidP="00102938">
            <w:pPr>
              <w:jc w:val="both"/>
              <w:rPr>
                <w:rFonts w:eastAsia="Calibri" w:cs="Times New Roman"/>
                <w:sz w:val="20"/>
                <w:szCs w:val="20"/>
              </w:rPr>
            </w:pPr>
            <w:r w:rsidRPr="00841E19">
              <w:rPr>
                <w:rFonts w:eastAsia="Calibri" w:cs="Times New Roman"/>
                <w:sz w:val="20"/>
                <w:szCs w:val="20"/>
              </w:rPr>
              <w:t>Quebec Superior Court</w:t>
            </w:r>
          </w:p>
          <w:p w:rsidR="00017F43" w:rsidRPr="00841E19" w:rsidRDefault="00017F43" w:rsidP="00102938">
            <w:pPr>
              <w:jc w:val="both"/>
              <w:rPr>
                <w:rFonts w:eastAsia="Calibri" w:cs="Times New Roman"/>
                <w:sz w:val="20"/>
                <w:szCs w:val="20"/>
              </w:rPr>
            </w:pPr>
            <w:r w:rsidRPr="00841E19">
              <w:rPr>
                <w:rFonts w:eastAsia="Calibri" w:cs="Times New Roman"/>
                <w:sz w:val="20"/>
                <w:szCs w:val="20"/>
              </w:rPr>
              <w:t>(Lacoursière J.)</w:t>
            </w:r>
          </w:p>
          <w:p w:rsidR="00017F43" w:rsidRPr="00841E19" w:rsidRDefault="00417673" w:rsidP="00102938">
            <w:pPr>
              <w:jc w:val="both"/>
              <w:rPr>
                <w:rFonts w:eastAsia="Calibri" w:cs="Times New Roman"/>
                <w:sz w:val="20"/>
                <w:szCs w:val="20"/>
              </w:rPr>
            </w:pPr>
            <w:hyperlink r:id="rId69" w:history="1">
              <w:r w:rsidR="00017F43" w:rsidRPr="00841E19">
                <w:rPr>
                  <w:rFonts w:eastAsia="Calibri" w:cs="Times New Roman"/>
                  <w:color w:val="0000FF"/>
                  <w:sz w:val="20"/>
                  <w:szCs w:val="20"/>
                  <w:u w:val="single"/>
                </w:rPr>
                <w:t>2014 QCCS 1891</w:t>
              </w:r>
            </w:hyperlink>
          </w:p>
          <w:p w:rsidR="00017F43" w:rsidRPr="00841E19" w:rsidRDefault="00017F43" w:rsidP="00102938">
            <w:pPr>
              <w:jc w:val="both"/>
              <w:rPr>
                <w:rFonts w:eastAsia="Calibri" w:cs="Times New Roman"/>
                <w:sz w:val="20"/>
                <w:szCs w:val="20"/>
              </w:rPr>
            </w:pPr>
          </w:p>
        </w:tc>
        <w:tc>
          <w:tcPr>
            <w:tcW w:w="243" w:type="pct"/>
          </w:tcPr>
          <w:p w:rsidR="00017F43" w:rsidRPr="00841E19" w:rsidRDefault="00017F43" w:rsidP="00102938">
            <w:pPr>
              <w:jc w:val="both"/>
              <w:rPr>
                <w:rFonts w:eastAsia="Calibri" w:cs="Times New Roman"/>
                <w:sz w:val="20"/>
                <w:szCs w:val="20"/>
              </w:rPr>
            </w:pPr>
          </w:p>
        </w:tc>
        <w:tc>
          <w:tcPr>
            <w:tcW w:w="2330" w:type="pct"/>
          </w:tcPr>
          <w:p w:rsidR="00017F43" w:rsidRPr="00841E19" w:rsidRDefault="00017F43" w:rsidP="00102938">
            <w:pPr>
              <w:jc w:val="both"/>
              <w:rPr>
                <w:rFonts w:eastAsia="Calibri" w:cs="Times New Roman"/>
                <w:sz w:val="20"/>
                <w:szCs w:val="20"/>
              </w:rPr>
            </w:pPr>
            <w:r w:rsidRPr="00841E19">
              <w:rPr>
                <w:rFonts w:eastAsia="Calibri" w:cs="Times New Roman"/>
                <w:sz w:val="20"/>
                <w:szCs w:val="20"/>
              </w:rPr>
              <w:t>Motion for leave to bring class action dismissed</w:t>
            </w:r>
          </w:p>
          <w:p w:rsidR="00017F43" w:rsidRPr="00841E19" w:rsidRDefault="00017F43" w:rsidP="00102938">
            <w:pPr>
              <w:jc w:val="both"/>
              <w:rPr>
                <w:rFonts w:eastAsia="Calibri" w:cs="Times New Roman"/>
                <w:sz w:val="20"/>
                <w:szCs w:val="20"/>
              </w:rPr>
            </w:pPr>
          </w:p>
        </w:tc>
      </w:tr>
      <w:tr w:rsidR="00017F43" w:rsidRPr="00841E19" w:rsidTr="00102938">
        <w:tc>
          <w:tcPr>
            <w:tcW w:w="2427" w:type="pct"/>
          </w:tcPr>
          <w:p w:rsidR="00017F43" w:rsidRPr="00841E19" w:rsidRDefault="00017F43" w:rsidP="00102938">
            <w:pPr>
              <w:jc w:val="both"/>
              <w:rPr>
                <w:rFonts w:eastAsia="Calibri" w:cs="Times New Roman"/>
                <w:sz w:val="20"/>
                <w:szCs w:val="20"/>
              </w:rPr>
            </w:pPr>
            <w:r w:rsidRPr="00841E19">
              <w:rPr>
                <w:rFonts w:eastAsia="Calibri" w:cs="Times New Roman"/>
                <w:sz w:val="20"/>
                <w:szCs w:val="20"/>
              </w:rPr>
              <w:t>November 3, 2014</w:t>
            </w:r>
          </w:p>
          <w:p w:rsidR="00017F43" w:rsidRPr="00841E19" w:rsidRDefault="00017F43" w:rsidP="00102938">
            <w:pPr>
              <w:jc w:val="both"/>
              <w:rPr>
                <w:rFonts w:eastAsia="Calibri" w:cs="Times New Roman"/>
                <w:sz w:val="20"/>
                <w:szCs w:val="20"/>
              </w:rPr>
            </w:pPr>
            <w:r w:rsidRPr="00841E19">
              <w:rPr>
                <w:rFonts w:eastAsia="Calibri" w:cs="Times New Roman"/>
                <w:sz w:val="20"/>
                <w:szCs w:val="20"/>
              </w:rPr>
              <w:t>Quebec Court of Appeal (Montréal)</w:t>
            </w:r>
          </w:p>
          <w:p w:rsidR="00017F43" w:rsidRPr="00841E19" w:rsidRDefault="00017F43" w:rsidP="00102938">
            <w:pPr>
              <w:jc w:val="both"/>
              <w:rPr>
                <w:rFonts w:eastAsia="Calibri" w:cs="Times New Roman"/>
                <w:sz w:val="20"/>
                <w:szCs w:val="20"/>
              </w:rPr>
            </w:pPr>
            <w:r w:rsidRPr="00841E19">
              <w:rPr>
                <w:rFonts w:eastAsia="Calibri" w:cs="Times New Roman"/>
                <w:sz w:val="20"/>
                <w:szCs w:val="20"/>
              </w:rPr>
              <w:t>(Doyon, St-Pierre and Schrager JJ.A.)</w:t>
            </w:r>
          </w:p>
          <w:p w:rsidR="00017F43" w:rsidRPr="00841E19" w:rsidRDefault="00417673" w:rsidP="00102938">
            <w:pPr>
              <w:jc w:val="both"/>
              <w:rPr>
                <w:rFonts w:eastAsia="Calibri" w:cs="Times New Roman"/>
                <w:sz w:val="20"/>
                <w:szCs w:val="20"/>
              </w:rPr>
            </w:pPr>
            <w:hyperlink r:id="rId70" w:history="1">
              <w:r w:rsidR="00017F43" w:rsidRPr="00841E19">
                <w:rPr>
                  <w:rFonts w:eastAsia="Calibri" w:cs="Times New Roman"/>
                  <w:color w:val="0000FF"/>
                  <w:sz w:val="20"/>
                  <w:szCs w:val="20"/>
                  <w:u w:val="single"/>
                </w:rPr>
                <w:t>2014 QCCA 2052</w:t>
              </w:r>
            </w:hyperlink>
          </w:p>
          <w:p w:rsidR="00017F43" w:rsidRPr="00841E19" w:rsidRDefault="00017F43" w:rsidP="00102938">
            <w:pPr>
              <w:jc w:val="both"/>
              <w:rPr>
                <w:rFonts w:eastAsia="Calibri" w:cs="Times New Roman"/>
                <w:sz w:val="20"/>
                <w:szCs w:val="20"/>
              </w:rPr>
            </w:pPr>
          </w:p>
        </w:tc>
        <w:tc>
          <w:tcPr>
            <w:tcW w:w="243" w:type="pct"/>
          </w:tcPr>
          <w:p w:rsidR="00017F43" w:rsidRPr="00841E19" w:rsidRDefault="00017F43" w:rsidP="00102938">
            <w:pPr>
              <w:jc w:val="both"/>
              <w:rPr>
                <w:rFonts w:eastAsia="Calibri" w:cs="Times New Roman"/>
                <w:sz w:val="20"/>
                <w:szCs w:val="20"/>
              </w:rPr>
            </w:pPr>
          </w:p>
        </w:tc>
        <w:tc>
          <w:tcPr>
            <w:tcW w:w="2330" w:type="pct"/>
          </w:tcPr>
          <w:p w:rsidR="00017F43" w:rsidRPr="00841E19" w:rsidRDefault="00017F43" w:rsidP="00102938">
            <w:pPr>
              <w:jc w:val="both"/>
              <w:rPr>
                <w:rFonts w:eastAsia="Calibri" w:cs="Times New Roman"/>
                <w:sz w:val="20"/>
                <w:szCs w:val="20"/>
              </w:rPr>
            </w:pPr>
            <w:r w:rsidRPr="00841E19">
              <w:rPr>
                <w:rFonts w:eastAsia="Calibri" w:cs="Times New Roman"/>
                <w:sz w:val="20"/>
                <w:szCs w:val="20"/>
              </w:rPr>
              <w:t>Motions to dismiss appeal allowed; appeal dismissed</w:t>
            </w:r>
          </w:p>
          <w:p w:rsidR="00017F43" w:rsidRPr="00841E19" w:rsidRDefault="00017F43" w:rsidP="00102938">
            <w:pPr>
              <w:jc w:val="both"/>
              <w:rPr>
                <w:rFonts w:eastAsia="Calibri" w:cs="Times New Roman"/>
                <w:sz w:val="20"/>
                <w:szCs w:val="20"/>
              </w:rPr>
            </w:pPr>
          </w:p>
        </w:tc>
      </w:tr>
      <w:tr w:rsidR="00017F43" w:rsidRPr="00841E19" w:rsidTr="00102938">
        <w:tc>
          <w:tcPr>
            <w:tcW w:w="2427" w:type="pct"/>
          </w:tcPr>
          <w:p w:rsidR="00017F43" w:rsidRPr="00841E19" w:rsidRDefault="00017F43" w:rsidP="00102938">
            <w:pPr>
              <w:jc w:val="both"/>
              <w:rPr>
                <w:rFonts w:eastAsia="Calibri" w:cs="Times New Roman"/>
                <w:sz w:val="20"/>
                <w:szCs w:val="20"/>
              </w:rPr>
            </w:pPr>
            <w:r w:rsidRPr="00841E19">
              <w:rPr>
                <w:rFonts w:eastAsia="Calibri" w:cs="Times New Roman"/>
                <w:sz w:val="20"/>
                <w:szCs w:val="20"/>
              </w:rPr>
              <w:t>December 31, 2014</w:t>
            </w:r>
          </w:p>
          <w:p w:rsidR="00017F43" w:rsidRPr="00841E19" w:rsidRDefault="00017F43" w:rsidP="00102938">
            <w:pPr>
              <w:jc w:val="both"/>
              <w:rPr>
                <w:rFonts w:eastAsia="Calibri" w:cs="Times New Roman"/>
                <w:sz w:val="20"/>
                <w:szCs w:val="20"/>
              </w:rPr>
            </w:pPr>
            <w:r w:rsidRPr="00841E19">
              <w:rPr>
                <w:rFonts w:eastAsia="Calibri" w:cs="Times New Roman"/>
                <w:sz w:val="20"/>
                <w:szCs w:val="20"/>
              </w:rPr>
              <w:t>Supreme Court of Canada</w:t>
            </w:r>
          </w:p>
        </w:tc>
        <w:tc>
          <w:tcPr>
            <w:tcW w:w="243" w:type="pct"/>
          </w:tcPr>
          <w:p w:rsidR="00017F43" w:rsidRPr="00841E19" w:rsidRDefault="00017F43" w:rsidP="00102938">
            <w:pPr>
              <w:jc w:val="both"/>
              <w:rPr>
                <w:rFonts w:eastAsia="Calibri" w:cs="Times New Roman"/>
                <w:sz w:val="20"/>
                <w:szCs w:val="20"/>
              </w:rPr>
            </w:pPr>
          </w:p>
        </w:tc>
        <w:tc>
          <w:tcPr>
            <w:tcW w:w="2330" w:type="pct"/>
          </w:tcPr>
          <w:p w:rsidR="00017F43" w:rsidRPr="00841E19" w:rsidRDefault="00017F43" w:rsidP="00102938">
            <w:pPr>
              <w:jc w:val="both"/>
              <w:rPr>
                <w:rFonts w:eastAsia="Calibri" w:cs="Times New Roman"/>
                <w:sz w:val="20"/>
                <w:szCs w:val="20"/>
              </w:rPr>
            </w:pPr>
            <w:r w:rsidRPr="00841E19">
              <w:rPr>
                <w:rFonts w:eastAsia="Calibri" w:cs="Times New Roman"/>
                <w:sz w:val="20"/>
                <w:szCs w:val="20"/>
              </w:rPr>
              <w:t>Application for leave to appeal filed</w:t>
            </w:r>
          </w:p>
        </w:tc>
      </w:tr>
    </w:tbl>
    <w:p w:rsidR="00017F43" w:rsidRPr="00204D62" w:rsidRDefault="00017F43" w:rsidP="00017F43">
      <w:pPr>
        <w:rPr>
          <w:sz w:val="20"/>
          <w:szCs w:val="20"/>
          <w:lang w:val="en-US"/>
        </w:rPr>
      </w:pPr>
    </w:p>
    <w:p w:rsidR="00017F43" w:rsidRPr="00C50A5C" w:rsidRDefault="00417673" w:rsidP="00017F43">
      <w:pPr>
        <w:rPr>
          <w:sz w:val="20"/>
          <w:szCs w:val="20"/>
        </w:rPr>
      </w:pPr>
      <w:r>
        <w:rPr>
          <w:sz w:val="20"/>
          <w:szCs w:val="20"/>
          <w:lang w:val="fr-CA"/>
        </w:rPr>
        <w:pict>
          <v:rect id="_x0000_i1068" style="width:2in;height:1pt" o:hrpct="0" o:hralign="center" o:hrstd="t" o:hrnoshade="t" o:hr="t" fillcolor="black [3213]" stroked="f"/>
        </w:pict>
      </w:r>
    </w:p>
    <w:p w:rsidR="00017F43" w:rsidRDefault="00017F43" w:rsidP="00017F43">
      <w:pPr>
        <w:rPr>
          <w:sz w:val="20"/>
          <w:szCs w:val="20"/>
        </w:rPr>
      </w:pPr>
    </w:p>
    <w:p w:rsidR="00017F43" w:rsidRPr="001B157C" w:rsidRDefault="00017F43" w:rsidP="00017F43">
      <w:pPr>
        <w:rPr>
          <w:sz w:val="20"/>
          <w:szCs w:val="20"/>
          <w:u w:val="single"/>
          <w:lang w:val="fr-CA"/>
        </w:rPr>
      </w:pPr>
      <w:r w:rsidRPr="001B157C">
        <w:rPr>
          <w:sz w:val="20"/>
          <w:szCs w:val="20"/>
          <w:u w:val="single"/>
          <w:lang w:val="fr-CA"/>
        </w:rPr>
        <w:t>RÉSUMÉ DE L’AFFAIRE</w:t>
      </w:r>
    </w:p>
    <w:p w:rsidR="00017F43" w:rsidRDefault="00017F43" w:rsidP="00017F4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17F43" w:rsidRPr="00584913" w:rsidTr="00102938">
        <w:tc>
          <w:tcPr>
            <w:tcW w:w="5000" w:type="pct"/>
            <w:gridSpan w:val="3"/>
          </w:tcPr>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 xml:space="preserve">Procédure civile – Recours collectifs – Intérêt pour agir – Les contribuables peuvent-ils agir en justice pour récupérer des sommes détournées à leur municipalité par des pratiques collusionnaires? – Les contribuables peuvent-ils être assimilés à des acheteurs indirects au sens de l’arrêt </w:t>
            </w:r>
            <w:r w:rsidRPr="00841E19">
              <w:rPr>
                <w:rFonts w:eastAsia="Calibri" w:cs="Times New Roman"/>
                <w:i/>
                <w:sz w:val="20"/>
                <w:szCs w:val="20"/>
                <w:lang w:val="fr-CA"/>
              </w:rPr>
              <w:t xml:space="preserve">Infineon Technologies AG </w:t>
            </w:r>
            <w:r w:rsidRPr="00841E19">
              <w:rPr>
                <w:rFonts w:eastAsia="Calibri" w:cs="Times New Roman"/>
                <w:i/>
                <w:iCs/>
                <w:sz w:val="20"/>
                <w:szCs w:val="20"/>
                <w:lang w:val="fr-CA"/>
              </w:rPr>
              <w:t>c.</w:t>
            </w:r>
            <w:r w:rsidRPr="00841E19">
              <w:rPr>
                <w:rFonts w:eastAsia="Calibri" w:cs="Times New Roman"/>
                <w:i/>
                <w:sz w:val="20"/>
                <w:szCs w:val="20"/>
                <w:lang w:val="fr-CA"/>
              </w:rPr>
              <w:t xml:space="preserve"> Option consommateurs</w:t>
            </w:r>
            <w:r w:rsidRPr="00841E19">
              <w:rPr>
                <w:rFonts w:eastAsia="Calibri" w:cs="Times New Roman"/>
                <w:sz w:val="20"/>
                <w:szCs w:val="20"/>
                <w:lang w:val="fr-CA"/>
              </w:rPr>
              <w:t xml:space="preserve">, 2013 CSC 59, [2013] 3 R.C.S. 600 – Les contribuables disposent-ils de l’intérêt suffisant pour agir lorsque des élus ou dirigeants de leur municipalité ont participé à ces pratiques collusionnaires? – </w:t>
            </w:r>
            <w:r w:rsidRPr="00841E19">
              <w:rPr>
                <w:rFonts w:eastAsia="Calibri" w:cs="Times New Roman"/>
                <w:i/>
                <w:sz w:val="20"/>
                <w:szCs w:val="20"/>
                <w:lang w:val="fr-CA"/>
              </w:rPr>
              <w:t>Code de procédure civile</w:t>
            </w:r>
            <w:r w:rsidRPr="00841E19">
              <w:rPr>
                <w:rFonts w:eastAsia="Calibri" w:cs="Times New Roman"/>
                <w:sz w:val="20"/>
                <w:szCs w:val="20"/>
                <w:lang w:val="fr-CA"/>
              </w:rPr>
              <w:t>, RLRQ c. C-25, art. 55, 1003b).</w:t>
            </w:r>
          </w:p>
        </w:tc>
      </w:tr>
      <w:tr w:rsidR="00017F43" w:rsidRPr="00584913" w:rsidTr="00102938">
        <w:tc>
          <w:tcPr>
            <w:tcW w:w="5000" w:type="pct"/>
            <w:gridSpan w:val="3"/>
          </w:tcPr>
          <w:p w:rsidR="00017F43" w:rsidRPr="00841E19" w:rsidRDefault="00017F43" w:rsidP="00102938">
            <w:pPr>
              <w:jc w:val="both"/>
              <w:rPr>
                <w:rFonts w:eastAsia="Calibri" w:cs="Times New Roman"/>
                <w:sz w:val="20"/>
                <w:szCs w:val="20"/>
                <w:lang w:val="fr-CA"/>
              </w:rPr>
            </w:pPr>
          </w:p>
        </w:tc>
      </w:tr>
      <w:tr w:rsidR="00017F43" w:rsidRPr="00584913" w:rsidTr="00102938">
        <w:tc>
          <w:tcPr>
            <w:tcW w:w="5000" w:type="pct"/>
            <w:gridSpan w:val="3"/>
          </w:tcPr>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Monsieur Charest, demandeur, est un contribuable de la Ville de Montréal.  Les intimés sont des firmes de génie-conseil et des dirigeants de ces firmes.  Monsieur Charest demande l’autorisation pour exercer un recours collectif contre les intimés.  Il réclame des dommages-intérêts compensatoires et punitifs.  La requête en autorisation allègue que les intimés ont participé à un système collusionnaire de partage de contrats octroyés par la Ville et que les dirigeants ont participé, supervisé, coordonné et/ou ratifié pour leur entreprise des pratiques collusionnaires et anticoncurrentielles.  Monsieur Charest entend représenter un groupe qu’il définit comme étant « toutes les personnes physiques et morales, comptant 50 employés et moins depuis le 19 avril 2012, ayant payé entre le 1</w:t>
            </w:r>
            <w:r w:rsidRPr="00841E19">
              <w:rPr>
                <w:rFonts w:eastAsia="Calibri" w:cs="Times New Roman"/>
                <w:sz w:val="20"/>
                <w:szCs w:val="20"/>
                <w:vertAlign w:val="superscript"/>
                <w:lang w:val="fr-CA"/>
              </w:rPr>
              <w:t>er</w:t>
            </w:r>
            <w:r w:rsidRPr="00841E19">
              <w:rPr>
                <w:rFonts w:eastAsia="Calibri" w:cs="Times New Roman"/>
                <w:sz w:val="20"/>
                <w:szCs w:val="20"/>
                <w:lang w:val="fr-CA"/>
              </w:rPr>
              <w:t> janvier 1998 et le 31 décembre 2010 une somme à titre d’impôts fonciers et/ou de taxes municipales à la Ville de Montréal et ayant été bénéficiaires de ses services ».  La Cour supérieure a rejeté la requête en autorisation.  La Cour d’appel a accueilli les requêtes des intimés en rejet d’appel et a rejeté l’appel.</w:t>
            </w:r>
          </w:p>
          <w:p w:rsidR="00017F43" w:rsidRPr="00841E19" w:rsidRDefault="00017F43" w:rsidP="00102938">
            <w:pPr>
              <w:jc w:val="both"/>
              <w:rPr>
                <w:rFonts w:eastAsia="Calibri" w:cs="Times New Roman"/>
                <w:sz w:val="20"/>
                <w:szCs w:val="20"/>
                <w:lang w:val="fr-CA"/>
              </w:rPr>
            </w:pPr>
          </w:p>
        </w:tc>
      </w:tr>
      <w:tr w:rsidR="00017F43" w:rsidRPr="00584913" w:rsidTr="00102938">
        <w:tc>
          <w:tcPr>
            <w:tcW w:w="2427" w:type="pct"/>
          </w:tcPr>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Le 6 mai 2014</w:t>
            </w:r>
          </w:p>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Cour supérieure du Québec</w:t>
            </w:r>
          </w:p>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(Le juge Lacoursière)</w:t>
            </w:r>
          </w:p>
          <w:p w:rsidR="00017F43" w:rsidRPr="00841E19" w:rsidRDefault="00417673" w:rsidP="00102938">
            <w:pPr>
              <w:jc w:val="both"/>
              <w:rPr>
                <w:rFonts w:eastAsia="Calibri" w:cs="Times New Roman"/>
                <w:sz w:val="20"/>
                <w:szCs w:val="20"/>
                <w:lang w:val="fr-CA"/>
              </w:rPr>
            </w:pPr>
            <w:hyperlink r:id="rId71" w:history="1">
              <w:r w:rsidR="00017F43" w:rsidRPr="00841E19">
                <w:rPr>
                  <w:rFonts w:eastAsia="Calibri" w:cs="Times New Roman"/>
                  <w:color w:val="0000FF"/>
                  <w:sz w:val="20"/>
                  <w:szCs w:val="20"/>
                  <w:u w:val="single"/>
                  <w:lang w:val="fr-CA"/>
                </w:rPr>
                <w:t>2014 QCCS 1891</w:t>
              </w:r>
            </w:hyperlink>
          </w:p>
          <w:p w:rsidR="00017F43" w:rsidRPr="00841E19" w:rsidRDefault="00017F43" w:rsidP="00102938">
            <w:pPr>
              <w:jc w:val="both"/>
              <w:rPr>
                <w:rFonts w:eastAsia="Calibri" w:cs="Times New Roman"/>
                <w:sz w:val="20"/>
                <w:szCs w:val="20"/>
                <w:lang w:val="en-US"/>
              </w:rPr>
            </w:pPr>
          </w:p>
        </w:tc>
        <w:tc>
          <w:tcPr>
            <w:tcW w:w="243" w:type="pct"/>
          </w:tcPr>
          <w:p w:rsidR="00017F43" w:rsidRPr="00841E19" w:rsidRDefault="00017F43" w:rsidP="00102938">
            <w:pPr>
              <w:jc w:val="both"/>
              <w:rPr>
                <w:rFonts w:eastAsia="Calibri" w:cs="Times New Roman"/>
                <w:sz w:val="20"/>
                <w:szCs w:val="20"/>
                <w:lang w:val="en-US"/>
              </w:rPr>
            </w:pPr>
          </w:p>
        </w:tc>
        <w:tc>
          <w:tcPr>
            <w:tcW w:w="2330" w:type="pct"/>
          </w:tcPr>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Requête en autorisation d’exercer un recours collectif rejetée</w:t>
            </w:r>
          </w:p>
          <w:p w:rsidR="00017F43" w:rsidRPr="00841E19" w:rsidRDefault="00017F43" w:rsidP="00102938">
            <w:pPr>
              <w:jc w:val="both"/>
              <w:rPr>
                <w:rFonts w:eastAsia="Calibri" w:cs="Times New Roman"/>
                <w:sz w:val="20"/>
                <w:szCs w:val="20"/>
                <w:lang w:val="fr-CA"/>
              </w:rPr>
            </w:pPr>
          </w:p>
        </w:tc>
      </w:tr>
      <w:tr w:rsidR="00017F43" w:rsidRPr="00584913" w:rsidTr="00102938">
        <w:tc>
          <w:tcPr>
            <w:tcW w:w="2427" w:type="pct"/>
          </w:tcPr>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Le 3 novembre 2014</w:t>
            </w:r>
          </w:p>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Cour d’appel du Québec (Montréal)</w:t>
            </w:r>
          </w:p>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(Les juges Doyon, St-Pierre et Schrager)</w:t>
            </w:r>
          </w:p>
          <w:p w:rsidR="00017F43" w:rsidRPr="00841E19" w:rsidRDefault="00417673" w:rsidP="00102938">
            <w:pPr>
              <w:jc w:val="both"/>
              <w:rPr>
                <w:rFonts w:eastAsia="Calibri" w:cs="Times New Roman"/>
                <w:sz w:val="20"/>
                <w:szCs w:val="20"/>
                <w:lang w:val="fr-CA"/>
              </w:rPr>
            </w:pPr>
            <w:hyperlink r:id="rId72" w:history="1">
              <w:r w:rsidR="00017F43" w:rsidRPr="00841E19">
                <w:rPr>
                  <w:rFonts w:eastAsia="Calibri" w:cs="Times New Roman"/>
                  <w:color w:val="0000FF"/>
                  <w:sz w:val="20"/>
                  <w:szCs w:val="20"/>
                  <w:u w:val="single"/>
                  <w:lang w:val="fr-CA"/>
                </w:rPr>
                <w:t>2014 QCCA 2052</w:t>
              </w:r>
            </w:hyperlink>
          </w:p>
          <w:p w:rsidR="00017F43" w:rsidRPr="00841E19" w:rsidRDefault="00017F43" w:rsidP="00102938">
            <w:pPr>
              <w:jc w:val="both"/>
              <w:rPr>
                <w:rFonts w:eastAsia="Calibri" w:cs="Times New Roman"/>
                <w:sz w:val="20"/>
                <w:szCs w:val="20"/>
                <w:lang w:val="fr-CA"/>
              </w:rPr>
            </w:pPr>
          </w:p>
        </w:tc>
        <w:tc>
          <w:tcPr>
            <w:tcW w:w="243" w:type="pct"/>
          </w:tcPr>
          <w:p w:rsidR="00017F43" w:rsidRPr="00841E19" w:rsidRDefault="00017F43" w:rsidP="00102938">
            <w:pPr>
              <w:jc w:val="both"/>
              <w:rPr>
                <w:rFonts w:eastAsia="Calibri" w:cs="Times New Roman"/>
                <w:sz w:val="20"/>
                <w:szCs w:val="20"/>
                <w:lang w:val="fr-CA"/>
              </w:rPr>
            </w:pPr>
          </w:p>
        </w:tc>
        <w:tc>
          <w:tcPr>
            <w:tcW w:w="2330" w:type="pct"/>
          </w:tcPr>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Requêtes en rejet d’appel accueillies; appel rejeté</w:t>
            </w:r>
          </w:p>
          <w:p w:rsidR="00017F43" w:rsidRPr="00841E19" w:rsidRDefault="00017F43" w:rsidP="00102938">
            <w:pPr>
              <w:jc w:val="both"/>
              <w:rPr>
                <w:rFonts w:eastAsia="Calibri" w:cs="Times New Roman"/>
                <w:sz w:val="20"/>
                <w:szCs w:val="20"/>
                <w:lang w:val="fr-CA"/>
              </w:rPr>
            </w:pPr>
          </w:p>
        </w:tc>
      </w:tr>
      <w:tr w:rsidR="00017F43" w:rsidRPr="00841E19" w:rsidTr="00102938">
        <w:tc>
          <w:tcPr>
            <w:tcW w:w="2427" w:type="pct"/>
          </w:tcPr>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Le 31 décembre 2014</w:t>
            </w:r>
          </w:p>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Cour suprême du Canada</w:t>
            </w:r>
          </w:p>
        </w:tc>
        <w:tc>
          <w:tcPr>
            <w:tcW w:w="243" w:type="pct"/>
          </w:tcPr>
          <w:p w:rsidR="00017F43" w:rsidRPr="00841E19" w:rsidRDefault="00017F43" w:rsidP="00102938">
            <w:pPr>
              <w:jc w:val="both"/>
              <w:rPr>
                <w:rFonts w:eastAsia="Calibri" w:cs="Times New Roman"/>
                <w:sz w:val="20"/>
                <w:szCs w:val="20"/>
                <w:lang w:val="fr-CA"/>
              </w:rPr>
            </w:pPr>
          </w:p>
        </w:tc>
        <w:tc>
          <w:tcPr>
            <w:tcW w:w="2330" w:type="pct"/>
          </w:tcPr>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Demande d’autorisation d’appel déposée</w:t>
            </w:r>
          </w:p>
        </w:tc>
      </w:tr>
    </w:tbl>
    <w:p w:rsidR="00017F43" w:rsidRPr="00841E19" w:rsidRDefault="00017F43" w:rsidP="00017F43">
      <w:pPr>
        <w:jc w:val="both"/>
        <w:rPr>
          <w:rFonts w:eastAsia="Calibri" w:cs="Times New Roman"/>
          <w:sz w:val="20"/>
          <w:szCs w:val="20"/>
        </w:rPr>
      </w:pPr>
    </w:p>
    <w:p w:rsidR="00017F43" w:rsidRPr="00C50A5C" w:rsidRDefault="00417673" w:rsidP="00017F43">
      <w:pPr>
        <w:rPr>
          <w:sz w:val="20"/>
          <w:szCs w:val="20"/>
        </w:rPr>
      </w:pPr>
      <w:r>
        <w:rPr>
          <w:sz w:val="20"/>
          <w:szCs w:val="20"/>
          <w:lang w:val="fr-CA"/>
        </w:rPr>
        <w:pict>
          <v:rect id="_x0000_i1069" style="width:2in;height:1pt" o:hrpct="0" o:hralign="center" o:hrstd="t" o:hrnoshade="t" o:hr="t" fillcolor="black [3213]" stroked="f"/>
        </w:pict>
      </w:r>
    </w:p>
    <w:p w:rsidR="00017F43" w:rsidRPr="00017F43" w:rsidRDefault="00017F43" w:rsidP="00017F43">
      <w:pPr>
        <w:rPr>
          <w:sz w:val="20"/>
          <w:szCs w:val="24"/>
        </w:rPr>
      </w:pPr>
    </w:p>
    <w:tbl>
      <w:tblPr>
        <w:tblStyle w:val="TableGrid1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17F43" w:rsidRPr="00017F43" w:rsidTr="00102938">
        <w:trPr>
          <w:cantSplit/>
        </w:trPr>
        <w:tc>
          <w:tcPr>
            <w:tcW w:w="1458" w:type="dxa"/>
          </w:tcPr>
          <w:p w:rsidR="00017F43" w:rsidRPr="00017F43" w:rsidRDefault="00017F43" w:rsidP="00017F43">
            <w:pPr>
              <w:jc w:val="both"/>
              <w:rPr>
                <w:sz w:val="20"/>
              </w:rPr>
            </w:pPr>
            <w:r w:rsidRPr="00017F43">
              <w:rPr>
                <w:b/>
                <w:sz w:val="20"/>
                <w:lang w:val="fr-CA"/>
              </w:rPr>
              <w:t>36241</w:t>
            </w:r>
          </w:p>
          <w:p w:rsidR="00017F43" w:rsidRPr="00017F43" w:rsidRDefault="00017F43" w:rsidP="00017F43">
            <w:pPr>
              <w:jc w:val="both"/>
              <w:rPr>
                <w:b/>
                <w:sz w:val="20"/>
                <w:lang w:val="fr-CA"/>
              </w:rPr>
            </w:pPr>
          </w:p>
        </w:tc>
        <w:tc>
          <w:tcPr>
            <w:tcW w:w="8118" w:type="dxa"/>
          </w:tcPr>
          <w:p w:rsidR="00017F43" w:rsidRPr="00017F43" w:rsidRDefault="00017F43" w:rsidP="00017F43">
            <w:pPr>
              <w:jc w:val="both"/>
              <w:rPr>
                <w:sz w:val="20"/>
              </w:rPr>
            </w:pPr>
            <w:r w:rsidRPr="00017F43">
              <w:rPr>
                <w:b/>
                <w:sz w:val="20"/>
                <w:u w:val="single"/>
                <w:lang w:val="en-US"/>
              </w:rPr>
              <w:t>Behzad Najafi v. Minister of Public Safety and Emergency Preparedness</w:t>
            </w:r>
            <w:r w:rsidRPr="00017F43">
              <w:rPr>
                <w:sz w:val="20"/>
              </w:rPr>
              <w:t xml:space="preserve"> (F</w:t>
            </w:r>
            <w:r w:rsidR="00A1636E">
              <w:rPr>
                <w:sz w:val="20"/>
              </w:rPr>
              <w:t>.</w:t>
            </w:r>
            <w:r w:rsidRPr="00017F43">
              <w:rPr>
                <w:sz w:val="20"/>
              </w:rPr>
              <w:t>C</w:t>
            </w:r>
            <w:r w:rsidR="00A1636E">
              <w:rPr>
                <w:sz w:val="20"/>
              </w:rPr>
              <w:t>.</w:t>
            </w:r>
            <w:r w:rsidRPr="00017F43">
              <w:rPr>
                <w:sz w:val="20"/>
              </w:rPr>
              <w:t>) (Civil) (By</w:t>
            </w:r>
            <w:r w:rsidR="00A1636E">
              <w:rPr>
                <w:sz w:val="20"/>
              </w:rPr>
              <w:t> </w:t>
            </w:r>
            <w:r w:rsidRPr="00017F43">
              <w:rPr>
                <w:sz w:val="20"/>
              </w:rPr>
              <w:t>Leave)</w:t>
            </w:r>
          </w:p>
          <w:p w:rsidR="00017F43" w:rsidRPr="00017F43" w:rsidRDefault="00017F43" w:rsidP="00017F43">
            <w:pPr>
              <w:jc w:val="both"/>
              <w:rPr>
                <w:sz w:val="20"/>
              </w:rPr>
            </w:pPr>
          </w:p>
        </w:tc>
      </w:tr>
      <w:tr w:rsidR="00017F43" w:rsidRPr="00017F43" w:rsidTr="00102938">
        <w:trPr>
          <w:cantSplit/>
        </w:trPr>
        <w:tc>
          <w:tcPr>
            <w:tcW w:w="1458" w:type="dxa"/>
          </w:tcPr>
          <w:p w:rsidR="00017F43" w:rsidRPr="00017F43" w:rsidRDefault="00017F43" w:rsidP="00017F43">
            <w:pPr>
              <w:jc w:val="both"/>
              <w:rPr>
                <w:sz w:val="20"/>
              </w:rPr>
            </w:pPr>
            <w:r w:rsidRPr="00017F43">
              <w:rPr>
                <w:sz w:val="20"/>
              </w:rPr>
              <w:t>Coram :</w:t>
            </w:r>
          </w:p>
        </w:tc>
        <w:tc>
          <w:tcPr>
            <w:tcW w:w="8118" w:type="dxa"/>
          </w:tcPr>
          <w:p w:rsidR="00017F43" w:rsidRPr="00017F43" w:rsidRDefault="00017F43" w:rsidP="00017F43">
            <w:pPr>
              <w:jc w:val="both"/>
              <w:rPr>
                <w:sz w:val="20"/>
              </w:rPr>
            </w:pPr>
            <w:r w:rsidRPr="00017F43">
              <w:rPr>
                <w:sz w:val="20"/>
                <w:u w:val="single"/>
                <w:lang w:val="en-US"/>
              </w:rPr>
              <w:t>Rothstein, Cromwell and Moldaver JJ.</w:t>
            </w:r>
          </w:p>
          <w:p w:rsidR="00017F43" w:rsidRPr="00017F43" w:rsidRDefault="00017F43" w:rsidP="00017F43">
            <w:pPr>
              <w:jc w:val="both"/>
              <w:rPr>
                <w:sz w:val="20"/>
                <w:u w:val="single"/>
              </w:rPr>
            </w:pPr>
          </w:p>
        </w:tc>
      </w:tr>
      <w:tr w:rsidR="00017F43" w:rsidRPr="00584913" w:rsidTr="00102938">
        <w:trPr>
          <w:cantSplit/>
        </w:trPr>
        <w:tc>
          <w:tcPr>
            <w:tcW w:w="9576" w:type="dxa"/>
            <w:gridSpan w:val="2"/>
          </w:tcPr>
          <w:p w:rsidR="00017F43" w:rsidRPr="00017F43" w:rsidRDefault="00017F43" w:rsidP="00017F43">
            <w:pPr>
              <w:ind w:firstLine="720"/>
              <w:jc w:val="both"/>
              <w:rPr>
                <w:sz w:val="20"/>
              </w:rPr>
            </w:pPr>
            <w:r w:rsidRPr="00017F43">
              <w:rPr>
                <w:sz w:val="20"/>
              </w:rPr>
              <w:t>The application for leave to appeal from the judgment of the Federal Court of Appeal, Number A-281-13, 2014 FCA 262, dated November 7, 2014, is dismissed.</w:t>
            </w:r>
          </w:p>
          <w:p w:rsidR="00017F43" w:rsidRPr="00017F43" w:rsidRDefault="00017F43" w:rsidP="00017F43">
            <w:pPr>
              <w:jc w:val="both"/>
              <w:rPr>
                <w:sz w:val="20"/>
              </w:rPr>
            </w:pPr>
          </w:p>
          <w:p w:rsidR="00017F43" w:rsidRPr="00017F43" w:rsidRDefault="00017F43" w:rsidP="00017F43">
            <w:pPr>
              <w:ind w:firstLine="720"/>
              <w:jc w:val="both"/>
              <w:rPr>
                <w:sz w:val="20"/>
                <w:lang w:val="fr-CA"/>
              </w:rPr>
            </w:pPr>
            <w:r w:rsidRPr="00017F43">
              <w:rPr>
                <w:sz w:val="20"/>
                <w:lang w:val="fr-CA"/>
              </w:rPr>
              <w:t>La demande d’autorisation d’appel de l’arrêt de la Cour d’appel fédérale, numéro A-281-13, 2014 CAF 262, daté du 7 novembre 2014, est rejetée.</w:t>
            </w:r>
          </w:p>
        </w:tc>
      </w:tr>
    </w:tbl>
    <w:p w:rsidR="00017F43" w:rsidRPr="0016547E" w:rsidRDefault="00017F43" w:rsidP="00017F43">
      <w:pPr>
        <w:rPr>
          <w:sz w:val="20"/>
          <w:szCs w:val="20"/>
          <w:lang w:val="fr-CA"/>
        </w:rPr>
      </w:pPr>
    </w:p>
    <w:p w:rsidR="00017F43" w:rsidRPr="001B157C" w:rsidRDefault="00017F43" w:rsidP="00017F43">
      <w:pPr>
        <w:rPr>
          <w:sz w:val="20"/>
          <w:szCs w:val="20"/>
          <w:u w:val="single"/>
        </w:rPr>
      </w:pPr>
      <w:r w:rsidRPr="001B157C">
        <w:rPr>
          <w:sz w:val="20"/>
          <w:szCs w:val="20"/>
          <w:u w:val="single"/>
        </w:rPr>
        <w:t>CASE SUMMARY</w:t>
      </w:r>
    </w:p>
    <w:p w:rsidR="00017F43" w:rsidRDefault="00017F43" w:rsidP="00017F4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17F43" w:rsidRPr="00841E19" w:rsidTr="00102938">
        <w:tc>
          <w:tcPr>
            <w:tcW w:w="5000" w:type="pct"/>
            <w:gridSpan w:val="3"/>
          </w:tcPr>
          <w:p w:rsidR="00017F43" w:rsidRPr="00841E19" w:rsidRDefault="00017F43" w:rsidP="00102938">
            <w:pPr>
              <w:jc w:val="both"/>
              <w:rPr>
                <w:rFonts w:eastAsia="Calibri" w:cs="Times New Roman"/>
                <w:sz w:val="20"/>
                <w:szCs w:val="20"/>
              </w:rPr>
            </w:pPr>
            <w:r w:rsidRPr="00841E19">
              <w:rPr>
                <w:rFonts w:eastAsia="Calibri" w:cs="Times New Roman"/>
                <w:i/>
                <w:sz w:val="20"/>
                <w:szCs w:val="20"/>
              </w:rPr>
              <w:t>Canadian Charter</w:t>
            </w:r>
            <w:r w:rsidRPr="00841E19">
              <w:rPr>
                <w:rFonts w:eastAsia="Calibri" w:cs="Times New Roman"/>
                <w:sz w:val="20"/>
                <w:szCs w:val="20"/>
              </w:rPr>
              <w:t xml:space="preserve"> — Freedom of Association — Immigration — Inadmissibility and exclusion — Security — </w:t>
            </w:r>
            <w:r w:rsidRPr="00841E19">
              <w:rPr>
                <w:rFonts w:eastAsia="Calibri" w:cs="Times New Roman"/>
                <w:sz w:val="20"/>
                <w:szCs w:val="20"/>
              </w:rPr>
              <w:lastRenderedPageBreak/>
              <w:t xml:space="preserve">Membership in organization that has engaged in subversion by force of any government — </w:t>
            </w:r>
            <w:r w:rsidRPr="00841E19">
              <w:rPr>
                <w:rFonts w:eastAsia="Calibri" w:cs="Times New Roman"/>
                <w:i/>
                <w:sz w:val="20"/>
                <w:szCs w:val="20"/>
              </w:rPr>
              <w:t>Immigration and Refugee Protection Act</w:t>
            </w:r>
            <w:r w:rsidRPr="00841E19">
              <w:rPr>
                <w:rFonts w:eastAsia="Calibri" w:cs="Times New Roman"/>
                <w:sz w:val="20"/>
                <w:szCs w:val="20"/>
              </w:rPr>
              <w:t>, S.C. 2001, c. 27, s. 34(l)(</w:t>
            </w:r>
            <w:r w:rsidRPr="00841E19">
              <w:rPr>
                <w:rFonts w:eastAsia="Calibri" w:cs="Times New Roman"/>
                <w:i/>
                <w:sz w:val="20"/>
                <w:szCs w:val="20"/>
              </w:rPr>
              <w:t>f</w:t>
            </w:r>
            <w:r w:rsidRPr="00841E19">
              <w:rPr>
                <w:rFonts w:eastAsia="Calibri" w:cs="Times New Roman"/>
                <w:sz w:val="20"/>
                <w:szCs w:val="20"/>
              </w:rPr>
              <w:t xml:space="preserve">) — Whether “organization” should be interpreted so as to  render inadmissible a person engaging in activity protected by the right to freedom of association as set out in s. 2(d) of the </w:t>
            </w:r>
            <w:r w:rsidRPr="00841E19">
              <w:rPr>
                <w:rFonts w:eastAsia="Calibri" w:cs="Times New Roman"/>
                <w:i/>
                <w:sz w:val="20"/>
                <w:szCs w:val="20"/>
              </w:rPr>
              <w:t>Charter</w:t>
            </w:r>
            <w:r w:rsidRPr="00841E19">
              <w:rPr>
                <w:rFonts w:eastAsia="Calibri" w:cs="Times New Roman"/>
                <w:sz w:val="20"/>
                <w:szCs w:val="20"/>
              </w:rPr>
              <w:t xml:space="preserve"> — Whether Canada’s international law obligations should be considered in interpreting the term “subversion” — Whether Canada’s international law obligations need to be considered in determining whether the term “subversion”, and s. 34(l)(b), is clear and unambiguous — Whether, in accordance with international law, “subversion” must be interpreted to exclude peoples using force in pursuit of the right to self-determination — Whether Canada can relegate decisions which impact upon compliance with the </w:t>
            </w:r>
            <w:r w:rsidRPr="00841E19">
              <w:rPr>
                <w:rFonts w:eastAsia="Calibri" w:cs="Times New Roman"/>
                <w:i/>
                <w:iCs/>
                <w:sz w:val="20"/>
                <w:szCs w:val="20"/>
              </w:rPr>
              <w:t xml:space="preserve">Charter </w:t>
            </w:r>
            <w:r w:rsidRPr="00841E19">
              <w:rPr>
                <w:rFonts w:eastAsia="Calibri" w:cs="Times New Roman"/>
                <w:sz w:val="20"/>
                <w:szCs w:val="20"/>
              </w:rPr>
              <w:t>and international law obligations to an application for ministerial relief.</w:t>
            </w:r>
          </w:p>
        </w:tc>
      </w:tr>
      <w:tr w:rsidR="00017F43" w:rsidRPr="00841E19" w:rsidTr="00102938">
        <w:tc>
          <w:tcPr>
            <w:tcW w:w="5000" w:type="pct"/>
            <w:gridSpan w:val="3"/>
          </w:tcPr>
          <w:p w:rsidR="00017F43" w:rsidRPr="00841E19" w:rsidRDefault="00017F43" w:rsidP="00102938">
            <w:pPr>
              <w:jc w:val="both"/>
              <w:rPr>
                <w:rFonts w:eastAsia="Calibri" w:cs="Times New Roman"/>
                <w:sz w:val="20"/>
                <w:szCs w:val="20"/>
              </w:rPr>
            </w:pPr>
          </w:p>
        </w:tc>
      </w:tr>
      <w:tr w:rsidR="00017F43" w:rsidRPr="00841E19" w:rsidTr="00102938">
        <w:tc>
          <w:tcPr>
            <w:tcW w:w="5000" w:type="pct"/>
            <w:gridSpan w:val="3"/>
          </w:tcPr>
          <w:p w:rsidR="00017F43" w:rsidRPr="00841E19" w:rsidRDefault="00017F43" w:rsidP="00102938">
            <w:pPr>
              <w:jc w:val="both"/>
              <w:rPr>
                <w:rFonts w:eastAsia="Calibri" w:cs="Times New Roman"/>
                <w:sz w:val="20"/>
                <w:szCs w:val="20"/>
              </w:rPr>
            </w:pPr>
            <w:r w:rsidRPr="00841E19">
              <w:rPr>
                <w:rFonts w:eastAsia="Calibri" w:cs="Times New Roman"/>
                <w:sz w:val="20"/>
                <w:szCs w:val="20"/>
              </w:rPr>
              <w:t xml:space="preserve">Mr. Najafi, a citizen of Iran of Kurdish ethnicity, arrived in Canada in 1999 and successfully claimed refugee status.  However, he has not received permanent resident status.  In March 2010, a report under s. 44(1) of the </w:t>
            </w:r>
            <w:r w:rsidRPr="00841E19">
              <w:rPr>
                <w:rFonts w:eastAsia="Calibri" w:cs="Times New Roman"/>
                <w:i/>
                <w:sz w:val="20"/>
                <w:szCs w:val="20"/>
              </w:rPr>
              <w:t>Immigration and Refugee Protection Act</w:t>
            </w:r>
            <w:r w:rsidRPr="00841E19">
              <w:rPr>
                <w:rFonts w:eastAsia="Calibri" w:cs="Times New Roman"/>
                <w:sz w:val="20"/>
                <w:szCs w:val="20"/>
              </w:rPr>
              <w:t>, S.C. 2001, c. 27, was issued concerning Mr. Najafi.  On March 2, 2011, it was referred to the Board to have Mr. Najafi declared inadmissible due to his involvement with the Kurdish Democratic Party of Iran (“KDPI”).  The Immigration and Refugee Board found that Mr. Najafi had been a member of an organization that there were reasonable grounds to believe had engaged in or instigated the subversion by force of a government.  Mr. Najafi’s was therefore inadmissible pursuant to s. 34(1)(</w:t>
            </w:r>
            <w:r w:rsidRPr="00841E19">
              <w:rPr>
                <w:rFonts w:eastAsia="Calibri" w:cs="Times New Roman"/>
                <w:i/>
                <w:sz w:val="20"/>
                <w:szCs w:val="20"/>
              </w:rPr>
              <w:t>b</w:t>
            </w:r>
            <w:r w:rsidRPr="00841E19">
              <w:rPr>
                <w:rFonts w:eastAsia="Calibri" w:cs="Times New Roman"/>
                <w:sz w:val="20"/>
                <w:szCs w:val="20"/>
              </w:rPr>
              <w:t>) and (</w:t>
            </w:r>
            <w:r w:rsidRPr="00841E19">
              <w:rPr>
                <w:rFonts w:eastAsia="Calibri" w:cs="Times New Roman"/>
                <w:i/>
                <w:sz w:val="20"/>
                <w:szCs w:val="20"/>
              </w:rPr>
              <w:t>f</w:t>
            </w:r>
            <w:r w:rsidRPr="00841E19">
              <w:rPr>
                <w:rFonts w:eastAsia="Calibri" w:cs="Times New Roman"/>
                <w:sz w:val="20"/>
                <w:szCs w:val="20"/>
              </w:rPr>
              <w:t>) of the IRPA.  Mr. Najafi’s application for judicial review was dismissed, but Gleason J stated a certified question.  The certified question was answered in the negative and the appeal was dismissed.</w:t>
            </w:r>
          </w:p>
          <w:p w:rsidR="00017F43" w:rsidRPr="00841E19" w:rsidRDefault="00017F43" w:rsidP="00102938">
            <w:pPr>
              <w:jc w:val="both"/>
              <w:rPr>
                <w:rFonts w:eastAsia="Calibri" w:cs="Times New Roman"/>
                <w:sz w:val="20"/>
                <w:szCs w:val="20"/>
              </w:rPr>
            </w:pPr>
          </w:p>
        </w:tc>
      </w:tr>
      <w:tr w:rsidR="00017F43" w:rsidRPr="00841E19" w:rsidTr="00102938">
        <w:tc>
          <w:tcPr>
            <w:tcW w:w="2427" w:type="pct"/>
          </w:tcPr>
          <w:p w:rsidR="00017F43" w:rsidRPr="00841E19" w:rsidRDefault="00017F43" w:rsidP="00102938">
            <w:pPr>
              <w:jc w:val="both"/>
              <w:rPr>
                <w:rFonts w:eastAsia="Calibri" w:cs="Times New Roman"/>
                <w:sz w:val="20"/>
                <w:szCs w:val="20"/>
              </w:rPr>
            </w:pPr>
            <w:r w:rsidRPr="00841E19">
              <w:rPr>
                <w:rFonts w:eastAsia="Calibri" w:cs="Times New Roman"/>
                <w:sz w:val="20"/>
                <w:szCs w:val="20"/>
              </w:rPr>
              <w:t>March 8, 2012</w:t>
            </w:r>
          </w:p>
          <w:p w:rsidR="00017F43" w:rsidRPr="00841E19" w:rsidRDefault="00017F43" w:rsidP="00102938">
            <w:pPr>
              <w:jc w:val="both"/>
              <w:rPr>
                <w:rFonts w:eastAsia="Calibri" w:cs="Times New Roman"/>
                <w:sz w:val="20"/>
                <w:szCs w:val="20"/>
              </w:rPr>
            </w:pPr>
            <w:r w:rsidRPr="00841E19">
              <w:rPr>
                <w:rFonts w:eastAsia="Calibri" w:cs="Times New Roman"/>
                <w:sz w:val="20"/>
                <w:szCs w:val="20"/>
              </w:rPr>
              <w:t>Immigration and Refugee Board</w:t>
            </w:r>
          </w:p>
          <w:p w:rsidR="00017F43" w:rsidRPr="00841E19" w:rsidRDefault="00017F43" w:rsidP="00102938">
            <w:pPr>
              <w:jc w:val="both"/>
              <w:rPr>
                <w:rFonts w:eastAsia="Calibri" w:cs="Times New Roman"/>
                <w:sz w:val="20"/>
                <w:szCs w:val="20"/>
              </w:rPr>
            </w:pPr>
            <w:r w:rsidRPr="00841E19">
              <w:rPr>
                <w:rFonts w:eastAsia="Calibri" w:cs="Times New Roman"/>
                <w:sz w:val="20"/>
                <w:szCs w:val="20"/>
              </w:rPr>
              <w:t>(Rempel, Geoff)</w:t>
            </w:r>
          </w:p>
          <w:p w:rsidR="00017F43" w:rsidRPr="00841E19" w:rsidRDefault="00017F43" w:rsidP="00102938">
            <w:pPr>
              <w:jc w:val="both"/>
              <w:rPr>
                <w:rFonts w:eastAsia="Calibri" w:cs="Times New Roman"/>
                <w:sz w:val="20"/>
                <w:szCs w:val="20"/>
              </w:rPr>
            </w:pPr>
            <w:r w:rsidRPr="00841E19">
              <w:rPr>
                <w:rFonts w:eastAsia="Calibri" w:cs="Times New Roman"/>
                <w:sz w:val="20"/>
                <w:szCs w:val="20"/>
              </w:rPr>
              <w:t>B1-00322</w:t>
            </w:r>
          </w:p>
          <w:p w:rsidR="00017F43" w:rsidRPr="00841E19" w:rsidRDefault="00017F43" w:rsidP="00102938">
            <w:pPr>
              <w:jc w:val="both"/>
              <w:rPr>
                <w:rFonts w:eastAsia="Calibri" w:cs="Times New Roman"/>
                <w:sz w:val="20"/>
                <w:szCs w:val="20"/>
              </w:rPr>
            </w:pPr>
          </w:p>
        </w:tc>
        <w:tc>
          <w:tcPr>
            <w:tcW w:w="243" w:type="pct"/>
          </w:tcPr>
          <w:p w:rsidR="00017F43" w:rsidRPr="00841E19" w:rsidRDefault="00017F43" w:rsidP="00102938">
            <w:pPr>
              <w:jc w:val="both"/>
              <w:rPr>
                <w:rFonts w:eastAsia="Calibri" w:cs="Times New Roman"/>
                <w:sz w:val="20"/>
                <w:szCs w:val="20"/>
              </w:rPr>
            </w:pPr>
          </w:p>
        </w:tc>
        <w:tc>
          <w:tcPr>
            <w:tcW w:w="2330" w:type="pct"/>
          </w:tcPr>
          <w:p w:rsidR="00017F43" w:rsidRPr="00841E19" w:rsidRDefault="00017F43" w:rsidP="00102938">
            <w:pPr>
              <w:jc w:val="both"/>
              <w:rPr>
                <w:rFonts w:eastAsia="Calibri" w:cs="Times New Roman"/>
                <w:sz w:val="20"/>
                <w:szCs w:val="20"/>
              </w:rPr>
            </w:pPr>
            <w:r w:rsidRPr="00841E19">
              <w:rPr>
                <w:rFonts w:eastAsia="Calibri" w:cs="Times New Roman"/>
                <w:sz w:val="20"/>
                <w:szCs w:val="20"/>
              </w:rPr>
              <w:t>Mr. Najafi found to be a member of an organization that there were reasonable grounds to believe had engaged in or instigated the subversion by force of a government; deportation order made</w:t>
            </w:r>
          </w:p>
          <w:p w:rsidR="00017F43" w:rsidRPr="00841E19" w:rsidRDefault="00017F43" w:rsidP="00102938">
            <w:pPr>
              <w:jc w:val="both"/>
              <w:rPr>
                <w:rFonts w:eastAsia="Calibri" w:cs="Times New Roman"/>
                <w:sz w:val="20"/>
                <w:szCs w:val="20"/>
              </w:rPr>
            </w:pPr>
          </w:p>
        </w:tc>
      </w:tr>
      <w:tr w:rsidR="00017F43" w:rsidRPr="00841E19" w:rsidTr="00102938">
        <w:tc>
          <w:tcPr>
            <w:tcW w:w="2427" w:type="pct"/>
          </w:tcPr>
          <w:p w:rsidR="00017F43" w:rsidRPr="00841E19" w:rsidRDefault="00017F43" w:rsidP="00102938">
            <w:pPr>
              <w:jc w:val="both"/>
              <w:rPr>
                <w:rFonts w:eastAsia="Calibri" w:cs="Times New Roman"/>
                <w:sz w:val="20"/>
                <w:szCs w:val="20"/>
              </w:rPr>
            </w:pPr>
            <w:r w:rsidRPr="00841E19">
              <w:rPr>
                <w:rFonts w:eastAsia="Calibri" w:cs="Times New Roman"/>
                <w:sz w:val="20"/>
                <w:szCs w:val="20"/>
              </w:rPr>
              <w:t>August 16, 2013</w:t>
            </w:r>
          </w:p>
          <w:p w:rsidR="00017F43" w:rsidRPr="00841E19" w:rsidRDefault="00017F43" w:rsidP="00102938">
            <w:pPr>
              <w:jc w:val="both"/>
              <w:rPr>
                <w:rFonts w:eastAsia="Calibri" w:cs="Times New Roman"/>
                <w:sz w:val="20"/>
                <w:szCs w:val="20"/>
              </w:rPr>
            </w:pPr>
            <w:r w:rsidRPr="00841E19">
              <w:rPr>
                <w:rFonts w:eastAsia="Calibri" w:cs="Times New Roman"/>
                <w:sz w:val="20"/>
                <w:szCs w:val="20"/>
              </w:rPr>
              <w:t>Federal Court</w:t>
            </w:r>
          </w:p>
          <w:p w:rsidR="00017F43" w:rsidRPr="00841E19" w:rsidRDefault="00017F43" w:rsidP="00102938">
            <w:pPr>
              <w:jc w:val="both"/>
              <w:rPr>
                <w:rFonts w:eastAsia="Calibri" w:cs="Times New Roman"/>
                <w:sz w:val="20"/>
                <w:szCs w:val="20"/>
              </w:rPr>
            </w:pPr>
            <w:r w:rsidRPr="00841E19">
              <w:rPr>
                <w:rFonts w:eastAsia="Calibri" w:cs="Times New Roman"/>
                <w:sz w:val="20"/>
                <w:szCs w:val="20"/>
              </w:rPr>
              <w:t>(Gleason J.)</w:t>
            </w:r>
          </w:p>
          <w:p w:rsidR="00017F43" w:rsidRPr="00841E19" w:rsidRDefault="00017F43" w:rsidP="00102938">
            <w:pPr>
              <w:jc w:val="both"/>
              <w:rPr>
                <w:rFonts w:eastAsia="Calibri" w:cs="Times New Roman"/>
                <w:sz w:val="20"/>
                <w:szCs w:val="20"/>
              </w:rPr>
            </w:pPr>
            <w:r w:rsidRPr="00841E19">
              <w:rPr>
                <w:rFonts w:eastAsia="Calibri" w:cs="Times New Roman"/>
                <w:sz w:val="20"/>
                <w:szCs w:val="20"/>
              </w:rPr>
              <w:t>2013 FC 876</w:t>
            </w:r>
          </w:p>
          <w:p w:rsidR="00017F43" w:rsidRPr="00841E19" w:rsidRDefault="00017F43" w:rsidP="00102938">
            <w:pPr>
              <w:jc w:val="both"/>
              <w:rPr>
                <w:rFonts w:eastAsia="Calibri" w:cs="Times New Roman"/>
                <w:sz w:val="20"/>
                <w:szCs w:val="20"/>
              </w:rPr>
            </w:pPr>
          </w:p>
        </w:tc>
        <w:tc>
          <w:tcPr>
            <w:tcW w:w="243" w:type="pct"/>
          </w:tcPr>
          <w:p w:rsidR="00017F43" w:rsidRPr="00841E19" w:rsidRDefault="00017F43" w:rsidP="00102938">
            <w:pPr>
              <w:jc w:val="both"/>
              <w:rPr>
                <w:rFonts w:eastAsia="Calibri" w:cs="Times New Roman"/>
                <w:sz w:val="20"/>
                <w:szCs w:val="20"/>
              </w:rPr>
            </w:pPr>
          </w:p>
        </w:tc>
        <w:tc>
          <w:tcPr>
            <w:tcW w:w="2330" w:type="pct"/>
          </w:tcPr>
          <w:p w:rsidR="00017F43" w:rsidRPr="00841E19" w:rsidRDefault="00017F43" w:rsidP="00102938">
            <w:pPr>
              <w:jc w:val="both"/>
              <w:rPr>
                <w:rFonts w:eastAsia="Calibri" w:cs="Times New Roman"/>
                <w:sz w:val="20"/>
                <w:szCs w:val="20"/>
              </w:rPr>
            </w:pPr>
            <w:r w:rsidRPr="00841E19">
              <w:rPr>
                <w:rFonts w:eastAsia="Calibri" w:cs="Times New Roman"/>
                <w:sz w:val="20"/>
                <w:szCs w:val="20"/>
              </w:rPr>
              <w:t>Motion for judicial review dismissed; certified question stated</w:t>
            </w:r>
          </w:p>
          <w:p w:rsidR="00017F43" w:rsidRPr="00841E19" w:rsidRDefault="00017F43" w:rsidP="00102938">
            <w:pPr>
              <w:jc w:val="both"/>
              <w:rPr>
                <w:rFonts w:eastAsia="Calibri" w:cs="Times New Roman"/>
                <w:sz w:val="20"/>
                <w:szCs w:val="20"/>
              </w:rPr>
            </w:pPr>
          </w:p>
        </w:tc>
      </w:tr>
      <w:tr w:rsidR="00017F43" w:rsidRPr="00841E19" w:rsidTr="00102938">
        <w:tc>
          <w:tcPr>
            <w:tcW w:w="2427" w:type="pct"/>
          </w:tcPr>
          <w:p w:rsidR="00017F43" w:rsidRPr="00841E19" w:rsidRDefault="00017F43" w:rsidP="00102938">
            <w:pPr>
              <w:jc w:val="both"/>
              <w:rPr>
                <w:rFonts w:eastAsia="Calibri" w:cs="Times New Roman"/>
                <w:sz w:val="20"/>
                <w:szCs w:val="20"/>
              </w:rPr>
            </w:pPr>
            <w:r w:rsidRPr="00841E19">
              <w:rPr>
                <w:rFonts w:eastAsia="Calibri" w:cs="Times New Roman"/>
                <w:sz w:val="20"/>
                <w:szCs w:val="20"/>
              </w:rPr>
              <w:t>November 7, 2014</w:t>
            </w:r>
          </w:p>
          <w:p w:rsidR="00017F43" w:rsidRPr="00841E19" w:rsidRDefault="00017F43" w:rsidP="00102938">
            <w:pPr>
              <w:jc w:val="both"/>
              <w:rPr>
                <w:rFonts w:eastAsia="Calibri" w:cs="Times New Roman"/>
                <w:sz w:val="20"/>
                <w:szCs w:val="20"/>
              </w:rPr>
            </w:pPr>
            <w:r w:rsidRPr="00841E19">
              <w:rPr>
                <w:rFonts w:eastAsia="Calibri" w:cs="Times New Roman"/>
                <w:sz w:val="20"/>
                <w:szCs w:val="20"/>
              </w:rPr>
              <w:t>Federal Court of Appeal</w:t>
            </w:r>
          </w:p>
          <w:p w:rsidR="00017F43" w:rsidRPr="00841E19" w:rsidRDefault="00017F43" w:rsidP="00102938">
            <w:pPr>
              <w:jc w:val="both"/>
              <w:rPr>
                <w:rFonts w:eastAsia="Calibri" w:cs="Times New Roman"/>
                <w:sz w:val="20"/>
                <w:szCs w:val="20"/>
              </w:rPr>
            </w:pPr>
            <w:r w:rsidRPr="00841E19">
              <w:rPr>
                <w:rFonts w:eastAsia="Calibri" w:cs="Times New Roman"/>
                <w:sz w:val="20"/>
                <w:szCs w:val="20"/>
              </w:rPr>
              <w:t>(Pelletier, Gauthier, Near JJ.A.)</w:t>
            </w:r>
          </w:p>
          <w:p w:rsidR="00017F43" w:rsidRPr="00841E19" w:rsidRDefault="00417673" w:rsidP="00102938">
            <w:pPr>
              <w:jc w:val="both"/>
              <w:rPr>
                <w:rFonts w:eastAsia="Calibri" w:cs="Times New Roman"/>
                <w:sz w:val="20"/>
                <w:szCs w:val="20"/>
              </w:rPr>
            </w:pPr>
            <w:hyperlink r:id="rId73" w:history="1">
              <w:r w:rsidR="00017F43" w:rsidRPr="00841E19">
                <w:rPr>
                  <w:rFonts w:eastAsia="Calibri" w:cs="Times New Roman"/>
                  <w:color w:val="0000FF"/>
                  <w:sz w:val="20"/>
                  <w:szCs w:val="20"/>
                  <w:u w:val="single"/>
                </w:rPr>
                <w:t>2014 FCA 262</w:t>
              </w:r>
            </w:hyperlink>
            <w:r w:rsidR="00017F43" w:rsidRPr="00841E19">
              <w:rPr>
                <w:rFonts w:eastAsia="Calibri" w:cs="Times New Roman"/>
                <w:sz w:val="20"/>
                <w:szCs w:val="20"/>
              </w:rPr>
              <w:t>; A-281-13</w:t>
            </w:r>
          </w:p>
          <w:p w:rsidR="00017F43" w:rsidRPr="00841E19" w:rsidRDefault="00017F43" w:rsidP="00102938">
            <w:pPr>
              <w:jc w:val="both"/>
              <w:rPr>
                <w:rFonts w:eastAsia="Calibri" w:cs="Times New Roman"/>
                <w:sz w:val="20"/>
                <w:szCs w:val="20"/>
              </w:rPr>
            </w:pPr>
          </w:p>
        </w:tc>
        <w:tc>
          <w:tcPr>
            <w:tcW w:w="243" w:type="pct"/>
          </w:tcPr>
          <w:p w:rsidR="00017F43" w:rsidRPr="00841E19" w:rsidRDefault="00017F43" w:rsidP="00102938">
            <w:pPr>
              <w:jc w:val="both"/>
              <w:rPr>
                <w:rFonts w:eastAsia="Calibri" w:cs="Times New Roman"/>
                <w:sz w:val="20"/>
                <w:szCs w:val="20"/>
              </w:rPr>
            </w:pPr>
          </w:p>
        </w:tc>
        <w:tc>
          <w:tcPr>
            <w:tcW w:w="2330" w:type="pct"/>
          </w:tcPr>
          <w:p w:rsidR="00017F43" w:rsidRPr="00841E19" w:rsidRDefault="00017F43" w:rsidP="00102938">
            <w:pPr>
              <w:jc w:val="both"/>
              <w:rPr>
                <w:rFonts w:eastAsia="Calibri" w:cs="Times New Roman"/>
                <w:sz w:val="20"/>
                <w:szCs w:val="20"/>
              </w:rPr>
            </w:pPr>
            <w:r w:rsidRPr="00841E19">
              <w:rPr>
                <w:rFonts w:eastAsia="Calibri" w:cs="Times New Roman"/>
                <w:sz w:val="20"/>
                <w:szCs w:val="20"/>
              </w:rPr>
              <w:t>Appeal dismissed; certified question answered in the negative</w:t>
            </w:r>
          </w:p>
        </w:tc>
      </w:tr>
      <w:tr w:rsidR="00017F43" w:rsidRPr="00841E19" w:rsidTr="00102938">
        <w:tc>
          <w:tcPr>
            <w:tcW w:w="2427" w:type="pct"/>
          </w:tcPr>
          <w:p w:rsidR="00017F43" w:rsidRPr="00841E19" w:rsidRDefault="00017F43" w:rsidP="00102938">
            <w:pPr>
              <w:jc w:val="both"/>
              <w:rPr>
                <w:rFonts w:eastAsia="Calibri" w:cs="Times New Roman"/>
                <w:sz w:val="20"/>
                <w:szCs w:val="20"/>
              </w:rPr>
            </w:pPr>
            <w:r w:rsidRPr="00841E19">
              <w:rPr>
                <w:rFonts w:eastAsia="Calibri" w:cs="Times New Roman"/>
                <w:sz w:val="20"/>
                <w:szCs w:val="20"/>
              </w:rPr>
              <w:t>January 5, 2015</w:t>
            </w:r>
          </w:p>
          <w:p w:rsidR="00017F43" w:rsidRPr="00841E19" w:rsidRDefault="00017F43" w:rsidP="00102938">
            <w:pPr>
              <w:jc w:val="both"/>
              <w:rPr>
                <w:rFonts w:eastAsia="Calibri" w:cs="Times New Roman"/>
                <w:sz w:val="20"/>
                <w:szCs w:val="20"/>
              </w:rPr>
            </w:pPr>
            <w:r w:rsidRPr="00841E19">
              <w:rPr>
                <w:rFonts w:eastAsia="Calibri" w:cs="Times New Roman"/>
                <w:sz w:val="20"/>
                <w:szCs w:val="20"/>
              </w:rPr>
              <w:t>Supreme Court of Canada</w:t>
            </w:r>
          </w:p>
        </w:tc>
        <w:tc>
          <w:tcPr>
            <w:tcW w:w="243" w:type="pct"/>
          </w:tcPr>
          <w:p w:rsidR="00017F43" w:rsidRPr="00841E19" w:rsidRDefault="00017F43" w:rsidP="00102938">
            <w:pPr>
              <w:jc w:val="both"/>
              <w:rPr>
                <w:rFonts w:eastAsia="Calibri" w:cs="Times New Roman"/>
                <w:sz w:val="20"/>
                <w:szCs w:val="20"/>
              </w:rPr>
            </w:pPr>
          </w:p>
        </w:tc>
        <w:tc>
          <w:tcPr>
            <w:tcW w:w="2330" w:type="pct"/>
          </w:tcPr>
          <w:p w:rsidR="00017F43" w:rsidRPr="00841E19" w:rsidRDefault="00017F43" w:rsidP="00102938">
            <w:pPr>
              <w:jc w:val="both"/>
              <w:rPr>
                <w:rFonts w:eastAsia="Calibri" w:cs="Times New Roman"/>
                <w:sz w:val="20"/>
                <w:szCs w:val="20"/>
              </w:rPr>
            </w:pPr>
            <w:r w:rsidRPr="00841E19">
              <w:rPr>
                <w:rFonts w:eastAsia="Calibri" w:cs="Times New Roman"/>
                <w:sz w:val="20"/>
                <w:szCs w:val="20"/>
              </w:rPr>
              <w:t>Application for leave to appeal filed</w:t>
            </w:r>
          </w:p>
        </w:tc>
      </w:tr>
    </w:tbl>
    <w:p w:rsidR="00017F43" w:rsidRPr="00204D62" w:rsidRDefault="00017F43" w:rsidP="00017F43">
      <w:pPr>
        <w:rPr>
          <w:sz w:val="20"/>
          <w:szCs w:val="20"/>
          <w:lang w:val="en-US"/>
        </w:rPr>
      </w:pPr>
    </w:p>
    <w:p w:rsidR="00017F43" w:rsidRPr="00C50A5C" w:rsidRDefault="00417673" w:rsidP="00017F43">
      <w:pPr>
        <w:rPr>
          <w:sz w:val="20"/>
          <w:szCs w:val="20"/>
        </w:rPr>
      </w:pPr>
      <w:r>
        <w:rPr>
          <w:sz w:val="20"/>
          <w:szCs w:val="20"/>
          <w:lang w:val="fr-CA"/>
        </w:rPr>
        <w:pict>
          <v:rect id="_x0000_i1070" style="width:2in;height:1pt" o:hrpct="0" o:hralign="center" o:hrstd="t" o:hrnoshade="t" o:hr="t" fillcolor="black [3213]" stroked="f"/>
        </w:pict>
      </w:r>
    </w:p>
    <w:p w:rsidR="00017F43" w:rsidRDefault="00017F43" w:rsidP="00017F43">
      <w:pPr>
        <w:rPr>
          <w:sz w:val="20"/>
          <w:szCs w:val="20"/>
        </w:rPr>
      </w:pPr>
    </w:p>
    <w:p w:rsidR="00017F43" w:rsidRPr="001B157C" w:rsidRDefault="00017F43" w:rsidP="00017F43">
      <w:pPr>
        <w:rPr>
          <w:sz w:val="20"/>
          <w:szCs w:val="20"/>
          <w:u w:val="single"/>
          <w:lang w:val="fr-CA"/>
        </w:rPr>
      </w:pPr>
      <w:r w:rsidRPr="001B157C">
        <w:rPr>
          <w:sz w:val="20"/>
          <w:szCs w:val="20"/>
          <w:u w:val="single"/>
          <w:lang w:val="fr-CA"/>
        </w:rPr>
        <w:t>RÉSUMÉ DE L’AFFAIRE</w:t>
      </w:r>
    </w:p>
    <w:p w:rsidR="00017F43" w:rsidRDefault="00017F43" w:rsidP="00017F4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17F43" w:rsidRPr="00584913" w:rsidTr="00102938">
        <w:tc>
          <w:tcPr>
            <w:tcW w:w="5000" w:type="pct"/>
            <w:gridSpan w:val="3"/>
          </w:tcPr>
          <w:p w:rsidR="00017F43" w:rsidRPr="00841E19" w:rsidRDefault="00017F43" w:rsidP="00102938">
            <w:pPr>
              <w:jc w:val="both"/>
              <w:rPr>
                <w:rFonts w:eastAsia="Calibri" w:cs="Times New Roman"/>
                <w:sz w:val="20"/>
                <w:szCs w:val="20"/>
                <w:lang w:val="fr-CA"/>
              </w:rPr>
            </w:pPr>
            <w:r w:rsidRPr="00841E19">
              <w:rPr>
                <w:rFonts w:eastAsia="Calibri" w:cs="Times New Roman"/>
                <w:i/>
                <w:sz w:val="20"/>
                <w:szCs w:val="20"/>
                <w:lang w:val="fr-CA"/>
              </w:rPr>
              <w:t>Charte canadienne</w:t>
            </w:r>
            <w:r w:rsidRPr="00841E19">
              <w:rPr>
                <w:rFonts w:eastAsia="Calibri" w:cs="Times New Roman"/>
                <w:sz w:val="20"/>
                <w:szCs w:val="20"/>
                <w:lang w:val="fr-CA"/>
              </w:rPr>
              <w:t xml:space="preserve"> — Liberté d’association — Immigration — Interdiction de territoire et exclusion — Sécurité — Appartenance à une organisation qui a commis des actes visant au renversement d’un gouvernement par la force — </w:t>
            </w:r>
            <w:r w:rsidRPr="00841E19">
              <w:rPr>
                <w:rFonts w:eastAsia="Calibri" w:cs="Times New Roman"/>
                <w:i/>
                <w:sz w:val="20"/>
                <w:szCs w:val="20"/>
                <w:lang w:val="fr-CA"/>
              </w:rPr>
              <w:t>Loi sur l’immigration et la protection des réfugiés</w:t>
            </w:r>
            <w:r w:rsidRPr="00841E19">
              <w:rPr>
                <w:rFonts w:eastAsia="Calibri" w:cs="Times New Roman"/>
                <w:sz w:val="20"/>
                <w:szCs w:val="20"/>
                <w:lang w:val="fr-CA"/>
              </w:rPr>
              <w:t>, L.C. 2001, ch. 27, al. 34(l)</w:t>
            </w:r>
            <w:r w:rsidRPr="00841E19">
              <w:rPr>
                <w:rFonts w:eastAsia="Calibri" w:cs="Times New Roman"/>
                <w:i/>
                <w:sz w:val="20"/>
                <w:szCs w:val="20"/>
                <w:lang w:val="fr-CA"/>
              </w:rPr>
              <w:t>f</w:t>
            </w:r>
            <w:r w:rsidRPr="00841E19">
              <w:rPr>
                <w:rFonts w:eastAsia="Calibri" w:cs="Times New Roman"/>
                <w:sz w:val="20"/>
                <w:szCs w:val="20"/>
                <w:lang w:val="fr-CA"/>
              </w:rPr>
              <w:t>) — Le mot « organisation » doit-il être interprété de manière à interdire de territoire quiconque se livre à une activité protégée par le droit à la liberté d’association prévu à l’al. 2</w:t>
            </w:r>
            <w:r w:rsidRPr="00841E19">
              <w:rPr>
                <w:rFonts w:eastAsia="Calibri" w:cs="Times New Roman"/>
                <w:i/>
                <w:sz w:val="20"/>
                <w:szCs w:val="20"/>
                <w:lang w:val="fr-CA"/>
              </w:rPr>
              <w:t>d</w:t>
            </w:r>
            <w:r w:rsidRPr="00841E19">
              <w:rPr>
                <w:rFonts w:eastAsia="Calibri" w:cs="Times New Roman"/>
                <w:sz w:val="20"/>
                <w:szCs w:val="20"/>
                <w:lang w:val="fr-CA"/>
              </w:rPr>
              <w:t xml:space="preserve">) de la </w:t>
            </w:r>
            <w:r w:rsidRPr="00841E19">
              <w:rPr>
                <w:rFonts w:eastAsia="Calibri" w:cs="Times New Roman"/>
                <w:i/>
                <w:sz w:val="20"/>
                <w:szCs w:val="20"/>
                <w:lang w:val="fr-CA"/>
              </w:rPr>
              <w:t>Charte</w:t>
            </w:r>
            <w:r w:rsidRPr="00841E19">
              <w:rPr>
                <w:rFonts w:eastAsia="Calibri" w:cs="Times New Roman"/>
                <w:sz w:val="20"/>
                <w:szCs w:val="20"/>
                <w:lang w:val="fr-CA"/>
              </w:rPr>
              <w:t>? — Y a-t-il lieu de prendre en considération les obligations du Canada en droit international dans l’interprétation du mot « renversement »? — Y a-t-il lieu de prendre en considération les obligations du Canada en droit international pour déterminer si le mot « renversement » et l’al. 34(1)</w:t>
            </w:r>
            <w:r w:rsidRPr="00841E19">
              <w:rPr>
                <w:rFonts w:eastAsia="Calibri" w:cs="Times New Roman"/>
                <w:i/>
                <w:sz w:val="20"/>
                <w:szCs w:val="20"/>
                <w:lang w:val="fr-CA"/>
              </w:rPr>
              <w:t>b</w:t>
            </w:r>
            <w:r w:rsidRPr="00841E19">
              <w:rPr>
                <w:rFonts w:eastAsia="Calibri" w:cs="Times New Roman"/>
                <w:sz w:val="20"/>
                <w:szCs w:val="20"/>
                <w:lang w:val="fr-CA"/>
              </w:rPr>
              <w:t xml:space="preserve">) sont clairs et non équivoques? — Conformément au droit international, le mot « renversement » doit-il être interprété de manière à exclure quiconque emploie la force dans l’exercice du droit à l’autodétermination? — Le Canada peut-il reléguer les </w:t>
            </w:r>
            <w:r w:rsidRPr="00841E19">
              <w:rPr>
                <w:rFonts w:eastAsia="Calibri" w:cs="Times New Roman"/>
                <w:sz w:val="20"/>
                <w:szCs w:val="20"/>
                <w:lang w:val="fr-CA"/>
              </w:rPr>
              <w:lastRenderedPageBreak/>
              <w:t xml:space="preserve">décisions qui ont un impact sur la conformité à la </w:t>
            </w:r>
            <w:r w:rsidRPr="00841E19">
              <w:rPr>
                <w:rFonts w:eastAsia="Calibri" w:cs="Times New Roman"/>
                <w:i/>
                <w:iCs/>
                <w:sz w:val="20"/>
                <w:szCs w:val="20"/>
                <w:lang w:val="fr-CA"/>
              </w:rPr>
              <w:t xml:space="preserve">Charte </w:t>
            </w:r>
            <w:r w:rsidRPr="00841E19">
              <w:rPr>
                <w:rFonts w:eastAsia="Calibri" w:cs="Times New Roman"/>
                <w:sz w:val="20"/>
                <w:szCs w:val="20"/>
                <w:lang w:val="fr-CA"/>
              </w:rPr>
              <w:t>et aux obligations du droit international à une demande de dispense ministérielle?</w:t>
            </w:r>
          </w:p>
        </w:tc>
      </w:tr>
      <w:tr w:rsidR="00017F43" w:rsidRPr="00584913" w:rsidTr="00102938">
        <w:tc>
          <w:tcPr>
            <w:tcW w:w="5000" w:type="pct"/>
            <w:gridSpan w:val="3"/>
          </w:tcPr>
          <w:p w:rsidR="00017F43" w:rsidRPr="00841E19" w:rsidRDefault="00017F43" w:rsidP="00102938">
            <w:pPr>
              <w:jc w:val="both"/>
              <w:rPr>
                <w:rFonts w:eastAsia="Calibri" w:cs="Times New Roman"/>
                <w:sz w:val="20"/>
                <w:szCs w:val="20"/>
                <w:lang w:val="fr-CA"/>
              </w:rPr>
            </w:pPr>
          </w:p>
        </w:tc>
      </w:tr>
      <w:tr w:rsidR="00017F43" w:rsidRPr="00584913" w:rsidTr="00102938">
        <w:tc>
          <w:tcPr>
            <w:tcW w:w="5000" w:type="pct"/>
            <w:gridSpan w:val="3"/>
          </w:tcPr>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 xml:space="preserve">Monsieur Najafi, un citoyen iranien d’origine kurde, est arrivé au Canada en 1999 et il a présenté une demande d’asile qui a été accueillie.  Toutefois, il n’a pas obtenu le statut de résident permanent.  En mars 2010, un rapport en application du par. 44(1) de la </w:t>
            </w:r>
            <w:r w:rsidRPr="00841E19">
              <w:rPr>
                <w:rFonts w:eastAsia="Calibri" w:cs="Times New Roman"/>
                <w:i/>
                <w:sz w:val="20"/>
                <w:szCs w:val="20"/>
                <w:lang w:val="fr-CA"/>
              </w:rPr>
              <w:t>Loi sur l’immigration et la protection des réfugiés</w:t>
            </w:r>
            <w:r w:rsidRPr="00841E19">
              <w:rPr>
                <w:rFonts w:eastAsia="Calibri" w:cs="Times New Roman"/>
                <w:sz w:val="20"/>
                <w:szCs w:val="20"/>
                <w:lang w:val="fr-CA"/>
              </w:rPr>
              <w:t>, L.C. 2001, c. 27, a été établi relativement à M. Najafi.  Le 2 mars 2011, le rapport a été renvoyé à la Commission en vue de faire déclarer M. Najafi interdit de territoire du fait de sa participation aux activités du Parti démocratique kurde d’Iran « KDPI ».  La Commission de l’immigration et du statut de réfugié a conclu que M. Najafi avait été membre d’une organisation dont il y avait des motifs raisonnables de croire qu’elle avait été l’instigateur ou l’auteur d’actes visant au renversement d’un gouvernement par la force.  Monsieur Najafi était donc interdit de territoire en application des al. 34(1)</w:t>
            </w:r>
            <w:r w:rsidRPr="00841E19">
              <w:rPr>
                <w:rFonts w:eastAsia="Calibri" w:cs="Times New Roman"/>
                <w:i/>
                <w:sz w:val="20"/>
                <w:szCs w:val="20"/>
                <w:lang w:val="fr-CA"/>
              </w:rPr>
              <w:t xml:space="preserve"> b</w:t>
            </w:r>
            <w:r w:rsidRPr="00841E19">
              <w:rPr>
                <w:rFonts w:eastAsia="Calibri" w:cs="Times New Roman"/>
                <w:sz w:val="20"/>
                <w:szCs w:val="20"/>
                <w:lang w:val="fr-CA"/>
              </w:rPr>
              <w:t xml:space="preserve">) et </w:t>
            </w:r>
            <w:r w:rsidRPr="00841E19">
              <w:rPr>
                <w:rFonts w:eastAsia="Calibri" w:cs="Times New Roman"/>
                <w:i/>
                <w:sz w:val="20"/>
                <w:szCs w:val="20"/>
                <w:lang w:val="fr-CA"/>
              </w:rPr>
              <w:t>f</w:t>
            </w:r>
            <w:r w:rsidRPr="00841E19">
              <w:rPr>
                <w:rFonts w:eastAsia="Calibri" w:cs="Times New Roman"/>
                <w:sz w:val="20"/>
                <w:szCs w:val="20"/>
                <w:lang w:val="fr-CA"/>
              </w:rPr>
              <w:t>) de la LIPR.  La demande de contrôle judiciaire présentée par M. Najafi a été rejetée, mais la juge Gleason a formulé une question certifiée.  La Cour d’appel fédérale a répondu à la question certifiée par la négative et l’appel a été rejeté.</w:t>
            </w:r>
          </w:p>
          <w:p w:rsidR="00017F43" w:rsidRPr="00841E19" w:rsidRDefault="00017F43" w:rsidP="00102938">
            <w:pPr>
              <w:jc w:val="both"/>
              <w:rPr>
                <w:rFonts w:eastAsia="Calibri" w:cs="Times New Roman"/>
                <w:sz w:val="20"/>
                <w:szCs w:val="20"/>
                <w:lang w:val="fr-CA"/>
              </w:rPr>
            </w:pPr>
          </w:p>
        </w:tc>
      </w:tr>
      <w:tr w:rsidR="00017F43" w:rsidRPr="00584913" w:rsidTr="00102938">
        <w:tc>
          <w:tcPr>
            <w:tcW w:w="2427" w:type="pct"/>
          </w:tcPr>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8 mars 2012</w:t>
            </w:r>
          </w:p>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Commission de l’immigration et du statut de réfugié</w:t>
            </w:r>
          </w:p>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(Commissaires Rempel et Geoff)</w:t>
            </w:r>
          </w:p>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B1-00322</w:t>
            </w:r>
          </w:p>
          <w:p w:rsidR="00017F43" w:rsidRPr="00841E19" w:rsidRDefault="00017F43" w:rsidP="00102938">
            <w:pPr>
              <w:jc w:val="both"/>
              <w:rPr>
                <w:rFonts w:eastAsia="Calibri" w:cs="Times New Roman"/>
                <w:sz w:val="20"/>
                <w:szCs w:val="20"/>
                <w:lang w:val="fr-CA"/>
              </w:rPr>
            </w:pPr>
          </w:p>
        </w:tc>
        <w:tc>
          <w:tcPr>
            <w:tcW w:w="243" w:type="pct"/>
          </w:tcPr>
          <w:p w:rsidR="00017F43" w:rsidRPr="00841E19" w:rsidRDefault="00017F43" w:rsidP="00102938">
            <w:pPr>
              <w:jc w:val="both"/>
              <w:rPr>
                <w:rFonts w:eastAsia="Calibri" w:cs="Times New Roman"/>
                <w:sz w:val="20"/>
                <w:szCs w:val="20"/>
                <w:lang w:val="fr-CA"/>
              </w:rPr>
            </w:pPr>
          </w:p>
        </w:tc>
        <w:tc>
          <w:tcPr>
            <w:tcW w:w="2330" w:type="pct"/>
          </w:tcPr>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Décision concluant que M. Najafi avait été membre d’une organisation dont il y avait des motifs raisonnables de croire qu’elle avait été l’instigateur ou l’auteur d’actes visant au renversement d’un gouvernement par la force; ordonnance d’expulsion prononcée</w:t>
            </w:r>
          </w:p>
          <w:p w:rsidR="00017F43" w:rsidRPr="00841E19" w:rsidRDefault="00017F43" w:rsidP="00102938">
            <w:pPr>
              <w:jc w:val="both"/>
              <w:rPr>
                <w:rFonts w:eastAsia="Calibri" w:cs="Times New Roman"/>
                <w:sz w:val="20"/>
                <w:szCs w:val="20"/>
                <w:lang w:val="fr-CA"/>
              </w:rPr>
            </w:pPr>
          </w:p>
        </w:tc>
      </w:tr>
      <w:tr w:rsidR="00017F43" w:rsidRPr="00584913" w:rsidTr="00102938">
        <w:tc>
          <w:tcPr>
            <w:tcW w:w="2427" w:type="pct"/>
          </w:tcPr>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16 août 2013</w:t>
            </w:r>
          </w:p>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Cour fédérale</w:t>
            </w:r>
          </w:p>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(Juge Gleason)</w:t>
            </w:r>
          </w:p>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2013 FC 876</w:t>
            </w:r>
          </w:p>
          <w:p w:rsidR="00017F43" w:rsidRPr="00841E19" w:rsidRDefault="00017F43" w:rsidP="00102938">
            <w:pPr>
              <w:jc w:val="both"/>
              <w:rPr>
                <w:rFonts w:eastAsia="Calibri" w:cs="Times New Roman"/>
                <w:sz w:val="20"/>
                <w:szCs w:val="20"/>
                <w:lang w:val="fr-CA"/>
              </w:rPr>
            </w:pPr>
          </w:p>
        </w:tc>
        <w:tc>
          <w:tcPr>
            <w:tcW w:w="243" w:type="pct"/>
          </w:tcPr>
          <w:p w:rsidR="00017F43" w:rsidRPr="00841E19" w:rsidRDefault="00017F43" w:rsidP="00102938">
            <w:pPr>
              <w:jc w:val="both"/>
              <w:rPr>
                <w:rFonts w:eastAsia="Calibri" w:cs="Times New Roman"/>
                <w:sz w:val="20"/>
                <w:szCs w:val="20"/>
                <w:lang w:val="fr-CA"/>
              </w:rPr>
            </w:pPr>
          </w:p>
        </w:tc>
        <w:tc>
          <w:tcPr>
            <w:tcW w:w="2330" w:type="pct"/>
          </w:tcPr>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Rejet de la requête en contrôle judiciaire; formulation d’une question certifiée</w:t>
            </w:r>
          </w:p>
          <w:p w:rsidR="00017F43" w:rsidRPr="00841E19" w:rsidRDefault="00017F43" w:rsidP="00102938">
            <w:pPr>
              <w:jc w:val="both"/>
              <w:rPr>
                <w:rFonts w:eastAsia="Calibri" w:cs="Times New Roman"/>
                <w:sz w:val="20"/>
                <w:szCs w:val="20"/>
                <w:lang w:val="fr-CA"/>
              </w:rPr>
            </w:pPr>
          </w:p>
        </w:tc>
      </w:tr>
      <w:tr w:rsidR="00017F43" w:rsidRPr="00584913" w:rsidTr="00102938">
        <w:tc>
          <w:tcPr>
            <w:tcW w:w="2427" w:type="pct"/>
          </w:tcPr>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7 novembre 2014</w:t>
            </w:r>
          </w:p>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Cour d’appel fédérale</w:t>
            </w:r>
          </w:p>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(Juges Pelletier, Gauthier et Near)</w:t>
            </w:r>
          </w:p>
          <w:p w:rsidR="00017F43" w:rsidRPr="00841E19" w:rsidRDefault="00417673" w:rsidP="00102938">
            <w:pPr>
              <w:jc w:val="both"/>
              <w:rPr>
                <w:rFonts w:eastAsia="Calibri" w:cs="Times New Roman"/>
                <w:sz w:val="20"/>
                <w:szCs w:val="20"/>
                <w:lang w:val="fr-CA"/>
              </w:rPr>
            </w:pPr>
            <w:hyperlink r:id="rId74" w:history="1">
              <w:r w:rsidR="00017F43" w:rsidRPr="00841E19">
                <w:rPr>
                  <w:rFonts w:eastAsia="Calibri" w:cs="Times New Roman"/>
                  <w:color w:val="0000FF"/>
                  <w:sz w:val="20"/>
                  <w:szCs w:val="20"/>
                  <w:u w:val="single"/>
                  <w:lang w:val="fr-CA"/>
                </w:rPr>
                <w:t>2014 FCA 262</w:t>
              </w:r>
            </w:hyperlink>
            <w:r w:rsidR="00017F43" w:rsidRPr="00841E19">
              <w:rPr>
                <w:rFonts w:eastAsia="Calibri" w:cs="Times New Roman"/>
                <w:sz w:val="20"/>
                <w:szCs w:val="20"/>
                <w:lang w:val="fr-CA"/>
              </w:rPr>
              <w:t>; A-281-13</w:t>
            </w:r>
          </w:p>
          <w:p w:rsidR="00017F43" w:rsidRPr="00841E19" w:rsidRDefault="00017F43" w:rsidP="00102938">
            <w:pPr>
              <w:jc w:val="both"/>
              <w:rPr>
                <w:rFonts w:eastAsia="Calibri" w:cs="Times New Roman"/>
                <w:sz w:val="20"/>
                <w:szCs w:val="20"/>
                <w:lang w:val="fr-CA"/>
              </w:rPr>
            </w:pPr>
          </w:p>
        </w:tc>
        <w:tc>
          <w:tcPr>
            <w:tcW w:w="243" w:type="pct"/>
          </w:tcPr>
          <w:p w:rsidR="00017F43" w:rsidRPr="00841E19" w:rsidRDefault="00017F43" w:rsidP="00102938">
            <w:pPr>
              <w:jc w:val="both"/>
              <w:rPr>
                <w:rFonts w:eastAsia="Calibri" w:cs="Times New Roman"/>
                <w:sz w:val="20"/>
                <w:szCs w:val="20"/>
                <w:lang w:val="fr-CA"/>
              </w:rPr>
            </w:pPr>
          </w:p>
        </w:tc>
        <w:tc>
          <w:tcPr>
            <w:tcW w:w="2330" w:type="pct"/>
          </w:tcPr>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Rejet de l’appel; réponse négative à la question certifiée</w:t>
            </w:r>
          </w:p>
        </w:tc>
      </w:tr>
      <w:tr w:rsidR="00017F43" w:rsidRPr="00584913" w:rsidTr="00102938">
        <w:tc>
          <w:tcPr>
            <w:tcW w:w="2427" w:type="pct"/>
          </w:tcPr>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5 janvier 2015</w:t>
            </w:r>
          </w:p>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Cour suprême du Canada</w:t>
            </w:r>
          </w:p>
        </w:tc>
        <w:tc>
          <w:tcPr>
            <w:tcW w:w="243" w:type="pct"/>
          </w:tcPr>
          <w:p w:rsidR="00017F43" w:rsidRPr="00841E19" w:rsidRDefault="00017F43" w:rsidP="00102938">
            <w:pPr>
              <w:jc w:val="both"/>
              <w:rPr>
                <w:rFonts w:eastAsia="Calibri" w:cs="Times New Roman"/>
                <w:sz w:val="20"/>
                <w:szCs w:val="20"/>
                <w:lang w:val="fr-CA"/>
              </w:rPr>
            </w:pPr>
          </w:p>
        </w:tc>
        <w:tc>
          <w:tcPr>
            <w:tcW w:w="2330" w:type="pct"/>
          </w:tcPr>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Dépôt de la demande d’autorisation d’appel</w:t>
            </w:r>
          </w:p>
          <w:p w:rsidR="00017F43" w:rsidRPr="00841E19" w:rsidRDefault="00017F43" w:rsidP="00102938">
            <w:pPr>
              <w:jc w:val="both"/>
              <w:rPr>
                <w:rFonts w:eastAsia="Calibri" w:cs="Times New Roman"/>
                <w:sz w:val="20"/>
                <w:szCs w:val="20"/>
                <w:lang w:val="fr-CA"/>
              </w:rPr>
            </w:pPr>
          </w:p>
        </w:tc>
      </w:tr>
    </w:tbl>
    <w:p w:rsidR="00017F43" w:rsidRPr="0016547E" w:rsidRDefault="00017F43" w:rsidP="00017F43">
      <w:pPr>
        <w:rPr>
          <w:sz w:val="20"/>
          <w:szCs w:val="20"/>
          <w:lang w:val="fr-CA"/>
        </w:rPr>
      </w:pPr>
    </w:p>
    <w:p w:rsidR="00017F43" w:rsidRPr="00C50A5C" w:rsidRDefault="00417673" w:rsidP="00017F43">
      <w:pPr>
        <w:rPr>
          <w:sz w:val="20"/>
          <w:szCs w:val="20"/>
        </w:rPr>
      </w:pPr>
      <w:r>
        <w:rPr>
          <w:sz w:val="20"/>
          <w:szCs w:val="20"/>
          <w:lang w:val="fr-CA"/>
        </w:rPr>
        <w:pict>
          <v:rect id="_x0000_i1071" style="width:2in;height:1pt" o:hrpct="0" o:hralign="center" o:hrstd="t" o:hrnoshade="t" o:hr="t" fillcolor="black [3213]" stroked="f"/>
        </w:pict>
      </w:r>
    </w:p>
    <w:p w:rsidR="00017F43" w:rsidRPr="00017F43" w:rsidRDefault="00017F43" w:rsidP="00017F43">
      <w:pPr>
        <w:rPr>
          <w:sz w:val="20"/>
          <w:szCs w:val="24"/>
          <w:lang w:val="fr-CA"/>
        </w:rPr>
      </w:pPr>
    </w:p>
    <w:tbl>
      <w:tblPr>
        <w:tblStyle w:val="TableGrid1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17F43" w:rsidRPr="00017F43" w:rsidTr="00102938">
        <w:trPr>
          <w:cantSplit/>
        </w:trPr>
        <w:tc>
          <w:tcPr>
            <w:tcW w:w="1458" w:type="dxa"/>
          </w:tcPr>
          <w:p w:rsidR="00017F43" w:rsidRPr="00017F43" w:rsidRDefault="00017F43" w:rsidP="00017F43">
            <w:pPr>
              <w:jc w:val="both"/>
              <w:rPr>
                <w:sz w:val="20"/>
              </w:rPr>
            </w:pPr>
            <w:r w:rsidRPr="00017F43">
              <w:rPr>
                <w:b/>
                <w:sz w:val="20"/>
                <w:lang w:val="fr-CA"/>
              </w:rPr>
              <w:t>36242</w:t>
            </w:r>
          </w:p>
          <w:p w:rsidR="00017F43" w:rsidRPr="00017F43" w:rsidRDefault="00017F43" w:rsidP="00017F43">
            <w:pPr>
              <w:jc w:val="both"/>
              <w:rPr>
                <w:b/>
                <w:sz w:val="20"/>
                <w:lang w:val="fr-CA"/>
              </w:rPr>
            </w:pPr>
          </w:p>
        </w:tc>
        <w:tc>
          <w:tcPr>
            <w:tcW w:w="8118" w:type="dxa"/>
          </w:tcPr>
          <w:p w:rsidR="00017F43" w:rsidRPr="00017F43" w:rsidRDefault="00017F43" w:rsidP="00017F43">
            <w:pPr>
              <w:jc w:val="both"/>
              <w:rPr>
                <w:sz w:val="20"/>
              </w:rPr>
            </w:pPr>
            <w:r w:rsidRPr="00017F43">
              <w:rPr>
                <w:b/>
                <w:sz w:val="20"/>
                <w:u w:val="single"/>
                <w:lang w:val="en-US"/>
              </w:rPr>
              <w:t>Gail Morgan, Cara Morgan and Janna-Joy Morgan v. Paragon Capital Corporation Ltd.</w:t>
            </w:r>
            <w:r w:rsidRPr="00017F43">
              <w:rPr>
                <w:sz w:val="20"/>
              </w:rPr>
              <w:t xml:space="preserve"> (Alta.) (Civil) (By Leave)</w:t>
            </w:r>
          </w:p>
          <w:p w:rsidR="00017F43" w:rsidRPr="00017F43" w:rsidRDefault="00017F43" w:rsidP="00017F43">
            <w:pPr>
              <w:jc w:val="both"/>
              <w:rPr>
                <w:sz w:val="20"/>
              </w:rPr>
            </w:pPr>
          </w:p>
        </w:tc>
      </w:tr>
      <w:tr w:rsidR="00017F43" w:rsidRPr="00017F43" w:rsidTr="00102938">
        <w:trPr>
          <w:cantSplit/>
        </w:trPr>
        <w:tc>
          <w:tcPr>
            <w:tcW w:w="1458" w:type="dxa"/>
          </w:tcPr>
          <w:p w:rsidR="00017F43" w:rsidRPr="00017F43" w:rsidRDefault="00017F43" w:rsidP="00017F43">
            <w:pPr>
              <w:jc w:val="both"/>
              <w:rPr>
                <w:sz w:val="20"/>
              </w:rPr>
            </w:pPr>
            <w:r w:rsidRPr="00017F43">
              <w:rPr>
                <w:sz w:val="20"/>
              </w:rPr>
              <w:t>Coram :</w:t>
            </w:r>
          </w:p>
        </w:tc>
        <w:tc>
          <w:tcPr>
            <w:tcW w:w="8118" w:type="dxa"/>
          </w:tcPr>
          <w:p w:rsidR="00017F43" w:rsidRPr="00017F43" w:rsidRDefault="00017F43" w:rsidP="00017F43">
            <w:pPr>
              <w:jc w:val="both"/>
              <w:rPr>
                <w:sz w:val="20"/>
              </w:rPr>
            </w:pPr>
            <w:r w:rsidRPr="00017F43">
              <w:rPr>
                <w:sz w:val="20"/>
                <w:u w:val="single"/>
                <w:lang w:val="en-US"/>
              </w:rPr>
              <w:t>Rothstein, Cromwell and Moldaver JJ.</w:t>
            </w:r>
          </w:p>
          <w:p w:rsidR="00017F43" w:rsidRPr="00017F43" w:rsidRDefault="00017F43" w:rsidP="00017F43">
            <w:pPr>
              <w:jc w:val="both"/>
              <w:rPr>
                <w:sz w:val="20"/>
                <w:u w:val="single"/>
              </w:rPr>
            </w:pPr>
          </w:p>
        </w:tc>
      </w:tr>
      <w:tr w:rsidR="00017F43" w:rsidRPr="00584913" w:rsidTr="00102938">
        <w:trPr>
          <w:cantSplit/>
        </w:trPr>
        <w:tc>
          <w:tcPr>
            <w:tcW w:w="9576" w:type="dxa"/>
            <w:gridSpan w:val="2"/>
          </w:tcPr>
          <w:p w:rsidR="00017F43" w:rsidRPr="00017F43" w:rsidRDefault="00017F43" w:rsidP="00017F43">
            <w:pPr>
              <w:ind w:firstLine="720"/>
              <w:jc w:val="both"/>
              <w:rPr>
                <w:sz w:val="20"/>
              </w:rPr>
            </w:pPr>
            <w:r w:rsidRPr="00017F43">
              <w:rPr>
                <w:sz w:val="20"/>
              </w:rPr>
              <w:t>The application for leave to appeal from the judgment of the Court of Appeal of Alberta (Calgary), Number 1301-0174-AC, 2014 ABCA 363, dated November 5, 2014, is dismissed with costs.</w:t>
            </w:r>
          </w:p>
          <w:p w:rsidR="00017F43" w:rsidRPr="00017F43" w:rsidRDefault="00017F43" w:rsidP="00017F43">
            <w:pPr>
              <w:jc w:val="both"/>
              <w:rPr>
                <w:sz w:val="20"/>
              </w:rPr>
            </w:pPr>
          </w:p>
          <w:p w:rsidR="00017F43" w:rsidRPr="00017F43" w:rsidRDefault="00017F43" w:rsidP="00017F43">
            <w:pPr>
              <w:ind w:firstLine="720"/>
              <w:jc w:val="both"/>
              <w:rPr>
                <w:sz w:val="20"/>
                <w:lang w:val="fr-CA"/>
              </w:rPr>
            </w:pPr>
            <w:r w:rsidRPr="00017F43">
              <w:rPr>
                <w:sz w:val="20"/>
                <w:lang w:val="fr-CA"/>
              </w:rPr>
              <w:t>La demande d’autorisation d’appel de l’arrêt de la Cour d'appel de l’Alberta (Calgary), numéro 1301-0174-AC, 2014 ABCA 363, daté du 5 novembre 2014, est rejetée avec dépens.</w:t>
            </w:r>
          </w:p>
        </w:tc>
      </w:tr>
    </w:tbl>
    <w:p w:rsidR="00017F43" w:rsidRPr="0016547E" w:rsidRDefault="00017F43" w:rsidP="00017F43">
      <w:pPr>
        <w:rPr>
          <w:sz w:val="20"/>
          <w:szCs w:val="20"/>
          <w:lang w:val="fr-CA"/>
        </w:rPr>
      </w:pPr>
    </w:p>
    <w:p w:rsidR="00A87EEA" w:rsidRDefault="00A87EEA">
      <w:pPr>
        <w:rPr>
          <w:sz w:val="20"/>
          <w:szCs w:val="20"/>
          <w:u w:val="single"/>
        </w:rPr>
      </w:pPr>
      <w:r>
        <w:rPr>
          <w:sz w:val="20"/>
          <w:szCs w:val="20"/>
          <w:u w:val="single"/>
        </w:rPr>
        <w:br w:type="page"/>
      </w:r>
    </w:p>
    <w:p w:rsidR="00017F43" w:rsidRPr="001B157C" w:rsidRDefault="00017F43" w:rsidP="00017F43">
      <w:pPr>
        <w:rPr>
          <w:sz w:val="20"/>
          <w:szCs w:val="20"/>
          <w:u w:val="single"/>
        </w:rPr>
      </w:pPr>
      <w:r w:rsidRPr="001B157C">
        <w:rPr>
          <w:sz w:val="20"/>
          <w:szCs w:val="20"/>
          <w:u w:val="single"/>
        </w:rPr>
        <w:lastRenderedPageBreak/>
        <w:t>CASE SUMMARY</w:t>
      </w:r>
    </w:p>
    <w:p w:rsidR="00017F43" w:rsidRDefault="00017F43" w:rsidP="00017F4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17F43" w:rsidRPr="00841E19" w:rsidTr="00102938">
        <w:tc>
          <w:tcPr>
            <w:tcW w:w="5000" w:type="pct"/>
            <w:gridSpan w:val="3"/>
          </w:tcPr>
          <w:p w:rsidR="00017F43" w:rsidRPr="00841E19" w:rsidRDefault="00017F43" w:rsidP="00102938">
            <w:pPr>
              <w:jc w:val="both"/>
              <w:rPr>
                <w:rFonts w:eastAsia="Calibri" w:cs="Times New Roman"/>
                <w:sz w:val="20"/>
                <w:szCs w:val="20"/>
              </w:rPr>
            </w:pPr>
            <w:r w:rsidRPr="00841E19">
              <w:rPr>
                <w:rFonts w:eastAsia="Calibri" w:cs="Times New Roman"/>
                <w:sz w:val="20"/>
                <w:szCs w:val="20"/>
              </w:rPr>
              <w:t>Appeals — Creditor and debtor — Personal guarantee — Real property — Fraudulent conveyance — Creditor collecting on personal guarantee — Creditor claiming transfer of real property to daughters was fraudulent transfer intended to defeat its claim on loan guarantee — Creditors claim dismissed in Court of Queen’s Bench — Majority of Court of Appeal allowing creditor’s appeal and ordering new trial — What evidentiary standard is required to rebut presumption raised by “badges of fraud” where creditor seeking to set aside transfer of property between relatives as fraudulent conveyance or preference — Whether trial judge’s findings of fact can  be reversed on basis trial judge was required to “more fully explain” why certain evidence was found to be unhelpful.</w:t>
            </w:r>
          </w:p>
        </w:tc>
      </w:tr>
      <w:tr w:rsidR="00017F43" w:rsidRPr="00841E19" w:rsidTr="00102938">
        <w:tc>
          <w:tcPr>
            <w:tcW w:w="5000" w:type="pct"/>
            <w:gridSpan w:val="3"/>
          </w:tcPr>
          <w:p w:rsidR="00017F43" w:rsidRPr="00841E19" w:rsidRDefault="00017F43" w:rsidP="00102938">
            <w:pPr>
              <w:jc w:val="both"/>
              <w:rPr>
                <w:rFonts w:eastAsia="Calibri" w:cs="Times New Roman"/>
                <w:sz w:val="20"/>
                <w:szCs w:val="20"/>
              </w:rPr>
            </w:pPr>
          </w:p>
        </w:tc>
      </w:tr>
      <w:tr w:rsidR="00017F43" w:rsidRPr="00841E19" w:rsidTr="00102938">
        <w:tc>
          <w:tcPr>
            <w:tcW w:w="5000" w:type="pct"/>
            <w:gridSpan w:val="3"/>
          </w:tcPr>
          <w:p w:rsidR="00017F43" w:rsidRPr="00841E19" w:rsidRDefault="00017F43" w:rsidP="00102938">
            <w:pPr>
              <w:shd w:val="clear" w:color="auto" w:fill="FFFFFF"/>
              <w:autoSpaceDE w:val="0"/>
              <w:autoSpaceDN w:val="0"/>
              <w:jc w:val="both"/>
              <w:rPr>
                <w:rFonts w:eastAsia="Calibri" w:cs="Times New Roman"/>
                <w:sz w:val="20"/>
                <w:szCs w:val="20"/>
                <w:lang w:val="en-US"/>
              </w:rPr>
            </w:pPr>
            <w:r w:rsidRPr="00841E19">
              <w:rPr>
                <w:rFonts w:eastAsia="Calibri" w:cs="Times New Roman"/>
                <w:sz w:val="20"/>
                <w:szCs w:val="20"/>
              </w:rPr>
              <w:t xml:space="preserve">The respondent, Paragon Capital Corporation Ltd. sought a declaration that the transfer of a residence that the applicant, Gail Morgan had purchased for approximately $1 million, to her two daughters, the applicants, Cara and Janna-Joy Morgan, constituted a fraudulent preference, and that, as a result of that transfer Paragon had been injured, prejudiced or delayed.  Paragon plead the </w:t>
            </w:r>
            <w:r w:rsidRPr="00841E19">
              <w:rPr>
                <w:rFonts w:eastAsia="Calibri" w:cs="Times New Roman"/>
                <w:i/>
                <w:iCs/>
                <w:sz w:val="20"/>
                <w:szCs w:val="20"/>
              </w:rPr>
              <w:t>Statute of Elizabeth</w:t>
            </w:r>
            <w:r w:rsidRPr="00841E19">
              <w:rPr>
                <w:rFonts w:eastAsia="Calibri" w:cs="Times New Roman"/>
                <w:sz w:val="20"/>
                <w:szCs w:val="20"/>
              </w:rPr>
              <w:t xml:space="preserve">, 13 Eliz. 1, c. 5 and the </w:t>
            </w:r>
            <w:hyperlink r:id="rId75" w:history="1">
              <w:r w:rsidRPr="00841E19">
                <w:rPr>
                  <w:rFonts w:eastAsia="Calibri" w:cs="Times New Roman"/>
                  <w:i/>
                  <w:color w:val="0000FF"/>
                  <w:sz w:val="20"/>
                  <w:szCs w:val="20"/>
                  <w:u w:val="single"/>
                  <w:lang w:val="en-US"/>
                </w:rPr>
                <w:t>Fraudulent Preferences Act</w:t>
              </w:r>
              <w:r w:rsidRPr="00841E19">
                <w:rPr>
                  <w:rFonts w:eastAsia="Calibri" w:cs="Times New Roman"/>
                  <w:color w:val="0000FF"/>
                  <w:sz w:val="20"/>
                  <w:szCs w:val="20"/>
                  <w:u w:val="single"/>
                  <w:lang w:val="en-US"/>
                </w:rPr>
                <w:t>, R.S.A. 2000, c. F-24</w:t>
              </w:r>
            </w:hyperlink>
            <w:r w:rsidRPr="00841E19">
              <w:rPr>
                <w:rFonts w:eastAsia="Calibri" w:cs="Times New Roman"/>
                <w:sz w:val="20"/>
                <w:szCs w:val="20"/>
              </w:rPr>
              <w:t xml:space="preserve"> as amended, and sought a declaration that the transfer was a fraudulent conveyance or alternatively a fraudulent preference, and an order that Cara Morgan and Janna-Joy Morgan convey the lands to it in trust for execution by the creditors of Gail Morgan.</w:t>
            </w:r>
            <w:r w:rsidRPr="00841E19">
              <w:rPr>
                <w:rFonts w:eastAsia="Calibri" w:cs="Times New Roman"/>
                <w:sz w:val="20"/>
                <w:szCs w:val="20"/>
                <w:lang w:val="en-US"/>
              </w:rPr>
              <w:t xml:space="preserve">  The Morgans denied that the transfer was either a fraudulent preference or a fraudulent conveyance.  They counterclaimed for damages.  </w:t>
            </w:r>
          </w:p>
          <w:p w:rsidR="00017F43" w:rsidRPr="00841E19" w:rsidRDefault="00017F43" w:rsidP="00102938">
            <w:pPr>
              <w:shd w:val="clear" w:color="auto" w:fill="FFFFFF"/>
              <w:autoSpaceDE w:val="0"/>
              <w:autoSpaceDN w:val="0"/>
              <w:jc w:val="both"/>
              <w:rPr>
                <w:rFonts w:eastAsia="Calibri" w:cs="Times New Roman"/>
                <w:sz w:val="20"/>
                <w:szCs w:val="20"/>
                <w:lang w:val="en-US"/>
              </w:rPr>
            </w:pPr>
          </w:p>
          <w:p w:rsidR="00017F43" w:rsidRPr="00841E19" w:rsidRDefault="00017F43" w:rsidP="00102938">
            <w:pPr>
              <w:shd w:val="clear" w:color="auto" w:fill="FFFFFF"/>
              <w:jc w:val="both"/>
              <w:rPr>
                <w:rFonts w:eastAsia="Times New Roman" w:cs="Times New Roman"/>
                <w:sz w:val="20"/>
                <w:szCs w:val="20"/>
                <w:lang w:val="en-US"/>
              </w:rPr>
            </w:pPr>
            <w:r w:rsidRPr="00841E19">
              <w:rPr>
                <w:rFonts w:eastAsia="Times New Roman" w:cs="Times New Roman"/>
                <w:sz w:val="20"/>
                <w:szCs w:val="20"/>
                <w:lang w:val="en-US"/>
              </w:rPr>
              <w:t xml:space="preserve">The trial judge concluded that the transfer of the property was </w:t>
            </w:r>
            <w:r w:rsidRPr="00841E19">
              <w:rPr>
                <w:rFonts w:eastAsia="Times New Roman" w:cs="Times New Roman"/>
                <w:i/>
                <w:iCs/>
                <w:sz w:val="20"/>
                <w:szCs w:val="20"/>
                <w:lang w:val="en-US"/>
              </w:rPr>
              <w:t>bona fide</w:t>
            </w:r>
            <w:r w:rsidRPr="00841E19">
              <w:rPr>
                <w:rFonts w:eastAsia="Times New Roman" w:cs="Times New Roman"/>
                <w:sz w:val="20"/>
                <w:szCs w:val="20"/>
                <w:lang w:val="en-US"/>
              </w:rPr>
              <w:t xml:space="preserve"> and not for a fraudulent purpose.  He allowed the counter-claim.  A majority of the Court of Appeal allowed the appeal, set aside the judgment on both the claim and counter-claim and ordered a new trial.  </w:t>
            </w:r>
          </w:p>
          <w:p w:rsidR="00017F43" w:rsidRPr="00841E19" w:rsidRDefault="00017F43" w:rsidP="00102938">
            <w:pPr>
              <w:shd w:val="clear" w:color="auto" w:fill="FFFFFF"/>
              <w:jc w:val="both"/>
              <w:rPr>
                <w:rFonts w:eastAsia="Times New Roman" w:cs="Times New Roman"/>
                <w:sz w:val="20"/>
                <w:szCs w:val="20"/>
                <w:lang w:val="en-US"/>
              </w:rPr>
            </w:pPr>
          </w:p>
        </w:tc>
      </w:tr>
      <w:tr w:rsidR="00017F43" w:rsidRPr="00841E19" w:rsidTr="00102938">
        <w:tc>
          <w:tcPr>
            <w:tcW w:w="2427" w:type="pct"/>
          </w:tcPr>
          <w:p w:rsidR="00017F43" w:rsidRPr="00841E19" w:rsidRDefault="00017F43" w:rsidP="00102938">
            <w:pPr>
              <w:jc w:val="both"/>
              <w:rPr>
                <w:rFonts w:eastAsia="Calibri" w:cs="Times New Roman"/>
                <w:sz w:val="20"/>
                <w:szCs w:val="20"/>
              </w:rPr>
            </w:pPr>
            <w:r w:rsidRPr="00841E19">
              <w:rPr>
                <w:rFonts w:eastAsia="Calibri" w:cs="Times New Roman"/>
                <w:sz w:val="20"/>
                <w:szCs w:val="20"/>
              </w:rPr>
              <w:t>June 12, 2013</w:t>
            </w:r>
          </w:p>
          <w:p w:rsidR="00017F43" w:rsidRPr="00841E19" w:rsidRDefault="00017F43" w:rsidP="00102938">
            <w:pPr>
              <w:jc w:val="both"/>
              <w:rPr>
                <w:rFonts w:eastAsia="Calibri" w:cs="Times New Roman"/>
                <w:sz w:val="20"/>
                <w:szCs w:val="20"/>
              </w:rPr>
            </w:pPr>
            <w:r w:rsidRPr="00841E19">
              <w:rPr>
                <w:rFonts w:eastAsia="Calibri" w:cs="Times New Roman"/>
                <w:sz w:val="20"/>
                <w:szCs w:val="20"/>
              </w:rPr>
              <w:t>Court of Queen’s Bench of Alberta</w:t>
            </w:r>
          </w:p>
          <w:p w:rsidR="00017F43" w:rsidRPr="00841E19" w:rsidRDefault="00017F43" w:rsidP="00102938">
            <w:pPr>
              <w:jc w:val="both"/>
              <w:rPr>
                <w:rFonts w:eastAsia="Calibri" w:cs="Times New Roman"/>
                <w:sz w:val="20"/>
                <w:szCs w:val="20"/>
              </w:rPr>
            </w:pPr>
            <w:r w:rsidRPr="00841E19">
              <w:rPr>
                <w:rFonts w:eastAsia="Calibri" w:cs="Times New Roman"/>
                <w:sz w:val="20"/>
                <w:szCs w:val="20"/>
              </w:rPr>
              <w:t>(Hall J.)</w:t>
            </w:r>
          </w:p>
          <w:p w:rsidR="00017F43" w:rsidRPr="00841E19" w:rsidRDefault="00417673" w:rsidP="00102938">
            <w:pPr>
              <w:jc w:val="both"/>
              <w:rPr>
                <w:rFonts w:eastAsia="Calibri" w:cs="Times New Roman"/>
                <w:sz w:val="20"/>
                <w:szCs w:val="20"/>
              </w:rPr>
            </w:pPr>
            <w:hyperlink r:id="rId76" w:history="1">
              <w:r w:rsidR="00017F43" w:rsidRPr="00841E19">
                <w:rPr>
                  <w:rFonts w:eastAsia="Calibri" w:cs="Times New Roman"/>
                  <w:color w:val="0000FF"/>
                  <w:sz w:val="20"/>
                  <w:szCs w:val="20"/>
                  <w:u w:val="single"/>
                </w:rPr>
                <w:t>2013 ABQB 339</w:t>
              </w:r>
            </w:hyperlink>
          </w:p>
          <w:p w:rsidR="00017F43" w:rsidRPr="00841E19" w:rsidRDefault="00017F43" w:rsidP="00102938">
            <w:pPr>
              <w:jc w:val="both"/>
              <w:rPr>
                <w:rFonts w:eastAsia="Calibri" w:cs="Times New Roman"/>
                <w:sz w:val="20"/>
                <w:szCs w:val="20"/>
              </w:rPr>
            </w:pPr>
          </w:p>
        </w:tc>
        <w:tc>
          <w:tcPr>
            <w:tcW w:w="243" w:type="pct"/>
          </w:tcPr>
          <w:p w:rsidR="00017F43" w:rsidRPr="00841E19" w:rsidRDefault="00017F43" w:rsidP="00102938">
            <w:pPr>
              <w:jc w:val="both"/>
              <w:rPr>
                <w:rFonts w:eastAsia="Calibri" w:cs="Times New Roman"/>
                <w:sz w:val="20"/>
                <w:szCs w:val="20"/>
              </w:rPr>
            </w:pPr>
          </w:p>
        </w:tc>
        <w:tc>
          <w:tcPr>
            <w:tcW w:w="2330" w:type="pct"/>
          </w:tcPr>
          <w:p w:rsidR="00017F43" w:rsidRPr="00841E19" w:rsidRDefault="00017F43" w:rsidP="00102938">
            <w:pPr>
              <w:jc w:val="both"/>
              <w:rPr>
                <w:rFonts w:eastAsia="Calibri" w:cs="Times New Roman"/>
                <w:sz w:val="20"/>
                <w:szCs w:val="20"/>
              </w:rPr>
            </w:pPr>
            <w:r w:rsidRPr="00841E19">
              <w:rPr>
                <w:rFonts w:eastAsia="Calibri" w:cs="Times New Roman"/>
                <w:sz w:val="20"/>
                <w:szCs w:val="20"/>
              </w:rPr>
              <w:t xml:space="preserve">Paragon Capital Corporation’s claim dismissed; Counterclaims by Cara Morgan and Janna-Joy Morgan granted. </w:t>
            </w:r>
          </w:p>
          <w:p w:rsidR="00017F43" w:rsidRPr="00841E19" w:rsidRDefault="00017F43" w:rsidP="00102938">
            <w:pPr>
              <w:jc w:val="both"/>
              <w:rPr>
                <w:rFonts w:eastAsia="Calibri" w:cs="Times New Roman"/>
                <w:sz w:val="20"/>
                <w:szCs w:val="20"/>
              </w:rPr>
            </w:pPr>
          </w:p>
        </w:tc>
      </w:tr>
      <w:tr w:rsidR="00017F43" w:rsidRPr="00841E19" w:rsidTr="00102938">
        <w:tc>
          <w:tcPr>
            <w:tcW w:w="2427" w:type="pct"/>
          </w:tcPr>
          <w:p w:rsidR="00017F43" w:rsidRPr="00841E19" w:rsidRDefault="00017F43" w:rsidP="00102938">
            <w:pPr>
              <w:jc w:val="both"/>
              <w:rPr>
                <w:rFonts w:eastAsia="Calibri" w:cs="Times New Roman"/>
                <w:sz w:val="20"/>
                <w:szCs w:val="20"/>
              </w:rPr>
            </w:pPr>
            <w:r w:rsidRPr="00841E19">
              <w:rPr>
                <w:rFonts w:eastAsia="Calibri" w:cs="Times New Roman"/>
                <w:sz w:val="20"/>
                <w:szCs w:val="20"/>
              </w:rPr>
              <w:t>November 5, 2014</w:t>
            </w:r>
          </w:p>
          <w:p w:rsidR="00017F43" w:rsidRPr="00841E19" w:rsidRDefault="00017F43" w:rsidP="00102938">
            <w:pPr>
              <w:jc w:val="both"/>
              <w:rPr>
                <w:rFonts w:eastAsia="Calibri" w:cs="Times New Roman"/>
                <w:sz w:val="20"/>
                <w:szCs w:val="20"/>
              </w:rPr>
            </w:pPr>
            <w:r w:rsidRPr="00841E19">
              <w:rPr>
                <w:rFonts w:eastAsia="Calibri" w:cs="Times New Roman"/>
                <w:sz w:val="20"/>
                <w:szCs w:val="20"/>
              </w:rPr>
              <w:t>Court of Appeal of Alberta (Calgary)</w:t>
            </w:r>
          </w:p>
          <w:p w:rsidR="00017F43" w:rsidRPr="00841E19" w:rsidRDefault="00017F43" w:rsidP="00102938">
            <w:pPr>
              <w:jc w:val="both"/>
              <w:rPr>
                <w:rFonts w:eastAsia="Calibri" w:cs="Times New Roman"/>
                <w:sz w:val="20"/>
                <w:szCs w:val="20"/>
              </w:rPr>
            </w:pPr>
            <w:r w:rsidRPr="00841E19">
              <w:rPr>
                <w:rFonts w:eastAsia="Calibri" w:cs="Times New Roman"/>
                <w:sz w:val="20"/>
                <w:szCs w:val="20"/>
              </w:rPr>
              <w:t xml:space="preserve">(Martin and O’Brien JJ.A. and Berger J.A. </w:t>
            </w:r>
          </w:p>
          <w:p w:rsidR="00017F43" w:rsidRPr="00841E19" w:rsidRDefault="00017F43" w:rsidP="00102938">
            <w:pPr>
              <w:jc w:val="both"/>
              <w:rPr>
                <w:rFonts w:eastAsia="Calibri" w:cs="Times New Roman"/>
                <w:sz w:val="20"/>
                <w:szCs w:val="20"/>
              </w:rPr>
            </w:pPr>
            <w:r w:rsidRPr="00841E19">
              <w:rPr>
                <w:rFonts w:eastAsia="Calibri" w:cs="Times New Roman"/>
                <w:sz w:val="20"/>
                <w:szCs w:val="20"/>
              </w:rPr>
              <w:t>(dissenting))</w:t>
            </w:r>
          </w:p>
          <w:p w:rsidR="00017F43" w:rsidRPr="00841E19" w:rsidRDefault="00417673" w:rsidP="00102938">
            <w:pPr>
              <w:jc w:val="both"/>
              <w:rPr>
                <w:rFonts w:eastAsia="Calibri" w:cs="Times New Roman"/>
                <w:sz w:val="20"/>
                <w:szCs w:val="20"/>
              </w:rPr>
            </w:pPr>
            <w:hyperlink r:id="rId77" w:history="1">
              <w:r w:rsidR="00017F43" w:rsidRPr="00841E19">
                <w:rPr>
                  <w:rFonts w:eastAsia="Calibri" w:cs="Times New Roman"/>
                  <w:color w:val="0000FF"/>
                  <w:sz w:val="20"/>
                  <w:szCs w:val="20"/>
                  <w:u w:val="single"/>
                </w:rPr>
                <w:t>2014 ABCA 363</w:t>
              </w:r>
            </w:hyperlink>
          </w:p>
          <w:p w:rsidR="00017F43" w:rsidRPr="00841E19" w:rsidRDefault="00017F43" w:rsidP="00102938">
            <w:pPr>
              <w:jc w:val="both"/>
              <w:rPr>
                <w:rFonts w:eastAsia="Calibri" w:cs="Times New Roman"/>
                <w:sz w:val="20"/>
                <w:szCs w:val="20"/>
              </w:rPr>
            </w:pPr>
            <w:r w:rsidRPr="00841E19">
              <w:rPr>
                <w:rFonts w:eastAsia="Calibri" w:cs="Times New Roman"/>
                <w:sz w:val="20"/>
                <w:szCs w:val="20"/>
              </w:rPr>
              <w:t>File No.: 1301-0174 AC</w:t>
            </w:r>
          </w:p>
          <w:p w:rsidR="00017F43" w:rsidRPr="00841E19" w:rsidRDefault="00017F43" w:rsidP="00102938">
            <w:pPr>
              <w:jc w:val="both"/>
              <w:rPr>
                <w:rFonts w:eastAsia="Calibri" w:cs="Times New Roman"/>
                <w:sz w:val="20"/>
                <w:szCs w:val="20"/>
              </w:rPr>
            </w:pPr>
          </w:p>
        </w:tc>
        <w:tc>
          <w:tcPr>
            <w:tcW w:w="243" w:type="pct"/>
          </w:tcPr>
          <w:p w:rsidR="00017F43" w:rsidRPr="00841E19" w:rsidRDefault="00017F43" w:rsidP="00102938">
            <w:pPr>
              <w:jc w:val="both"/>
              <w:rPr>
                <w:rFonts w:eastAsia="Calibri" w:cs="Times New Roman"/>
                <w:sz w:val="20"/>
                <w:szCs w:val="20"/>
              </w:rPr>
            </w:pPr>
          </w:p>
        </w:tc>
        <w:tc>
          <w:tcPr>
            <w:tcW w:w="2330" w:type="pct"/>
          </w:tcPr>
          <w:p w:rsidR="00017F43" w:rsidRPr="00841E19" w:rsidRDefault="00017F43" w:rsidP="00102938">
            <w:pPr>
              <w:jc w:val="both"/>
              <w:rPr>
                <w:rFonts w:eastAsia="Calibri" w:cs="Times New Roman"/>
                <w:sz w:val="20"/>
                <w:szCs w:val="20"/>
              </w:rPr>
            </w:pPr>
            <w:r w:rsidRPr="00841E19">
              <w:rPr>
                <w:rFonts w:eastAsia="Calibri" w:cs="Times New Roman"/>
                <w:sz w:val="20"/>
                <w:szCs w:val="20"/>
              </w:rPr>
              <w:t xml:space="preserve">Appeal allowed.  Matter to be returned to the Court of Queen’s Bench for a new trial.  </w:t>
            </w:r>
          </w:p>
          <w:p w:rsidR="00017F43" w:rsidRPr="00841E19" w:rsidRDefault="00017F43" w:rsidP="00102938">
            <w:pPr>
              <w:jc w:val="both"/>
              <w:rPr>
                <w:rFonts w:eastAsia="Calibri" w:cs="Times New Roman"/>
                <w:sz w:val="20"/>
                <w:szCs w:val="20"/>
              </w:rPr>
            </w:pPr>
          </w:p>
        </w:tc>
      </w:tr>
      <w:tr w:rsidR="00017F43" w:rsidRPr="00841E19" w:rsidTr="00102938">
        <w:tc>
          <w:tcPr>
            <w:tcW w:w="2427" w:type="pct"/>
          </w:tcPr>
          <w:p w:rsidR="00017F43" w:rsidRPr="00841E19" w:rsidRDefault="00017F43" w:rsidP="00102938">
            <w:pPr>
              <w:jc w:val="both"/>
              <w:rPr>
                <w:rFonts w:eastAsia="Calibri" w:cs="Times New Roman"/>
                <w:sz w:val="20"/>
                <w:szCs w:val="20"/>
              </w:rPr>
            </w:pPr>
            <w:r w:rsidRPr="00841E19">
              <w:rPr>
                <w:rFonts w:eastAsia="Calibri" w:cs="Times New Roman"/>
                <w:sz w:val="20"/>
                <w:szCs w:val="20"/>
              </w:rPr>
              <w:t>January 5, 2015</w:t>
            </w:r>
          </w:p>
          <w:p w:rsidR="00017F43" w:rsidRPr="00841E19" w:rsidRDefault="00017F43" w:rsidP="00102938">
            <w:pPr>
              <w:jc w:val="both"/>
              <w:rPr>
                <w:rFonts w:eastAsia="Calibri" w:cs="Times New Roman"/>
                <w:sz w:val="20"/>
                <w:szCs w:val="20"/>
              </w:rPr>
            </w:pPr>
            <w:r w:rsidRPr="00841E19">
              <w:rPr>
                <w:rFonts w:eastAsia="Calibri" w:cs="Times New Roman"/>
                <w:sz w:val="20"/>
                <w:szCs w:val="20"/>
              </w:rPr>
              <w:t>Supreme Court of Canada</w:t>
            </w:r>
          </w:p>
        </w:tc>
        <w:tc>
          <w:tcPr>
            <w:tcW w:w="243" w:type="pct"/>
          </w:tcPr>
          <w:p w:rsidR="00017F43" w:rsidRPr="00841E19" w:rsidRDefault="00017F43" w:rsidP="00102938">
            <w:pPr>
              <w:jc w:val="both"/>
              <w:rPr>
                <w:rFonts w:eastAsia="Calibri" w:cs="Times New Roman"/>
                <w:sz w:val="20"/>
                <w:szCs w:val="20"/>
              </w:rPr>
            </w:pPr>
          </w:p>
        </w:tc>
        <w:tc>
          <w:tcPr>
            <w:tcW w:w="2330" w:type="pct"/>
          </w:tcPr>
          <w:p w:rsidR="00017F43" w:rsidRPr="00841E19" w:rsidRDefault="00017F43" w:rsidP="00102938">
            <w:pPr>
              <w:jc w:val="both"/>
              <w:rPr>
                <w:rFonts w:eastAsia="Calibri" w:cs="Times New Roman"/>
                <w:sz w:val="20"/>
                <w:szCs w:val="20"/>
              </w:rPr>
            </w:pPr>
            <w:r w:rsidRPr="00841E19">
              <w:rPr>
                <w:rFonts w:eastAsia="Calibri" w:cs="Times New Roman"/>
                <w:sz w:val="20"/>
                <w:szCs w:val="20"/>
              </w:rPr>
              <w:t>Application for leave to appeal filed.</w:t>
            </w:r>
          </w:p>
          <w:p w:rsidR="00017F43" w:rsidRPr="00841E19" w:rsidRDefault="00017F43" w:rsidP="00102938">
            <w:pPr>
              <w:jc w:val="both"/>
              <w:rPr>
                <w:rFonts w:eastAsia="Calibri" w:cs="Times New Roman"/>
                <w:sz w:val="20"/>
                <w:szCs w:val="20"/>
              </w:rPr>
            </w:pPr>
          </w:p>
        </w:tc>
      </w:tr>
    </w:tbl>
    <w:p w:rsidR="00017F43" w:rsidRPr="00204D62" w:rsidRDefault="00017F43" w:rsidP="00017F43">
      <w:pPr>
        <w:rPr>
          <w:sz w:val="20"/>
          <w:szCs w:val="20"/>
          <w:lang w:val="en-US"/>
        </w:rPr>
      </w:pPr>
    </w:p>
    <w:p w:rsidR="00017F43" w:rsidRPr="00C50A5C" w:rsidRDefault="00417673" w:rsidP="00017F43">
      <w:pPr>
        <w:rPr>
          <w:sz w:val="20"/>
          <w:szCs w:val="20"/>
        </w:rPr>
      </w:pPr>
      <w:r>
        <w:rPr>
          <w:sz w:val="20"/>
          <w:szCs w:val="20"/>
          <w:lang w:val="fr-CA"/>
        </w:rPr>
        <w:pict>
          <v:rect id="_x0000_i1072" style="width:2in;height:1pt" o:hrpct="0" o:hralign="center" o:hrstd="t" o:hrnoshade="t" o:hr="t" fillcolor="black [3213]" stroked="f"/>
        </w:pict>
      </w:r>
    </w:p>
    <w:p w:rsidR="00017F43" w:rsidRDefault="00017F43" w:rsidP="00017F43">
      <w:pPr>
        <w:rPr>
          <w:sz w:val="20"/>
          <w:szCs w:val="20"/>
        </w:rPr>
      </w:pPr>
    </w:p>
    <w:p w:rsidR="00017F43" w:rsidRPr="001B157C" w:rsidRDefault="00017F43" w:rsidP="00017F43">
      <w:pPr>
        <w:rPr>
          <w:sz w:val="20"/>
          <w:szCs w:val="20"/>
          <w:u w:val="single"/>
          <w:lang w:val="fr-CA"/>
        </w:rPr>
      </w:pPr>
      <w:r w:rsidRPr="001B157C">
        <w:rPr>
          <w:sz w:val="20"/>
          <w:szCs w:val="20"/>
          <w:u w:val="single"/>
          <w:lang w:val="fr-CA"/>
        </w:rPr>
        <w:t>RÉSUMÉ DE L’AFFAIRE</w:t>
      </w:r>
    </w:p>
    <w:p w:rsidR="00017F43" w:rsidRDefault="00017F43" w:rsidP="00017F4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17F43" w:rsidRPr="00584913" w:rsidTr="00102938">
        <w:tc>
          <w:tcPr>
            <w:tcW w:w="5000" w:type="pct"/>
            <w:gridSpan w:val="3"/>
          </w:tcPr>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Appels — Créancier et débiteur — Garantie personnelle — Biens réels — Transport frauduleux — Le créancier a pris une mesure de recouvrement sur la garantie personnelle — Le créancier allègue que le transfert du bien réel aux filles était un transport frauduleux qui visait à l’empêcher à réaliser sa créance sur la garantie de prêt — La Cour du Banc de la Reine a rejeté la demande du créancier — Les juges majoritaires de la Cour d’appel ont accueilli l’appel du créancier et ordonné la tenue d’un nouveau procès — Quelle norme de preuve doit-être satisfaite pour réfuter une présomption créée par les « signes distinctifs de fraude » lorsque le créancier cherche à annuler le transfert de biens entre parents comme un transport ou une préférence frauduleux? — Les conclusions de fait du juge de première instance peuvent-elles être infirmées au motif que celui-ci était tenu [</w:t>
            </w:r>
            <w:r w:rsidRPr="00841E19">
              <w:rPr>
                <w:rFonts w:eastAsia="Calibri" w:cs="Times New Roman"/>
                <w:smallCaps/>
                <w:sz w:val="20"/>
                <w:szCs w:val="20"/>
                <w:lang w:val="fr-CA"/>
              </w:rPr>
              <w:t>traduction</w:t>
            </w:r>
            <w:r w:rsidRPr="00841E19">
              <w:rPr>
                <w:rFonts w:eastAsia="Calibri" w:cs="Times New Roman"/>
                <w:sz w:val="20"/>
                <w:szCs w:val="20"/>
                <w:lang w:val="fr-CA"/>
              </w:rPr>
              <w:t>] « d’expliquer plus à fond » pourquoi certains éléments de preuve ont été jugés inutiles?</w:t>
            </w:r>
          </w:p>
        </w:tc>
      </w:tr>
      <w:tr w:rsidR="00017F43" w:rsidRPr="00584913" w:rsidTr="00102938">
        <w:tc>
          <w:tcPr>
            <w:tcW w:w="5000" w:type="pct"/>
            <w:gridSpan w:val="3"/>
          </w:tcPr>
          <w:p w:rsidR="00017F43" w:rsidRPr="00841E19" w:rsidRDefault="00017F43" w:rsidP="00102938">
            <w:pPr>
              <w:jc w:val="both"/>
              <w:rPr>
                <w:rFonts w:eastAsia="Calibri" w:cs="Times New Roman"/>
                <w:sz w:val="20"/>
                <w:szCs w:val="20"/>
                <w:lang w:val="fr-CA"/>
              </w:rPr>
            </w:pPr>
          </w:p>
        </w:tc>
      </w:tr>
      <w:tr w:rsidR="00017F43" w:rsidRPr="00584913" w:rsidTr="00102938">
        <w:tc>
          <w:tcPr>
            <w:tcW w:w="5000" w:type="pct"/>
            <w:gridSpan w:val="3"/>
          </w:tcPr>
          <w:p w:rsidR="00017F43" w:rsidRPr="00841E19" w:rsidRDefault="00017F43" w:rsidP="00102938">
            <w:pPr>
              <w:shd w:val="clear" w:color="auto" w:fill="FFFFFF"/>
              <w:autoSpaceDE w:val="0"/>
              <w:autoSpaceDN w:val="0"/>
              <w:jc w:val="both"/>
              <w:rPr>
                <w:rFonts w:eastAsia="Calibri" w:cs="Times New Roman"/>
                <w:sz w:val="20"/>
                <w:szCs w:val="20"/>
                <w:lang w:val="fr-CA"/>
              </w:rPr>
            </w:pPr>
            <w:r w:rsidRPr="00841E19">
              <w:rPr>
                <w:rFonts w:eastAsia="Calibri" w:cs="Times New Roman"/>
                <w:sz w:val="20"/>
                <w:szCs w:val="20"/>
                <w:lang w:val="fr-CA"/>
              </w:rPr>
              <w:t xml:space="preserve">L’intimée, Paragon Capital Corporation Ltd. a sollicité un jugement déclarant que le transfert d’une résidence que la demanderesse, Gail Morgan, avait achetée pour la somme d’environ un million de dollars, à ses deux filles, les demanderesses Cara et Janna-Joy Morgan, constituait une préférence frauduleuse et qu’à la suite de ce transfert, Paragon avait subi un préjudice ou un retard.  Paragon a invoqué le </w:t>
            </w:r>
            <w:r w:rsidRPr="00841E19">
              <w:rPr>
                <w:rFonts w:eastAsia="Calibri" w:cs="Times New Roman"/>
                <w:i/>
                <w:iCs/>
                <w:sz w:val="20"/>
                <w:szCs w:val="20"/>
                <w:lang w:val="fr-CA"/>
              </w:rPr>
              <w:t>Statute of Elizabeth</w:t>
            </w:r>
            <w:r w:rsidRPr="00841E19">
              <w:rPr>
                <w:rFonts w:eastAsia="Calibri" w:cs="Times New Roman"/>
                <w:sz w:val="20"/>
                <w:szCs w:val="20"/>
                <w:lang w:val="fr-CA"/>
              </w:rPr>
              <w:t xml:space="preserve">, 13 Eliz. 1, ch. 5 et la </w:t>
            </w:r>
            <w:hyperlink r:id="rId78" w:history="1">
              <w:r w:rsidRPr="00841E19">
                <w:rPr>
                  <w:rFonts w:eastAsia="Calibri" w:cs="Times New Roman"/>
                  <w:i/>
                  <w:color w:val="0000FF"/>
                  <w:sz w:val="20"/>
                  <w:szCs w:val="20"/>
                  <w:u w:val="single"/>
                  <w:lang w:val="fr-CA"/>
                </w:rPr>
                <w:t>Fraudulent Preferences Act</w:t>
              </w:r>
              <w:r w:rsidRPr="00841E19">
                <w:rPr>
                  <w:rFonts w:eastAsia="Calibri" w:cs="Times New Roman"/>
                  <w:color w:val="0000FF"/>
                  <w:sz w:val="20"/>
                  <w:szCs w:val="20"/>
                  <w:u w:val="single"/>
                  <w:lang w:val="fr-CA"/>
                </w:rPr>
                <w:t>, R.S.A. 2000, c. F-24</w:t>
              </w:r>
            </w:hyperlink>
            <w:r w:rsidRPr="00841E19">
              <w:rPr>
                <w:rFonts w:eastAsia="Calibri" w:cs="Times New Roman"/>
                <w:sz w:val="16"/>
                <w:szCs w:val="20"/>
                <w:lang w:val="fr-CA"/>
              </w:rPr>
              <w:t xml:space="preserve"> </w:t>
            </w:r>
            <w:r w:rsidRPr="00841E19">
              <w:rPr>
                <w:rFonts w:eastAsia="Calibri" w:cs="Times New Roman"/>
                <w:sz w:val="20"/>
                <w:szCs w:val="20"/>
                <w:lang w:val="fr-CA"/>
              </w:rPr>
              <w:t xml:space="preserve">et ses modifications, et a sollicité un jugement déclarant que le transfert était un transport frauduleux ou, subsidiairement, une préférence frauduleuse, et une ordonnance sommant Cara Morgan et Janna-Joy Morgan de lui transférer les biens-fonds en fiducie pour exécution par les créanciers de Gail Morgan.  Les Morgan ont nié que le transfert était une préférence frauduleuse ou un transport frauduleux.  Elles ont introduit une demande reconventionnelle en dommages-intérêts.  </w:t>
            </w:r>
          </w:p>
          <w:p w:rsidR="00017F43" w:rsidRPr="00841E19" w:rsidRDefault="00017F43" w:rsidP="00102938">
            <w:pPr>
              <w:shd w:val="clear" w:color="auto" w:fill="FFFFFF"/>
              <w:autoSpaceDE w:val="0"/>
              <w:autoSpaceDN w:val="0"/>
              <w:jc w:val="both"/>
              <w:rPr>
                <w:rFonts w:eastAsia="Calibri" w:cs="Times New Roman"/>
                <w:sz w:val="20"/>
                <w:szCs w:val="20"/>
                <w:lang w:val="fr-CA"/>
              </w:rPr>
            </w:pPr>
          </w:p>
          <w:p w:rsidR="00017F43" w:rsidRPr="00841E19" w:rsidRDefault="00017F43" w:rsidP="00102938">
            <w:pPr>
              <w:shd w:val="clear" w:color="auto" w:fill="FFFFFF"/>
              <w:jc w:val="both"/>
              <w:rPr>
                <w:rFonts w:eastAsia="Times New Roman" w:cs="Times New Roman"/>
                <w:sz w:val="20"/>
                <w:szCs w:val="20"/>
                <w:lang w:val="fr-CA"/>
              </w:rPr>
            </w:pPr>
            <w:r w:rsidRPr="00841E19">
              <w:rPr>
                <w:rFonts w:eastAsia="Times New Roman" w:cs="Times New Roman"/>
                <w:sz w:val="20"/>
                <w:szCs w:val="20"/>
                <w:lang w:val="fr-CA"/>
              </w:rPr>
              <w:t xml:space="preserve">Le juge de première instance a conclu que le transfert du bien avait été fait de bonne foi et non à une fin frauduleuse.  Il a accueilli la demande reconventionnelle.  Les juges majoritaires de la Cour d’appel ont accueilli l’appel, annulé le jugement rendu sur la demande et la demande reconventionnelle et ordonné la tenue d’un nouveau procès.  </w:t>
            </w:r>
          </w:p>
          <w:p w:rsidR="00017F43" w:rsidRPr="00841E19" w:rsidRDefault="00017F43" w:rsidP="00102938">
            <w:pPr>
              <w:shd w:val="clear" w:color="auto" w:fill="FFFFFF"/>
              <w:jc w:val="both"/>
              <w:rPr>
                <w:rFonts w:eastAsia="Times New Roman" w:cs="Times New Roman"/>
                <w:sz w:val="20"/>
                <w:szCs w:val="20"/>
                <w:lang w:val="fr-CA"/>
              </w:rPr>
            </w:pPr>
          </w:p>
        </w:tc>
      </w:tr>
      <w:tr w:rsidR="00017F43" w:rsidRPr="00584913" w:rsidTr="00102938">
        <w:tc>
          <w:tcPr>
            <w:tcW w:w="2427" w:type="pct"/>
          </w:tcPr>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12 juin 2013</w:t>
            </w:r>
          </w:p>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Cour du Banc de la Reine de l’Alberta</w:t>
            </w:r>
          </w:p>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(Juge Hall)</w:t>
            </w:r>
          </w:p>
          <w:p w:rsidR="00017F43" w:rsidRPr="00841E19" w:rsidRDefault="00417673" w:rsidP="00102938">
            <w:pPr>
              <w:jc w:val="both"/>
              <w:rPr>
                <w:rFonts w:eastAsia="Calibri" w:cs="Times New Roman"/>
                <w:sz w:val="20"/>
                <w:szCs w:val="20"/>
                <w:lang w:val="fr-CA"/>
              </w:rPr>
            </w:pPr>
            <w:hyperlink r:id="rId79" w:history="1">
              <w:r w:rsidR="00017F43" w:rsidRPr="00841E19">
                <w:rPr>
                  <w:rFonts w:eastAsia="Calibri" w:cs="Times New Roman"/>
                  <w:color w:val="0000FF"/>
                  <w:sz w:val="20"/>
                  <w:szCs w:val="20"/>
                  <w:u w:val="single"/>
                  <w:lang w:val="fr-CA"/>
                </w:rPr>
                <w:t>2013 ABQB 339</w:t>
              </w:r>
            </w:hyperlink>
          </w:p>
          <w:p w:rsidR="00017F43" w:rsidRPr="00841E19" w:rsidRDefault="00017F43" w:rsidP="00102938">
            <w:pPr>
              <w:jc w:val="both"/>
              <w:rPr>
                <w:rFonts w:eastAsia="Calibri" w:cs="Times New Roman"/>
                <w:sz w:val="20"/>
                <w:szCs w:val="20"/>
                <w:lang w:val="fr-CA"/>
              </w:rPr>
            </w:pPr>
          </w:p>
        </w:tc>
        <w:tc>
          <w:tcPr>
            <w:tcW w:w="243" w:type="pct"/>
          </w:tcPr>
          <w:p w:rsidR="00017F43" w:rsidRPr="00841E19" w:rsidRDefault="00017F43" w:rsidP="00102938">
            <w:pPr>
              <w:jc w:val="both"/>
              <w:rPr>
                <w:rFonts w:eastAsia="Calibri" w:cs="Times New Roman"/>
                <w:sz w:val="20"/>
                <w:szCs w:val="20"/>
                <w:lang w:val="fr-CA"/>
              </w:rPr>
            </w:pPr>
          </w:p>
        </w:tc>
        <w:tc>
          <w:tcPr>
            <w:tcW w:w="2330" w:type="pct"/>
          </w:tcPr>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 xml:space="preserve">Rejet de la demande de Paragon Capital Corporation; jugement accueillant les demandes reconventionnelles de Cara Morgan et de Janna-Joy Morgan. </w:t>
            </w:r>
          </w:p>
          <w:p w:rsidR="00017F43" w:rsidRPr="00841E19" w:rsidRDefault="00017F43" w:rsidP="00102938">
            <w:pPr>
              <w:jc w:val="both"/>
              <w:rPr>
                <w:rFonts w:eastAsia="Calibri" w:cs="Times New Roman"/>
                <w:sz w:val="20"/>
                <w:szCs w:val="20"/>
                <w:lang w:val="fr-CA"/>
              </w:rPr>
            </w:pPr>
          </w:p>
        </w:tc>
      </w:tr>
      <w:tr w:rsidR="00017F43" w:rsidRPr="00584913" w:rsidTr="00102938">
        <w:tc>
          <w:tcPr>
            <w:tcW w:w="2427" w:type="pct"/>
          </w:tcPr>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5 novembre 2014</w:t>
            </w:r>
          </w:p>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Cour d’appel de l’Alberta (Calgary)</w:t>
            </w:r>
          </w:p>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(Juges Martin, O’Brien et Berger</w:t>
            </w:r>
          </w:p>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(dissident))</w:t>
            </w:r>
          </w:p>
          <w:p w:rsidR="00017F43" w:rsidRPr="00841E19" w:rsidRDefault="00417673" w:rsidP="00102938">
            <w:pPr>
              <w:jc w:val="both"/>
              <w:rPr>
                <w:rFonts w:eastAsia="Calibri" w:cs="Times New Roman"/>
                <w:sz w:val="20"/>
                <w:szCs w:val="20"/>
                <w:lang w:val="fr-CA"/>
              </w:rPr>
            </w:pPr>
            <w:hyperlink r:id="rId80" w:history="1">
              <w:r w:rsidR="00017F43" w:rsidRPr="00841E19">
                <w:rPr>
                  <w:rFonts w:eastAsia="Calibri" w:cs="Times New Roman"/>
                  <w:color w:val="0000FF"/>
                  <w:sz w:val="20"/>
                  <w:szCs w:val="20"/>
                  <w:u w:val="single"/>
                  <w:lang w:val="fr-CA"/>
                </w:rPr>
                <w:t>2014 ABCA 363</w:t>
              </w:r>
            </w:hyperlink>
          </w:p>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N</w:t>
            </w:r>
            <w:r w:rsidRPr="00841E19">
              <w:rPr>
                <w:rFonts w:eastAsia="Calibri" w:cs="Times New Roman"/>
                <w:sz w:val="20"/>
                <w:szCs w:val="20"/>
                <w:vertAlign w:val="superscript"/>
                <w:lang w:val="fr-CA"/>
              </w:rPr>
              <w:t>o</w:t>
            </w:r>
            <w:r w:rsidRPr="00841E19">
              <w:rPr>
                <w:rFonts w:eastAsia="Calibri" w:cs="Times New Roman"/>
                <w:sz w:val="20"/>
                <w:szCs w:val="20"/>
                <w:lang w:val="fr-CA"/>
              </w:rPr>
              <w:t xml:space="preserve"> du greffe 1301-0174 AC</w:t>
            </w:r>
          </w:p>
          <w:p w:rsidR="00017F43" w:rsidRPr="00841E19" w:rsidRDefault="00017F43" w:rsidP="00102938">
            <w:pPr>
              <w:jc w:val="both"/>
              <w:rPr>
                <w:rFonts w:eastAsia="Calibri" w:cs="Times New Roman"/>
                <w:sz w:val="20"/>
                <w:szCs w:val="20"/>
                <w:lang w:val="fr-CA"/>
              </w:rPr>
            </w:pPr>
          </w:p>
        </w:tc>
        <w:tc>
          <w:tcPr>
            <w:tcW w:w="243" w:type="pct"/>
          </w:tcPr>
          <w:p w:rsidR="00017F43" w:rsidRPr="00841E19" w:rsidRDefault="00017F43" w:rsidP="00102938">
            <w:pPr>
              <w:jc w:val="both"/>
              <w:rPr>
                <w:rFonts w:eastAsia="Calibri" w:cs="Times New Roman"/>
                <w:sz w:val="20"/>
                <w:szCs w:val="20"/>
                <w:lang w:val="fr-CA"/>
              </w:rPr>
            </w:pPr>
          </w:p>
        </w:tc>
        <w:tc>
          <w:tcPr>
            <w:tcW w:w="2330" w:type="pct"/>
          </w:tcPr>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 xml:space="preserve">Arrêt accueillant l’appel et renvoyant l’affaire à la Cour du Banc de la Reine pour un nouveau procès.  </w:t>
            </w:r>
          </w:p>
          <w:p w:rsidR="00017F43" w:rsidRPr="00841E19" w:rsidRDefault="00017F43" w:rsidP="00102938">
            <w:pPr>
              <w:jc w:val="both"/>
              <w:rPr>
                <w:rFonts w:eastAsia="Calibri" w:cs="Times New Roman"/>
                <w:sz w:val="20"/>
                <w:szCs w:val="20"/>
                <w:lang w:val="fr-CA"/>
              </w:rPr>
            </w:pPr>
          </w:p>
        </w:tc>
      </w:tr>
      <w:tr w:rsidR="00017F43" w:rsidRPr="00584913" w:rsidTr="00102938">
        <w:tc>
          <w:tcPr>
            <w:tcW w:w="2427" w:type="pct"/>
          </w:tcPr>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5 janvier 2015</w:t>
            </w:r>
          </w:p>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Cour suprême du Canada</w:t>
            </w:r>
          </w:p>
        </w:tc>
        <w:tc>
          <w:tcPr>
            <w:tcW w:w="243" w:type="pct"/>
          </w:tcPr>
          <w:p w:rsidR="00017F43" w:rsidRPr="00841E19" w:rsidRDefault="00017F43" w:rsidP="00102938">
            <w:pPr>
              <w:jc w:val="both"/>
              <w:rPr>
                <w:rFonts w:eastAsia="Calibri" w:cs="Times New Roman"/>
                <w:sz w:val="20"/>
                <w:szCs w:val="20"/>
                <w:lang w:val="fr-CA"/>
              </w:rPr>
            </w:pPr>
          </w:p>
        </w:tc>
        <w:tc>
          <w:tcPr>
            <w:tcW w:w="2330" w:type="pct"/>
          </w:tcPr>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Dépôt de la demande d’autorisation d’appel.</w:t>
            </w:r>
          </w:p>
          <w:p w:rsidR="00017F43" w:rsidRPr="00841E19" w:rsidRDefault="00017F43" w:rsidP="00102938">
            <w:pPr>
              <w:jc w:val="both"/>
              <w:rPr>
                <w:rFonts w:eastAsia="Calibri" w:cs="Times New Roman"/>
                <w:sz w:val="20"/>
                <w:szCs w:val="20"/>
                <w:lang w:val="fr-CA"/>
              </w:rPr>
            </w:pPr>
          </w:p>
        </w:tc>
      </w:tr>
    </w:tbl>
    <w:p w:rsidR="00017F43" w:rsidRPr="00841E19" w:rsidRDefault="00017F43" w:rsidP="00017F43">
      <w:pPr>
        <w:jc w:val="both"/>
        <w:rPr>
          <w:rFonts w:eastAsia="Calibri" w:cs="Times New Roman"/>
          <w:sz w:val="20"/>
          <w:szCs w:val="20"/>
          <w:lang w:val="fr-CA"/>
        </w:rPr>
      </w:pPr>
    </w:p>
    <w:p w:rsidR="00017F43" w:rsidRPr="00C50A5C" w:rsidRDefault="00417673" w:rsidP="00017F43">
      <w:pPr>
        <w:rPr>
          <w:sz w:val="20"/>
          <w:szCs w:val="20"/>
        </w:rPr>
      </w:pPr>
      <w:r>
        <w:rPr>
          <w:sz w:val="20"/>
          <w:szCs w:val="20"/>
          <w:lang w:val="fr-CA"/>
        </w:rPr>
        <w:pict>
          <v:rect id="_x0000_i1073" style="width:2in;height:1pt" o:hrpct="0" o:hralign="center" o:hrstd="t" o:hrnoshade="t" o:hr="t" fillcolor="black [3213]" stroked="f"/>
        </w:pict>
      </w:r>
    </w:p>
    <w:p w:rsidR="00017F43" w:rsidRPr="00017F43" w:rsidRDefault="00017F43" w:rsidP="00017F43">
      <w:pPr>
        <w:rPr>
          <w:sz w:val="20"/>
          <w:szCs w:val="24"/>
          <w:lang w:val="fr-CA"/>
        </w:rPr>
      </w:pPr>
    </w:p>
    <w:tbl>
      <w:tblPr>
        <w:tblStyle w:val="TableGrid1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17F43" w:rsidRPr="00017F43" w:rsidTr="00102938">
        <w:trPr>
          <w:cantSplit/>
        </w:trPr>
        <w:tc>
          <w:tcPr>
            <w:tcW w:w="1458" w:type="dxa"/>
          </w:tcPr>
          <w:p w:rsidR="00017F43" w:rsidRPr="00017F43" w:rsidRDefault="00017F43" w:rsidP="00017F43">
            <w:pPr>
              <w:jc w:val="both"/>
              <w:rPr>
                <w:sz w:val="20"/>
              </w:rPr>
            </w:pPr>
            <w:r w:rsidRPr="00017F43">
              <w:rPr>
                <w:b/>
                <w:sz w:val="20"/>
                <w:lang w:val="fr-CA"/>
              </w:rPr>
              <w:t>36253</w:t>
            </w:r>
          </w:p>
          <w:p w:rsidR="00017F43" w:rsidRPr="00017F43" w:rsidRDefault="00017F43" w:rsidP="00017F43">
            <w:pPr>
              <w:jc w:val="both"/>
              <w:rPr>
                <w:b/>
                <w:sz w:val="20"/>
                <w:lang w:val="fr-CA"/>
              </w:rPr>
            </w:pPr>
          </w:p>
        </w:tc>
        <w:tc>
          <w:tcPr>
            <w:tcW w:w="8118" w:type="dxa"/>
          </w:tcPr>
          <w:p w:rsidR="00017F43" w:rsidRPr="00017F43" w:rsidRDefault="00017F43" w:rsidP="00017F43">
            <w:pPr>
              <w:jc w:val="both"/>
              <w:rPr>
                <w:sz w:val="20"/>
              </w:rPr>
            </w:pPr>
            <w:r w:rsidRPr="00017F43">
              <w:rPr>
                <w:b/>
                <w:sz w:val="20"/>
                <w:u w:val="single"/>
                <w:lang w:val="en-US"/>
              </w:rPr>
              <w:t>Humanics Institute v. Minister of National Revenue</w:t>
            </w:r>
            <w:r w:rsidRPr="00017F43">
              <w:rPr>
                <w:sz w:val="20"/>
              </w:rPr>
              <w:t xml:space="preserve"> (F</w:t>
            </w:r>
            <w:r w:rsidR="00A87EEA">
              <w:rPr>
                <w:sz w:val="20"/>
              </w:rPr>
              <w:t>.</w:t>
            </w:r>
            <w:r w:rsidRPr="00017F43">
              <w:rPr>
                <w:sz w:val="20"/>
              </w:rPr>
              <w:t>C</w:t>
            </w:r>
            <w:r w:rsidR="00A87EEA">
              <w:rPr>
                <w:sz w:val="20"/>
              </w:rPr>
              <w:t>.</w:t>
            </w:r>
            <w:r w:rsidRPr="00017F43">
              <w:rPr>
                <w:sz w:val="20"/>
              </w:rPr>
              <w:t>) (Civil) (By Leave)</w:t>
            </w:r>
          </w:p>
          <w:p w:rsidR="00017F43" w:rsidRPr="00017F43" w:rsidRDefault="00017F43" w:rsidP="00017F43">
            <w:pPr>
              <w:jc w:val="both"/>
              <w:rPr>
                <w:sz w:val="20"/>
              </w:rPr>
            </w:pPr>
          </w:p>
        </w:tc>
      </w:tr>
      <w:tr w:rsidR="00017F43" w:rsidRPr="00017F43" w:rsidTr="00102938">
        <w:trPr>
          <w:cantSplit/>
        </w:trPr>
        <w:tc>
          <w:tcPr>
            <w:tcW w:w="1458" w:type="dxa"/>
          </w:tcPr>
          <w:p w:rsidR="00017F43" w:rsidRPr="00017F43" w:rsidRDefault="00017F43" w:rsidP="00017F43">
            <w:pPr>
              <w:jc w:val="both"/>
              <w:rPr>
                <w:sz w:val="20"/>
              </w:rPr>
            </w:pPr>
            <w:r w:rsidRPr="00017F43">
              <w:rPr>
                <w:sz w:val="20"/>
              </w:rPr>
              <w:t>Coram :</w:t>
            </w:r>
          </w:p>
        </w:tc>
        <w:tc>
          <w:tcPr>
            <w:tcW w:w="8118" w:type="dxa"/>
          </w:tcPr>
          <w:p w:rsidR="00017F43" w:rsidRPr="00017F43" w:rsidRDefault="00017F43" w:rsidP="00017F43">
            <w:pPr>
              <w:jc w:val="both"/>
              <w:rPr>
                <w:sz w:val="20"/>
              </w:rPr>
            </w:pPr>
            <w:r w:rsidRPr="00017F43">
              <w:rPr>
                <w:sz w:val="20"/>
                <w:u w:val="single"/>
                <w:lang w:val="en-US"/>
              </w:rPr>
              <w:t>Rothstein, Cromwell and Moldaver JJ.</w:t>
            </w:r>
          </w:p>
          <w:p w:rsidR="00017F43" w:rsidRPr="00017F43" w:rsidRDefault="00017F43" w:rsidP="00017F43">
            <w:pPr>
              <w:jc w:val="both"/>
              <w:rPr>
                <w:sz w:val="20"/>
                <w:u w:val="single"/>
              </w:rPr>
            </w:pPr>
          </w:p>
        </w:tc>
      </w:tr>
      <w:tr w:rsidR="00017F43" w:rsidRPr="00584913" w:rsidTr="00102938">
        <w:trPr>
          <w:cantSplit/>
        </w:trPr>
        <w:tc>
          <w:tcPr>
            <w:tcW w:w="9576" w:type="dxa"/>
            <w:gridSpan w:val="2"/>
          </w:tcPr>
          <w:p w:rsidR="00017F43" w:rsidRPr="00017F43" w:rsidRDefault="00017F43" w:rsidP="00017F43">
            <w:pPr>
              <w:ind w:firstLine="720"/>
              <w:jc w:val="both"/>
              <w:rPr>
                <w:sz w:val="20"/>
              </w:rPr>
            </w:pPr>
            <w:r w:rsidRPr="00017F43">
              <w:rPr>
                <w:sz w:val="20"/>
              </w:rPr>
              <w:t>The application for leave to appeal from the judgment of the Federal Court of Appeal, Number A-280-13, 2014 FCA 265, dated November 17, 2014, is dismissed with costs.</w:t>
            </w:r>
          </w:p>
          <w:p w:rsidR="00017F43" w:rsidRPr="00017F43" w:rsidRDefault="00017F43" w:rsidP="00017F43">
            <w:pPr>
              <w:jc w:val="both"/>
              <w:rPr>
                <w:sz w:val="20"/>
              </w:rPr>
            </w:pPr>
          </w:p>
          <w:p w:rsidR="00017F43" w:rsidRPr="00017F43" w:rsidRDefault="00017F43" w:rsidP="00017F43">
            <w:pPr>
              <w:ind w:firstLine="720"/>
              <w:jc w:val="both"/>
              <w:rPr>
                <w:sz w:val="20"/>
                <w:lang w:val="fr-CA"/>
              </w:rPr>
            </w:pPr>
            <w:r w:rsidRPr="00017F43">
              <w:rPr>
                <w:sz w:val="20"/>
                <w:lang w:val="fr-CA"/>
              </w:rPr>
              <w:t>La demande d’autorisation d’appel de l’arrêt de la Cour d’appel fédérale, numéro A-280-13, 2014 CAF 265, daté du 17 novembre 2014, est rejetée avec dépens.</w:t>
            </w:r>
          </w:p>
        </w:tc>
      </w:tr>
    </w:tbl>
    <w:p w:rsidR="00017F43" w:rsidRPr="0016547E" w:rsidRDefault="00017F43" w:rsidP="00017F43">
      <w:pPr>
        <w:rPr>
          <w:sz w:val="20"/>
          <w:szCs w:val="20"/>
          <w:lang w:val="fr-CA"/>
        </w:rPr>
      </w:pPr>
    </w:p>
    <w:p w:rsidR="00017F43" w:rsidRPr="001B157C" w:rsidRDefault="00017F43" w:rsidP="00017F43">
      <w:pPr>
        <w:rPr>
          <w:sz w:val="20"/>
          <w:szCs w:val="20"/>
          <w:u w:val="single"/>
        </w:rPr>
      </w:pPr>
      <w:r w:rsidRPr="001B157C">
        <w:rPr>
          <w:sz w:val="20"/>
          <w:szCs w:val="20"/>
          <w:u w:val="single"/>
        </w:rPr>
        <w:t>CASE SUMMARY</w:t>
      </w:r>
    </w:p>
    <w:p w:rsidR="00017F43" w:rsidRDefault="00017F43" w:rsidP="00017F4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17F43" w:rsidRPr="00841E19" w:rsidTr="00102938">
        <w:tc>
          <w:tcPr>
            <w:tcW w:w="5000" w:type="pct"/>
            <w:gridSpan w:val="3"/>
          </w:tcPr>
          <w:p w:rsidR="00017F43" w:rsidRPr="00841E19" w:rsidRDefault="00017F43" w:rsidP="00102938">
            <w:pPr>
              <w:jc w:val="both"/>
              <w:rPr>
                <w:rFonts w:eastAsia="Calibri" w:cs="Times New Roman"/>
                <w:sz w:val="20"/>
                <w:szCs w:val="20"/>
              </w:rPr>
            </w:pPr>
            <w:r w:rsidRPr="00841E19">
              <w:rPr>
                <w:rFonts w:eastAsia="Calibri" w:cs="Times New Roman"/>
                <w:sz w:val="20"/>
                <w:szCs w:val="20"/>
              </w:rPr>
              <w:t>Taxation — Income Tax — Registered charity — Applicant applying to be registered as a charity for taxation purposes — Application denied — Federal Court of Appeal upholding Minister’s decision to deny request — What is scope of “advancement of religion” in Canadian charity law — Whether a charity can only “advance religion” in charitable sense by promoting a single formal religion.</w:t>
            </w:r>
          </w:p>
        </w:tc>
      </w:tr>
      <w:tr w:rsidR="00017F43" w:rsidRPr="00841E19" w:rsidTr="00102938">
        <w:tc>
          <w:tcPr>
            <w:tcW w:w="5000" w:type="pct"/>
            <w:gridSpan w:val="3"/>
          </w:tcPr>
          <w:p w:rsidR="00017F43" w:rsidRPr="00841E19" w:rsidRDefault="00017F43" w:rsidP="00102938">
            <w:pPr>
              <w:jc w:val="both"/>
              <w:rPr>
                <w:rFonts w:eastAsia="Calibri" w:cs="Times New Roman"/>
                <w:sz w:val="20"/>
                <w:szCs w:val="20"/>
              </w:rPr>
            </w:pPr>
          </w:p>
        </w:tc>
      </w:tr>
      <w:tr w:rsidR="00017F43" w:rsidRPr="00841E19" w:rsidTr="00102938">
        <w:tc>
          <w:tcPr>
            <w:tcW w:w="5000" w:type="pct"/>
            <w:gridSpan w:val="3"/>
          </w:tcPr>
          <w:p w:rsidR="00017F43" w:rsidRPr="00841E19" w:rsidRDefault="00017F43" w:rsidP="00102938">
            <w:pPr>
              <w:jc w:val="both"/>
              <w:rPr>
                <w:rFonts w:eastAsia="Calibri" w:cs="Times New Roman"/>
                <w:sz w:val="20"/>
                <w:szCs w:val="20"/>
                <w:lang w:val="en-US"/>
              </w:rPr>
            </w:pPr>
            <w:r w:rsidRPr="00841E19">
              <w:rPr>
                <w:rFonts w:eastAsia="Calibri" w:cs="Times New Roman"/>
                <w:sz w:val="20"/>
                <w:szCs w:val="20"/>
                <w:lang w:val="en-US"/>
              </w:rPr>
              <w:lastRenderedPageBreak/>
              <w:t xml:space="preserve">The applicant Humanics Institute applied to be registered as a charity under the </w:t>
            </w:r>
            <w:r w:rsidRPr="00841E19">
              <w:rPr>
                <w:rFonts w:eastAsia="Calibri" w:cs="Times New Roman"/>
                <w:i/>
                <w:sz w:val="20"/>
                <w:szCs w:val="20"/>
                <w:lang w:val="en-US"/>
              </w:rPr>
              <w:t>Income Tax Act</w:t>
            </w:r>
            <w:r w:rsidRPr="00841E19">
              <w:rPr>
                <w:rFonts w:eastAsia="Calibri" w:cs="Times New Roman"/>
                <w:sz w:val="20"/>
                <w:szCs w:val="20"/>
                <w:lang w:val="en-US"/>
              </w:rPr>
              <w:t xml:space="preserve"> for taxation purposes.  The application was denied.  The applicant filed an objection and the refusal to register was confirmed.  </w:t>
            </w:r>
            <w:r w:rsidRPr="00841E19">
              <w:rPr>
                <w:rFonts w:eastAsia="Calibri" w:cs="Times New Roman"/>
                <w:sz w:val="20"/>
                <w:szCs w:val="20"/>
              </w:rPr>
              <w:t>The applicant’s appeal to the Federal Court of Appeal was dismissed.</w:t>
            </w:r>
          </w:p>
          <w:p w:rsidR="00017F43" w:rsidRPr="00841E19" w:rsidRDefault="00017F43" w:rsidP="00102938">
            <w:pPr>
              <w:jc w:val="both"/>
              <w:rPr>
                <w:rFonts w:eastAsia="Calibri" w:cs="Times New Roman"/>
                <w:sz w:val="20"/>
                <w:szCs w:val="20"/>
              </w:rPr>
            </w:pPr>
          </w:p>
        </w:tc>
      </w:tr>
      <w:tr w:rsidR="00017F43" w:rsidRPr="00841E19" w:rsidTr="00102938">
        <w:tc>
          <w:tcPr>
            <w:tcW w:w="2427" w:type="pct"/>
          </w:tcPr>
          <w:p w:rsidR="00017F43" w:rsidRPr="00841E19" w:rsidRDefault="00017F43" w:rsidP="00102938">
            <w:pPr>
              <w:jc w:val="both"/>
              <w:rPr>
                <w:rFonts w:eastAsia="Calibri" w:cs="Times New Roman"/>
                <w:sz w:val="20"/>
                <w:szCs w:val="20"/>
              </w:rPr>
            </w:pPr>
            <w:r w:rsidRPr="00841E19">
              <w:rPr>
                <w:rFonts w:eastAsia="Calibri" w:cs="Times New Roman"/>
                <w:sz w:val="20"/>
                <w:szCs w:val="20"/>
              </w:rPr>
              <w:t>July 24, 2013</w:t>
            </w:r>
          </w:p>
          <w:p w:rsidR="00017F43" w:rsidRPr="00841E19" w:rsidRDefault="00017F43" w:rsidP="00102938">
            <w:pPr>
              <w:jc w:val="both"/>
              <w:rPr>
                <w:rFonts w:eastAsia="Calibri" w:cs="Times New Roman"/>
                <w:sz w:val="20"/>
                <w:szCs w:val="20"/>
              </w:rPr>
            </w:pPr>
            <w:r w:rsidRPr="00841E19">
              <w:rPr>
                <w:rFonts w:eastAsia="Calibri" w:cs="Times New Roman"/>
                <w:sz w:val="20"/>
                <w:szCs w:val="20"/>
              </w:rPr>
              <w:t>Canada Revenue Agency</w:t>
            </w:r>
          </w:p>
          <w:p w:rsidR="00017F43" w:rsidRPr="00841E19" w:rsidRDefault="00017F43" w:rsidP="00102938">
            <w:pPr>
              <w:jc w:val="both"/>
              <w:rPr>
                <w:rFonts w:eastAsia="Calibri" w:cs="Times New Roman"/>
                <w:sz w:val="20"/>
                <w:szCs w:val="20"/>
              </w:rPr>
            </w:pPr>
            <w:r w:rsidRPr="00841E19">
              <w:rPr>
                <w:rFonts w:eastAsia="Calibri" w:cs="Times New Roman"/>
                <w:sz w:val="20"/>
                <w:szCs w:val="20"/>
              </w:rPr>
              <w:t xml:space="preserve">(G. Landry, Manager Tax and Charities </w:t>
            </w:r>
          </w:p>
          <w:p w:rsidR="00017F43" w:rsidRPr="00841E19" w:rsidRDefault="00017F43" w:rsidP="00102938">
            <w:pPr>
              <w:jc w:val="both"/>
              <w:rPr>
                <w:rFonts w:eastAsia="Calibri" w:cs="Times New Roman"/>
                <w:sz w:val="20"/>
                <w:szCs w:val="20"/>
              </w:rPr>
            </w:pPr>
            <w:r w:rsidRPr="00841E19">
              <w:rPr>
                <w:rFonts w:eastAsia="Calibri" w:cs="Times New Roman"/>
                <w:sz w:val="20"/>
                <w:szCs w:val="20"/>
              </w:rPr>
              <w:t>Appeal Directorate)</w:t>
            </w:r>
          </w:p>
          <w:p w:rsidR="00017F43" w:rsidRPr="00841E19" w:rsidRDefault="00017F43" w:rsidP="00102938">
            <w:pPr>
              <w:jc w:val="both"/>
              <w:rPr>
                <w:rFonts w:eastAsia="Calibri" w:cs="Times New Roman"/>
                <w:sz w:val="20"/>
                <w:szCs w:val="20"/>
              </w:rPr>
            </w:pPr>
          </w:p>
        </w:tc>
        <w:tc>
          <w:tcPr>
            <w:tcW w:w="243" w:type="pct"/>
          </w:tcPr>
          <w:p w:rsidR="00017F43" w:rsidRPr="00841E19" w:rsidRDefault="00017F43" w:rsidP="00102938">
            <w:pPr>
              <w:jc w:val="both"/>
              <w:rPr>
                <w:rFonts w:eastAsia="Calibri" w:cs="Times New Roman"/>
                <w:sz w:val="20"/>
                <w:szCs w:val="20"/>
              </w:rPr>
            </w:pPr>
          </w:p>
        </w:tc>
        <w:tc>
          <w:tcPr>
            <w:tcW w:w="2330" w:type="pct"/>
          </w:tcPr>
          <w:p w:rsidR="00017F43" w:rsidRPr="00841E19" w:rsidRDefault="00017F43" w:rsidP="00102938">
            <w:pPr>
              <w:jc w:val="both"/>
              <w:rPr>
                <w:rFonts w:eastAsia="Calibri" w:cs="Times New Roman"/>
                <w:sz w:val="20"/>
                <w:szCs w:val="20"/>
              </w:rPr>
            </w:pPr>
            <w:r w:rsidRPr="00841E19">
              <w:rPr>
                <w:rFonts w:eastAsia="Calibri" w:cs="Times New Roman"/>
                <w:sz w:val="20"/>
                <w:szCs w:val="20"/>
              </w:rPr>
              <w:t xml:space="preserve">Notice of Refusal of Registration as a charity under the </w:t>
            </w:r>
            <w:r w:rsidRPr="00841E19">
              <w:rPr>
                <w:rFonts w:eastAsia="Calibri" w:cs="Times New Roman"/>
                <w:i/>
                <w:sz w:val="20"/>
                <w:szCs w:val="20"/>
              </w:rPr>
              <w:t>Income Tax Act</w:t>
            </w:r>
            <w:r w:rsidRPr="00841E19">
              <w:rPr>
                <w:rFonts w:eastAsia="Calibri" w:cs="Times New Roman"/>
                <w:sz w:val="20"/>
                <w:szCs w:val="20"/>
              </w:rPr>
              <w:t>, confirmed.</w:t>
            </w:r>
          </w:p>
        </w:tc>
      </w:tr>
      <w:tr w:rsidR="00017F43" w:rsidRPr="00841E19" w:rsidTr="00102938">
        <w:tc>
          <w:tcPr>
            <w:tcW w:w="2427" w:type="pct"/>
          </w:tcPr>
          <w:p w:rsidR="00017F43" w:rsidRPr="00841E19" w:rsidRDefault="00017F43" w:rsidP="00102938">
            <w:pPr>
              <w:jc w:val="both"/>
              <w:rPr>
                <w:rFonts w:eastAsia="Calibri" w:cs="Times New Roman"/>
                <w:sz w:val="20"/>
                <w:szCs w:val="20"/>
              </w:rPr>
            </w:pPr>
            <w:r w:rsidRPr="00841E19">
              <w:rPr>
                <w:rFonts w:eastAsia="Calibri" w:cs="Times New Roman"/>
                <w:sz w:val="20"/>
                <w:szCs w:val="20"/>
              </w:rPr>
              <w:t>November 17, 2014</w:t>
            </w:r>
          </w:p>
          <w:p w:rsidR="00017F43" w:rsidRPr="00841E19" w:rsidRDefault="00017F43" w:rsidP="00102938">
            <w:pPr>
              <w:jc w:val="both"/>
              <w:rPr>
                <w:rFonts w:eastAsia="Calibri" w:cs="Times New Roman"/>
                <w:sz w:val="20"/>
                <w:szCs w:val="20"/>
              </w:rPr>
            </w:pPr>
            <w:r w:rsidRPr="00841E19">
              <w:rPr>
                <w:rFonts w:eastAsia="Calibri" w:cs="Times New Roman"/>
                <w:sz w:val="20"/>
                <w:szCs w:val="20"/>
              </w:rPr>
              <w:t>Federal Court of Appeal</w:t>
            </w:r>
          </w:p>
          <w:p w:rsidR="00017F43" w:rsidRPr="00841E19" w:rsidRDefault="00017F43" w:rsidP="00102938">
            <w:pPr>
              <w:jc w:val="both"/>
              <w:rPr>
                <w:rFonts w:eastAsia="Calibri" w:cs="Times New Roman"/>
                <w:sz w:val="20"/>
                <w:szCs w:val="20"/>
              </w:rPr>
            </w:pPr>
            <w:r w:rsidRPr="00841E19">
              <w:rPr>
                <w:rFonts w:eastAsia="Calibri" w:cs="Times New Roman"/>
                <w:sz w:val="20"/>
                <w:szCs w:val="20"/>
              </w:rPr>
              <w:t>(Noël, Stratas and Near JJ.A.)</w:t>
            </w:r>
          </w:p>
          <w:p w:rsidR="00017F43" w:rsidRPr="00841E19" w:rsidRDefault="00417673" w:rsidP="00102938">
            <w:pPr>
              <w:jc w:val="both"/>
              <w:rPr>
                <w:rFonts w:eastAsia="Calibri" w:cs="Times New Roman"/>
                <w:sz w:val="20"/>
                <w:szCs w:val="20"/>
              </w:rPr>
            </w:pPr>
            <w:hyperlink r:id="rId81" w:history="1">
              <w:r w:rsidR="00017F43" w:rsidRPr="00841E19">
                <w:rPr>
                  <w:rFonts w:eastAsia="Calibri" w:cs="Times New Roman"/>
                  <w:color w:val="0000FF"/>
                  <w:sz w:val="20"/>
                  <w:szCs w:val="20"/>
                  <w:u w:val="single"/>
                </w:rPr>
                <w:t>2014 FCA 265</w:t>
              </w:r>
            </w:hyperlink>
          </w:p>
          <w:p w:rsidR="00017F43" w:rsidRPr="00841E19" w:rsidRDefault="00017F43" w:rsidP="00102938">
            <w:pPr>
              <w:jc w:val="both"/>
              <w:rPr>
                <w:rFonts w:eastAsia="Calibri" w:cs="Times New Roman"/>
                <w:sz w:val="20"/>
                <w:szCs w:val="20"/>
              </w:rPr>
            </w:pPr>
            <w:r w:rsidRPr="00841E19">
              <w:rPr>
                <w:rFonts w:eastAsia="Calibri" w:cs="Times New Roman"/>
                <w:sz w:val="20"/>
                <w:szCs w:val="20"/>
              </w:rPr>
              <w:t>File No.: A-280-13</w:t>
            </w:r>
          </w:p>
          <w:p w:rsidR="00017F43" w:rsidRPr="00841E19" w:rsidRDefault="00017F43" w:rsidP="00102938">
            <w:pPr>
              <w:jc w:val="both"/>
              <w:rPr>
                <w:rFonts w:eastAsia="Calibri" w:cs="Times New Roman"/>
                <w:sz w:val="20"/>
                <w:szCs w:val="20"/>
              </w:rPr>
            </w:pPr>
          </w:p>
        </w:tc>
        <w:tc>
          <w:tcPr>
            <w:tcW w:w="243" w:type="pct"/>
          </w:tcPr>
          <w:p w:rsidR="00017F43" w:rsidRPr="00841E19" w:rsidRDefault="00017F43" w:rsidP="00102938">
            <w:pPr>
              <w:jc w:val="both"/>
              <w:rPr>
                <w:rFonts w:eastAsia="Calibri" w:cs="Times New Roman"/>
                <w:sz w:val="20"/>
                <w:szCs w:val="20"/>
              </w:rPr>
            </w:pPr>
          </w:p>
        </w:tc>
        <w:tc>
          <w:tcPr>
            <w:tcW w:w="2330" w:type="pct"/>
          </w:tcPr>
          <w:p w:rsidR="00017F43" w:rsidRPr="00841E19" w:rsidRDefault="00017F43" w:rsidP="00102938">
            <w:pPr>
              <w:jc w:val="both"/>
              <w:rPr>
                <w:rFonts w:eastAsia="Calibri" w:cs="Times New Roman"/>
                <w:sz w:val="20"/>
                <w:szCs w:val="20"/>
              </w:rPr>
            </w:pPr>
            <w:r w:rsidRPr="00841E19">
              <w:rPr>
                <w:rFonts w:eastAsia="Calibri" w:cs="Times New Roman"/>
                <w:sz w:val="20"/>
                <w:szCs w:val="20"/>
              </w:rPr>
              <w:t>Appeal dismissed.</w:t>
            </w:r>
          </w:p>
          <w:p w:rsidR="00017F43" w:rsidRPr="00841E19" w:rsidRDefault="00017F43" w:rsidP="00102938">
            <w:pPr>
              <w:jc w:val="both"/>
              <w:rPr>
                <w:rFonts w:eastAsia="Calibri" w:cs="Times New Roman"/>
                <w:sz w:val="20"/>
                <w:szCs w:val="20"/>
              </w:rPr>
            </w:pPr>
          </w:p>
        </w:tc>
      </w:tr>
      <w:tr w:rsidR="00017F43" w:rsidRPr="00841E19" w:rsidTr="00102938">
        <w:tc>
          <w:tcPr>
            <w:tcW w:w="2427" w:type="pct"/>
          </w:tcPr>
          <w:p w:rsidR="00017F43" w:rsidRPr="00841E19" w:rsidRDefault="00017F43" w:rsidP="00102938">
            <w:pPr>
              <w:jc w:val="both"/>
              <w:rPr>
                <w:rFonts w:eastAsia="Calibri" w:cs="Times New Roman"/>
                <w:sz w:val="20"/>
                <w:szCs w:val="20"/>
              </w:rPr>
            </w:pPr>
            <w:r w:rsidRPr="00841E19">
              <w:rPr>
                <w:rFonts w:eastAsia="Calibri" w:cs="Times New Roman"/>
                <w:sz w:val="20"/>
                <w:szCs w:val="20"/>
              </w:rPr>
              <w:t>January 14, 2015</w:t>
            </w:r>
          </w:p>
          <w:p w:rsidR="00017F43" w:rsidRPr="00841E19" w:rsidRDefault="00017F43" w:rsidP="00102938">
            <w:pPr>
              <w:jc w:val="both"/>
              <w:rPr>
                <w:rFonts w:eastAsia="Calibri" w:cs="Times New Roman"/>
                <w:sz w:val="20"/>
                <w:szCs w:val="20"/>
              </w:rPr>
            </w:pPr>
            <w:r w:rsidRPr="00841E19">
              <w:rPr>
                <w:rFonts w:eastAsia="Calibri" w:cs="Times New Roman"/>
                <w:sz w:val="20"/>
                <w:szCs w:val="20"/>
              </w:rPr>
              <w:t>Supreme Court of Canada</w:t>
            </w:r>
          </w:p>
        </w:tc>
        <w:tc>
          <w:tcPr>
            <w:tcW w:w="243" w:type="pct"/>
          </w:tcPr>
          <w:p w:rsidR="00017F43" w:rsidRPr="00841E19" w:rsidRDefault="00017F43" w:rsidP="00102938">
            <w:pPr>
              <w:jc w:val="both"/>
              <w:rPr>
                <w:rFonts w:eastAsia="Calibri" w:cs="Times New Roman"/>
                <w:sz w:val="20"/>
                <w:szCs w:val="20"/>
              </w:rPr>
            </w:pPr>
          </w:p>
        </w:tc>
        <w:tc>
          <w:tcPr>
            <w:tcW w:w="2330" w:type="pct"/>
          </w:tcPr>
          <w:p w:rsidR="00017F43" w:rsidRPr="00841E19" w:rsidRDefault="00017F43" w:rsidP="00102938">
            <w:pPr>
              <w:jc w:val="both"/>
              <w:rPr>
                <w:rFonts w:eastAsia="Calibri" w:cs="Times New Roman"/>
                <w:sz w:val="20"/>
                <w:szCs w:val="20"/>
              </w:rPr>
            </w:pPr>
            <w:r w:rsidRPr="00841E19">
              <w:rPr>
                <w:rFonts w:eastAsia="Calibri" w:cs="Times New Roman"/>
                <w:sz w:val="20"/>
                <w:szCs w:val="20"/>
              </w:rPr>
              <w:t>Application for leave to appeal filed.</w:t>
            </w:r>
          </w:p>
          <w:p w:rsidR="00017F43" w:rsidRPr="00841E19" w:rsidRDefault="00017F43" w:rsidP="00102938">
            <w:pPr>
              <w:jc w:val="both"/>
              <w:rPr>
                <w:rFonts w:eastAsia="Calibri" w:cs="Times New Roman"/>
                <w:sz w:val="20"/>
                <w:szCs w:val="20"/>
              </w:rPr>
            </w:pPr>
          </w:p>
        </w:tc>
      </w:tr>
    </w:tbl>
    <w:p w:rsidR="00017F43" w:rsidRPr="00204D62" w:rsidRDefault="00017F43" w:rsidP="00017F43">
      <w:pPr>
        <w:rPr>
          <w:sz w:val="20"/>
          <w:szCs w:val="20"/>
          <w:lang w:val="en-US"/>
        </w:rPr>
      </w:pPr>
    </w:p>
    <w:p w:rsidR="00017F43" w:rsidRPr="00C50A5C" w:rsidRDefault="00417673" w:rsidP="00017F43">
      <w:pPr>
        <w:rPr>
          <w:sz w:val="20"/>
          <w:szCs w:val="20"/>
        </w:rPr>
      </w:pPr>
      <w:r>
        <w:rPr>
          <w:sz w:val="20"/>
          <w:szCs w:val="20"/>
          <w:lang w:val="fr-CA"/>
        </w:rPr>
        <w:pict>
          <v:rect id="_x0000_i1074" style="width:2in;height:1pt" o:hrpct="0" o:hralign="center" o:hrstd="t" o:hrnoshade="t" o:hr="t" fillcolor="black [3213]" stroked="f"/>
        </w:pict>
      </w:r>
    </w:p>
    <w:p w:rsidR="00017F43" w:rsidRDefault="00017F43" w:rsidP="00017F43">
      <w:pPr>
        <w:rPr>
          <w:sz w:val="20"/>
          <w:szCs w:val="20"/>
        </w:rPr>
      </w:pPr>
    </w:p>
    <w:p w:rsidR="00017F43" w:rsidRPr="001B157C" w:rsidRDefault="00017F43" w:rsidP="00017F43">
      <w:pPr>
        <w:rPr>
          <w:sz w:val="20"/>
          <w:szCs w:val="20"/>
          <w:u w:val="single"/>
          <w:lang w:val="fr-CA"/>
        </w:rPr>
      </w:pPr>
      <w:r w:rsidRPr="001B157C">
        <w:rPr>
          <w:sz w:val="20"/>
          <w:szCs w:val="20"/>
          <w:u w:val="single"/>
          <w:lang w:val="fr-CA"/>
        </w:rPr>
        <w:t>RÉSUMÉ DE L’AFFAIRE</w:t>
      </w:r>
    </w:p>
    <w:p w:rsidR="00017F43" w:rsidRDefault="00017F43" w:rsidP="00017F4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17F43" w:rsidRPr="00584913" w:rsidTr="00102938">
        <w:tc>
          <w:tcPr>
            <w:tcW w:w="5000" w:type="pct"/>
            <w:gridSpan w:val="3"/>
          </w:tcPr>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Droit fiscal — Impôt sur le revenu — Organisme de bienfaisance enregistré — La demanderesse a fait une demande en vue d’être enregistrée à titre d’organisme de bienfaisance à des fins fiscales — La demande a été rejetée — La Cour d’appel fédérale a confirmé la décision du ministre de refuser l’enregistrement — Quelle est la portée de la notion de « promotion de la religion » en droit canadien de la bienfaisance? — La promotion d’une seule religion officielle est-elle la seule manière dont un organisme de bienfaisance peut « promouvoir la religion » à des fins de bienfaisance?</w:t>
            </w:r>
          </w:p>
        </w:tc>
      </w:tr>
      <w:tr w:rsidR="00017F43" w:rsidRPr="00584913" w:rsidTr="00102938">
        <w:tc>
          <w:tcPr>
            <w:tcW w:w="5000" w:type="pct"/>
            <w:gridSpan w:val="3"/>
          </w:tcPr>
          <w:p w:rsidR="00017F43" w:rsidRPr="00841E19" w:rsidRDefault="00017F43" w:rsidP="00102938">
            <w:pPr>
              <w:jc w:val="both"/>
              <w:rPr>
                <w:rFonts w:eastAsia="Calibri" w:cs="Times New Roman"/>
                <w:sz w:val="20"/>
                <w:szCs w:val="20"/>
                <w:lang w:val="fr-CA"/>
              </w:rPr>
            </w:pPr>
          </w:p>
        </w:tc>
      </w:tr>
      <w:tr w:rsidR="00017F43" w:rsidRPr="00584913" w:rsidTr="00102938">
        <w:tc>
          <w:tcPr>
            <w:tcW w:w="5000" w:type="pct"/>
            <w:gridSpan w:val="3"/>
          </w:tcPr>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La demanderesse Humanics Institute a fait une demande en vue d’être enregistrée à titre d’organisme de bienfaisance aux termes de la</w:t>
            </w:r>
            <w:r w:rsidRPr="00841E19">
              <w:rPr>
                <w:rFonts w:eastAsia="Calibri" w:cs="Times New Roman"/>
                <w:i/>
                <w:sz w:val="20"/>
                <w:szCs w:val="20"/>
                <w:lang w:val="fr-CA"/>
              </w:rPr>
              <w:t xml:space="preserve"> Loi de l’impôt sur le revenu</w:t>
            </w:r>
            <w:r w:rsidRPr="00841E19">
              <w:rPr>
                <w:rFonts w:eastAsia="Calibri" w:cs="Times New Roman"/>
                <w:sz w:val="20"/>
                <w:szCs w:val="20"/>
                <w:lang w:val="fr-CA"/>
              </w:rPr>
              <w:t xml:space="preserve"> à des fins fiscales.  La demande a été rejetée.  La demanderesse a produit une opposition et le refus de l’enregistrement a été confirmé.  La Cour d’appel fédérale a rejeté l’appel de la demanderesse.</w:t>
            </w:r>
          </w:p>
          <w:p w:rsidR="00017F43" w:rsidRPr="00841E19" w:rsidRDefault="00017F43" w:rsidP="00102938">
            <w:pPr>
              <w:jc w:val="both"/>
              <w:rPr>
                <w:rFonts w:eastAsia="Calibri" w:cs="Times New Roman"/>
                <w:sz w:val="20"/>
                <w:szCs w:val="20"/>
                <w:lang w:val="fr-CA"/>
              </w:rPr>
            </w:pPr>
          </w:p>
        </w:tc>
      </w:tr>
      <w:tr w:rsidR="00017F43" w:rsidRPr="00584913" w:rsidTr="00102938">
        <w:tc>
          <w:tcPr>
            <w:tcW w:w="2427" w:type="pct"/>
          </w:tcPr>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24 juillet 2013</w:t>
            </w:r>
          </w:p>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Agence du revenu du Canada</w:t>
            </w:r>
          </w:p>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(G. Landry, gestionnaire, Direction des appels en matière fiscale et de bienfaisance)</w:t>
            </w:r>
          </w:p>
          <w:p w:rsidR="00017F43" w:rsidRPr="00841E19" w:rsidRDefault="00017F43" w:rsidP="00102938">
            <w:pPr>
              <w:jc w:val="both"/>
              <w:rPr>
                <w:rFonts w:eastAsia="Calibri" w:cs="Times New Roman"/>
                <w:sz w:val="20"/>
                <w:szCs w:val="20"/>
                <w:lang w:val="fr-CA"/>
              </w:rPr>
            </w:pPr>
          </w:p>
        </w:tc>
        <w:tc>
          <w:tcPr>
            <w:tcW w:w="243" w:type="pct"/>
          </w:tcPr>
          <w:p w:rsidR="00017F43" w:rsidRPr="00841E19" w:rsidRDefault="00017F43" w:rsidP="00102938">
            <w:pPr>
              <w:jc w:val="both"/>
              <w:rPr>
                <w:rFonts w:eastAsia="Calibri" w:cs="Times New Roman"/>
                <w:sz w:val="20"/>
                <w:szCs w:val="20"/>
                <w:lang w:val="fr-CA"/>
              </w:rPr>
            </w:pPr>
          </w:p>
        </w:tc>
        <w:tc>
          <w:tcPr>
            <w:tcW w:w="2330" w:type="pct"/>
          </w:tcPr>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 xml:space="preserve">Confirmation de l’avis de refus d’enregistrement en tant qu’organisme de bienfaisance en application de la </w:t>
            </w:r>
            <w:r w:rsidRPr="00841E19">
              <w:rPr>
                <w:rFonts w:eastAsia="Calibri" w:cs="Times New Roman"/>
                <w:i/>
                <w:sz w:val="20"/>
                <w:szCs w:val="20"/>
                <w:lang w:val="fr-CA"/>
              </w:rPr>
              <w:t>Loi de l’impôt sur le revenu</w:t>
            </w:r>
            <w:r w:rsidRPr="00841E19">
              <w:rPr>
                <w:rFonts w:eastAsia="Calibri" w:cs="Times New Roman"/>
                <w:sz w:val="20"/>
                <w:szCs w:val="20"/>
                <w:lang w:val="fr-CA"/>
              </w:rPr>
              <w:t>.</w:t>
            </w:r>
          </w:p>
        </w:tc>
      </w:tr>
      <w:tr w:rsidR="00017F43" w:rsidRPr="00841E19" w:rsidTr="00102938">
        <w:tc>
          <w:tcPr>
            <w:tcW w:w="2427" w:type="pct"/>
          </w:tcPr>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17 novembre 2014</w:t>
            </w:r>
          </w:p>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Cour d’appel fédérale</w:t>
            </w:r>
          </w:p>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(Juges Noël, Stratas et Near)</w:t>
            </w:r>
          </w:p>
          <w:p w:rsidR="00017F43" w:rsidRPr="00841E19" w:rsidRDefault="00417673" w:rsidP="00102938">
            <w:pPr>
              <w:jc w:val="both"/>
              <w:rPr>
                <w:rFonts w:eastAsia="Calibri" w:cs="Times New Roman"/>
                <w:sz w:val="20"/>
                <w:szCs w:val="20"/>
                <w:lang w:val="en-US"/>
              </w:rPr>
            </w:pPr>
            <w:hyperlink r:id="rId82" w:history="1">
              <w:r w:rsidR="00017F43" w:rsidRPr="00841E19">
                <w:rPr>
                  <w:rFonts w:eastAsia="Calibri" w:cs="Times New Roman"/>
                  <w:color w:val="0000FF"/>
                  <w:sz w:val="20"/>
                  <w:szCs w:val="20"/>
                  <w:u w:val="single"/>
                  <w:lang w:val="en-US"/>
                </w:rPr>
                <w:t>2014 FCA 265</w:t>
              </w:r>
            </w:hyperlink>
          </w:p>
          <w:p w:rsidR="00017F43" w:rsidRPr="00841E19" w:rsidRDefault="00017F43" w:rsidP="00102938">
            <w:pPr>
              <w:jc w:val="both"/>
              <w:rPr>
                <w:rFonts w:eastAsia="Calibri" w:cs="Times New Roman"/>
                <w:sz w:val="20"/>
                <w:szCs w:val="20"/>
                <w:lang w:val="en-US"/>
              </w:rPr>
            </w:pPr>
            <w:r w:rsidRPr="00841E19">
              <w:rPr>
                <w:rFonts w:eastAsia="Calibri" w:cs="Times New Roman"/>
                <w:sz w:val="20"/>
                <w:szCs w:val="20"/>
                <w:lang w:val="en-US"/>
              </w:rPr>
              <w:t>N</w:t>
            </w:r>
            <w:r w:rsidRPr="00841E19">
              <w:rPr>
                <w:rFonts w:eastAsia="Calibri" w:cs="Times New Roman"/>
                <w:sz w:val="20"/>
                <w:szCs w:val="20"/>
                <w:vertAlign w:val="superscript"/>
                <w:lang w:val="en-US"/>
              </w:rPr>
              <w:t>o</w:t>
            </w:r>
            <w:r w:rsidRPr="00841E19">
              <w:rPr>
                <w:rFonts w:eastAsia="Calibri" w:cs="Times New Roman"/>
                <w:sz w:val="20"/>
                <w:szCs w:val="20"/>
                <w:lang w:val="en-US"/>
              </w:rPr>
              <w:t xml:space="preserve"> du greffe : A-280-13</w:t>
            </w:r>
          </w:p>
          <w:p w:rsidR="00017F43" w:rsidRPr="00841E19" w:rsidRDefault="00017F43" w:rsidP="00102938">
            <w:pPr>
              <w:jc w:val="both"/>
              <w:rPr>
                <w:rFonts w:eastAsia="Calibri" w:cs="Times New Roman"/>
                <w:sz w:val="20"/>
                <w:szCs w:val="20"/>
                <w:lang w:val="en-US"/>
              </w:rPr>
            </w:pPr>
          </w:p>
        </w:tc>
        <w:tc>
          <w:tcPr>
            <w:tcW w:w="243" w:type="pct"/>
          </w:tcPr>
          <w:p w:rsidR="00017F43" w:rsidRPr="00841E19" w:rsidRDefault="00017F43" w:rsidP="00102938">
            <w:pPr>
              <w:jc w:val="both"/>
              <w:rPr>
                <w:rFonts w:eastAsia="Calibri" w:cs="Times New Roman"/>
                <w:sz w:val="20"/>
                <w:szCs w:val="20"/>
                <w:lang w:val="en-US"/>
              </w:rPr>
            </w:pPr>
          </w:p>
        </w:tc>
        <w:tc>
          <w:tcPr>
            <w:tcW w:w="2330" w:type="pct"/>
          </w:tcPr>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Rejet de l’appel.</w:t>
            </w:r>
          </w:p>
          <w:p w:rsidR="00017F43" w:rsidRPr="00841E19" w:rsidRDefault="00017F43" w:rsidP="00102938">
            <w:pPr>
              <w:jc w:val="both"/>
              <w:rPr>
                <w:rFonts w:eastAsia="Calibri" w:cs="Times New Roman"/>
                <w:sz w:val="20"/>
                <w:szCs w:val="20"/>
                <w:lang w:val="fr-CA"/>
              </w:rPr>
            </w:pPr>
          </w:p>
        </w:tc>
      </w:tr>
      <w:tr w:rsidR="00017F43" w:rsidRPr="00584913" w:rsidTr="00102938">
        <w:tc>
          <w:tcPr>
            <w:tcW w:w="2427" w:type="pct"/>
          </w:tcPr>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14 janvier 2015</w:t>
            </w:r>
          </w:p>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Cour suprême du Canada</w:t>
            </w:r>
          </w:p>
        </w:tc>
        <w:tc>
          <w:tcPr>
            <w:tcW w:w="243" w:type="pct"/>
          </w:tcPr>
          <w:p w:rsidR="00017F43" w:rsidRPr="00841E19" w:rsidRDefault="00017F43" w:rsidP="00102938">
            <w:pPr>
              <w:jc w:val="both"/>
              <w:rPr>
                <w:rFonts w:eastAsia="Calibri" w:cs="Times New Roman"/>
                <w:sz w:val="20"/>
                <w:szCs w:val="20"/>
                <w:lang w:val="fr-CA"/>
              </w:rPr>
            </w:pPr>
          </w:p>
        </w:tc>
        <w:tc>
          <w:tcPr>
            <w:tcW w:w="2330" w:type="pct"/>
          </w:tcPr>
          <w:p w:rsidR="00017F43" w:rsidRPr="00841E19" w:rsidRDefault="00017F43" w:rsidP="00102938">
            <w:pPr>
              <w:jc w:val="both"/>
              <w:rPr>
                <w:rFonts w:eastAsia="Calibri" w:cs="Times New Roman"/>
                <w:sz w:val="20"/>
                <w:szCs w:val="20"/>
                <w:lang w:val="fr-CA"/>
              </w:rPr>
            </w:pPr>
            <w:r w:rsidRPr="00841E19">
              <w:rPr>
                <w:rFonts w:eastAsia="Calibri" w:cs="Times New Roman"/>
                <w:sz w:val="20"/>
                <w:szCs w:val="20"/>
                <w:lang w:val="fr-CA"/>
              </w:rPr>
              <w:t>Dépôt de la demande d’autorisation d’appel.</w:t>
            </w:r>
          </w:p>
          <w:p w:rsidR="00017F43" w:rsidRPr="00841E19" w:rsidRDefault="00017F43" w:rsidP="00102938">
            <w:pPr>
              <w:jc w:val="both"/>
              <w:rPr>
                <w:rFonts w:eastAsia="Calibri" w:cs="Times New Roman"/>
                <w:sz w:val="20"/>
                <w:szCs w:val="20"/>
                <w:lang w:val="fr-CA"/>
              </w:rPr>
            </w:pPr>
          </w:p>
        </w:tc>
      </w:tr>
    </w:tbl>
    <w:p w:rsidR="00017F43" w:rsidRPr="0016547E" w:rsidRDefault="00017F43" w:rsidP="00017F43">
      <w:pPr>
        <w:rPr>
          <w:sz w:val="20"/>
          <w:szCs w:val="20"/>
          <w:lang w:val="fr-CA"/>
        </w:rPr>
      </w:pPr>
    </w:p>
    <w:p w:rsidR="00017F43" w:rsidRPr="00C50A5C" w:rsidRDefault="00417673" w:rsidP="00017F43">
      <w:pPr>
        <w:rPr>
          <w:sz w:val="20"/>
          <w:szCs w:val="20"/>
        </w:rPr>
      </w:pPr>
      <w:r>
        <w:rPr>
          <w:sz w:val="20"/>
          <w:szCs w:val="20"/>
          <w:lang w:val="fr-CA"/>
        </w:rPr>
        <w:pict>
          <v:rect id="_x0000_i1075" style="width:2in;height:1pt" o:hrpct="0" o:hralign="center" o:hrstd="t" o:hrnoshade="t" o:hr="t" fillcolor="black [3213]" stroked="f"/>
        </w:pict>
      </w:r>
    </w:p>
    <w:p w:rsidR="00017F43" w:rsidRPr="00A87EEA" w:rsidRDefault="00017F43" w:rsidP="00017F43">
      <w:pPr>
        <w:rPr>
          <w:sz w:val="20"/>
          <w:szCs w:val="20"/>
        </w:rPr>
      </w:pPr>
    </w:p>
    <w:tbl>
      <w:tblPr>
        <w:tblStyle w:val="TableGrid1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17F43" w:rsidRPr="00017F43" w:rsidTr="00102938">
        <w:trPr>
          <w:cantSplit/>
        </w:trPr>
        <w:tc>
          <w:tcPr>
            <w:tcW w:w="1458" w:type="dxa"/>
          </w:tcPr>
          <w:p w:rsidR="00017F43" w:rsidRPr="00017F43" w:rsidRDefault="00017F43" w:rsidP="00017F43">
            <w:pPr>
              <w:jc w:val="both"/>
              <w:rPr>
                <w:sz w:val="20"/>
              </w:rPr>
            </w:pPr>
            <w:r w:rsidRPr="00017F43">
              <w:rPr>
                <w:b/>
                <w:sz w:val="20"/>
                <w:lang w:val="fr-CA"/>
              </w:rPr>
              <w:lastRenderedPageBreak/>
              <w:t>36263</w:t>
            </w:r>
          </w:p>
          <w:p w:rsidR="00017F43" w:rsidRPr="00017F43" w:rsidRDefault="00017F43" w:rsidP="00017F43">
            <w:pPr>
              <w:jc w:val="both"/>
              <w:rPr>
                <w:b/>
                <w:sz w:val="20"/>
                <w:lang w:val="fr-CA"/>
              </w:rPr>
            </w:pPr>
          </w:p>
        </w:tc>
        <w:tc>
          <w:tcPr>
            <w:tcW w:w="8118" w:type="dxa"/>
          </w:tcPr>
          <w:p w:rsidR="00017F43" w:rsidRPr="00017F43" w:rsidRDefault="00017F43" w:rsidP="00017F43">
            <w:pPr>
              <w:jc w:val="both"/>
              <w:rPr>
                <w:sz w:val="20"/>
              </w:rPr>
            </w:pPr>
            <w:r w:rsidRPr="00017F43">
              <w:rPr>
                <w:b/>
                <w:sz w:val="20"/>
                <w:u w:val="single"/>
                <w:lang w:val="en-US"/>
              </w:rPr>
              <w:t>Roberto Orellana Gonzalez v. Her Majesty the Queen in Right of the Province of British Columbia, Workers’ Compensation Board of British Columbia</w:t>
            </w:r>
            <w:r w:rsidRPr="00017F43">
              <w:rPr>
                <w:sz w:val="20"/>
              </w:rPr>
              <w:t xml:space="preserve"> (B.C.) (Civil) (By Leave)</w:t>
            </w:r>
          </w:p>
          <w:p w:rsidR="00017F43" w:rsidRPr="00017F43" w:rsidRDefault="00017F43" w:rsidP="00017F43">
            <w:pPr>
              <w:jc w:val="both"/>
              <w:rPr>
                <w:sz w:val="20"/>
              </w:rPr>
            </w:pPr>
          </w:p>
        </w:tc>
      </w:tr>
      <w:tr w:rsidR="00017F43" w:rsidRPr="00584913" w:rsidTr="00102938">
        <w:trPr>
          <w:cantSplit/>
        </w:trPr>
        <w:tc>
          <w:tcPr>
            <w:tcW w:w="1458" w:type="dxa"/>
          </w:tcPr>
          <w:p w:rsidR="00017F43" w:rsidRPr="00017F43" w:rsidRDefault="00017F43" w:rsidP="00017F43">
            <w:pPr>
              <w:jc w:val="both"/>
              <w:rPr>
                <w:sz w:val="20"/>
              </w:rPr>
            </w:pPr>
            <w:r w:rsidRPr="00017F43">
              <w:rPr>
                <w:sz w:val="20"/>
              </w:rPr>
              <w:t>Coram :</w:t>
            </w:r>
          </w:p>
        </w:tc>
        <w:tc>
          <w:tcPr>
            <w:tcW w:w="8118" w:type="dxa"/>
          </w:tcPr>
          <w:p w:rsidR="00017F43" w:rsidRPr="00017F43" w:rsidRDefault="00017F43" w:rsidP="00017F43">
            <w:pPr>
              <w:jc w:val="both"/>
              <w:rPr>
                <w:sz w:val="20"/>
                <w:lang w:val="fr-CA"/>
              </w:rPr>
            </w:pPr>
            <w:r w:rsidRPr="00017F43">
              <w:rPr>
                <w:sz w:val="20"/>
                <w:u w:val="single"/>
                <w:lang w:val="fr-CA"/>
              </w:rPr>
              <w:t>Abella, Karakatsanis and Côté JJ.</w:t>
            </w:r>
          </w:p>
          <w:p w:rsidR="00017F43" w:rsidRPr="00017F43" w:rsidRDefault="00017F43" w:rsidP="00017F43">
            <w:pPr>
              <w:jc w:val="both"/>
              <w:rPr>
                <w:sz w:val="20"/>
                <w:u w:val="single"/>
                <w:lang w:val="fr-CA"/>
              </w:rPr>
            </w:pPr>
          </w:p>
        </w:tc>
      </w:tr>
      <w:tr w:rsidR="00017F43" w:rsidRPr="00584913" w:rsidTr="00102938">
        <w:trPr>
          <w:cantSplit/>
        </w:trPr>
        <w:tc>
          <w:tcPr>
            <w:tcW w:w="9576" w:type="dxa"/>
            <w:gridSpan w:val="2"/>
          </w:tcPr>
          <w:p w:rsidR="00017F43" w:rsidRPr="00017F43" w:rsidRDefault="00017F43" w:rsidP="00017F43">
            <w:pPr>
              <w:ind w:firstLine="720"/>
              <w:jc w:val="both"/>
              <w:rPr>
                <w:sz w:val="20"/>
              </w:rPr>
            </w:pPr>
            <w:r w:rsidRPr="00017F43">
              <w:rPr>
                <w:sz w:val="20"/>
              </w:rPr>
              <w:t>The application for leave to appeal from the judgment of the Court of Appeal for British Columbia (Vancouver), Number CA041990, 2014 BCCA 468, dated November 24, 2014, is dismissed with costs to the respondent Her Majesty the Queen in Right of the Province of British Columbia.</w:t>
            </w:r>
          </w:p>
          <w:p w:rsidR="00017F43" w:rsidRPr="00017F43" w:rsidRDefault="00017F43" w:rsidP="00017F43">
            <w:pPr>
              <w:jc w:val="both"/>
              <w:rPr>
                <w:sz w:val="20"/>
              </w:rPr>
            </w:pPr>
          </w:p>
          <w:p w:rsidR="00017F43" w:rsidRPr="00017F43" w:rsidRDefault="00017F43" w:rsidP="004D7FA2">
            <w:pPr>
              <w:ind w:firstLine="720"/>
              <w:jc w:val="both"/>
              <w:rPr>
                <w:sz w:val="20"/>
                <w:lang w:val="fr-CA"/>
              </w:rPr>
            </w:pPr>
            <w:r w:rsidRPr="00017F43">
              <w:rPr>
                <w:sz w:val="20"/>
                <w:lang w:val="fr-CA"/>
              </w:rPr>
              <w:t>La demande d’autorisation d’appel de l’arrêt de la Cour d’appel de la Colombie-Britannique (Vancouver), numéro CA041990, 2014 BCCA 468, daté du 24 novembre 2014, est rejetée avec dépens en faveur de l’intimée Sa Majesté la Reine du chef de la Colombie-Britannique.</w:t>
            </w:r>
          </w:p>
        </w:tc>
      </w:tr>
    </w:tbl>
    <w:p w:rsidR="004D7FA2" w:rsidRPr="00EF485B" w:rsidRDefault="004D7FA2" w:rsidP="004D7FA2">
      <w:pPr>
        <w:rPr>
          <w:sz w:val="20"/>
          <w:szCs w:val="20"/>
          <w:lang w:val="fr-CA"/>
        </w:rPr>
      </w:pPr>
    </w:p>
    <w:p w:rsidR="004D7FA2" w:rsidRPr="001B157C" w:rsidRDefault="004D7FA2" w:rsidP="004D7FA2">
      <w:pPr>
        <w:rPr>
          <w:sz w:val="20"/>
          <w:szCs w:val="20"/>
          <w:u w:val="single"/>
        </w:rPr>
      </w:pPr>
      <w:r w:rsidRPr="001B157C">
        <w:rPr>
          <w:sz w:val="20"/>
          <w:szCs w:val="20"/>
          <w:u w:val="single"/>
        </w:rPr>
        <w:t>CASE SUMMARY</w:t>
      </w:r>
    </w:p>
    <w:p w:rsidR="004D7FA2" w:rsidRDefault="004D7FA2" w:rsidP="004D7FA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D7FA2" w:rsidRPr="00841E19" w:rsidTr="00102938">
        <w:tc>
          <w:tcPr>
            <w:tcW w:w="5000" w:type="pct"/>
            <w:gridSpan w:val="3"/>
          </w:tcPr>
          <w:p w:rsidR="004D7FA2" w:rsidRPr="00841E19" w:rsidRDefault="004D7FA2" w:rsidP="00102938">
            <w:pPr>
              <w:jc w:val="both"/>
              <w:rPr>
                <w:rFonts w:eastAsia="Calibri" w:cs="Times New Roman"/>
                <w:sz w:val="20"/>
                <w:szCs w:val="20"/>
              </w:rPr>
            </w:pPr>
            <w:r w:rsidRPr="00841E19">
              <w:rPr>
                <w:rFonts w:eastAsia="Calibri" w:cs="Times New Roman"/>
                <w:i/>
                <w:sz w:val="20"/>
                <w:szCs w:val="20"/>
              </w:rPr>
              <w:t xml:space="preserve">Charter of Rights and Freedoms </w:t>
            </w:r>
            <w:r w:rsidRPr="00841E19">
              <w:rPr>
                <w:rFonts w:eastAsia="Calibri" w:cs="Times New Roman"/>
                <w:sz w:val="20"/>
                <w:szCs w:val="20"/>
              </w:rPr>
              <w:t>— Constitutional law</w:t>
            </w:r>
            <w:r w:rsidRPr="00841E19">
              <w:rPr>
                <w:rFonts w:eastAsia="Calibri" w:cs="Times New Roman"/>
                <w:i/>
                <w:sz w:val="20"/>
                <w:szCs w:val="20"/>
              </w:rPr>
              <w:t xml:space="preserve"> </w:t>
            </w:r>
            <w:r w:rsidRPr="00841E19">
              <w:rPr>
                <w:rFonts w:eastAsia="Calibri" w:cs="Times New Roman"/>
                <w:sz w:val="20"/>
                <w:szCs w:val="20"/>
              </w:rPr>
              <w:t>—</w:t>
            </w:r>
            <w:r w:rsidRPr="00841E19">
              <w:rPr>
                <w:rFonts w:eastAsia="Calibri" w:cs="Times New Roman"/>
                <w:i/>
                <w:sz w:val="20"/>
                <w:szCs w:val="20"/>
              </w:rPr>
              <w:t xml:space="preserve"> </w:t>
            </w:r>
            <w:r w:rsidRPr="00841E19">
              <w:rPr>
                <w:rFonts w:eastAsia="Calibri" w:cs="Times New Roman"/>
                <w:sz w:val="20"/>
                <w:szCs w:val="20"/>
              </w:rPr>
              <w:t>Fundamental justice — Whether the Applicant has been denied procedural fairness — Whether the lower court erred in its reasoning and decision.</w:t>
            </w:r>
          </w:p>
        </w:tc>
      </w:tr>
      <w:tr w:rsidR="004D7FA2" w:rsidRPr="00841E19" w:rsidTr="00102938">
        <w:tc>
          <w:tcPr>
            <w:tcW w:w="5000" w:type="pct"/>
            <w:gridSpan w:val="3"/>
          </w:tcPr>
          <w:p w:rsidR="004D7FA2" w:rsidRPr="00841E19" w:rsidRDefault="004D7FA2" w:rsidP="00102938">
            <w:pPr>
              <w:jc w:val="both"/>
              <w:rPr>
                <w:rFonts w:eastAsia="Calibri" w:cs="Times New Roman"/>
                <w:sz w:val="20"/>
                <w:szCs w:val="20"/>
              </w:rPr>
            </w:pPr>
          </w:p>
        </w:tc>
      </w:tr>
      <w:tr w:rsidR="004D7FA2" w:rsidRPr="00841E19" w:rsidTr="00102938">
        <w:tc>
          <w:tcPr>
            <w:tcW w:w="5000" w:type="pct"/>
            <w:gridSpan w:val="3"/>
          </w:tcPr>
          <w:p w:rsidR="004D7FA2" w:rsidRPr="00841E19" w:rsidRDefault="004D7FA2" w:rsidP="00102938">
            <w:pPr>
              <w:jc w:val="both"/>
              <w:rPr>
                <w:rFonts w:eastAsia="Calibri" w:cs="Times New Roman"/>
                <w:sz w:val="20"/>
                <w:szCs w:val="20"/>
              </w:rPr>
            </w:pPr>
            <w:r w:rsidRPr="00841E19">
              <w:rPr>
                <w:rFonts w:eastAsia="Calibri" w:cs="Times New Roman"/>
                <w:sz w:val="20"/>
                <w:szCs w:val="20"/>
              </w:rPr>
              <w:t xml:space="preserve">Mr. Gonzalez was injured in a workplace accident in 1995.  He was ultimately given an award of 100% loss of earnings pension calculated based on his past earnings pursuant to the </w:t>
            </w:r>
            <w:r w:rsidRPr="00841E19">
              <w:rPr>
                <w:rFonts w:eastAsia="Calibri" w:cs="Times New Roman"/>
                <w:i/>
                <w:sz w:val="20"/>
                <w:szCs w:val="20"/>
              </w:rPr>
              <w:t>Workers’ Compensation Act</w:t>
            </w:r>
            <w:r w:rsidRPr="00841E19">
              <w:rPr>
                <w:rFonts w:eastAsia="Calibri" w:cs="Times New Roman"/>
                <w:sz w:val="20"/>
                <w:szCs w:val="20"/>
              </w:rPr>
              <w:t>, R.S.B.C. 1996, c. 492.  Dissatisfied with the award, Mr. Gonzalez commenced an action against the Workers’ Compensation Board of British Columbia and the Workers’ Compensation Appeal Tribunal to obtain damages related to his injuries.  The action was dismissed and Mr. Gonzalez sought to appeal the decision. He filed and served his appeal record within the time required, but did not meet the deadline for filing and serving his factum and appeal book.  He therefore had to apply for an extension of time which was ultimately denied.  Mr. Gonzalez’s application for leave to appeal to the Supreme Court of Canada was dismissed on September 27, 2012.</w:t>
            </w:r>
            <w:r w:rsidRPr="00841E19">
              <w:rPr>
                <w:rFonts w:eastAsia="Calibri" w:cs="Times New Roman"/>
                <w:b/>
                <w:sz w:val="20"/>
                <w:szCs w:val="20"/>
              </w:rPr>
              <w:t xml:space="preserve"> </w:t>
            </w:r>
            <w:r w:rsidRPr="00841E19">
              <w:rPr>
                <w:rFonts w:eastAsia="Calibri" w:cs="Times New Roman"/>
                <w:sz w:val="20"/>
                <w:szCs w:val="20"/>
              </w:rPr>
              <w:t xml:space="preserve"> </w:t>
            </w:r>
          </w:p>
          <w:p w:rsidR="004D7FA2" w:rsidRPr="00841E19" w:rsidRDefault="004D7FA2" w:rsidP="00102938">
            <w:pPr>
              <w:jc w:val="both"/>
              <w:rPr>
                <w:rFonts w:eastAsia="Calibri" w:cs="Times New Roman"/>
                <w:sz w:val="20"/>
                <w:szCs w:val="20"/>
              </w:rPr>
            </w:pPr>
          </w:p>
          <w:p w:rsidR="004D7FA2" w:rsidRPr="00841E19" w:rsidRDefault="004D7FA2" w:rsidP="00102938">
            <w:pPr>
              <w:ind w:left="-30"/>
              <w:jc w:val="both"/>
              <w:rPr>
                <w:rFonts w:eastAsia="Calibri" w:cs="Times New Roman"/>
                <w:sz w:val="20"/>
                <w:szCs w:val="20"/>
              </w:rPr>
            </w:pPr>
            <w:r w:rsidRPr="00841E19">
              <w:rPr>
                <w:rFonts w:eastAsia="Calibri" w:cs="Times New Roman"/>
                <w:sz w:val="20"/>
                <w:szCs w:val="20"/>
              </w:rPr>
              <w:t>In 2014, Mr. Gonzalez commenced a second action alleging wrongful conduct by the Workers’ Compensation Board and also naming Her Majesty the Queen in Right of British Columbia as a defendant.</w:t>
            </w:r>
            <w:r w:rsidRPr="00841E19">
              <w:rPr>
                <w:rFonts w:eastAsia="Calibri" w:cs="Times New Roman"/>
                <w:b/>
                <w:sz w:val="20"/>
                <w:szCs w:val="20"/>
              </w:rPr>
              <w:t xml:space="preserve"> </w:t>
            </w:r>
            <w:r w:rsidRPr="00841E19">
              <w:rPr>
                <w:rFonts w:eastAsia="Calibri" w:cs="Times New Roman"/>
                <w:sz w:val="20"/>
                <w:szCs w:val="20"/>
              </w:rPr>
              <w:t xml:space="preserve"> The respondents moved to have the notice of civil claim struck out and the claim dismissed.  The Supreme Court of British Columbia agreed, dismissed the action and declared Mr. Gonzalez a vexatious litigant.  Mr. Gonzalez missed the deadline to file a notice of appeal and sought an extension of time which was also dismissed.  The Court of Appeal further dismissed an application to vary that order.   </w:t>
            </w:r>
          </w:p>
          <w:p w:rsidR="004D7FA2" w:rsidRPr="00841E19" w:rsidRDefault="004D7FA2" w:rsidP="00102938">
            <w:pPr>
              <w:ind w:left="-30"/>
              <w:jc w:val="both"/>
              <w:rPr>
                <w:rFonts w:eastAsia="Calibri" w:cs="Times New Roman"/>
                <w:sz w:val="20"/>
                <w:szCs w:val="20"/>
              </w:rPr>
            </w:pPr>
          </w:p>
        </w:tc>
      </w:tr>
      <w:tr w:rsidR="004D7FA2" w:rsidRPr="00841E19" w:rsidTr="00102938">
        <w:tc>
          <w:tcPr>
            <w:tcW w:w="2427" w:type="pct"/>
          </w:tcPr>
          <w:p w:rsidR="004D7FA2" w:rsidRPr="00841E19" w:rsidRDefault="004D7FA2" w:rsidP="00102938">
            <w:pPr>
              <w:jc w:val="both"/>
              <w:rPr>
                <w:rFonts w:eastAsia="Calibri" w:cs="Times New Roman"/>
                <w:sz w:val="20"/>
                <w:szCs w:val="20"/>
              </w:rPr>
            </w:pPr>
            <w:r w:rsidRPr="00841E19">
              <w:rPr>
                <w:rFonts w:eastAsia="Calibri" w:cs="Times New Roman"/>
                <w:sz w:val="20"/>
                <w:szCs w:val="20"/>
              </w:rPr>
              <w:t>June 19, 2014</w:t>
            </w:r>
          </w:p>
          <w:p w:rsidR="004D7FA2" w:rsidRPr="00841E19" w:rsidRDefault="004D7FA2" w:rsidP="00102938">
            <w:pPr>
              <w:jc w:val="both"/>
              <w:rPr>
                <w:rFonts w:eastAsia="Calibri" w:cs="Times New Roman"/>
                <w:sz w:val="20"/>
                <w:szCs w:val="20"/>
              </w:rPr>
            </w:pPr>
            <w:r w:rsidRPr="00841E19">
              <w:rPr>
                <w:rFonts w:eastAsia="Calibri" w:cs="Times New Roman"/>
                <w:sz w:val="20"/>
                <w:szCs w:val="20"/>
              </w:rPr>
              <w:t>Supreme Court of British Columbia</w:t>
            </w:r>
          </w:p>
          <w:p w:rsidR="004D7FA2" w:rsidRPr="00841E19" w:rsidRDefault="004D7FA2" w:rsidP="00102938">
            <w:pPr>
              <w:jc w:val="both"/>
              <w:rPr>
                <w:rFonts w:eastAsia="Calibri" w:cs="Times New Roman"/>
                <w:sz w:val="20"/>
                <w:szCs w:val="20"/>
              </w:rPr>
            </w:pPr>
            <w:r w:rsidRPr="00841E19">
              <w:rPr>
                <w:rFonts w:eastAsia="Calibri" w:cs="Times New Roman"/>
                <w:sz w:val="20"/>
                <w:szCs w:val="20"/>
              </w:rPr>
              <w:t>(Grauer J.)</w:t>
            </w:r>
          </w:p>
          <w:p w:rsidR="004D7FA2" w:rsidRPr="00841E19" w:rsidRDefault="004D7FA2" w:rsidP="00102938">
            <w:pPr>
              <w:jc w:val="both"/>
              <w:rPr>
                <w:rFonts w:eastAsia="Calibri" w:cs="Times New Roman"/>
                <w:sz w:val="20"/>
                <w:szCs w:val="20"/>
              </w:rPr>
            </w:pPr>
          </w:p>
        </w:tc>
        <w:tc>
          <w:tcPr>
            <w:tcW w:w="243" w:type="pct"/>
          </w:tcPr>
          <w:p w:rsidR="004D7FA2" w:rsidRPr="00841E19" w:rsidRDefault="004D7FA2" w:rsidP="00102938">
            <w:pPr>
              <w:jc w:val="both"/>
              <w:rPr>
                <w:rFonts w:eastAsia="Calibri" w:cs="Times New Roman"/>
                <w:sz w:val="20"/>
                <w:szCs w:val="20"/>
              </w:rPr>
            </w:pPr>
          </w:p>
        </w:tc>
        <w:tc>
          <w:tcPr>
            <w:tcW w:w="2330" w:type="pct"/>
          </w:tcPr>
          <w:p w:rsidR="004D7FA2" w:rsidRPr="00841E19" w:rsidRDefault="004D7FA2" w:rsidP="00102938">
            <w:pPr>
              <w:jc w:val="both"/>
              <w:rPr>
                <w:rFonts w:eastAsia="Calibri" w:cs="Times New Roman"/>
                <w:sz w:val="20"/>
                <w:szCs w:val="20"/>
              </w:rPr>
            </w:pPr>
            <w:r w:rsidRPr="00841E19">
              <w:rPr>
                <w:rFonts w:eastAsia="Calibri" w:cs="Times New Roman"/>
                <w:sz w:val="20"/>
                <w:szCs w:val="20"/>
              </w:rPr>
              <w:t>Notice of Civil Claim dismissed; Mr. Gonzalez declared a vexatious litigant.</w:t>
            </w:r>
          </w:p>
          <w:p w:rsidR="004D7FA2" w:rsidRPr="00841E19" w:rsidRDefault="004D7FA2" w:rsidP="00102938">
            <w:pPr>
              <w:jc w:val="both"/>
              <w:rPr>
                <w:rFonts w:eastAsia="Calibri" w:cs="Times New Roman"/>
                <w:sz w:val="20"/>
                <w:szCs w:val="20"/>
              </w:rPr>
            </w:pPr>
          </w:p>
        </w:tc>
      </w:tr>
      <w:tr w:rsidR="004D7FA2" w:rsidRPr="00841E19" w:rsidTr="00102938">
        <w:tc>
          <w:tcPr>
            <w:tcW w:w="2427" w:type="pct"/>
          </w:tcPr>
          <w:p w:rsidR="004D7FA2" w:rsidRPr="00841E19" w:rsidRDefault="004D7FA2" w:rsidP="00102938">
            <w:pPr>
              <w:jc w:val="both"/>
              <w:rPr>
                <w:rFonts w:eastAsia="Calibri" w:cs="Times New Roman"/>
                <w:sz w:val="20"/>
                <w:szCs w:val="20"/>
              </w:rPr>
            </w:pPr>
            <w:r w:rsidRPr="00841E19">
              <w:rPr>
                <w:rFonts w:eastAsia="Calibri" w:cs="Times New Roman"/>
                <w:sz w:val="20"/>
                <w:szCs w:val="20"/>
              </w:rPr>
              <w:t>September 19, 2014</w:t>
            </w:r>
          </w:p>
          <w:p w:rsidR="004D7FA2" w:rsidRPr="00841E19" w:rsidRDefault="004D7FA2" w:rsidP="00102938">
            <w:pPr>
              <w:jc w:val="both"/>
              <w:rPr>
                <w:rFonts w:eastAsia="Calibri" w:cs="Times New Roman"/>
                <w:sz w:val="20"/>
                <w:szCs w:val="20"/>
              </w:rPr>
            </w:pPr>
            <w:r w:rsidRPr="00841E19">
              <w:rPr>
                <w:rFonts w:eastAsia="Calibri" w:cs="Times New Roman"/>
                <w:sz w:val="20"/>
                <w:szCs w:val="20"/>
              </w:rPr>
              <w:t xml:space="preserve">Court of Appeal for British Columbia </w:t>
            </w:r>
          </w:p>
          <w:p w:rsidR="004D7FA2" w:rsidRPr="00841E19" w:rsidRDefault="004D7FA2" w:rsidP="00102938">
            <w:pPr>
              <w:jc w:val="both"/>
              <w:rPr>
                <w:rFonts w:eastAsia="Calibri" w:cs="Times New Roman"/>
                <w:sz w:val="20"/>
                <w:szCs w:val="20"/>
              </w:rPr>
            </w:pPr>
            <w:r w:rsidRPr="00841E19">
              <w:rPr>
                <w:rFonts w:eastAsia="Calibri" w:cs="Times New Roman"/>
                <w:sz w:val="20"/>
                <w:szCs w:val="20"/>
              </w:rPr>
              <w:t>(Vancouver)</w:t>
            </w:r>
          </w:p>
          <w:p w:rsidR="004D7FA2" w:rsidRPr="00841E19" w:rsidRDefault="004D7FA2" w:rsidP="00102938">
            <w:pPr>
              <w:jc w:val="both"/>
              <w:rPr>
                <w:rFonts w:eastAsia="Calibri" w:cs="Times New Roman"/>
                <w:sz w:val="20"/>
                <w:szCs w:val="20"/>
              </w:rPr>
            </w:pPr>
            <w:r w:rsidRPr="00841E19">
              <w:rPr>
                <w:rFonts w:eastAsia="Calibri" w:cs="Times New Roman"/>
                <w:sz w:val="20"/>
                <w:szCs w:val="20"/>
              </w:rPr>
              <w:t>(Garson J.A.)</w:t>
            </w:r>
          </w:p>
          <w:p w:rsidR="004D7FA2" w:rsidRPr="00841E19" w:rsidRDefault="004D7FA2" w:rsidP="00102938">
            <w:pPr>
              <w:jc w:val="both"/>
              <w:rPr>
                <w:rFonts w:eastAsia="Calibri" w:cs="Times New Roman"/>
                <w:sz w:val="20"/>
                <w:szCs w:val="20"/>
              </w:rPr>
            </w:pPr>
          </w:p>
        </w:tc>
        <w:tc>
          <w:tcPr>
            <w:tcW w:w="243" w:type="pct"/>
          </w:tcPr>
          <w:p w:rsidR="004D7FA2" w:rsidRPr="00841E19" w:rsidRDefault="004D7FA2" w:rsidP="00102938">
            <w:pPr>
              <w:jc w:val="both"/>
              <w:rPr>
                <w:rFonts w:eastAsia="Calibri" w:cs="Times New Roman"/>
                <w:sz w:val="20"/>
                <w:szCs w:val="20"/>
              </w:rPr>
            </w:pPr>
          </w:p>
        </w:tc>
        <w:tc>
          <w:tcPr>
            <w:tcW w:w="2330" w:type="pct"/>
          </w:tcPr>
          <w:p w:rsidR="004D7FA2" w:rsidRPr="00841E19" w:rsidRDefault="004D7FA2" w:rsidP="00102938">
            <w:pPr>
              <w:jc w:val="both"/>
              <w:rPr>
                <w:rFonts w:eastAsia="Calibri" w:cs="Times New Roman"/>
                <w:sz w:val="20"/>
                <w:szCs w:val="20"/>
              </w:rPr>
            </w:pPr>
            <w:r w:rsidRPr="00841E19">
              <w:rPr>
                <w:rFonts w:eastAsia="Calibri" w:cs="Times New Roman"/>
                <w:sz w:val="20"/>
                <w:szCs w:val="20"/>
              </w:rPr>
              <w:t xml:space="preserve">Application for extension of time to file Notice of Appeal, dismissed. </w:t>
            </w:r>
          </w:p>
          <w:p w:rsidR="004D7FA2" w:rsidRPr="00841E19" w:rsidRDefault="004D7FA2" w:rsidP="00102938">
            <w:pPr>
              <w:jc w:val="both"/>
              <w:rPr>
                <w:rFonts w:eastAsia="Calibri" w:cs="Times New Roman"/>
                <w:sz w:val="20"/>
                <w:szCs w:val="20"/>
              </w:rPr>
            </w:pPr>
          </w:p>
        </w:tc>
      </w:tr>
      <w:tr w:rsidR="004D7FA2" w:rsidRPr="00841E19" w:rsidTr="00102938">
        <w:tc>
          <w:tcPr>
            <w:tcW w:w="2427" w:type="pct"/>
          </w:tcPr>
          <w:p w:rsidR="004D7FA2" w:rsidRPr="00841E19" w:rsidRDefault="004D7FA2" w:rsidP="00102938">
            <w:pPr>
              <w:jc w:val="both"/>
              <w:rPr>
                <w:rFonts w:eastAsia="Calibri" w:cs="Times New Roman"/>
                <w:sz w:val="20"/>
                <w:szCs w:val="20"/>
              </w:rPr>
            </w:pPr>
            <w:r w:rsidRPr="00841E19">
              <w:rPr>
                <w:rFonts w:eastAsia="Calibri" w:cs="Times New Roman"/>
                <w:sz w:val="20"/>
                <w:szCs w:val="20"/>
              </w:rPr>
              <w:t>November 24, 2014</w:t>
            </w:r>
          </w:p>
          <w:p w:rsidR="004D7FA2" w:rsidRPr="00841E19" w:rsidRDefault="004D7FA2" w:rsidP="00102938">
            <w:pPr>
              <w:jc w:val="both"/>
              <w:rPr>
                <w:rFonts w:eastAsia="Calibri" w:cs="Times New Roman"/>
                <w:sz w:val="20"/>
                <w:szCs w:val="20"/>
              </w:rPr>
            </w:pPr>
            <w:r w:rsidRPr="00841E19">
              <w:rPr>
                <w:rFonts w:eastAsia="Calibri" w:cs="Times New Roman"/>
                <w:sz w:val="20"/>
                <w:szCs w:val="20"/>
              </w:rPr>
              <w:t xml:space="preserve">Court of Appeal for British Columbia </w:t>
            </w:r>
          </w:p>
          <w:p w:rsidR="004D7FA2" w:rsidRPr="00841E19" w:rsidRDefault="004D7FA2" w:rsidP="00102938">
            <w:pPr>
              <w:jc w:val="both"/>
              <w:rPr>
                <w:rFonts w:eastAsia="Calibri" w:cs="Times New Roman"/>
                <w:sz w:val="20"/>
                <w:szCs w:val="20"/>
              </w:rPr>
            </w:pPr>
            <w:r w:rsidRPr="00841E19">
              <w:rPr>
                <w:rFonts w:eastAsia="Calibri" w:cs="Times New Roman"/>
                <w:sz w:val="20"/>
                <w:szCs w:val="20"/>
              </w:rPr>
              <w:t>(Vancouver)</w:t>
            </w:r>
          </w:p>
          <w:p w:rsidR="004D7FA2" w:rsidRPr="00841E19" w:rsidRDefault="004D7FA2" w:rsidP="00102938">
            <w:pPr>
              <w:jc w:val="both"/>
              <w:rPr>
                <w:rFonts w:eastAsia="Calibri" w:cs="Times New Roman"/>
                <w:sz w:val="20"/>
                <w:szCs w:val="20"/>
              </w:rPr>
            </w:pPr>
            <w:r w:rsidRPr="00841E19">
              <w:rPr>
                <w:rFonts w:eastAsia="Calibri" w:cs="Times New Roman"/>
                <w:sz w:val="20"/>
                <w:szCs w:val="20"/>
              </w:rPr>
              <w:t>(Chiasson, Frankel and Harris JJ.A.)</w:t>
            </w:r>
          </w:p>
          <w:p w:rsidR="004D7FA2" w:rsidRPr="00841E19" w:rsidRDefault="00417673" w:rsidP="00102938">
            <w:pPr>
              <w:jc w:val="both"/>
              <w:rPr>
                <w:rFonts w:eastAsia="Calibri" w:cs="Times New Roman"/>
                <w:sz w:val="20"/>
                <w:szCs w:val="20"/>
              </w:rPr>
            </w:pPr>
            <w:hyperlink r:id="rId83" w:history="1">
              <w:r w:rsidR="004D7FA2" w:rsidRPr="00841E19">
                <w:rPr>
                  <w:rFonts w:eastAsia="Calibri" w:cs="Times New Roman"/>
                  <w:color w:val="0000FF"/>
                  <w:sz w:val="20"/>
                  <w:szCs w:val="20"/>
                  <w:u w:val="single"/>
                </w:rPr>
                <w:t>2014 BCCA 468</w:t>
              </w:r>
            </w:hyperlink>
          </w:p>
          <w:p w:rsidR="004D7FA2" w:rsidRPr="00841E19" w:rsidRDefault="004D7FA2" w:rsidP="00102938">
            <w:pPr>
              <w:jc w:val="both"/>
              <w:rPr>
                <w:rFonts w:eastAsia="Calibri" w:cs="Times New Roman"/>
                <w:sz w:val="20"/>
                <w:szCs w:val="20"/>
              </w:rPr>
            </w:pPr>
            <w:r w:rsidRPr="00841E19">
              <w:rPr>
                <w:rFonts w:eastAsia="Calibri" w:cs="Times New Roman"/>
                <w:sz w:val="20"/>
                <w:szCs w:val="20"/>
              </w:rPr>
              <w:t>File No.: CA041990</w:t>
            </w:r>
          </w:p>
          <w:p w:rsidR="004D7FA2" w:rsidRPr="00841E19" w:rsidRDefault="004D7FA2" w:rsidP="00102938">
            <w:pPr>
              <w:jc w:val="both"/>
              <w:rPr>
                <w:rFonts w:eastAsia="Calibri" w:cs="Times New Roman"/>
                <w:sz w:val="20"/>
                <w:szCs w:val="20"/>
              </w:rPr>
            </w:pPr>
          </w:p>
        </w:tc>
        <w:tc>
          <w:tcPr>
            <w:tcW w:w="243" w:type="pct"/>
          </w:tcPr>
          <w:p w:rsidR="004D7FA2" w:rsidRPr="00841E19" w:rsidRDefault="004D7FA2" w:rsidP="00102938">
            <w:pPr>
              <w:jc w:val="both"/>
              <w:rPr>
                <w:rFonts w:eastAsia="Calibri" w:cs="Times New Roman"/>
                <w:sz w:val="20"/>
                <w:szCs w:val="20"/>
              </w:rPr>
            </w:pPr>
          </w:p>
        </w:tc>
        <w:tc>
          <w:tcPr>
            <w:tcW w:w="2330" w:type="pct"/>
          </w:tcPr>
          <w:p w:rsidR="004D7FA2" w:rsidRPr="00841E19" w:rsidRDefault="004D7FA2" w:rsidP="00102938">
            <w:pPr>
              <w:jc w:val="both"/>
              <w:rPr>
                <w:rFonts w:eastAsia="Calibri" w:cs="Times New Roman"/>
                <w:sz w:val="20"/>
                <w:szCs w:val="20"/>
              </w:rPr>
            </w:pPr>
            <w:r w:rsidRPr="00841E19">
              <w:rPr>
                <w:rFonts w:eastAsia="Calibri" w:cs="Times New Roman"/>
                <w:sz w:val="20"/>
                <w:szCs w:val="20"/>
              </w:rPr>
              <w:t>Application to vary order refusing extension of time, dismissed.</w:t>
            </w:r>
          </w:p>
          <w:p w:rsidR="004D7FA2" w:rsidRPr="00841E19" w:rsidRDefault="004D7FA2" w:rsidP="00102938">
            <w:pPr>
              <w:jc w:val="both"/>
              <w:rPr>
                <w:rFonts w:eastAsia="Calibri" w:cs="Times New Roman"/>
                <w:sz w:val="20"/>
                <w:szCs w:val="20"/>
              </w:rPr>
            </w:pPr>
          </w:p>
        </w:tc>
      </w:tr>
      <w:tr w:rsidR="004D7FA2" w:rsidRPr="00841E19" w:rsidTr="00102938">
        <w:tc>
          <w:tcPr>
            <w:tcW w:w="2427" w:type="pct"/>
          </w:tcPr>
          <w:p w:rsidR="004D7FA2" w:rsidRPr="00841E19" w:rsidRDefault="004D7FA2" w:rsidP="00102938">
            <w:pPr>
              <w:jc w:val="both"/>
              <w:rPr>
                <w:rFonts w:eastAsia="Calibri" w:cs="Times New Roman"/>
                <w:sz w:val="20"/>
                <w:szCs w:val="20"/>
              </w:rPr>
            </w:pPr>
            <w:r w:rsidRPr="00841E19">
              <w:rPr>
                <w:rFonts w:eastAsia="Calibri" w:cs="Times New Roman"/>
                <w:sz w:val="20"/>
                <w:szCs w:val="20"/>
              </w:rPr>
              <w:lastRenderedPageBreak/>
              <w:t>January 15, 2015</w:t>
            </w:r>
          </w:p>
          <w:p w:rsidR="004D7FA2" w:rsidRPr="00841E19" w:rsidRDefault="004D7FA2" w:rsidP="00102938">
            <w:pPr>
              <w:jc w:val="both"/>
              <w:rPr>
                <w:rFonts w:eastAsia="Calibri" w:cs="Times New Roman"/>
                <w:sz w:val="20"/>
                <w:szCs w:val="20"/>
              </w:rPr>
            </w:pPr>
            <w:r w:rsidRPr="00841E19">
              <w:rPr>
                <w:rFonts w:eastAsia="Calibri" w:cs="Times New Roman"/>
                <w:sz w:val="20"/>
                <w:szCs w:val="20"/>
              </w:rPr>
              <w:t>Supreme Court of Canada</w:t>
            </w:r>
          </w:p>
        </w:tc>
        <w:tc>
          <w:tcPr>
            <w:tcW w:w="243" w:type="pct"/>
          </w:tcPr>
          <w:p w:rsidR="004D7FA2" w:rsidRPr="00841E19" w:rsidRDefault="004D7FA2" w:rsidP="00102938">
            <w:pPr>
              <w:jc w:val="both"/>
              <w:rPr>
                <w:rFonts w:eastAsia="Calibri" w:cs="Times New Roman"/>
                <w:sz w:val="20"/>
                <w:szCs w:val="20"/>
              </w:rPr>
            </w:pPr>
          </w:p>
        </w:tc>
        <w:tc>
          <w:tcPr>
            <w:tcW w:w="2330" w:type="pct"/>
          </w:tcPr>
          <w:p w:rsidR="004D7FA2" w:rsidRPr="00841E19" w:rsidRDefault="004D7FA2" w:rsidP="00102938">
            <w:pPr>
              <w:jc w:val="both"/>
              <w:rPr>
                <w:rFonts w:eastAsia="Calibri" w:cs="Times New Roman"/>
                <w:sz w:val="20"/>
                <w:szCs w:val="20"/>
              </w:rPr>
            </w:pPr>
            <w:r w:rsidRPr="00841E19">
              <w:rPr>
                <w:rFonts w:eastAsia="Calibri" w:cs="Times New Roman"/>
                <w:sz w:val="20"/>
                <w:szCs w:val="20"/>
              </w:rPr>
              <w:t>Application for leave to appeal filed</w:t>
            </w:r>
          </w:p>
        </w:tc>
      </w:tr>
    </w:tbl>
    <w:p w:rsidR="004D7FA2" w:rsidRPr="00841E19" w:rsidRDefault="004D7FA2" w:rsidP="004D7FA2">
      <w:pPr>
        <w:jc w:val="both"/>
        <w:rPr>
          <w:rFonts w:eastAsia="Calibri" w:cs="Times New Roman"/>
          <w:sz w:val="20"/>
          <w:szCs w:val="20"/>
        </w:rPr>
      </w:pPr>
    </w:p>
    <w:p w:rsidR="004D7FA2" w:rsidRPr="00C50A5C" w:rsidRDefault="00417673" w:rsidP="004D7FA2">
      <w:pPr>
        <w:rPr>
          <w:sz w:val="20"/>
          <w:szCs w:val="20"/>
        </w:rPr>
      </w:pPr>
      <w:r>
        <w:rPr>
          <w:sz w:val="20"/>
          <w:szCs w:val="20"/>
          <w:lang w:val="fr-CA"/>
        </w:rPr>
        <w:pict>
          <v:rect id="_x0000_i1076" style="width:2in;height:1pt" o:hrpct="0" o:hralign="center" o:hrstd="t" o:hrnoshade="t" o:hr="t" fillcolor="black [3213]" stroked="f"/>
        </w:pict>
      </w:r>
    </w:p>
    <w:p w:rsidR="004D7FA2" w:rsidRDefault="004D7FA2" w:rsidP="004D7FA2">
      <w:pPr>
        <w:rPr>
          <w:sz w:val="20"/>
          <w:szCs w:val="20"/>
        </w:rPr>
      </w:pPr>
    </w:p>
    <w:p w:rsidR="004D7FA2" w:rsidRPr="001B157C" w:rsidRDefault="004D7FA2" w:rsidP="004D7FA2">
      <w:pPr>
        <w:rPr>
          <w:sz w:val="20"/>
          <w:szCs w:val="20"/>
          <w:u w:val="single"/>
          <w:lang w:val="fr-CA"/>
        </w:rPr>
      </w:pPr>
      <w:r w:rsidRPr="001B157C">
        <w:rPr>
          <w:sz w:val="20"/>
          <w:szCs w:val="20"/>
          <w:u w:val="single"/>
          <w:lang w:val="fr-CA"/>
        </w:rPr>
        <w:t>RÉSUMÉ DE L’AFFAIRE</w:t>
      </w:r>
    </w:p>
    <w:p w:rsidR="004D7FA2" w:rsidRDefault="004D7FA2" w:rsidP="004D7FA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D7FA2" w:rsidRPr="00584913" w:rsidTr="00102938">
        <w:tc>
          <w:tcPr>
            <w:tcW w:w="5000" w:type="pct"/>
            <w:gridSpan w:val="3"/>
          </w:tcPr>
          <w:p w:rsidR="004D7FA2" w:rsidRPr="00841E19" w:rsidRDefault="004D7FA2" w:rsidP="00102938">
            <w:pPr>
              <w:jc w:val="both"/>
              <w:rPr>
                <w:rFonts w:eastAsia="Calibri" w:cs="Times New Roman"/>
                <w:sz w:val="20"/>
                <w:szCs w:val="20"/>
                <w:lang w:val="fr-CA"/>
              </w:rPr>
            </w:pPr>
            <w:r w:rsidRPr="00841E19">
              <w:rPr>
                <w:rFonts w:eastAsia="Calibri" w:cs="Times New Roman"/>
                <w:i/>
                <w:sz w:val="20"/>
                <w:szCs w:val="20"/>
                <w:lang w:val="fr-CA"/>
              </w:rPr>
              <w:t xml:space="preserve">Charte des droits et libertés </w:t>
            </w:r>
            <w:r w:rsidRPr="00841E19">
              <w:rPr>
                <w:rFonts w:eastAsia="Calibri" w:cs="Times New Roman"/>
                <w:sz w:val="20"/>
                <w:szCs w:val="20"/>
                <w:lang w:val="fr-CA"/>
              </w:rPr>
              <w:t>— Droit constitutionnel</w:t>
            </w:r>
            <w:r w:rsidRPr="00841E19">
              <w:rPr>
                <w:rFonts w:eastAsia="Calibri" w:cs="Times New Roman"/>
                <w:i/>
                <w:sz w:val="20"/>
                <w:szCs w:val="20"/>
                <w:lang w:val="fr-CA"/>
              </w:rPr>
              <w:t xml:space="preserve"> </w:t>
            </w:r>
            <w:r w:rsidRPr="00841E19">
              <w:rPr>
                <w:rFonts w:eastAsia="Calibri" w:cs="Times New Roman"/>
                <w:sz w:val="20"/>
                <w:szCs w:val="20"/>
                <w:lang w:val="fr-CA"/>
              </w:rPr>
              <w:t>— Justice fondamentale — Le demandeur a-t-il été privé du bénéfice de l’équité procédurale? — La juridiction inférieure a-t-elle commis une erreur dans son raisonnement et dans sa décision?</w:t>
            </w:r>
          </w:p>
        </w:tc>
      </w:tr>
      <w:tr w:rsidR="004D7FA2" w:rsidRPr="00584913" w:rsidTr="00102938">
        <w:tc>
          <w:tcPr>
            <w:tcW w:w="5000" w:type="pct"/>
            <w:gridSpan w:val="3"/>
          </w:tcPr>
          <w:p w:rsidR="004D7FA2" w:rsidRPr="00841E19" w:rsidRDefault="004D7FA2" w:rsidP="00102938">
            <w:pPr>
              <w:jc w:val="both"/>
              <w:rPr>
                <w:rFonts w:eastAsia="Calibri" w:cs="Times New Roman"/>
                <w:sz w:val="20"/>
                <w:szCs w:val="20"/>
                <w:lang w:val="fr-CA"/>
              </w:rPr>
            </w:pPr>
          </w:p>
        </w:tc>
      </w:tr>
      <w:tr w:rsidR="004D7FA2" w:rsidRPr="00584913" w:rsidTr="00102938">
        <w:tc>
          <w:tcPr>
            <w:tcW w:w="5000" w:type="pct"/>
            <w:gridSpan w:val="3"/>
          </w:tcPr>
          <w:p w:rsidR="004D7FA2" w:rsidRPr="00841E19" w:rsidRDefault="004D7FA2" w:rsidP="00102938">
            <w:pPr>
              <w:jc w:val="both"/>
              <w:rPr>
                <w:rFonts w:eastAsia="Calibri" w:cs="Times New Roman"/>
                <w:sz w:val="20"/>
                <w:szCs w:val="20"/>
                <w:lang w:val="fr-CA"/>
              </w:rPr>
            </w:pPr>
            <w:r w:rsidRPr="00841E19">
              <w:rPr>
                <w:rFonts w:eastAsia="Calibri" w:cs="Times New Roman"/>
                <w:sz w:val="20"/>
                <w:szCs w:val="20"/>
                <w:lang w:val="fr-CA"/>
              </w:rPr>
              <w:t xml:space="preserve">Monsieur Gonzalez a été blessé dans un accident du travail en 1995.  Il s’est finalement vu accorder une rente équivalente à 100 % de sa perte de gains, calculée en fonction de ses gains antérieurs en application de la </w:t>
            </w:r>
            <w:r w:rsidRPr="00841E19">
              <w:rPr>
                <w:rFonts w:eastAsia="Calibri" w:cs="Times New Roman"/>
                <w:i/>
                <w:sz w:val="20"/>
                <w:szCs w:val="20"/>
                <w:lang w:val="fr-CA"/>
              </w:rPr>
              <w:t>Workers’ Compensation Act</w:t>
            </w:r>
            <w:r w:rsidRPr="00841E19">
              <w:rPr>
                <w:rFonts w:eastAsia="Calibri" w:cs="Times New Roman"/>
                <w:sz w:val="20"/>
                <w:szCs w:val="20"/>
                <w:lang w:val="fr-CA"/>
              </w:rPr>
              <w:t>, R.S.B.C. 1996, ch. 492.  Insatisfait de la sentence, M. Gonzalez a intenté une action contre la Workers’ Compensation Board of British Columbia et la Workers’ Compensation Appeal Tribunal pour obtenir des dommages-intérêts liés à ses blessures.  L’action a été rejetée et M. Gonzalez a voulu interjeter appel. Il a déposé et signifié son dossier d’appel dans les délais prescrits, mais il n’a pas respecté les délais de production et de signification de son mémoire et de son cahier d’appel.  Il a donc dû demander une prorogation de délai qui lui a finalement été refusée.  La demande de M. Gonzales en autorisation d’appel à la Cour suprême du Canada a été rejetée le 27 septembre 2012.</w:t>
            </w:r>
          </w:p>
          <w:p w:rsidR="004D7FA2" w:rsidRPr="00841E19" w:rsidRDefault="004D7FA2" w:rsidP="00102938">
            <w:pPr>
              <w:jc w:val="both"/>
              <w:rPr>
                <w:rFonts w:eastAsia="Calibri" w:cs="Times New Roman"/>
                <w:sz w:val="20"/>
                <w:szCs w:val="20"/>
                <w:lang w:val="fr-CA"/>
              </w:rPr>
            </w:pPr>
          </w:p>
          <w:p w:rsidR="004D7FA2" w:rsidRPr="00841E19" w:rsidRDefault="004D7FA2" w:rsidP="00102938">
            <w:pPr>
              <w:ind w:left="-30"/>
              <w:jc w:val="both"/>
              <w:rPr>
                <w:rFonts w:eastAsia="Calibri" w:cs="Times New Roman"/>
                <w:sz w:val="20"/>
                <w:szCs w:val="20"/>
                <w:lang w:val="fr-CA"/>
              </w:rPr>
            </w:pPr>
            <w:r w:rsidRPr="00841E19">
              <w:rPr>
                <w:rFonts w:eastAsia="Calibri" w:cs="Times New Roman"/>
                <w:sz w:val="20"/>
                <w:szCs w:val="20"/>
                <w:lang w:val="fr-CA"/>
              </w:rPr>
              <w:t>En 2014, M. Gonzalez a intenté une deuxième action dans laquelle il a allégué une faute de la Workers’ Compensation Board et nommant aussi Sa Majesté la Reine du chef de la Colombie-Britannique comme défenderesse.  Par requête, les intimés ont demandé la radiation de l’avis de demande civile et le rejet de la demande.  La Cour suprême de la Colombie-Britannique leur a donné gain de cause, a rejeté l’action et a déclaré M. Gonzalez plaideur quérulent.  Monsieur Gonzalez n’a pas déposé d’avis d’appel dans le délai prescrit et il a demandé une prorogation de délai qui a été rejetée elle aussi.  La Cour d’appel a rejeté une demande de modification de cette ordonnance.</w:t>
            </w:r>
          </w:p>
          <w:p w:rsidR="004D7FA2" w:rsidRPr="00841E19" w:rsidRDefault="004D7FA2" w:rsidP="00102938">
            <w:pPr>
              <w:ind w:left="-30"/>
              <w:jc w:val="both"/>
              <w:rPr>
                <w:rFonts w:eastAsia="Calibri" w:cs="Times New Roman"/>
                <w:sz w:val="20"/>
                <w:szCs w:val="20"/>
                <w:lang w:val="fr-CA"/>
              </w:rPr>
            </w:pPr>
          </w:p>
        </w:tc>
      </w:tr>
      <w:tr w:rsidR="004D7FA2" w:rsidRPr="00584913" w:rsidTr="00102938">
        <w:tc>
          <w:tcPr>
            <w:tcW w:w="2427" w:type="pct"/>
          </w:tcPr>
          <w:p w:rsidR="004D7FA2" w:rsidRPr="00841E19" w:rsidRDefault="004D7FA2" w:rsidP="00102938">
            <w:pPr>
              <w:jc w:val="both"/>
              <w:rPr>
                <w:rFonts w:eastAsia="Calibri" w:cs="Times New Roman"/>
                <w:sz w:val="20"/>
                <w:szCs w:val="20"/>
                <w:lang w:val="fr-CA"/>
              </w:rPr>
            </w:pPr>
            <w:r w:rsidRPr="00841E19">
              <w:rPr>
                <w:rFonts w:eastAsia="Calibri" w:cs="Times New Roman"/>
                <w:sz w:val="20"/>
                <w:szCs w:val="20"/>
                <w:lang w:val="fr-CA"/>
              </w:rPr>
              <w:t>19 juin 2014</w:t>
            </w:r>
          </w:p>
          <w:p w:rsidR="004D7FA2" w:rsidRPr="00841E19" w:rsidRDefault="004D7FA2" w:rsidP="00102938">
            <w:pPr>
              <w:jc w:val="both"/>
              <w:rPr>
                <w:rFonts w:eastAsia="Calibri" w:cs="Times New Roman"/>
                <w:sz w:val="20"/>
                <w:szCs w:val="20"/>
                <w:lang w:val="fr-CA"/>
              </w:rPr>
            </w:pPr>
            <w:r w:rsidRPr="00841E19">
              <w:rPr>
                <w:rFonts w:eastAsia="Calibri" w:cs="Times New Roman"/>
                <w:sz w:val="20"/>
                <w:szCs w:val="20"/>
                <w:lang w:val="fr-CA"/>
              </w:rPr>
              <w:t>Cour suprême de la Colombie-Britannique</w:t>
            </w:r>
          </w:p>
          <w:p w:rsidR="004D7FA2" w:rsidRPr="00841E19" w:rsidRDefault="004D7FA2" w:rsidP="00102938">
            <w:pPr>
              <w:jc w:val="both"/>
              <w:rPr>
                <w:rFonts w:eastAsia="Calibri" w:cs="Times New Roman"/>
                <w:sz w:val="20"/>
                <w:szCs w:val="20"/>
                <w:lang w:val="fr-CA"/>
              </w:rPr>
            </w:pPr>
            <w:r w:rsidRPr="00841E19">
              <w:rPr>
                <w:rFonts w:eastAsia="Calibri" w:cs="Times New Roman"/>
                <w:sz w:val="20"/>
                <w:szCs w:val="20"/>
                <w:lang w:val="fr-CA"/>
              </w:rPr>
              <w:t>(Juge Grauer)</w:t>
            </w:r>
          </w:p>
          <w:p w:rsidR="004D7FA2" w:rsidRPr="00841E19" w:rsidRDefault="004D7FA2" w:rsidP="00102938">
            <w:pPr>
              <w:jc w:val="both"/>
              <w:rPr>
                <w:rFonts w:eastAsia="Calibri" w:cs="Times New Roman"/>
                <w:sz w:val="20"/>
                <w:szCs w:val="20"/>
                <w:lang w:val="fr-CA"/>
              </w:rPr>
            </w:pPr>
          </w:p>
        </w:tc>
        <w:tc>
          <w:tcPr>
            <w:tcW w:w="243" w:type="pct"/>
          </w:tcPr>
          <w:p w:rsidR="004D7FA2" w:rsidRPr="00841E19" w:rsidRDefault="004D7FA2" w:rsidP="00102938">
            <w:pPr>
              <w:jc w:val="both"/>
              <w:rPr>
                <w:rFonts w:eastAsia="Calibri" w:cs="Times New Roman"/>
                <w:sz w:val="20"/>
                <w:szCs w:val="20"/>
                <w:lang w:val="fr-CA"/>
              </w:rPr>
            </w:pPr>
          </w:p>
        </w:tc>
        <w:tc>
          <w:tcPr>
            <w:tcW w:w="2330" w:type="pct"/>
          </w:tcPr>
          <w:p w:rsidR="004D7FA2" w:rsidRPr="00841E19" w:rsidRDefault="004D7FA2" w:rsidP="00102938">
            <w:pPr>
              <w:jc w:val="both"/>
              <w:rPr>
                <w:rFonts w:eastAsia="Calibri" w:cs="Times New Roman"/>
                <w:sz w:val="20"/>
                <w:szCs w:val="20"/>
                <w:lang w:val="fr-CA"/>
              </w:rPr>
            </w:pPr>
            <w:r w:rsidRPr="00841E19">
              <w:rPr>
                <w:rFonts w:eastAsia="Calibri" w:cs="Times New Roman"/>
                <w:sz w:val="20"/>
                <w:szCs w:val="20"/>
                <w:lang w:val="fr-CA"/>
              </w:rPr>
              <w:t>Rejet de l’avis de demande civile; décision déclarant M. Gonzalez plaideur quérulent.</w:t>
            </w:r>
          </w:p>
          <w:p w:rsidR="004D7FA2" w:rsidRPr="00841E19" w:rsidRDefault="004D7FA2" w:rsidP="00102938">
            <w:pPr>
              <w:jc w:val="both"/>
              <w:rPr>
                <w:rFonts w:eastAsia="Calibri" w:cs="Times New Roman"/>
                <w:sz w:val="20"/>
                <w:szCs w:val="20"/>
                <w:lang w:val="fr-CA"/>
              </w:rPr>
            </w:pPr>
          </w:p>
        </w:tc>
      </w:tr>
      <w:tr w:rsidR="004D7FA2" w:rsidRPr="00584913" w:rsidTr="00102938">
        <w:tc>
          <w:tcPr>
            <w:tcW w:w="2427" w:type="pct"/>
          </w:tcPr>
          <w:p w:rsidR="004D7FA2" w:rsidRPr="00841E19" w:rsidRDefault="004D7FA2" w:rsidP="00102938">
            <w:pPr>
              <w:jc w:val="both"/>
              <w:rPr>
                <w:rFonts w:eastAsia="Calibri" w:cs="Times New Roman"/>
                <w:sz w:val="20"/>
                <w:szCs w:val="20"/>
                <w:lang w:val="fr-CA"/>
              </w:rPr>
            </w:pPr>
            <w:r w:rsidRPr="00841E19">
              <w:rPr>
                <w:rFonts w:eastAsia="Calibri" w:cs="Times New Roman"/>
                <w:sz w:val="20"/>
                <w:szCs w:val="20"/>
                <w:lang w:val="fr-CA"/>
              </w:rPr>
              <w:t>19 septembre 2014</w:t>
            </w:r>
          </w:p>
          <w:p w:rsidR="004D7FA2" w:rsidRPr="00841E19" w:rsidRDefault="004D7FA2" w:rsidP="00102938">
            <w:pPr>
              <w:jc w:val="both"/>
              <w:rPr>
                <w:rFonts w:eastAsia="Calibri" w:cs="Times New Roman"/>
                <w:sz w:val="20"/>
                <w:szCs w:val="20"/>
                <w:lang w:val="fr-CA"/>
              </w:rPr>
            </w:pPr>
            <w:r w:rsidRPr="00841E19">
              <w:rPr>
                <w:rFonts w:eastAsia="Calibri" w:cs="Times New Roman"/>
                <w:sz w:val="20"/>
                <w:szCs w:val="20"/>
                <w:lang w:val="fr-CA"/>
              </w:rPr>
              <w:t>Cour d’appel de la Colombie-Britannique</w:t>
            </w:r>
          </w:p>
          <w:p w:rsidR="004D7FA2" w:rsidRPr="00841E19" w:rsidRDefault="004D7FA2" w:rsidP="00102938">
            <w:pPr>
              <w:jc w:val="both"/>
              <w:rPr>
                <w:rFonts w:eastAsia="Calibri" w:cs="Times New Roman"/>
                <w:sz w:val="20"/>
                <w:szCs w:val="20"/>
                <w:lang w:val="fr-CA"/>
              </w:rPr>
            </w:pPr>
            <w:r w:rsidRPr="00841E19">
              <w:rPr>
                <w:rFonts w:eastAsia="Calibri" w:cs="Times New Roman"/>
                <w:sz w:val="20"/>
                <w:szCs w:val="20"/>
                <w:lang w:val="fr-CA"/>
              </w:rPr>
              <w:t>(Vancouver)</w:t>
            </w:r>
          </w:p>
          <w:p w:rsidR="004D7FA2" w:rsidRPr="00841E19" w:rsidRDefault="004D7FA2" w:rsidP="00102938">
            <w:pPr>
              <w:jc w:val="both"/>
              <w:rPr>
                <w:rFonts w:eastAsia="Calibri" w:cs="Times New Roman"/>
                <w:sz w:val="20"/>
                <w:szCs w:val="20"/>
                <w:lang w:val="fr-CA"/>
              </w:rPr>
            </w:pPr>
            <w:r w:rsidRPr="00841E19">
              <w:rPr>
                <w:rFonts w:eastAsia="Calibri" w:cs="Times New Roman"/>
                <w:sz w:val="20"/>
                <w:szCs w:val="20"/>
                <w:lang w:val="fr-CA"/>
              </w:rPr>
              <w:t>(Juge Garson)</w:t>
            </w:r>
          </w:p>
          <w:p w:rsidR="004D7FA2" w:rsidRPr="00841E19" w:rsidRDefault="004D7FA2" w:rsidP="00102938">
            <w:pPr>
              <w:jc w:val="both"/>
              <w:rPr>
                <w:rFonts w:eastAsia="Calibri" w:cs="Times New Roman"/>
                <w:sz w:val="20"/>
                <w:szCs w:val="20"/>
                <w:lang w:val="fr-CA"/>
              </w:rPr>
            </w:pPr>
          </w:p>
        </w:tc>
        <w:tc>
          <w:tcPr>
            <w:tcW w:w="243" w:type="pct"/>
          </w:tcPr>
          <w:p w:rsidR="004D7FA2" w:rsidRPr="00841E19" w:rsidRDefault="004D7FA2" w:rsidP="00102938">
            <w:pPr>
              <w:jc w:val="both"/>
              <w:rPr>
                <w:rFonts w:eastAsia="Calibri" w:cs="Times New Roman"/>
                <w:sz w:val="20"/>
                <w:szCs w:val="20"/>
                <w:lang w:val="fr-CA"/>
              </w:rPr>
            </w:pPr>
          </w:p>
        </w:tc>
        <w:tc>
          <w:tcPr>
            <w:tcW w:w="2330" w:type="pct"/>
          </w:tcPr>
          <w:p w:rsidR="004D7FA2" w:rsidRPr="00841E19" w:rsidRDefault="004D7FA2" w:rsidP="00102938">
            <w:pPr>
              <w:jc w:val="both"/>
              <w:rPr>
                <w:rFonts w:eastAsia="Calibri" w:cs="Times New Roman"/>
                <w:sz w:val="20"/>
                <w:szCs w:val="20"/>
                <w:lang w:val="fr-CA"/>
              </w:rPr>
            </w:pPr>
            <w:r w:rsidRPr="00841E19">
              <w:rPr>
                <w:rFonts w:eastAsia="Calibri" w:cs="Times New Roman"/>
                <w:sz w:val="20"/>
                <w:szCs w:val="20"/>
                <w:lang w:val="fr-CA"/>
              </w:rPr>
              <w:t xml:space="preserve">Rejet de la demande de prorogation du délai de dépôt de l’avis d’appel. </w:t>
            </w:r>
          </w:p>
          <w:p w:rsidR="004D7FA2" w:rsidRPr="00841E19" w:rsidRDefault="004D7FA2" w:rsidP="00102938">
            <w:pPr>
              <w:jc w:val="both"/>
              <w:rPr>
                <w:rFonts w:eastAsia="Calibri" w:cs="Times New Roman"/>
                <w:sz w:val="20"/>
                <w:szCs w:val="20"/>
                <w:lang w:val="fr-CA"/>
              </w:rPr>
            </w:pPr>
          </w:p>
        </w:tc>
      </w:tr>
      <w:tr w:rsidR="004D7FA2" w:rsidRPr="00584913" w:rsidTr="00102938">
        <w:tc>
          <w:tcPr>
            <w:tcW w:w="2427" w:type="pct"/>
          </w:tcPr>
          <w:p w:rsidR="004D7FA2" w:rsidRPr="00841E19" w:rsidRDefault="004D7FA2" w:rsidP="00102938">
            <w:pPr>
              <w:jc w:val="both"/>
              <w:rPr>
                <w:rFonts w:eastAsia="Calibri" w:cs="Times New Roman"/>
                <w:sz w:val="20"/>
                <w:szCs w:val="20"/>
                <w:lang w:val="fr-CA"/>
              </w:rPr>
            </w:pPr>
            <w:r w:rsidRPr="00841E19">
              <w:rPr>
                <w:rFonts w:eastAsia="Calibri" w:cs="Times New Roman"/>
                <w:sz w:val="20"/>
                <w:szCs w:val="20"/>
                <w:lang w:val="fr-CA"/>
              </w:rPr>
              <w:t>24 novembre 2014</w:t>
            </w:r>
          </w:p>
          <w:p w:rsidR="004D7FA2" w:rsidRPr="00841E19" w:rsidRDefault="004D7FA2" w:rsidP="00102938">
            <w:pPr>
              <w:jc w:val="both"/>
              <w:rPr>
                <w:rFonts w:eastAsia="Calibri" w:cs="Times New Roman"/>
                <w:sz w:val="20"/>
                <w:szCs w:val="20"/>
                <w:lang w:val="fr-CA"/>
              </w:rPr>
            </w:pPr>
            <w:r w:rsidRPr="00841E19">
              <w:rPr>
                <w:rFonts w:eastAsia="Calibri" w:cs="Times New Roman"/>
                <w:sz w:val="20"/>
                <w:szCs w:val="20"/>
                <w:lang w:val="fr-CA"/>
              </w:rPr>
              <w:t>Cour d’appel de la Colombie-Britannique</w:t>
            </w:r>
          </w:p>
          <w:p w:rsidR="004D7FA2" w:rsidRPr="00841E19" w:rsidRDefault="004D7FA2" w:rsidP="00102938">
            <w:pPr>
              <w:jc w:val="both"/>
              <w:rPr>
                <w:rFonts w:eastAsia="Calibri" w:cs="Times New Roman"/>
                <w:sz w:val="20"/>
                <w:szCs w:val="20"/>
                <w:lang w:val="fr-CA"/>
              </w:rPr>
            </w:pPr>
            <w:r w:rsidRPr="00841E19">
              <w:rPr>
                <w:rFonts w:eastAsia="Calibri" w:cs="Times New Roman"/>
                <w:sz w:val="20"/>
                <w:szCs w:val="20"/>
                <w:lang w:val="fr-CA"/>
              </w:rPr>
              <w:t>(Vancouver)</w:t>
            </w:r>
          </w:p>
          <w:p w:rsidR="004D7FA2" w:rsidRPr="00841E19" w:rsidRDefault="004D7FA2" w:rsidP="00102938">
            <w:pPr>
              <w:jc w:val="both"/>
              <w:rPr>
                <w:rFonts w:eastAsia="Calibri" w:cs="Times New Roman"/>
                <w:sz w:val="20"/>
                <w:szCs w:val="20"/>
                <w:lang w:val="fr-CA"/>
              </w:rPr>
            </w:pPr>
            <w:r w:rsidRPr="00841E19">
              <w:rPr>
                <w:rFonts w:eastAsia="Calibri" w:cs="Times New Roman"/>
                <w:sz w:val="20"/>
                <w:szCs w:val="20"/>
                <w:lang w:val="fr-CA"/>
              </w:rPr>
              <w:t>(Juges Chiasson, Frankel et Harris)</w:t>
            </w:r>
          </w:p>
          <w:p w:rsidR="004D7FA2" w:rsidRPr="00841E19" w:rsidRDefault="00417673" w:rsidP="00102938">
            <w:pPr>
              <w:jc w:val="both"/>
              <w:rPr>
                <w:rFonts w:eastAsia="Calibri" w:cs="Times New Roman"/>
                <w:sz w:val="20"/>
                <w:szCs w:val="20"/>
                <w:lang w:val="fr-CA"/>
              </w:rPr>
            </w:pPr>
            <w:hyperlink r:id="rId84" w:history="1">
              <w:r w:rsidR="004D7FA2" w:rsidRPr="00841E19">
                <w:rPr>
                  <w:rFonts w:eastAsia="Calibri" w:cs="Times New Roman"/>
                  <w:color w:val="0000FF"/>
                  <w:sz w:val="20"/>
                  <w:szCs w:val="20"/>
                  <w:u w:val="single"/>
                  <w:lang w:val="fr-CA"/>
                </w:rPr>
                <w:t>2014 BCCA 468</w:t>
              </w:r>
            </w:hyperlink>
          </w:p>
          <w:p w:rsidR="004D7FA2" w:rsidRPr="00841E19" w:rsidRDefault="004D7FA2" w:rsidP="00102938">
            <w:pPr>
              <w:jc w:val="both"/>
              <w:rPr>
                <w:rFonts w:eastAsia="Calibri" w:cs="Times New Roman"/>
                <w:sz w:val="20"/>
                <w:szCs w:val="20"/>
                <w:lang w:val="fr-CA"/>
              </w:rPr>
            </w:pPr>
            <w:r w:rsidRPr="00841E19">
              <w:rPr>
                <w:rFonts w:eastAsia="Calibri" w:cs="Times New Roman"/>
                <w:sz w:val="20"/>
                <w:szCs w:val="20"/>
                <w:lang w:val="fr-CA"/>
              </w:rPr>
              <w:t>N</w:t>
            </w:r>
            <w:r w:rsidRPr="00841E19">
              <w:rPr>
                <w:rFonts w:eastAsia="Calibri" w:cs="Times New Roman"/>
                <w:sz w:val="20"/>
                <w:szCs w:val="20"/>
                <w:vertAlign w:val="superscript"/>
                <w:lang w:val="fr-CA"/>
              </w:rPr>
              <w:t>o</w:t>
            </w:r>
            <w:r w:rsidRPr="00841E19">
              <w:rPr>
                <w:rFonts w:eastAsia="Calibri" w:cs="Times New Roman"/>
                <w:sz w:val="20"/>
                <w:szCs w:val="20"/>
                <w:lang w:val="fr-CA"/>
              </w:rPr>
              <w:t xml:space="preserve"> du greffe : CA041990</w:t>
            </w:r>
          </w:p>
          <w:p w:rsidR="004D7FA2" w:rsidRPr="00841E19" w:rsidRDefault="004D7FA2" w:rsidP="00102938">
            <w:pPr>
              <w:jc w:val="both"/>
              <w:rPr>
                <w:rFonts w:eastAsia="Calibri" w:cs="Times New Roman"/>
                <w:sz w:val="20"/>
                <w:szCs w:val="20"/>
                <w:lang w:val="fr-CA"/>
              </w:rPr>
            </w:pPr>
          </w:p>
        </w:tc>
        <w:tc>
          <w:tcPr>
            <w:tcW w:w="243" w:type="pct"/>
          </w:tcPr>
          <w:p w:rsidR="004D7FA2" w:rsidRPr="00841E19" w:rsidRDefault="004D7FA2" w:rsidP="00102938">
            <w:pPr>
              <w:jc w:val="both"/>
              <w:rPr>
                <w:rFonts w:eastAsia="Calibri" w:cs="Times New Roman"/>
                <w:sz w:val="20"/>
                <w:szCs w:val="20"/>
                <w:lang w:val="fr-CA"/>
              </w:rPr>
            </w:pPr>
          </w:p>
        </w:tc>
        <w:tc>
          <w:tcPr>
            <w:tcW w:w="2330" w:type="pct"/>
          </w:tcPr>
          <w:p w:rsidR="004D7FA2" w:rsidRPr="00841E19" w:rsidRDefault="004D7FA2" w:rsidP="00102938">
            <w:pPr>
              <w:jc w:val="both"/>
              <w:rPr>
                <w:rFonts w:eastAsia="Calibri" w:cs="Times New Roman"/>
                <w:sz w:val="20"/>
                <w:szCs w:val="20"/>
                <w:lang w:val="fr-CA"/>
              </w:rPr>
            </w:pPr>
            <w:r w:rsidRPr="00841E19">
              <w:rPr>
                <w:rFonts w:eastAsia="Calibri" w:cs="Times New Roman"/>
                <w:sz w:val="20"/>
                <w:szCs w:val="20"/>
                <w:lang w:val="fr-CA"/>
              </w:rPr>
              <w:t>Rejet de la demande de modification de l’ordonnance de refus de la prorogation de délai.</w:t>
            </w:r>
          </w:p>
          <w:p w:rsidR="004D7FA2" w:rsidRPr="00841E19" w:rsidRDefault="004D7FA2" w:rsidP="00102938">
            <w:pPr>
              <w:jc w:val="both"/>
              <w:rPr>
                <w:rFonts w:eastAsia="Calibri" w:cs="Times New Roman"/>
                <w:sz w:val="20"/>
                <w:szCs w:val="20"/>
                <w:lang w:val="fr-CA"/>
              </w:rPr>
            </w:pPr>
          </w:p>
        </w:tc>
      </w:tr>
      <w:tr w:rsidR="004D7FA2" w:rsidRPr="00584913" w:rsidTr="00102938">
        <w:tc>
          <w:tcPr>
            <w:tcW w:w="2427" w:type="pct"/>
          </w:tcPr>
          <w:p w:rsidR="004D7FA2" w:rsidRPr="00841E19" w:rsidRDefault="004D7FA2" w:rsidP="00102938">
            <w:pPr>
              <w:jc w:val="both"/>
              <w:rPr>
                <w:rFonts w:eastAsia="Calibri" w:cs="Times New Roman"/>
                <w:sz w:val="20"/>
                <w:szCs w:val="20"/>
                <w:lang w:val="fr-CA"/>
              </w:rPr>
            </w:pPr>
            <w:r w:rsidRPr="00841E19">
              <w:rPr>
                <w:rFonts w:eastAsia="Calibri" w:cs="Times New Roman"/>
                <w:sz w:val="20"/>
                <w:szCs w:val="20"/>
                <w:lang w:val="fr-CA"/>
              </w:rPr>
              <w:t>15 janvier 2015</w:t>
            </w:r>
          </w:p>
          <w:p w:rsidR="004D7FA2" w:rsidRPr="00841E19" w:rsidRDefault="004D7FA2" w:rsidP="00102938">
            <w:pPr>
              <w:jc w:val="both"/>
              <w:rPr>
                <w:rFonts w:eastAsia="Calibri" w:cs="Times New Roman"/>
                <w:sz w:val="20"/>
                <w:szCs w:val="20"/>
                <w:lang w:val="fr-CA"/>
              </w:rPr>
            </w:pPr>
            <w:r w:rsidRPr="00841E19">
              <w:rPr>
                <w:rFonts w:eastAsia="Calibri" w:cs="Times New Roman"/>
                <w:sz w:val="20"/>
                <w:szCs w:val="20"/>
                <w:lang w:val="fr-CA"/>
              </w:rPr>
              <w:t>Cour suprême du Canada</w:t>
            </w:r>
          </w:p>
        </w:tc>
        <w:tc>
          <w:tcPr>
            <w:tcW w:w="243" w:type="pct"/>
          </w:tcPr>
          <w:p w:rsidR="004D7FA2" w:rsidRPr="00841E19" w:rsidRDefault="004D7FA2" w:rsidP="00102938">
            <w:pPr>
              <w:jc w:val="both"/>
              <w:rPr>
                <w:rFonts w:eastAsia="Calibri" w:cs="Times New Roman"/>
                <w:sz w:val="20"/>
                <w:szCs w:val="20"/>
                <w:lang w:val="fr-CA"/>
              </w:rPr>
            </w:pPr>
          </w:p>
        </w:tc>
        <w:tc>
          <w:tcPr>
            <w:tcW w:w="2330" w:type="pct"/>
          </w:tcPr>
          <w:p w:rsidR="004D7FA2" w:rsidRPr="00841E19" w:rsidRDefault="004D7FA2" w:rsidP="00102938">
            <w:pPr>
              <w:jc w:val="both"/>
              <w:rPr>
                <w:rFonts w:eastAsia="Calibri" w:cs="Times New Roman"/>
                <w:sz w:val="20"/>
                <w:szCs w:val="20"/>
                <w:lang w:val="fr-CA"/>
              </w:rPr>
            </w:pPr>
            <w:r w:rsidRPr="00841E19">
              <w:rPr>
                <w:rFonts w:eastAsia="Calibri" w:cs="Times New Roman"/>
                <w:sz w:val="20"/>
                <w:szCs w:val="20"/>
                <w:lang w:val="fr-CA"/>
              </w:rPr>
              <w:t>Dépôt de la demande d’autorisation d’appel</w:t>
            </w:r>
          </w:p>
        </w:tc>
      </w:tr>
    </w:tbl>
    <w:p w:rsidR="004D7FA2" w:rsidRPr="0016547E" w:rsidRDefault="004D7FA2" w:rsidP="004D7FA2">
      <w:pPr>
        <w:rPr>
          <w:sz w:val="20"/>
          <w:szCs w:val="20"/>
          <w:lang w:val="fr-CA"/>
        </w:rPr>
      </w:pPr>
    </w:p>
    <w:p w:rsidR="004D7FA2" w:rsidRPr="00C50A5C" w:rsidRDefault="00417673" w:rsidP="004D7FA2">
      <w:pPr>
        <w:rPr>
          <w:sz w:val="20"/>
          <w:szCs w:val="20"/>
        </w:rPr>
      </w:pPr>
      <w:r>
        <w:rPr>
          <w:sz w:val="20"/>
          <w:szCs w:val="20"/>
          <w:lang w:val="fr-CA"/>
        </w:rPr>
        <w:pict>
          <v:rect id="_x0000_i1077" style="width:2in;height:1pt" o:hrpct="0" o:hralign="center" o:hrstd="t" o:hrnoshade="t" o:hr="t" fillcolor="black [3213]" stroked="f"/>
        </w:pict>
      </w:r>
    </w:p>
    <w:p w:rsidR="00017F43" w:rsidRPr="00017F43" w:rsidRDefault="00017F43" w:rsidP="00017F43">
      <w:pPr>
        <w:rPr>
          <w:sz w:val="20"/>
          <w:szCs w:val="24"/>
          <w:lang w:val="fr-CA"/>
        </w:rPr>
      </w:pPr>
    </w:p>
    <w:tbl>
      <w:tblPr>
        <w:tblStyle w:val="TableGrid1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17F43" w:rsidRPr="00017F43" w:rsidTr="00102938">
        <w:trPr>
          <w:cantSplit/>
        </w:trPr>
        <w:tc>
          <w:tcPr>
            <w:tcW w:w="1458" w:type="dxa"/>
          </w:tcPr>
          <w:p w:rsidR="00017F43" w:rsidRPr="00017F43" w:rsidRDefault="00017F43" w:rsidP="00017F43">
            <w:pPr>
              <w:jc w:val="both"/>
              <w:rPr>
                <w:sz w:val="20"/>
              </w:rPr>
            </w:pPr>
            <w:r w:rsidRPr="00017F43">
              <w:rPr>
                <w:b/>
                <w:sz w:val="20"/>
                <w:lang w:val="fr-CA"/>
              </w:rPr>
              <w:lastRenderedPageBreak/>
              <w:t>36264</w:t>
            </w:r>
          </w:p>
          <w:p w:rsidR="00017F43" w:rsidRPr="00017F43" w:rsidRDefault="00017F43" w:rsidP="00017F43">
            <w:pPr>
              <w:jc w:val="both"/>
              <w:rPr>
                <w:b/>
                <w:sz w:val="20"/>
                <w:lang w:val="fr-CA"/>
              </w:rPr>
            </w:pPr>
          </w:p>
        </w:tc>
        <w:tc>
          <w:tcPr>
            <w:tcW w:w="8118" w:type="dxa"/>
          </w:tcPr>
          <w:p w:rsidR="00017F43" w:rsidRPr="00017F43" w:rsidRDefault="00017F43" w:rsidP="00017F43">
            <w:pPr>
              <w:jc w:val="both"/>
              <w:rPr>
                <w:sz w:val="20"/>
              </w:rPr>
            </w:pPr>
            <w:r w:rsidRPr="00017F43">
              <w:rPr>
                <w:b/>
                <w:sz w:val="20"/>
                <w:u w:val="single"/>
                <w:lang w:val="en-US"/>
              </w:rPr>
              <w:t>Rachel Exeter v. Attorney General of Canada</w:t>
            </w:r>
            <w:r w:rsidRPr="00017F43">
              <w:rPr>
                <w:sz w:val="20"/>
              </w:rPr>
              <w:t xml:space="preserve"> (F</w:t>
            </w:r>
            <w:r w:rsidR="00A87EEA">
              <w:rPr>
                <w:sz w:val="20"/>
              </w:rPr>
              <w:t>.</w:t>
            </w:r>
            <w:r w:rsidRPr="00017F43">
              <w:rPr>
                <w:sz w:val="20"/>
              </w:rPr>
              <w:t>C</w:t>
            </w:r>
            <w:r w:rsidR="00A87EEA">
              <w:rPr>
                <w:sz w:val="20"/>
              </w:rPr>
              <w:t>.</w:t>
            </w:r>
            <w:r w:rsidRPr="00017F43">
              <w:rPr>
                <w:sz w:val="20"/>
              </w:rPr>
              <w:t>) (Civil) (By Leave)</w:t>
            </w:r>
          </w:p>
          <w:p w:rsidR="00017F43" w:rsidRPr="00017F43" w:rsidRDefault="00017F43" w:rsidP="00017F43">
            <w:pPr>
              <w:jc w:val="both"/>
              <w:rPr>
                <w:sz w:val="20"/>
              </w:rPr>
            </w:pPr>
          </w:p>
        </w:tc>
      </w:tr>
      <w:tr w:rsidR="00017F43" w:rsidRPr="00017F43" w:rsidTr="00102938">
        <w:trPr>
          <w:cantSplit/>
        </w:trPr>
        <w:tc>
          <w:tcPr>
            <w:tcW w:w="1458" w:type="dxa"/>
          </w:tcPr>
          <w:p w:rsidR="00017F43" w:rsidRPr="00017F43" w:rsidRDefault="00017F43" w:rsidP="00017F43">
            <w:pPr>
              <w:jc w:val="both"/>
              <w:rPr>
                <w:sz w:val="20"/>
              </w:rPr>
            </w:pPr>
            <w:r w:rsidRPr="00017F43">
              <w:rPr>
                <w:sz w:val="20"/>
              </w:rPr>
              <w:t>Coram :</w:t>
            </w:r>
          </w:p>
        </w:tc>
        <w:tc>
          <w:tcPr>
            <w:tcW w:w="8118" w:type="dxa"/>
          </w:tcPr>
          <w:p w:rsidR="00017F43" w:rsidRPr="00017F43" w:rsidRDefault="00017F43" w:rsidP="00017F43">
            <w:pPr>
              <w:jc w:val="both"/>
              <w:rPr>
                <w:sz w:val="20"/>
              </w:rPr>
            </w:pPr>
            <w:r w:rsidRPr="00017F43">
              <w:rPr>
                <w:sz w:val="20"/>
                <w:u w:val="single"/>
                <w:lang w:val="en-US"/>
              </w:rPr>
              <w:t>Rothstein, Cromwell and Moldaver JJ.</w:t>
            </w:r>
          </w:p>
          <w:p w:rsidR="00017F43" w:rsidRPr="00017F43" w:rsidRDefault="00017F43" w:rsidP="00017F43">
            <w:pPr>
              <w:jc w:val="both"/>
              <w:rPr>
                <w:sz w:val="20"/>
                <w:u w:val="single"/>
              </w:rPr>
            </w:pPr>
          </w:p>
        </w:tc>
      </w:tr>
      <w:tr w:rsidR="00017F43" w:rsidRPr="00584913" w:rsidTr="00102938">
        <w:trPr>
          <w:cantSplit/>
        </w:trPr>
        <w:tc>
          <w:tcPr>
            <w:tcW w:w="9576" w:type="dxa"/>
            <w:gridSpan w:val="2"/>
          </w:tcPr>
          <w:p w:rsidR="00017F43" w:rsidRPr="00017F43" w:rsidRDefault="00017F43" w:rsidP="00017F43">
            <w:pPr>
              <w:ind w:firstLine="720"/>
              <w:jc w:val="both"/>
              <w:rPr>
                <w:sz w:val="20"/>
              </w:rPr>
            </w:pPr>
            <w:r w:rsidRPr="00017F43">
              <w:rPr>
                <w:sz w:val="20"/>
              </w:rPr>
              <w:t>The motion for an extension of time to serve and file the application for leave to appeal is granted. The application for leave to appeal from the judgment of the Federal Court of Appeal, Number A-301-12, 2014 FCA 251, dated November 3, 2014, is dismissed with costs.</w:t>
            </w:r>
          </w:p>
          <w:p w:rsidR="00017F43" w:rsidRPr="00017F43" w:rsidRDefault="00017F43" w:rsidP="00017F43">
            <w:pPr>
              <w:jc w:val="both"/>
              <w:rPr>
                <w:sz w:val="20"/>
              </w:rPr>
            </w:pPr>
          </w:p>
          <w:p w:rsidR="00017F43" w:rsidRPr="00017F43" w:rsidRDefault="00017F43" w:rsidP="004D7FA2">
            <w:pPr>
              <w:ind w:firstLine="720"/>
              <w:jc w:val="both"/>
              <w:rPr>
                <w:sz w:val="20"/>
                <w:lang w:val="fr-CA"/>
              </w:rPr>
            </w:pPr>
            <w:r w:rsidRPr="00017F43">
              <w:rPr>
                <w:sz w:val="20"/>
                <w:lang w:val="fr-CA"/>
              </w:rPr>
              <w:t>La requête en prorogation du délai de signification et de dépôt de la demande d’autorisation d’appel est accueillie. La demande d’autorisation d’appel de l’arrêt de la Cour d’appel fédérale, numéro A-301-12, 2014 CAF 251, daté du 3 novembre 2014, est rejetée avec dépens.</w:t>
            </w:r>
          </w:p>
        </w:tc>
      </w:tr>
    </w:tbl>
    <w:p w:rsidR="004D7FA2" w:rsidRPr="004D7FA2" w:rsidRDefault="004D7FA2" w:rsidP="004D7FA2">
      <w:pPr>
        <w:rPr>
          <w:sz w:val="20"/>
          <w:szCs w:val="20"/>
          <w:lang w:val="fr-CA"/>
        </w:rPr>
      </w:pPr>
    </w:p>
    <w:p w:rsidR="004D7FA2" w:rsidRPr="004D7FA2" w:rsidRDefault="004D7FA2" w:rsidP="004D7FA2">
      <w:pPr>
        <w:rPr>
          <w:sz w:val="20"/>
          <w:szCs w:val="20"/>
          <w:u w:val="single"/>
        </w:rPr>
      </w:pPr>
      <w:r w:rsidRPr="004D7FA2">
        <w:rPr>
          <w:sz w:val="20"/>
          <w:szCs w:val="20"/>
          <w:u w:val="single"/>
        </w:rPr>
        <w:t>CASE SUMMARY</w:t>
      </w:r>
    </w:p>
    <w:p w:rsidR="004D7FA2" w:rsidRPr="004D7FA2" w:rsidRDefault="004D7FA2" w:rsidP="004D7FA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D7FA2" w:rsidRPr="004D7FA2" w:rsidTr="00102938">
        <w:tc>
          <w:tcPr>
            <w:tcW w:w="5000" w:type="pct"/>
            <w:gridSpan w:val="3"/>
          </w:tcPr>
          <w:p w:rsidR="004D7FA2" w:rsidRPr="004D7FA2" w:rsidRDefault="004D7FA2" w:rsidP="004D7FA2">
            <w:pPr>
              <w:jc w:val="both"/>
              <w:rPr>
                <w:rFonts w:eastAsia="Calibri" w:cs="Times New Roman"/>
                <w:sz w:val="20"/>
                <w:szCs w:val="20"/>
              </w:rPr>
            </w:pPr>
            <w:r w:rsidRPr="004D7FA2">
              <w:rPr>
                <w:rFonts w:eastAsia="Calibri" w:cs="Times New Roman"/>
                <w:i/>
                <w:sz w:val="20"/>
                <w:szCs w:val="20"/>
              </w:rPr>
              <w:t xml:space="preserve">Charter of Rights </w:t>
            </w:r>
            <w:r w:rsidRPr="004D7FA2">
              <w:rPr>
                <w:rFonts w:eastAsia="Calibri" w:cs="Times New Roman"/>
                <w:sz w:val="20"/>
                <w:szCs w:val="20"/>
              </w:rPr>
              <w:t xml:space="preserve">— Constitutional law — Administrative Law — Appeals — Standard of Review — Jurisdiction — Bias — Public Service Labour Relations Board — Whether the Federal Court of Appeal misused legal principles so as to embark on a reasonableness standard of review with respect to jurisdictional and procedural unfairness findings and in deference to the Board — Whether the decisions below reveal a breach of constitutional or </w:t>
            </w:r>
            <w:r w:rsidRPr="004D7FA2">
              <w:rPr>
                <w:rFonts w:eastAsia="Calibri" w:cs="Times New Roman"/>
                <w:i/>
                <w:sz w:val="20"/>
                <w:szCs w:val="20"/>
              </w:rPr>
              <w:t>Charter</w:t>
            </w:r>
            <w:r w:rsidRPr="004D7FA2">
              <w:rPr>
                <w:rFonts w:eastAsia="Calibri" w:cs="Times New Roman"/>
                <w:sz w:val="20"/>
                <w:szCs w:val="20"/>
              </w:rPr>
              <w:t xml:space="preserve"> rights — Whether the decisions below disclose reviewable error concerning the ambit of ss. 36 and 40 of the </w:t>
            </w:r>
            <w:r w:rsidRPr="004D7FA2">
              <w:rPr>
                <w:rFonts w:eastAsia="Calibri" w:cs="Times New Roman"/>
                <w:i/>
                <w:sz w:val="20"/>
                <w:szCs w:val="20"/>
              </w:rPr>
              <w:t>Public Service Labour Relations Act</w:t>
            </w:r>
            <w:r w:rsidRPr="004D7FA2">
              <w:rPr>
                <w:rFonts w:eastAsia="Calibri" w:cs="Times New Roman"/>
                <w:sz w:val="20"/>
                <w:szCs w:val="20"/>
              </w:rPr>
              <w:t xml:space="preserve"> and the Board’s jurisdiction to fairly adjudicate in light of misfeasance and/or malfeasance of public officials — Whether there was judicial bias.</w:t>
            </w:r>
          </w:p>
        </w:tc>
      </w:tr>
      <w:tr w:rsidR="004D7FA2" w:rsidRPr="004D7FA2" w:rsidTr="00102938">
        <w:tc>
          <w:tcPr>
            <w:tcW w:w="5000" w:type="pct"/>
            <w:gridSpan w:val="3"/>
          </w:tcPr>
          <w:p w:rsidR="004D7FA2" w:rsidRPr="004D7FA2" w:rsidRDefault="004D7FA2" w:rsidP="004D7FA2">
            <w:pPr>
              <w:jc w:val="both"/>
              <w:rPr>
                <w:rFonts w:eastAsia="Calibri" w:cs="Times New Roman"/>
                <w:sz w:val="20"/>
                <w:szCs w:val="20"/>
              </w:rPr>
            </w:pPr>
          </w:p>
        </w:tc>
      </w:tr>
      <w:tr w:rsidR="004D7FA2" w:rsidRPr="004D7FA2" w:rsidTr="00102938">
        <w:tc>
          <w:tcPr>
            <w:tcW w:w="5000" w:type="pct"/>
            <w:gridSpan w:val="3"/>
          </w:tcPr>
          <w:p w:rsidR="004D7FA2" w:rsidRPr="004D7FA2" w:rsidRDefault="004D7FA2" w:rsidP="004D7FA2">
            <w:pPr>
              <w:jc w:val="both"/>
              <w:rPr>
                <w:rFonts w:eastAsia="Calibri" w:cs="Times New Roman"/>
                <w:sz w:val="20"/>
                <w:szCs w:val="20"/>
              </w:rPr>
            </w:pPr>
            <w:r w:rsidRPr="004D7FA2">
              <w:rPr>
                <w:rFonts w:eastAsia="Calibri" w:cs="Times New Roman"/>
                <w:sz w:val="20"/>
                <w:szCs w:val="20"/>
              </w:rPr>
              <w:t>Ms. Exeter filed a number of grievances against Statistics Canada.  After a 12-hour mediation session, Ms. Exeter and Statistics Canada reached a settlement on nine of her grievances, without prejudice to her ability to continue the adjudication of any unresolved issues.  Both parties were represented by counsel during the mediation.  A hearing of the grievances, which was scheduled to resume the following day, was therefore cancelled.  Ms. Exeter then tried to have the memorandum of agreement negated.  Ms. Exeter and the employer both engaged with the Public Service Labour Relations Board and the adjudicator on a number of issues, many of them concerning compliance with the memorandum of agreement, and Ms. Exeter informed the Board that she would no longer be represented by counsel.  While the case was being held in abeyance pending an unrelated appeal on similar issues, Ms. Exeter withdrew her request that the adjudicator intervene further, but Statistics Canada did not follow suit.  Once the unrelated appeal was decided, Ms. Exeter made an informal request that the Board appoint a different  adjudicator to determine the validity of the memorandum of agreement.  When the Board declined, Ms. Exeter filed a formal motion to the same effect.  The Board dismissed the motion, and the Federal Court of Appeal dismissed the application for judicial review of that decision.</w:t>
            </w:r>
          </w:p>
          <w:p w:rsidR="004D7FA2" w:rsidRPr="004D7FA2" w:rsidRDefault="004D7FA2" w:rsidP="004D7FA2">
            <w:pPr>
              <w:jc w:val="both"/>
              <w:rPr>
                <w:rFonts w:eastAsia="Calibri" w:cs="Times New Roman"/>
                <w:sz w:val="20"/>
                <w:szCs w:val="20"/>
              </w:rPr>
            </w:pPr>
          </w:p>
        </w:tc>
      </w:tr>
      <w:tr w:rsidR="004D7FA2" w:rsidRPr="004D7FA2" w:rsidTr="00102938">
        <w:tc>
          <w:tcPr>
            <w:tcW w:w="2427" w:type="pct"/>
          </w:tcPr>
          <w:p w:rsidR="004D7FA2" w:rsidRPr="004D7FA2" w:rsidRDefault="004D7FA2" w:rsidP="004D7FA2">
            <w:pPr>
              <w:jc w:val="both"/>
              <w:rPr>
                <w:rFonts w:eastAsia="Calibri" w:cs="Times New Roman"/>
                <w:sz w:val="20"/>
                <w:szCs w:val="20"/>
              </w:rPr>
            </w:pPr>
            <w:r w:rsidRPr="004D7FA2">
              <w:rPr>
                <w:rFonts w:eastAsia="Calibri" w:cs="Times New Roman"/>
                <w:sz w:val="20"/>
                <w:szCs w:val="20"/>
              </w:rPr>
              <w:t>February 24, 2012</w:t>
            </w:r>
          </w:p>
          <w:p w:rsidR="004D7FA2" w:rsidRPr="004D7FA2" w:rsidRDefault="004D7FA2" w:rsidP="004D7FA2">
            <w:pPr>
              <w:jc w:val="both"/>
              <w:rPr>
                <w:rFonts w:eastAsia="Calibri" w:cs="Times New Roman"/>
                <w:sz w:val="20"/>
                <w:szCs w:val="20"/>
              </w:rPr>
            </w:pPr>
            <w:r w:rsidRPr="004D7FA2">
              <w:rPr>
                <w:rFonts w:eastAsia="Calibri" w:cs="Times New Roman"/>
                <w:sz w:val="20"/>
                <w:szCs w:val="20"/>
              </w:rPr>
              <w:t>Public Service Labour Relations Board</w:t>
            </w:r>
          </w:p>
          <w:p w:rsidR="004D7FA2" w:rsidRPr="004D7FA2" w:rsidRDefault="004D7FA2" w:rsidP="004D7FA2">
            <w:pPr>
              <w:jc w:val="both"/>
              <w:rPr>
                <w:rFonts w:eastAsia="Calibri" w:cs="Times New Roman"/>
                <w:sz w:val="20"/>
                <w:szCs w:val="20"/>
              </w:rPr>
            </w:pPr>
            <w:r w:rsidRPr="004D7FA2">
              <w:rPr>
                <w:rFonts w:eastAsia="Calibri" w:cs="Times New Roman"/>
                <w:sz w:val="20"/>
                <w:szCs w:val="20"/>
              </w:rPr>
              <w:t>(Bloom, Casper)</w:t>
            </w:r>
          </w:p>
          <w:p w:rsidR="004D7FA2" w:rsidRPr="004D7FA2" w:rsidRDefault="004D7FA2" w:rsidP="004D7FA2">
            <w:pPr>
              <w:jc w:val="both"/>
              <w:rPr>
                <w:rFonts w:eastAsia="Calibri" w:cs="Times New Roman"/>
                <w:sz w:val="20"/>
                <w:szCs w:val="20"/>
              </w:rPr>
            </w:pPr>
            <w:r w:rsidRPr="004D7FA2">
              <w:rPr>
                <w:rFonts w:eastAsia="Calibri" w:cs="Times New Roman"/>
                <w:sz w:val="20"/>
                <w:szCs w:val="20"/>
              </w:rPr>
              <w:t>2012 PSLRB 24</w:t>
            </w:r>
          </w:p>
          <w:p w:rsidR="004D7FA2" w:rsidRPr="004D7FA2" w:rsidRDefault="004D7FA2" w:rsidP="004D7FA2">
            <w:pPr>
              <w:jc w:val="both"/>
              <w:rPr>
                <w:rFonts w:eastAsia="Calibri" w:cs="Times New Roman"/>
                <w:sz w:val="20"/>
                <w:szCs w:val="20"/>
              </w:rPr>
            </w:pPr>
          </w:p>
        </w:tc>
        <w:tc>
          <w:tcPr>
            <w:tcW w:w="243" w:type="pct"/>
          </w:tcPr>
          <w:p w:rsidR="004D7FA2" w:rsidRPr="004D7FA2" w:rsidRDefault="004D7FA2" w:rsidP="004D7FA2">
            <w:pPr>
              <w:jc w:val="both"/>
              <w:rPr>
                <w:rFonts w:eastAsia="Calibri" w:cs="Times New Roman"/>
                <w:sz w:val="20"/>
                <w:szCs w:val="20"/>
              </w:rPr>
            </w:pPr>
          </w:p>
        </w:tc>
        <w:tc>
          <w:tcPr>
            <w:tcW w:w="2330" w:type="pct"/>
          </w:tcPr>
          <w:p w:rsidR="004D7FA2" w:rsidRPr="004D7FA2" w:rsidRDefault="004D7FA2" w:rsidP="004D7FA2">
            <w:pPr>
              <w:jc w:val="both"/>
              <w:rPr>
                <w:rFonts w:eastAsia="Calibri" w:cs="Times New Roman"/>
                <w:sz w:val="20"/>
                <w:szCs w:val="20"/>
              </w:rPr>
            </w:pPr>
            <w:r w:rsidRPr="004D7FA2">
              <w:rPr>
                <w:rFonts w:eastAsia="Calibri" w:cs="Times New Roman"/>
                <w:sz w:val="20"/>
                <w:szCs w:val="20"/>
              </w:rPr>
              <w:t>Motion to remove adjudicator seized of grievances and refer the matter to an alternate adjudicator dismissed</w:t>
            </w:r>
          </w:p>
          <w:p w:rsidR="004D7FA2" w:rsidRPr="004D7FA2" w:rsidRDefault="004D7FA2" w:rsidP="004D7FA2">
            <w:pPr>
              <w:jc w:val="both"/>
              <w:rPr>
                <w:rFonts w:eastAsia="Calibri" w:cs="Times New Roman"/>
                <w:sz w:val="20"/>
                <w:szCs w:val="20"/>
              </w:rPr>
            </w:pPr>
          </w:p>
        </w:tc>
      </w:tr>
      <w:tr w:rsidR="004D7FA2" w:rsidRPr="004D7FA2" w:rsidTr="00102938">
        <w:tc>
          <w:tcPr>
            <w:tcW w:w="2427" w:type="pct"/>
          </w:tcPr>
          <w:p w:rsidR="004D7FA2" w:rsidRPr="004D7FA2" w:rsidRDefault="004D7FA2" w:rsidP="004D7FA2">
            <w:pPr>
              <w:jc w:val="both"/>
              <w:rPr>
                <w:rFonts w:eastAsia="Calibri" w:cs="Times New Roman"/>
                <w:sz w:val="20"/>
                <w:szCs w:val="20"/>
              </w:rPr>
            </w:pPr>
            <w:r w:rsidRPr="004D7FA2">
              <w:rPr>
                <w:rFonts w:eastAsia="Calibri" w:cs="Times New Roman"/>
                <w:sz w:val="20"/>
                <w:szCs w:val="20"/>
              </w:rPr>
              <w:t>November 3, 2014</w:t>
            </w:r>
          </w:p>
          <w:p w:rsidR="004D7FA2" w:rsidRPr="004D7FA2" w:rsidRDefault="004D7FA2" w:rsidP="004D7FA2">
            <w:pPr>
              <w:jc w:val="both"/>
              <w:rPr>
                <w:rFonts w:eastAsia="Calibri" w:cs="Times New Roman"/>
                <w:sz w:val="20"/>
                <w:szCs w:val="20"/>
              </w:rPr>
            </w:pPr>
            <w:r w:rsidRPr="004D7FA2">
              <w:rPr>
                <w:rFonts w:eastAsia="Calibri" w:cs="Times New Roman"/>
                <w:sz w:val="20"/>
                <w:szCs w:val="20"/>
              </w:rPr>
              <w:t>Federal Court of Appeal</w:t>
            </w:r>
          </w:p>
          <w:p w:rsidR="004D7FA2" w:rsidRPr="004D7FA2" w:rsidRDefault="004D7FA2" w:rsidP="004D7FA2">
            <w:pPr>
              <w:jc w:val="both"/>
              <w:rPr>
                <w:rFonts w:eastAsia="Calibri" w:cs="Times New Roman"/>
                <w:sz w:val="20"/>
                <w:szCs w:val="20"/>
              </w:rPr>
            </w:pPr>
            <w:r w:rsidRPr="004D7FA2">
              <w:rPr>
                <w:rFonts w:eastAsia="Calibri" w:cs="Times New Roman"/>
                <w:sz w:val="20"/>
                <w:szCs w:val="20"/>
              </w:rPr>
              <w:t>(Noël, Gauthier, Near J.A.)</w:t>
            </w:r>
          </w:p>
          <w:p w:rsidR="004D7FA2" w:rsidRPr="004D7FA2" w:rsidRDefault="00417673" w:rsidP="004D7FA2">
            <w:pPr>
              <w:jc w:val="both"/>
              <w:rPr>
                <w:rFonts w:eastAsia="Calibri" w:cs="Times New Roman"/>
                <w:sz w:val="20"/>
                <w:szCs w:val="20"/>
              </w:rPr>
            </w:pPr>
            <w:hyperlink r:id="rId85" w:history="1">
              <w:r w:rsidR="004D7FA2" w:rsidRPr="004D7FA2">
                <w:rPr>
                  <w:rFonts w:eastAsia="Calibri" w:cs="Times New Roman"/>
                  <w:color w:val="0000FF"/>
                  <w:sz w:val="20"/>
                  <w:szCs w:val="20"/>
                  <w:u w:val="single"/>
                </w:rPr>
                <w:t>2014 FCA 251</w:t>
              </w:r>
            </w:hyperlink>
            <w:r w:rsidR="004D7FA2" w:rsidRPr="004D7FA2">
              <w:rPr>
                <w:rFonts w:eastAsia="Calibri" w:cs="Times New Roman"/>
                <w:sz w:val="20"/>
                <w:szCs w:val="20"/>
              </w:rPr>
              <w:t>; A-301-12</w:t>
            </w:r>
          </w:p>
          <w:p w:rsidR="004D7FA2" w:rsidRPr="004D7FA2" w:rsidRDefault="004D7FA2" w:rsidP="004D7FA2">
            <w:pPr>
              <w:jc w:val="both"/>
              <w:rPr>
                <w:rFonts w:eastAsia="Calibri" w:cs="Times New Roman"/>
                <w:sz w:val="20"/>
                <w:szCs w:val="20"/>
              </w:rPr>
            </w:pPr>
          </w:p>
        </w:tc>
        <w:tc>
          <w:tcPr>
            <w:tcW w:w="243" w:type="pct"/>
          </w:tcPr>
          <w:p w:rsidR="004D7FA2" w:rsidRPr="004D7FA2" w:rsidRDefault="004D7FA2" w:rsidP="004D7FA2">
            <w:pPr>
              <w:jc w:val="both"/>
              <w:rPr>
                <w:rFonts w:eastAsia="Calibri" w:cs="Times New Roman"/>
                <w:sz w:val="20"/>
                <w:szCs w:val="20"/>
              </w:rPr>
            </w:pPr>
          </w:p>
        </w:tc>
        <w:tc>
          <w:tcPr>
            <w:tcW w:w="2330" w:type="pct"/>
          </w:tcPr>
          <w:p w:rsidR="004D7FA2" w:rsidRPr="004D7FA2" w:rsidRDefault="004D7FA2" w:rsidP="004D7FA2">
            <w:pPr>
              <w:jc w:val="both"/>
              <w:rPr>
                <w:rFonts w:eastAsia="Calibri" w:cs="Times New Roman"/>
                <w:sz w:val="20"/>
                <w:szCs w:val="20"/>
              </w:rPr>
            </w:pPr>
            <w:r w:rsidRPr="004D7FA2">
              <w:rPr>
                <w:rFonts w:eastAsia="Calibri" w:cs="Times New Roman"/>
                <w:sz w:val="20"/>
                <w:szCs w:val="20"/>
              </w:rPr>
              <w:t>Application for judicial review dismissed</w:t>
            </w:r>
          </w:p>
          <w:p w:rsidR="004D7FA2" w:rsidRPr="004D7FA2" w:rsidRDefault="004D7FA2" w:rsidP="004D7FA2">
            <w:pPr>
              <w:jc w:val="both"/>
              <w:rPr>
                <w:rFonts w:eastAsia="Calibri" w:cs="Times New Roman"/>
                <w:sz w:val="20"/>
                <w:szCs w:val="20"/>
              </w:rPr>
            </w:pPr>
          </w:p>
        </w:tc>
      </w:tr>
      <w:tr w:rsidR="004D7FA2" w:rsidRPr="004D7FA2" w:rsidTr="00102938">
        <w:tc>
          <w:tcPr>
            <w:tcW w:w="2427" w:type="pct"/>
          </w:tcPr>
          <w:p w:rsidR="004D7FA2" w:rsidRPr="004D7FA2" w:rsidRDefault="004D7FA2" w:rsidP="004D7FA2">
            <w:pPr>
              <w:jc w:val="both"/>
              <w:rPr>
                <w:rFonts w:eastAsia="Calibri" w:cs="Times New Roman"/>
                <w:sz w:val="20"/>
                <w:szCs w:val="20"/>
              </w:rPr>
            </w:pPr>
            <w:r w:rsidRPr="004D7FA2">
              <w:rPr>
                <w:rFonts w:eastAsia="Calibri" w:cs="Times New Roman"/>
                <w:sz w:val="20"/>
                <w:szCs w:val="20"/>
              </w:rPr>
              <w:t>January 12, 2015</w:t>
            </w:r>
          </w:p>
          <w:p w:rsidR="004D7FA2" w:rsidRPr="004D7FA2" w:rsidRDefault="004D7FA2" w:rsidP="004D7FA2">
            <w:pPr>
              <w:jc w:val="both"/>
              <w:rPr>
                <w:rFonts w:eastAsia="Calibri" w:cs="Times New Roman"/>
                <w:sz w:val="20"/>
                <w:szCs w:val="20"/>
              </w:rPr>
            </w:pPr>
            <w:r w:rsidRPr="004D7FA2">
              <w:rPr>
                <w:rFonts w:eastAsia="Calibri" w:cs="Times New Roman"/>
                <w:sz w:val="20"/>
                <w:szCs w:val="20"/>
              </w:rPr>
              <w:t>Supreme Court of Canada</w:t>
            </w:r>
          </w:p>
          <w:p w:rsidR="004D7FA2" w:rsidRPr="004D7FA2" w:rsidRDefault="004D7FA2" w:rsidP="004D7FA2">
            <w:pPr>
              <w:jc w:val="both"/>
              <w:rPr>
                <w:rFonts w:eastAsia="Calibri" w:cs="Times New Roman"/>
                <w:sz w:val="20"/>
                <w:szCs w:val="20"/>
              </w:rPr>
            </w:pPr>
          </w:p>
        </w:tc>
        <w:tc>
          <w:tcPr>
            <w:tcW w:w="243" w:type="pct"/>
          </w:tcPr>
          <w:p w:rsidR="004D7FA2" w:rsidRPr="004D7FA2" w:rsidRDefault="004D7FA2" w:rsidP="004D7FA2">
            <w:pPr>
              <w:jc w:val="both"/>
              <w:rPr>
                <w:rFonts w:eastAsia="Calibri" w:cs="Times New Roman"/>
                <w:sz w:val="20"/>
                <w:szCs w:val="20"/>
              </w:rPr>
            </w:pPr>
          </w:p>
        </w:tc>
        <w:tc>
          <w:tcPr>
            <w:tcW w:w="2330" w:type="pct"/>
          </w:tcPr>
          <w:p w:rsidR="004D7FA2" w:rsidRPr="004D7FA2" w:rsidRDefault="004D7FA2" w:rsidP="004D7FA2">
            <w:pPr>
              <w:jc w:val="both"/>
              <w:rPr>
                <w:rFonts w:eastAsia="Calibri" w:cs="Times New Roman"/>
                <w:sz w:val="20"/>
                <w:szCs w:val="20"/>
              </w:rPr>
            </w:pPr>
            <w:r w:rsidRPr="004D7FA2">
              <w:rPr>
                <w:rFonts w:eastAsia="Calibri" w:cs="Times New Roman"/>
                <w:sz w:val="20"/>
                <w:szCs w:val="20"/>
              </w:rPr>
              <w:t>Application for leave to appeal filed</w:t>
            </w:r>
          </w:p>
          <w:p w:rsidR="004D7FA2" w:rsidRPr="004D7FA2" w:rsidRDefault="004D7FA2" w:rsidP="004D7FA2">
            <w:pPr>
              <w:jc w:val="both"/>
              <w:rPr>
                <w:rFonts w:eastAsia="Calibri" w:cs="Times New Roman"/>
                <w:sz w:val="20"/>
                <w:szCs w:val="20"/>
              </w:rPr>
            </w:pPr>
          </w:p>
        </w:tc>
      </w:tr>
      <w:tr w:rsidR="004D7FA2" w:rsidRPr="004D7FA2" w:rsidTr="00A87EEA">
        <w:trPr>
          <w:cantSplit/>
        </w:trPr>
        <w:tc>
          <w:tcPr>
            <w:tcW w:w="2427" w:type="pct"/>
          </w:tcPr>
          <w:p w:rsidR="004D7FA2" w:rsidRPr="004D7FA2" w:rsidRDefault="004D7FA2" w:rsidP="004D7FA2">
            <w:pPr>
              <w:jc w:val="both"/>
              <w:rPr>
                <w:rFonts w:eastAsia="Calibri" w:cs="Times New Roman"/>
                <w:sz w:val="20"/>
                <w:szCs w:val="20"/>
              </w:rPr>
            </w:pPr>
            <w:r w:rsidRPr="004D7FA2">
              <w:rPr>
                <w:rFonts w:eastAsia="Calibri" w:cs="Times New Roman"/>
                <w:sz w:val="20"/>
                <w:szCs w:val="20"/>
              </w:rPr>
              <w:lastRenderedPageBreak/>
              <w:t>February 17, 2015</w:t>
            </w:r>
          </w:p>
          <w:p w:rsidR="004D7FA2" w:rsidRPr="004D7FA2" w:rsidRDefault="004D7FA2" w:rsidP="004D7FA2">
            <w:pPr>
              <w:jc w:val="both"/>
              <w:rPr>
                <w:rFonts w:eastAsia="Calibri" w:cs="Times New Roman"/>
                <w:sz w:val="20"/>
                <w:szCs w:val="20"/>
              </w:rPr>
            </w:pPr>
            <w:r w:rsidRPr="004D7FA2">
              <w:rPr>
                <w:rFonts w:eastAsia="Calibri" w:cs="Times New Roman"/>
                <w:sz w:val="20"/>
                <w:szCs w:val="20"/>
              </w:rPr>
              <w:t>Supreme Court of Canada</w:t>
            </w:r>
          </w:p>
        </w:tc>
        <w:tc>
          <w:tcPr>
            <w:tcW w:w="243" w:type="pct"/>
          </w:tcPr>
          <w:p w:rsidR="004D7FA2" w:rsidRPr="004D7FA2" w:rsidRDefault="004D7FA2" w:rsidP="004D7FA2">
            <w:pPr>
              <w:jc w:val="both"/>
              <w:rPr>
                <w:rFonts w:eastAsia="Calibri" w:cs="Times New Roman"/>
                <w:sz w:val="20"/>
                <w:szCs w:val="20"/>
              </w:rPr>
            </w:pPr>
          </w:p>
        </w:tc>
        <w:tc>
          <w:tcPr>
            <w:tcW w:w="2330" w:type="pct"/>
          </w:tcPr>
          <w:p w:rsidR="004D7FA2" w:rsidRPr="004D7FA2" w:rsidRDefault="004D7FA2" w:rsidP="004D7FA2">
            <w:pPr>
              <w:jc w:val="both"/>
              <w:rPr>
                <w:rFonts w:eastAsia="Calibri" w:cs="Times New Roman"/>
                <w:sz w:val="20"/>
                <w:szCs w:val="20"/>
              </w:rPr>
            </w:pPr>
            <w:r w:rsidRPr="004D7FA2">
              <w:rPr>
                <w:rFonts w:eastAsia="Calibri" w:cs="Times New Roman"/>
                <w:sz w:val="20"/>
                <w:szCs w:val="20"/>
              </w:rPr>
              <w:t>Motion to extend time to file and serve application for leave to appeal filed</w:t>
            </w:r>
          </w:p>
        </w:tc>
      </w:tr>
    </w:tbl>
    <w:p w:rsidR="004D7FA2" w:rsidRPr="004D7FA2" w:rsidRDefault="004D7FA2" w:rsidP="004D7FA2">
      <w:pPr>
        <w:jc w:val="both"/>
        <w:rPr>
          <w:rFonts w:eastAsia="Calibri" w:cs="Times New Roman"/>
          <w:sz w:val="20"/>
          <w:szCs w:val="20"/>
        </w:rPr>
      </w:pPr>
    </w:p>
    <w:p w:rsidR="004D7FA2" w:rsidRPr="004D7FA2" w:rsidRDefault="00417673" w:rsidP="004D7FA2">
      <w:pPr>
        <w:rPr>
          <w:sz w:val="20"/>
          <w:szCs w:val="20"/>
        </w:rPr>
      </w:pPr>
      <w:r>
        <w:rPr>
          <w:sz w:val="20"/>
          <w:szCs w:val="20"/>
          <w:lang w:val="fr-CA"/>
        </w:rPr>
        <w:pict>
          <v:rect id="_x0000_i1078" style="width:2in;height:1pt" o:hrpct="0" o:hralign="center" o:hrstd="t" o:hrnoshade="t" o:hr="t" fillcolor="black [3213]" stroked="f"/>
        </w:pict>
      </w:r>
    </w:p>
    <w:p w:rsidR="004D7FA2" w:rsidRPr="004D7FA2" w:rsidRDefault="004D7FA2" w:rsidP="004D7FA2">
      <w:pPr>
        <w:rPr>
          <w:sz w:val="20"/>
          <w:szCs w:val="20"/>
        </w:rPr>
      </w:pPr>
    </w:p>
    <w:p w:rsidR="004D7FA2" w:rsidRPr="004D7FA2" w:rsidRDefault="004D7FA2" w:rsidP="004D7FA2">
      <w:pPr>
        <w:rPr>
          <w:sz w:val="20"/>
          <w:szCs w:val="20"/>
          <w:u w:val="single"/>
          <w:lang w:val="fr-CA"/>
        </w:rPr>
      </w:pPr>
      <w:r w:rsidRPr="004D7FA2">
        <w:rPr>
          <w:sz w:val="20"/>
          <w:szCs w:val="20"/>
          <w:u w:val="single"/>
          <w:lang w:val="fr-CA"/>
        </w:rPr>
        <w:t>RÉSUMÉ DE L’AFFAIRE</w:t>
      </w:r>
    </w:p>
    <w:p w:rsidR="004D7FA2" w:rsidRPr="004D7FA2" w:rsidRDefault="004D7FA2" w:rsidP="004D7FA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D7FA2" w:rsidRPr="00FA0DB6" w:rsidTr="00102938">
        <w:tc>
          <w:tcPr>
            <w:tcW w:w="5000" w:type="pct"/>
            <w:gridSpan w:val="3"/>
          </w:tcPr>
          <w:p w:rsidR="004D7FA2" w:rsidRPr="004D7FA2" w:rsidRDefault="004D7FA2" w:rsidP="004D7FA2">
            <w:pPr>
              <w:jc w:val="both"/>
              <w:rPr>
                <w:rFonts w:eastAsia="Calibri" w:cs="Times New Roman"/>
                <w:sz w:val="20"/>
                <w:szCs w:val="20"/>
                <w:lang w:val="fr-CA"/>
              </w:rPr>
            </w:pPr>
            <w:r w:rsidRPr="004D7FA2">
              <w:rPr>
                <w:rFonts w:eastAsia="Calibri" w:cs="Times New Roman"/>
                <w:i/>
                <w:sz w:val="20"/>
                <w:szCs w:val="20"/>
                <w:lang w:val="fr-CA"/>
              </w:rPr>
              <w:t xml:space="preserve">Charte des droits </w:t>
            </w:r>
            <w:r w:rsidRPr="004D7FA2">
              <w:rPr>
                <w:rFonts w:eastAsia="Calibri" w:cs="Times New Roman"/>
                <w:sz w:val="20"/>
                <w:szCs w:val="20"/>
                <w:lang w:val="fr-CA"/>
              </w:rPr>
              <w:t xml:space="preserve">— Droit constitutionnel — Droit administratif — Appels — Norme de contrôle — Compétence — Partialité — Commission des relations de travail dans la fonction publique — La Cour d’appel fédérale a-t-elle mal employé les principes de droit en appliquant la norme de contrôle de la norme de la décision raisonnable à l’égard de conclusions de manque d’équité juridictionnelle et procédurale et en faisant preuve de déférence envers la Commission? — Les décisions des juridictions inférieures révèlent-elles une atteinte aux droits constitutionnels ou garantis par la </w:t>
            </w:r>
            <w:r w:rsidRPr="004D7FA2">
              <w:rPr>
                <w:rFonts w:eastAsia="Calibri" w:cs="Times New Roman"/>
                <w:i/>
                <w:sz w:val="20"/>
                <w:szCs w:val="20"/>
                <w:lang w:val="fr-CA"/>
              </w:rPr>
              <w:t>Charte</w:t>
            </w:r>
            <w:r w:rsidRPr="004D7FA2">
              <w:rPr>
                <w:rFonts w:eastAsia="Calibri" w:cs="Times New Roman"/>
                <w:sz w:val="20"/>
                <w:szCs w:val="20"/>
                <w:lang w:val="fr-CA"/>
              </w:rPr>
              <w:t xml:space="preserve">? — Les décisions des juridictions inférieures révèlent-elles une erreur susceptible de révision concernant la portée des art. 36 et 40 de la </w:t>
            </w:r>
            <w:r w:rsidRPr="004D7FA2">
              <w:rPr>
                <w:rFonts w:eastAsia="Calibri" w:cs="Times New Roman"/>
                <w:i/>
                <w:sz w:val="20"/>
                <w:szCs w:val="20"/>
                <w:lang w:val="fr-CA"/>
              </w:rPr>
              <w:t>Loi sur les relations de travail dans la fonction publique</w:t>
            </w:r>
            <w:r w:rsidRPr="004D7FA2">
              <w:rPr>
                <w:rFonts w:eastAsia="Calibri" w:cs="Times New Roman"/>
                <w:sz w:val="20"/>
                <w:szCs w:val="20"/>
                <w:lang w:val="fr-CA"/>
              </w:rPr>
              <w:t xml:space="preserve"> et la compétence de la Commission de trancher équitablement eu égard à la malfaisance ou aux méfaits de fonctionnaires? — Le tribunal a-t-il fait preuve de partialité?</w:t>
            </w:r>
          </w:p>
        </w:tc>
      </w:tr>
      <w:tr w:rsidR="004D7FA2" w:rsidRPr="00FA0DB6" w:rsidTr="00102938">
        <w:tc>
          <w:tcPr>
            <w:tcW w:w="5000" w:type="pct"/>
            <w:gridSpan w:val="3"/>
          </w:tcPr>
          <w:p w:rsidR="004D7FA2" w:rsidRPr="004D7FA2" w:rsidRDefault="004D7FA2" w:rsidP="004D7FA2">
            <w:pPr>
              <w:jc w:val="both"/>
              <w:rPr>
                <w:rFonts w:eastAsia="Calibri" w:cs="Times New Roman"/>
                <w:sz w:val="20"/>
                <w:szCs w:val="20"/>
                <w:lang w:val="fr-CA"/>
              </w:rPr>
            </w:pPr>
          </w:p>
        </w:tc>
      </w:tr>
      <w:tr w:rsidR="004D7FA2" w:rsidRPr="00584913" w:rsidTr="00102938">
        <w:tc>
          <w:tcPr>
            <w:tcW w:w="5000" w:type="pct"/>
            <w:gridSpan w:val="3"/>
          </w:tcPr>
          <w:p w:rsidR="004D7FA2" w:rsidRPr="004D7FA2" w:rsidRDefault="004D7FA2" w:rsidP="004D7FA2">
            <w:pPr>
              <w:jc w:val="both"/>
              <w:rPr>
                <w:rFonts w:eastAsia="Calibri" w:cs="Times New Roman"/>
                <w:sz w:val="20"/>
                <w:szCs w:val="20"/>
                <w:lang w:val="fr-CA"/>
              </w:rPr>
            </w:pPr>
            <w:r w:rsidRPr="004D7FA2">
              <w:rPr>
                <w:rFonts w:eastAsia="Calibri" w:cs="Times New Roman"/>
                <w:sz w:val="20"/>
                <w:szCs w:val="20"/>
                <w:lang w:val="fr-CA"/>
              </w:rPr>
              <w:t>Madame Exeter a déposé un certain nombre de griefs contre Statistique Canada.  Au terme d’une séance de médiation de douze heures, Mme Exeter et Statistique Canada en sont venus à un règlement portant sur neuf de ses griefs, sans que soit porté atteinte à son droit de faire trancher les questions qui n’avaient pas été réglées.  Les deux parties étaient représentées par avocat pendant la médiation.  L’audition des griefs, qui devait se poursuivre le lendemain, a donc été annulée.  Madame Exeter a alors tenté de faire annuler le protocole d’entente.  Madame Exeter et l’employeur se sont tous les deux adressés à la Commission des relations de travail dans la fonction publique relativement à un certain nombre de questions, dont plusieurs concernaient la conformité au protocole d’entente, et Mme Exeter a informé la Commission qu’elle ne serait plus représentée par avocat.  Alors que l’affaire était en suspens en attendant l’issue d’un appel non lié, mais qui portait sur des questions semblables, Mme Exeter a retiré sa demande que l’arbitre intervienne davantage, mais Statistique Canada n’a pas emboîté le pas.  Une fois tranché l’appel non lié, Mme Exeter a présenté une demande officieuse pour que la Commission nomme un autre arbitre afin qu’il soit statué sur la validité du protocole d’entente.  Lorsque la Commission a refusé, Mme Exeter a déposé une requête officielle dans le même sens.  La Commission a rejeté la requête et la Cour d’appel fédérale a rejeté la demande de contrôle judiciaire de cette décision.</w:t>
            </w:r>
          </w:p>
          <w:p w:rsidR="004D7FA2" w:rsidRPr="004D7FA2" w:rsidRDefault="004D7FA2" w:rsidP="004D7FA2">
            <w:pPr>
              <w:jc w:val="both"/>
              <w:rPr>
                <w:rFonts w:eastAsia="Calibri" w:cs="Times New Roman"/>
                <w:sz w:val="20"/>
                <w:szCs w:val="20"/>
                <w:lang w:val="fr-CA"/>
              </w:rPr>
            </w:pPr>
          </w:p>
        </w:tc>
      </w:tr>
      <w:tr w:rsidR="004D7FA2" w:rsidRPr="00584913" w:rsidTr="00102938">
        <w:tc>
          <w:tcPr>
            <w:tcW w:w="2427" w:type="pct"/>
          </w:tcPr>
          <w:p w:rsidR="004D7FA2" w:rsidRPr="004D7FA2" w:rsidRDefault="004D7FA2" w:rsidP="004D7FA2">
            <w:pPr>
              <w:jc w:val="both"/>
              <w:rPr>
                <w:rFonts w:eastAsia="Calibri" w:cs="Times New Roman"/>
                <w:sz w:val="20"/>
                <w:szCs w:val="20"/>
                <w:lang w:val="fr-CA"/>
              </w:rPr>
            </w:pPr>
            <w:r w:rsidRPr="004D7FA2">
              <w:rPr>
                <w:rFonts w:eastAsia="Calibri" w:cs="Times New Roman"/>
                <w:sz w:val="20"/>
                <w:szCs w:val="20"/>
                <w:lang w:val="fr-CA"/>
              </w:rPr>
              <w:t>24 février 2012</w:t>
            </w:r>
          </w:p>
          <w:p w:rsidR="004D7FA2" w:rsidRPr="004D7FA2" w:rsidRDefault="004D7FA2" w:rsidP="004D7FA2">
            <w:pPr>
              <w:jc w:val="both"/>
              <w:rPr>
                <w:rFonts w:eastAsia="Calibri" w:cs="Times New Roman"/>
                <w:sz w:val="20"/>
                <w:szCs w:val="20"/>
                <w:lang w:val="fr-CA"/>
              </w:rPr>
            </w:pPr>
            <w:r w:rsidRPr="004D7FA2">
              <w:rPr>
                <w:rFonts w:eastAsia="Calibri" w:cs="Times New Roman"/>
                <w:sz w:val="20"/>
                <w:szCs w:val="20"/>
                <w:lang w:val="fr-CA"/>
              </w:rPr>
              <w:t>Commission des relations de travail dans la fonction publique</w:t>
            </w:r>
          </w:p>
          <w:p w:rsidR="004D7FA2" w:rsidRPr="004D7FA2" w:rsidRDefault="004D7FA2" w:rsidP="004D7FA2">
            <w:pPr>
              <w:jc w:val="both"/>
              <w:rPr>
                <w:rFonts w:eastAsia="Calibri" w:cs="Times New Roman"/>
                <w:sz w:val="20"/>
                <w:szCs w:val="20"/>
                <w:lang w:val="fr-CA"/>
              </w:rPr>
            </w:pPr>
            <w:r w:rsidRPr="004D7FA2">
              <w:rPr>
                <w:rFonts w:eastAsia="Calibri" w:cs="Times New Roman"/>
                <w:sz w:val="20"/>
                <w:szCs w:val="20"/>
                <w:lang w:val="fr-CA"/>
              </w:rPr>
              <w:t>(Casper Bloom)</w:t>
            </w:r>
          </w:p>
          <w:p w:rsidR="004D7FA2" w:rsidRPr="004D7FA2" w:rsidRDefault="004D7FA2" w:rsidP="004D7FA2">
            <w:pPr>
              <w:jc w:val="both"/>
              <w:rPr>
                <w:rFonts w:eastAsia="Calibri" w:cs="Times New Roman"/>
                <w:sz w:val="20"/>
                <w:szCs w:val="20"/>
                <w:lang w:val="fr-CA"/>
              </w:rPr>
            </w:pPr>
            <w:r w:rsidRPr="004D7FA2">
              <w:rPr>
                <w:rFonts w:eastAsia="Calibri" w:cs="Times New Roman"/>
                <w:sz w:val="20"/>
                <w:szCs w:val="20"/>
                <w:lang w:val="fr-CA"/>
              </w:rPr>
              <w:t>2012 PSLRB 24</w:t>
            </w:r>
          </w:p>
          <w:p w:rsidR="004D7FA2" w:rsidRPr="004D7FA2" w:rsidRDefault="004D7FA2" w:rsidP="004D7FA2">
            <w:pPr>
              <w:jc w:val="both"/>
              <w:rPr>
                <w:rFonts w:eastAsia="Calibri" w:cs="Times New Roman"/>
                <w:sz w:val="20"/>
                <w:szCs w:val="20"/>
                <w:lang w:val="fr-CA"/>
              </w:rPr>
            </w:pPr>
          </w:p>
        </w:tc>
        <w:tc>
          <w:tcPr>
            <w:tcW w:w="243" w:type="pct"/>
          </w:tcPr>
          <w:p w:rsidR="004D7FA2" w:rsidRPr="004D7FA2" w:rsidRDefault="004D7FA2" w:rsidP="004D7FA2">
            <w:pPr>
              <w:jc w:val="both"/>
              <w:rPr>
                <w:rFonts w:eastAsia="Calibri" w:cs="Times New Roman"/>
                <w:sz w:val="20"/>
                <w:szCs w:val="20"/>
                <w:lang w:val="fr-CA"/>
              </w:rPr>
            </w:pPr>
          </w:p>
        </w:tc>
        <w:tc>
          <w:tcPr>
            <w:tcW w:w="2330" w:type="pct"/>
          </w:tcPr>
          <w:p w:rsidR="004D7FA2" w:rsidRPr="004D7FA2" w:rsidRDefault="004D7FA2" w:rsidP="004D7FA2">
            <w:pPr>
              <w:jc w:val="both"/>
              <w:rPr>
                <w:rFonts w:eastAsia="Calibri" w:cs="Times New Roman"/>
                <w:sz w:val="20"/>
                <w:szCs w:val="20"/>
                <w:lang w:val="fr-CA"/>
              </w:rPr>
            </w:pPr>
            <w:r w:rsidRPr="004D7FA2">
              <w:rPr>
                <w:rFonts w:eastAsia="Calibri" w:cs="Times New Roman"/>
                <w:sz w:val="20"/>
                <w:szCs w:val="20"/>
                <w:lang w:val="fr-CA"/>
              </w:rPr>
              <w:t>Rejet de la requête en récusation de l’arbitre saisi des griefs et en renvoi de l’affaire à un autre arbitre</w:t>
            </w:r>
          </w:p>
          <w:p w:rsidR="004D7FA2" w:rsidRPr="004D7FA2" w:rsidRDefault="004D7FA2" w:rsidP="004D7FA2">
            <w:pPr>
              <w:jc w:val="both"/>
              <w:rPr>
                <w:rFonts w:eastAsia="Calibri" w:cs="Times New Roman"/>
                <w:sz w:val="20"/>
                <w:szCs w:val="20"/>
                <w:lang w:val="fr-CA"/>
              </w:rPr>
            </w:pPr>
          </w:p>
        </w:tc>
      </w:tr>
      <w:tr w:rsidR="004D7FA2" w:rsidRPr="00584913" w:rsidTr="00102938">
        <w:tc>
          <w:tcPr>
            <w:tcW w:w="2427" w:type="pct"/>
          </w:tcPr>
          <w:p w:rsidR="004D7FA2" w:rsidRPr="004D7FA2" w:rsidRDefault="004D7FA2" w:rsidP="004D7FA2">
            <w:pPr>
              <w:jc w:val="both"/>
              <w:rPr>
                <w:rFonts w:eastAsia="Calibri" w:cs="Times New Roman"/>
                <w:sz w:val="20"/>
                <w:szCs w:val="20"/>
                <w:lang w:val="fr-CA"/>
              </w:rPr>
            </w:pPr>
            <w:r w:rsidRPr="004D7FA2">
              <w:rPr>
                <w:rFonts w:eastAsia="Calibri" w:cs="Times New Roman"/>
                <w:sz w:val="20"/>
                <w:szCs w:val="20"/>
                <w:lang w:val="fr-CA"/>
              </w:rPr>
              <w:t>3 novembre 2014</w:t>
            </w:r>
          </w:p>
          <w:p w:rsidR="004D7FA2" w:rsidRPr="004D7FA2" w:rsidRDefault="004D7FA2" w:rsidP="004D7FA2">
            <w:pPr>
              <w:jc w:val="both"/>
              <w:rPr>
                <w:rFonts w:eastAsia="Calibri" w:cs="Times New Roman"/>
                <w:sz w:val="20"/>
                <w:szCs w:val="20"/>
                <w:lang w:val="fr-CA"/>
              </w:rPr>
            </w:pPr>
            <w:r w:rsidRPr="004D7FA2">
              <w:rPr>
                <w:rFonts w:eastAsia="Calibri" w:cs="Times New Roman"/>
                <w:sz w:val="20"/>
                <w:szCs w:val="20"/>
                <w:lang w:val="fr-CA"/>
              </w:rPr>
              <w:t>Cour d’appel fédérale</w:t>
            </w:r>
          </w:p>
          <w:p w:rsidR="004D7FA2" w:rsidRPr="004D7FA2" w:rsidRDefault="004D7FA2" w:rsidP="004D7FA2">
            <w:pPr>
              <w:jc w:val="both"/>
              <w:rPr>
                <w:rFonts w:eastAsia="Calibri" w:cs="Times New Roman"/>
                <w:sz w:val="20"/>
                <w:szCs w:val="20"/>
                <w:lang w:val="fr-CA"/>
              </w:rPr>
            </w:pPr>
            <w:r w:rsidRPr="004D7FA2">
              <w:rPr>
                <w:rFonts w:eastAsia="Calibri" w:cs="Times New Roman"/>
                <w:sz w:val="20"/>
                <w:szCs w:val="20"/>
                <w:lang w:val="fr-CA"/>
              </w:rPr>
              <w:t>(Juges Noël, Gauthier et Near)</w:t>
            </w:r>
          </w:p>
          <w:p w:rsidR="004D7FA2" w:rsidRPr="004D7FA2" w:rsidRDefault="00417673" w:rsidP="004D7FA2">
            <w:pPr>
              <w:jc w:val="both"/>
              <w:rPr>
                <w:rFonts w:eastAsia="Calibri" w:cs="Times New Roman"/>
                <w:sz w:val="20"/>
                <w:szCs w:val="20"/>
                <w:lang w:val="fr-CA"/>
              </w:rPr>
            </w:pPr>
            <w:hyperlink r:id="rId86" w:history="1">
              <w:r w:rsidR="004D7FA2" w:rsidRPr="004D7FA2">
                <w:rPr>
                  <w:rFonts w:eastAsia="Calibri" w:cs="Times New Roman"/>
                  <w:color w:val="0000FF"/>
                  <w:sz w:val="20"/>
                  <w:szCs w:val="20"/>
                  <w:u w:val="single"/>
                  <w:lang w:val="fr-CA"/>
                </w:rPr>
                <w:t>2014 FCA 251</w:t>
              </w:r>
            </w:hyperlink>
            <w:r w:rsidR="004D7FA2" w:rsidRPr="004D7FA2">
              <w:rPr>
                <w:rFonts w:eastAsia="Calibri" w:cs="Times New Roman"/>
                <w:sz w:val="20"/>
                <w:szCs w:val="20"/>
                <w:lang w:val="fr-CA"/>
              </w:rPr>
              <w:t>; A-301-12</w:t>
            </w:r>
          </w:p>
          <w:p w:rsidR="004D7FA2" w:rsidRPr="004D7FA2" w:rsidRDefault="004D7FA2" w:rsidP="004D7FA2">
            <w:pPr>
              <w:jc w:val="both"/>
              <w:rPr>
                <w:rFonts w:eastAsia="Calibri" w:cs="Times New Roman"/>
                <w:sz w:val="20"/>
                <w:szCs w:val="20"/>
                <w:lang w:val="fr-CA"/>
              </w:rPr>
            </w:pPr>
          </w:p>
        </w:tc>
        <w:tc>
          <w:tcPr>
            <w:tcW w:w="243" w:type="pct"/>
          </w:tcPr>
          <w:p w:rsidR="004D7FA2" w:rsidRPr="004D7FA2" w:rsidRDefault="004D7FA2" w:rsidP="004D7FA2">
            <w:pPr>
              <w:jc w:val="both"/>
              <w:rPr>
                <w:rFonts w:eastAsia="Calibri" w:cs="Times New Roman"/>
                <w:sz w:val="20"/>
                <w:szCs w:val="20"/>
                <w:lang w:val="fr-CA"/>
              </w:rPr>
            </w:pPr>
          </w:p>
        </w:tc>
        <w:tc>
          <w:tcPr>
            <w:tcW w:w="2330" w:type="pct"/>
          </w:tcPr>
          <w:p w:rsidR="004D7FA2" w:rsidRPr="004D7FA2" w:rsidRDefault="004D7FA2" w:rsidP="004D7FA2">
            <w:pPr>
              <w:jc w:val="both"/>
              <w:rPr>
                <w:rFonts w:eastAsia="Calibri" w:cs="Times New Roman"/>
                <w:sz w:val="20"/>
                <w:szCs w:val="20"/>
                <w:lang w:val="fr-CA"/>
              </w:rPr>
            </w:pPr>
            <w:r w:rsidRPr="004D7FA2">
              <w:rPr>
                <w:rFonts w:eastAsia="Calibri" w:cs="Times New Roman"/>
                <w:sz w:val="20"/>
                <w:szCs w:val="20"/>
                <w:lang w:val="fr-CA"/>
              </w:rPr>
              <w:t>Rejet de la demande de contrôle judiciaire</w:t>
            </w:r>
          </w:p>
          <w:p w:rsidR="004D7FA2" w:rsidRPr="004D7FA2" w:rsidRDefault="004D7FA2" w:rsidP="004D7FA2">
            <w:pPr>
              <w:jc w:val="both"/>
              <w:rPr>
                <w:rFonts w:eastAsia="Calibri" w:cs="Times New Roman"/>
                <w:sz w:val="20"/>
                <w:szCs w:val="20"/>
                <w:lang w:val="fr-CA"/>
              </w:rPr>
            </w:pPr>
          </w:p>
        </w:tc>
      </w:tr>
      <w:tr w:rsidR="004D7FA2" w:rsidRPr="00584913" w:rsidTr="00102938">
        <w:tc>
          <w:tcPr>
            <w:tcW w:w="2427" w:type="pct"/>
          </w:tcPr>
          <w:p w:rsidR="004D7FA2" w:rsidRPr="004D7FA2" w:rsidRDefault="004D7FA2" w:rsidP="004D7FA2">
            <w:pPr>
              <w:jc w:val="both"/>
              <w:rPr>
                <w:rFonts w:eastAsia="Calibri" w:cs="Times New Roman"/>
                <w:sz w:val="20"/>
                <w:szCs w:val="20"/>
                <w:lang w:val="fr-CA"/>
              </w:rPr>
            </w:pPr>
            <w:r w:rsidRPr="004D7FA2">
              <w:rPr>
                <w:rFonts w:eastAsia="Calibri" w:cs="Times New Roman"/>
                <w:sz w:val="20"/>
                <w:szCs w:val="20"/>
                <w:lang w:val="fr-CA"/>
              </w:rPr>
              <w:t>12 janvier 2015</w:t>
            </w:r>
          </w:p>
          <w:p w:rsidR="004D7FA2" w:rsidRPr="004D7FA2" w:rsidRDefault="004D7FA2" w:rsidP="004D7FA2">
            <w:pPr>
              <w:jc w:val="both"/>
              <w:rPr>
                <w:rFonts w:eastAsia="Calibri" w:cs="Times New Roman"/>
                <w:sz w:val="20"/>
                <w:szCs w:val="20"/>
                <w:lang w:val="fr-CA"/>
              </w:rPr>
            </w:pPr>
            <w:r w:rsidRPr="004D7FA2">
              <w:rPr>
                <w:rFonts w:eastAsia="Calibri" w:cs="Times New Roman"/>
                <w:sz w:val="20"/>
                <w:szCs w:val="20"/>
                <w:lang w:val="fr-CA"/>
              </w:rPr>
              <w:t>Cour suprême du Canada</w:t>
            </w:r>
          </w:p>
          <w:p w:rsidR="004D7FA2" w:rsidRPr="004D7FA2" w:rsidRDefault="004D7FA2" w:rsidP="004D7FA2">
            <w:pPr>
              <w:jc w:val="both"/>
              <w:rPr>
                <w:rFonts w:eastAsia="Calibri" w:cs="Times New Roman"/>
                <w:sz w:val="20"/>
                <w:szCs w:val="20"/>
                <w:lang w:val="fr-CA"/>
              </w:rPr>
            </w:pPr>
          </w:p>
        </w:tc>
        <w:tc>
          <w:tcPr>
            <w:tcW w:w="243" w:type="pct"/>
          </w:tcPr>
          <w:p w:rsidR="004D7FA2" w:rsidRPr="004D7FA2" w:rsidRDefault="004D7FA2" w:rsidP="004D7FA2">
            <w:pPr>
              <w:jc w:val="both"/>
              <w:rPr>
                <w:rFonts w:eastAsia="Calibri" w:cs="Times New Roman"/>
                <w:sz w:val="20"/>
                <w:szCs w:val="20"/>
                <w:lang w:val="fr-CA"/>
              </w:rPr>
            </w:pPr>
          </w:p>
        </w:tc>
        <w:tc>
          <w:tcPr>
            <w:tcW w:w="2330" w:type="pct"/>
          </w:tcPr>
          <w:p w:rsidR="004D7FA2" w:rsidRPr="004D7FA2" w:rsidRDefault="004D7FA2" w:rsidP="004D7FA2">
            <w:pPr>
              <w:jc w:val="both"/>
              <w:rPr>
                <w:rFonts w:eastAsia="Calibri" w:cs="Times New Roman"/>
                <w:sz w:val="20"/>
                <w:szCs w:val="20"/>
                <w:lang w:val="fr-CA"/>
              </w:rPr>
            </w:pPr>
            <w:r w:rsidRPr="004D7FA2">
              <w:rPr>
                <w:rFonts w:eastAsia="Calibri" w:cs="Times New Roman"/>
                <w:sz w:val="20"/>
                <w:szCs w:val="20"/>
                <w:lang w:val="fr-CA"/>
              </w:rPr>
              <w:t>Dépôt de la demande d’autorisation d’appel</w:t>
            </w:r>
          </w:p>
          <w:p w:rsidR="004D7FA2" w:rsidRPr="004D7FA2" w:rsidRDefault="004D7FA2" w:rsidP="004D7FA2">
            <w:pPr>
              <w:jc w:val="both"/>
              <w:rPr>
                <w:rFonts w:eastAsia="Calibri" w:cs="Times New Roman"/>
                <w:sz w:val="20"/>
                <w:szCs w:val="20"/>
                <w:lang w:val="fr-CA"/>
              </w:rPr>
            </w:pPr>
          </w:p>
        </w:tc>
      </w:tr>
      <w:tr w:rsidR="004D7FA2" w:rsidRPr="00584913" w:rsidTr="00102938">
        <w:tc>
          <w:tcPr>
            <w:tcW w:w="2427" w:type="pct"/>
          </w:tcPr>
          <w:p w:rsidR="004D7FA2" w:rsidRPr="004D7FA2" w:rsidRDefault="004D7FA2" w:rsidP="004D7FA2">
            <w:pPr>
              <w:jc w:val="both"/>
              <w:rPr>
                <w:rFonts w:eastAsia="Calibri" w:cs="Times New Roman"/>
                <w:sz w:val="20"/>
                <w:szCs w:val="20"/>
                <w:lang w:val="fr-CA"/>
              </w:rPr>
            </w:pPr>
            <w:r w:rsidRPr="004D7FA2">
              <w:rPr>
                <w:rFonts w:eastAsia="Calibri" w:cs="Times New Roman"/>
                <w:sz w:val="20"/>
                <w:szCs w:val="20"/>
                <w:lang w:val="fr-CA"/>
              </w:rPr>
              <w:t>17 février 2015</w:t>
            </w:r>
          </w:p>
          <w:p w:rsidR="004D7FA2" w:rsidRPr="004D7FA2" w:rsidRDefault="004D7FA2" w:rsidP="004D7FA2">
            <w:pPr>
              <w:jc w:val="both"/>
              <w:rPr>
                <w:rFonts w:eastAsia="Calibri" w:cs="Times New Roman"/>
                <w:sz w:val="20"/>
                <w:szCs w:val="20"/>
                <w:lang w:val="fr-CA"/>
              </w:rPr>
            </w:pPr>
            <w:r w:rsidRPr="004D7FA2">
              <w:rPr>
                <w:rFonts w:eastAsia="Calibri" w:cs="Times New Roman"/>
                <w:sz w:val="20"/>
                <w:szCs w:val="20"/>
                <w:lang w:val="fr-CA"/>
              </w:rPr>
              <w:t>Cour suprême du Canada</w:t>
            </w:r>
          </w:p>
        </w:tc>
        <w:tc>
          <w:tcPr>
            <w:tcW w:w="243" w:type="pct"/>
          </w:tcPr>
          <w:p w:rsidR="004D7FA2" w:rsidRPr="004D7FA2" w:rsidRDefault="004D7FA2" w:rsidP="004D7FA2">
            <w:pPr>
              <w:jc w:val="both"/>
              <w:rPr>
                <w:rFonts w:eastAsia="Calibri" w:cs="Times New Roman"/>
                <w:sz w:val="20"/>
                <w:szCs w:val="20"/>
                <w:lang w:val="fr-CA"/>
              </w:rPr>
            </w:pPr>
          </w:p>
        </w:tc>
        <w:tc>
          <w:tcPr>
            <w:tcW w:w="2330" w:type="pct"/>
          </w:tcPr>
          <w:p w:rsidR="004D7FA2" w:rsidRPr="004D7FA2" w:rsidRDefault="004D7FA2" w:rsidP="004D7FA2">
            <w:pPr>
              <w:jc w:val="both"/>
              <w:rPr>
                <w:rFonts w:eastAsia="Calibri" w:cs="Times New Roman"/>
                <w:sz w:val="20"/>
                <w:szCs w:val="20"/>
                <w:lang w:val="fr-CA"/>
              </w:rPr>
            </w:pPr>
            <w:r w:rsidRPr="004D7FA2">
              <w:rPr>
                <w:rFonts w:eastAsia="Calibri" w:cs="Times New Roman"/>
                <w:sz w:val="20"/>
                <w:szCs w:val="20"/>
                <w:lang w:val="fr-CA"/>
              </w:rPr>
              <w:t>Dépôt de la requête en prorogation du délai de dépôt et de signification de la demande d’autorisation d’appel</w:t>
            </w:r>
          </w:p>
        </w:tc>
      </w:tr>
    </w:tbl>
    <w:p w:rsidR="004D7FA2" w:rsidRPr="004D7FA2" w:rsidRDefault="004D7FA2" w:rsidP="004D7FA2">
      <w:pPr>
        <w:jc w:val="both"/>
        <w:rPr>
          <w:rFonts w:eastAsia="Calibri" w:cs="Times New Roman"/>
          <w:sz w:val="20"/>
          <w:szCs w:val="20"/>
          <w:lang w:val="fr-CA"/>
        </w:rPr>
      </w:pPr>
    </w:p>
    <w:p w:rsidR="004D7FA2" w:rsidRPr="004D7FA2" w:rsidRDefault="00417673" w:rsidP="004D7FA2">
      <w:pPr>
        <w:rPr>
          <w:sz w:val="20"/>
          <w:szCs w:val="20"/>
        </w:rPr>
      </w:pPr>
      <w:r>
        <w:rPr>
          <w:sz w:val="20"/>
          <w:szCs w:val="20"/>
          <w:lang w:val="fr-CA"/>
        </w:rPr>
        <w:pict>
          <v:rect id="_x0000_i1079" style="width:2in;height:1pt" o:hrpct="0" o:hralign="center" o:hrstd="t" o:hrnoshade="t" o:hr="t" fillcolor="black [3213]" stroked="f"/>
        </w:pict>
      </w:r>
    </w:p>
    <w:p w:rsidR="00017F43" w:rsidRPr="00017F43" w:rsidRDefault="00017F43" w:rsidP="00017F43">
      <w:pPr>
        <w:rPr>
          <w:sz w:val="20"/>
          <w:szCs w:val="24"/>
          <w:lang w:val="fr-CA"/>
        </w:rPr>
      </w:pPr>
    </w:p>
    <w:tbl>
      <w:tblPr>
        <w:tblStyle w:val="TableGrid1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17F43" w:rsidRPr="00017F43" w:rsidTr="00102938">
        <w:trPr>
          <w:cantSplit/>
        </w:trPr>
        <w:tc>
          <w:tcPr>
            <w:tcW w:w="1458" w:type="dxa"/>
          </w:tcPr>
          <w:p w:rsidR="00017F43" w:rsidRPr="00017F43" w:rsidRDefault="00017F43" w:rsidP="00017F43">
            <w:pPr>
              <w:jc w:val="both"/>
              <w:rPr>
                <w:sz w:val="20"/>
              </w:rPr>
            </w:pPr>
            <w:r w:rsidRPr="00017F43">
              <w:rPr>
                <w:b/>
                <w:sz w:val="20"/>
                <w:lang w:val="fr-CA"/>
              </w:rPr>
              <w:lastRenderedPageBreak/>
              <w:t>36267</w:t>
            </w:r>
          </w:p>
          <w:p w:rsidR="00017F43" w:rsidRPr="00017F43" w:rsidRDefault="00017F43" w:rsidP="00017F43">
            <w:pPr>
              <w:jc w:val="both"/>
              <w:rPr>
                <w:b/>
                <w:sz w:val="20"/>
                <w:lang w:val="fr-CA"/>
              </w:rPr>
            </w:pPr>
          </w:p>
        </w:tc>
        <w:tc>
          <w:tcPr>
            <w:tcW w:w="8118" w:type="dxa"/>
          </w:tcPr>
          <w:p w:rsidR="00017F43" w:rsidRPr="00017F43" w:rsidRDefault="00367911" w:rsidP="00017F43">
            <w:pPr>
              <w:jc w:val="both"/>
              <w:rPr>
                <w:sz w:val="20"/>
              </w:rPr>
            </w:pPr>
            <w:r>
              <w:rPr>
                <w:b/>
                <w:sz w:val="20"/>
                <w:u w:val="single"/>
                <w:lang w:val="en-US"/>
              </w:rPr>
              <w:t>Denis J</w:t>
            </w:r>
            <w:r w:rsidRPr="00584913">
              <w:rPr>
                <w:b/>
                <w:sz w:val="20"/>
                <w:u w:val="single"/>
              </w:rPr>
              <w:t>é</w:t>
            </w:r>
            <w:r>
              <w:rPr>
                <w:b/>
                <w:sz w:val="20"/>
                <w:u w:val="single"/>
                <w:lang w:val="en-US"/>
              </w:rPr>
              <w:t>rome Labossiè</w:t>
            </w:r>
            <w:r w:rsidR="00017F43" w:rsidRPr="00017F43">
              <w:rPr>
                <w:b/>
                <w:sz w:val="20"/>
                <w:u w:val="single"/>
                <w:lang w:val="en-US"/>
              </w:rPr>
              <w:t>re v. Her Majesty the Queen</w:t>
            </w:r>
            <w:r w:rsidR="00017F43" w:rsidRPr="00017F43">
              <w:rPr>
                <w:sz w:val="20"/>
              </w:rPr>
              <w:t xml:space="preserve"> (Man.) (Criminal) (By Leave)</w:t>
            </w:r>
          </w:p>
          <w:p w:rsidR="00017F43" w:rsidRPr="00017F43" w:rsidRDefault="00017F43" w:rsidP="00017F43">
            <w:pPr>
              <w:jc w:val="both"/>
              <w:rPr>
                <w:sz w:val="20"/>
              </w:rPr>
            </w:pPr>
          </w:p>
        </w:tc>
      </w:tr>
      <w:tr w:rsidR="00017F43" w:rsidRPr="00017F43" w:rsidTr="00102938">
        <w:trPr>
          <w:cantSplit/>
        </w:trPr>
        <w:tc>
          <w:tcPr>
            <w:tcW w:w="1458" w:type="dxa"/>
          </w:tcPr>
          <w:p w:rsidR="00017F43" w:rsidRPr="00017F43" w:rsidRDefault="00017F43" w:rsidP="00017F43">
            <w:pPr>
              <w:jc w:val="both"/>
              <w:rPr>
                <w:sz w:val="20"/>
              </w:rPr>
            </w:pPr>
            <w:r w:rsidRPr="00017F43">
              <w:rPr>
                <w:sz w:val="20"/>
              </w:rPr>
              <w:t>Coram :</w:t>
            </w:r>
          </w:p>
        </w:tc>
        <w:tc>
          <w:tcPr>
            <w:tcW w:w="8118" w:type="dxa"/>
          </w:tcPr>
          <w:p w:rsidR="00017F43" w:rsidRPr="00017F43" w:rsidRDefault="00017F43" w:rsidP="00017F43">
            <w:pPr>
              <w:jc w:val="both"/>
              <w:rPr>
                <w:sz w:val="20"/>
              </w:rPr>
            </w:pPr>
            <w:r w:rsidRPr="00017F43">
              <w:rPr>
                <w:sz w:val="20"/>
                <w:u w:val="single"/>
                <w:lang w:val="en-US"/>
              </w:rPr>
              <w:t>McLachlin C.J. and Wagner and Gascon JJ.</w:t>
            </w:r>
          </w:p>
          <w:p w:rsidR="00017F43" w:rsidRPr="00017F43" w:rsidRDefault="00017F43" w:rsidP="00017F43">
            <w:pPr>
              <w:jc w:val="both"/>
              <w:rPr>
                <w:sz w:val="20"/>
                <w:u w:val="single"/>
              </w:rPr>
            </w:pPr>
          </w:p>
        </w:tc>
      </w:tr>
      <w:tr w:rsidR="00017F43" w:rsidRPr="00584913" w:rsidTr="00102938">
        <w:trPr>
          <w:cantSplit/>
        </w:trPr>
        <w:tc>
          <w:tcPr>
            <w:tcW w:w="9576" w:type="dxa"/>
            <w:gridSpan w:val="2"/>
          </w:tcPr>
          <w:p w:rsidR="00017F43" w:rsidRPr="00017F43" w:rsidRDefault="00017F43" w:rsidP="00017F43">
            <w:pPr>
              <w:ind w:firstLine="720"/>
              <w:jc w:val="both"/>
              <w:rPr>
                <w:sz w:val="20"/>
              </w:rPr>
            </w:pPr>
            <w:r w:rsidRPr="00017F43">
              <w:rPr>
                <w:sz w:val="20"/>
              </w:rPr>
              <w:t>The motion for an extension of time to serve and file the application for leave to appeal is granted. The application for leave to appeal from the judgment of the Court of Appeal of Manitoba, Number AR 12-30-07743, 2014 MBCA 89, dated September 25, 2014, is dismissed.</w:t>
            </w:r>
          </w:p>
          <w:p w:rsidR="00017F43" w:rsidRPr="00017F43" w:rsidRDefault="00017F43" w:rsidP="00017F43">
            <w:pPr>
              <w:jc w:val="both"/>
              <w:rPr>
                <w:sz w:val="20"/>
              </w:rPr>
            </w:pPr>
          </w:p>
          <w:p w:rsidR="00017F43" w:rsidRPr="00017F43" w:rsidRDefault="00017F43" w:rsidP="004D7FA2">
            <w:pPr>
              <w:ind w:firstLine="720"/>
              <w:jc w:val="both"/>
              <w:rPr>
                <w:sz w:val="20"/>
                <w:lang w:val="fr-CA"/>
              </w:rPr>
            </w:pPr>
            <w:r w:rsidRPr="00017F43">
              <w:rPr>
                <w:sz w:val="20"/>
                <w:lang w:val="fr-CA"/>
              </w:rPr>
              <w:t>La requête en prorogation du délai de signification et de dépôt de la demande d’autorisation d’appel est accueillie. La demande d’autorisation d’appel de l’arrêt de la Cour d’appel du Manitoba, numéro AR 12-30-07743, 2014 MBCA 89, daté du 25 septembre 2014, est rejetée.</w:t>
            </w:r>
          </w:p>
        </w:tc>
      </w:tr>
    </w:tbl>
    <w:p w:rsidR="00017F43" w:rsidRPr="00017F43" w:rsidRDefault="00017F43" w:rsidP="00017F43">
      <w:pPr>
        <w:jc w:val="both"/>
        <w:rPr>
          <w:sz w:val="20"/>
          <w:szCs w:val="24"/>
          <w:lang w:val="fr-CA"/>
        </w:rPr>
      </w:pPr>
    </w:p>
    <w:p w:rsidR="004D7FA2" w:rsidRPr="001B157C" w:rsidRDefault="004D7FA2" w:rsidP="004D7FA2">
      <w:pPr>
        <w:rPr>
          <w:sz w:val="20"/>
          <w:szCs w:val="20"/>
          <w:u w:val="single"/>
        </w:rPr>
      </w:pPr>
      <w:r w:rsidRPr="001B157C">
        <w:rPr>
          <w:sz w:val="20"/>
          <w:szCs w:val="20"/>
          <w:u w:val="single"/>
        </w:rPr>
        <w:t>CASE SUMMARY</w:t>
      </w:r>
    </w:p>
    <w:p w:rsidR="004D7FA2" w:rsidRDefault="004D7FA2" w:rsidP="004D7FA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D7FA2" w:rsidRPr="00841E19" w:rsidTr="00102938">
        <w:tc>
          <w:tcPr>
            <w:tcW w:w="5000" w:type="pct"/>
            <w:gridSpan w:val="3"/>
          </w:tcPr>
          <w:p w:rsidR="004D7FA2" w:rsidRPr="00841E19" w:rsidRDefault="004D7FA2" w:rsidP="00102938">
            <w:pPr>
              <w:jc w:val="both"/>
              <w:rPr>
                <w:rFonts w:eastAsia="Calibri" w:cs="Times New Roman"/>
                <w:sz w:val="20"/>
                <w:szCs w:val="20"/>
              </w:rPr>
            </w:pPr>
            <w:r w:rsidRPr="00841E19">
              <w:rPr>
                <w:rFonts w:eastAsia="Calibri" w:cs="Times New Roman"/>
                <w:sz w:val="20"/>
                <w:szCs w:val="20"/>
              </w:rPr>
              <w:t>Criminal Law – Evidence – Unsavoury witness – Police share information obtained from accused’s family members with unsavoury witness before unsavoury witness provides statement to police and testimony incriminating accused – Whether testimony at trial from the family members is capable of confirming the unsavoury witness’s testimony?</w:t>
            </w:r>
          </w:p>
        </w:tc>
      </w:tr>
      <w:tr w:rsidR="004D7FA2" w:rsidRPr="00841E19" w:rsidTr="00102938">
        <w:tc>
          <w:tcPr>
            <w:tcW w:w="5000" w:type="pct"/>
            <w:gridSpan w:val="3"/>
          </w:tcPr>
          <w:p w:rsidR="004D7FA2" w:rsidRPr="00841E19" w:rsidRDefault="004D7FA2" w:rsidP="00102938">
            <w:pPr>
              <w:jc w:val="both"/>
              <w:rPr>
                <w:rFonts w:eastAsia="Calibri" w:cs="Times New Roman"/>
                <w:sz w:val="20"/>
                <w:szCs w:val="20"/>
              </w:rPr>
            </w:pPr>
          </w:p>
        </w:tc>
      </w:tr>
      <w:tr w:rsidR="004D7FA2" w:rsidRPr="00841E19" w:rsidTr="00102938">
        <w:tc>
          <w:tcPr>
            <w:tcW w:w="5000" w:type="pct"/>
            <w:gridSpan w:val="3"/>
          </w:tcPr>
          <w:p w:rsidR="004D7FA2" w:rsidRPr="00841E19" w:rsidRDefault="004D7FA2" w:rsidP="00102938">
            <w:pPr>
              <w:autoSpaceDE w:val="0"/>
              <w:autoSpaceDN w:val="0"/>
              <w:adjustRightInd w:val="0"/>
              <w:jc w:val="both"/>
              <w:rPr>
                <w:rFonts w:eastAsia="Times New Roman" w:cs="Times New Roman"/>
                <w:color w:val="000000"/>
                <w:sz w:val="20"/>
                <w:szCs w:val="20"/>
                <w:lang w:val="en-US"/>
              </w:rPr>
            </w:pPr>
            <w:r w:rsidRPr="00841E19">
              <w:rPr>
                <w:rFonts w:eastAsia="Times New Roman" w:cs="Times New Roman"/>
                <w:color w:val="000000"/>
                <w:sz w:val="20"/>
                <w:szCs w:val="20"/>
                <w:lang w:val="en-US"/>
              </w:rPr>
              <w:t xml:space="preserve">Mr. Labossière’s parents and brother were killed. Based in part on information from Mr. Labossière’s nephew and sister, the police believed that he hired Mr. Toupin to commit the murders.  They arrested Mr. Toupin.  They repeatedly told him that they believed he had been hired by Mr. Labossière to commit the murders and they played recordings to Mr. Toupoin of statements to the police made by Mr. Labossière’s nephew and sister.  Mr. Toupin then gave a statement in exchange for a plea bargain. Mr. Toupin testified at trial as a Crown witness.  The nephew and sister also testified at trial.  In her charge to the jury, Keyser J. identified Mr. Toupin as an unsavoury witness and gave a </w:t>
            </w:r>
            <w:r w:rsidRPr="00841E19">
              <w:rPr>
                <w:rFonts w:eastAsia="Times New Roman" w:cs="Times New Roman"/>
                <w:i/>
                <w:color w:val="000000"/>
                <w:sz w:val="20"/>
                <w:szCs w:val="20"/>
                <w:lang w:val="en-US"/>
              </w:rPr>
              <w:t>Vetrovec</w:t>
            </w:r>
            <w:r w:rsidRPr="00841E19">
              <w:rPr>
                <w:rFonts w:eastAsia="Times New Roman" w:cs="Times New Roman"/>
                <w:color w:val="000000"/>
                <w:sz w:val="20"/>
                <w:szCs w:val="20"/>
                <w:lang w:val="en-US"/>
              </w:rPr>
              <w:t xml:space="preserve"> caution.  </w:t>
            </w:r>
          </w:p>
          <w:p w:rsidR="004D7FA2" w:rsidRPr="00841E19" w:rsidRDefault="004D7FA2" w:rsidP="00102938">
            <w:pPr>
              <w:jc w:val="both"/>
              <w:rPr>
                <w:rFonts w:eastAsia="Calibri" w:cs="Times New Roman"/>
                <w:sz w:val="20"/>
                <w:szCs w:val="20"/>
                <w:lang w:val="en-US"/>
              </w:rPr>
            </w:pPr>
          </w:p>
        </w:tc>
      </w:tr>
      <w:tr w:rsidR="004D7FA2" w:rsidRPr="00841E19" w:rsidTr="00102938">
        <w:tc>
          <w:tcPr>
            <w:tcW w:w="2427" w:type="pct"/>
          </w:tcPr>
          <w:p w:rsidR="004D7FA2" w:rsidRPr="00841E19" w:rsidRDefault="004D7FA2" w:rsidP="00102938">
            <w:pPr>
              <w:jc w:val="both"/>
              <w:rPr>
                <w:rFonts w:eastAsia="Calibri" w:cs="Times New Roman"/>
                <w:sz w:val="20"/>
                <w:szCs w:val="20"/>
              </w:rPr>
            </w:pPr>
            <w:r w:rsidRPr="00841E19">
              <w:rPr>
                <w:rFonts w:eastAsia="Calibri" w:cs="Times New Roman"/>
                <w:sz w:val="20"/>
                <w:szCs w:val="20"/>
              </w:rPr>
              <w:t>February 1, 2012</w:t>
            </w:r>
          </w:p>
          <w:p w:rsidR="004D7FA2" w:rsidRPr="00841E19" w:rsidRDefault="004D7FA2" w:rsidP="00102938">
            <w:pPr>
              <w:jc w:val="both"/>
              <w:rPr>
                <w:rFonts w:eastAsia="Calibri" w:cs="Times New Roman"/>
                <w:sz w:val="20"/>
                <w:szCs w:val="20"/>
              </w:rPr>
            </w:pPr>
            <w:r w:rsidRPr="00841E19">
              <w:rPr>
                <w:rFonts w:eastAsia="Calibri" w:cs="Times New Roman"/>
                <w:sz w:val="20"/>
                <w:szCs w:val="20"/>
              </w:rPr>
              <w:t>Court of Queen’s Bench of Manitoba</w:t>
            </w:r>
          </w:p>
          <w:p w:rsidR="004D7FA2" w:rsidRPr="00841E19" w:rsidRDefault="004D7FA2" w:rsidP="00102938">
            <w:pPr>
              <w:jc w:val="both"/>
              <w:rPr>
                <w:rFonts w:eastAsia="Calibri" w:cs="Times New Roman"/>
                <w:sz w:val="20"/>
                <w:szCs w:val="20"/>
              </w:rPr>
            </w:pPr>
            <w:r w:rsidRPr="00841E19">
              <w:rPr>
                <w:rFonts w:eastAsia="Calibri" w:cs="Times New Roman"/>
                <w:sz w:val="20"/>
                <w:szCs w:val="20"/>
              </w:rPr>
              <w:t xml:space="preserve">(Keyser J.) </w:t>
            </w:r>
          </w:p>
          <w:p w:rsidR="004D7FA2" w:rsidRPr="00841E19" w:rsidRDefault="004D7FA2" w:rsidP="00102938">
            <w:pPr>
              <w:jc w:val="both"/>
              <w:rPr>
                <w:rFonts w:eastAsia="Calibri" w:cs="Times New Roman"/>
                <w:sz w:val="20"/>
                <w:szCs w:val="20"/>
              </w:rPr>
            </w:pPr>
          </w:p>
        </w:tc>
        <w:tc>
          <w:tcPr>
            <w:tcW w:w="243" w:type="pct"/>
          </w:tcPr>
          <w:p w:rsidR="004D7FA2" w:rsidRPr="00841E19" w:rsidRDefault="004D7FA2" w:rsidP="00102938">
            <w:pPr>
              <w:jc w:val="both"/>
              <w:rPr>
                <w:rFonts w:eastAsia="Calibri" w:cs="Times New Roman"/>
                <w:sz w:val="20"/>
                <w:szCs w:val="20"/>
              </w:rPr>
            </w:pPr>
          </w:p>
        </w:tc>
        <w:tc>
          <w:tcPr>
            <w:tcW w:w="2330" w:type="pct"/>
          </w:tcPr>
          <w:p w:rsidR="004D7FA2" w:rsidRPr="00841E19" w:rsidRDefault="004D7FA2" w:rsidP="00102938">
            <w:pPr>
              <w:jc w:val="both"/>
              <w:rPr>
                <w:rFonts w:eastAsia="Calibri" w:cs="Times New Roman"/>
                <w:sz w:val="20"/>
                <w:szCs w:val="20"/>
              </w:rPr>
            </w:pPr>
            <w:r w:rsidRPr="00841E19">
              <w:rPr>
                <w:rFonts w:eastAsia="Calibri" w:cs="Times New Roman"/>
                <w:sz w:val="20"/>
                <w:szCs w:val="20"/>
              </w:rPr>
              <w:t>Conviction by jury:  3 counts of first degree murder</w:t>
            </w:r>
          </w:p>
          <w:p w:rsidR="004D7FA2" w:rsidRPr="00841E19" w:rsidRDefault="004D7FA2" w:rsidP="00102938">
            <w:pPr>
              <w:jc w:val="both"/>
              <w:rPr>
                <w:rFonts w:eastAsia="Calibri" w:cs="Times New Roman"/>
                <w:sz w:val="20"/>
                <w:szCs w:val="20"/>
              </w:rPr>
            </w:pPr>
          </w:p>
        </w:tc>
      </w:tr>
      <w:tr w:rsidR="004D7FA2" w:rsidRPr="00841E19" w:rsidTr="00102938">
        <w:tc>
          <w:tcPr>
            <w:tcW w:w="2427" w:type="pct"/>
          </w:tcPr>
          <w:p w:rsidR="004D7FA2" w:rsidRPr="00841E19" w:rsidRDefault="004D7FA2" w:rsidP="00102938">
            <w:pPr>
              <w:jc w:val="both"/>
              <w:rPr>
                <w:rFonts w:eastAsia="Calibri" w:cs="Times New Roman"/>
                <w:sz w:val="20"/>
                <w:szCs w:val="20"/>
              </w:rPr>
            </w:pPr>
            <w:r w:rsidRPr="00841E19">
              <w:rPr>
                <w:rFonts w:eastAsia="Calibri" w:cs="Times New Roman"/>
                <w:sz w:val="20"/>
                <w:szCs w:val="20"/>
              </w:rPr>
              <w:t>September 25, 2014</w:t>
            </w:r>
          </w:p>
          <w:p w:rsidR="004D7FA2" w:rsidRPr="00841E19" w:rsidRDefault="004D7FA2" w:rsidP="00102938">
            <w:pPr>
              <w:jc w:val="both"/>
              <w:rPr>
                <w:rFonts w:eastAsia="Calibri" w:cs="Times New Roman"/>
                <w:sz w:val="20"/>
                <w:szCs w:val="20"/>
              </w:rPr>
            </w:pPr>
            <w:r w:rsidRPr="00841E19">
              <w:rPr>
                <w:rFonts w:eastAsia="Calibri" w:cs="Times New Roman"/>
                <w:sz w:val="20"/>
                <w:szCs w:val="20"/>
              </w:rPr>
              <w:t>Court of Appeal of Manitoba</w:t>
            </w:r>
          </w:p>
          <w:p w:rsidR="004D7FA2" w:rsidRPr="00841E19" w:rsidRDefault="004D7FA2" w:rsidP="00102938">
            <w:pPr>
              <w:jc w:val="both"/>
              <w:rPr>
                <w:rFonts w:eastAsia="Calibri" w:cs="Times New Roman"/>
                <w:sz w:val="20"/>
                <w:szCs w:val="20"/>
              </w:rPr>
            </w:pPr>
            <w:r w:rsidRPr="00841E19">
              <w:rPr>
                <w:rFonts w:eastAsia="Calibri" w:cs="Times New Roman"/>
                <w:sz w:val="20"/>
                <w:szCs w:val="20"/>
              </w:rPr>
              <w:t>(Chartier C.J., Beard and Burnett JJ.A,)</w:t>
            </w:r>
          </w:p>
          <w:p w:rsidR="004D7FA2" w:rsidRPr="00841E19" w:rsidRDefault="004D7FA2" w:rsidP="00102938">
            <w:pPr>
              <w:jc w:val="both"/>
              <w:rPr>
                <w:rFonts w:eastAsia="Calibri" w:cs="Times New Roman"/>
                <w:sz w:val="20"/>
                <w:szCs w:val="20"/>
              </w:rPr>
            </w:pPr>
            <w:r w:rsidRPr="00841E19">
              <w:rPr>
                <w:rFonts w:eastAsia="Calibri" w:cs="Times New Roman"/>
                <w:sz w:val="20"/>
                <w:szCs w:val="20"/>
              </w:rPr>
              <w:t xml:space="preserve">AR 12-30-07743; </w:t>
            </w:r>
            <w:hyperlink r:id="rId87" w:history="1">
              <w:r w:rsidRPr="00841E19">
                <w:rPr>
                  <w:rFonts w:eastAsia="Calibri" w:cs="Times New Roman"/>
                  <w:color w:val="0000FF"/>
                  <w:sz w:val="20"/>
                  <w:szCs w:val="20"/>
                  <w:u w:val="single"/>
                </w:rPr>
                <w:t>2014 MBCA 89</w:t>
              </w:r>
            </w:hyperlink>
          </w:p>
          <w:p w:rsidR="004D7FA2" w:rsidRPr="00841E19" w:rsidRDefault="004D7FA2" w:rsidP="00102938">
            <w:pPr>
              <w:jc w:val="both"/>
              <w:rPr>
                <w:rFonts w:eastAsia="Calibri" w:cs="Times New Roman"/>
                <w:sz w:val="20"/>
                <w:szCs w:val="20"/>
              </w:rPr>
            </w:pPr>
          </w:p>
        </w:tc>
        <w:tc>
          <w:tcPr>
            <w:tcW w:w="243" w:type="pct"/>
          </w:tcPr>
          <w:p w:rsidR="004D7FA2" w:rsidRPr="00841E19" w:rsidRDefault="004D7FA2" w:rsidP="00102938">
            <w:pPr>
              <w:jc w:val="both"/>
              <w:rPr>
                <w:rFonts w:eastAsia="Calibri" w:cs="Times New Roman"/>
                <w:sz w:val="20"/>
                <w:szCs w:val="20"/>
              </w:rPr>
            </w:pPr>
          </w:p>
        </w:tc>
        <w:tc>
          <w:tcPr>
            <w:tcW w:w="2330" w:type="pct"/>
          </w:tcPr>
          <w:p w:rsidR="004D7FA2" w:rsidRPr="00841E19" w:rsidRDefault="004D7FA2" w:rsidP="00102938">
            <w:pPr>
              <w:jc w:val="both"/>
              <w:rPr>
                <w:rFonts w:eastAsia="Calibri" w:cs="Times New Roman"/>
                <w:sz w:val="20"/>
                <w:szCs w:val="20"/>
              </w:rPr>
            </w:pPr>
            <w:r w:rsidRPr="00841E19">
              <w:rPr>
                <w:rFonts w:eastAsia="Calibri" w:cs="Times New Roman"/>
                <w:sz w:val="20"/>
                <w:szCs w:val="20"/>
              </w:rPr>
              <w:t>Appeal from convictions dismissed</w:t>
            </w:r>
          </w:p>
          <w:p w:rsidR="004D7FA2" w:rsidRPr="00841E19" w:rsidRDefault="004D7FA2" w:rsidP="00102938">
            <w:pPr>
              <w:jc w:val="both"/>
              <w:rPr>
                <w:rFonts w:eastAsia="Calibri" w:cs="Times New Roman"/>
                <w:sz w:val="20"/>
                <w:szCs w:val="20"/>
              </w:rPr>
            </w:pPr>
          </w:p>
        </w:tc>
      </w:tr>
      <w:tr w:rsidR="004D7FA2" w:rsidRPr="00841E19" w:rsidTr="00102938">
        <w:tc>
          <w:tcPr>
            <w:tcW w:w="2427" w:type="pct"/>
          </w:tcPr>
          <w:p w:rsidR="004D7FA2" w:rsidRPr="00841E19" w:rsidRDefault="004D7FA2" w:rsidP="00102938">
            <w:pPr>
              <w:jc w:val="both"/>
              <w:rPr>
                <w:rFonts w:eastAsia="Calibri" w:cs="Times New Roman"/>
                <w:sz w:val="20"/>
                <w:szCs w:val="20"/>
              </w:rPr>
            </w:pPr>
            <w:r w:rsidRPr="00841E19">
              <w:rPr>
                <w:rFonts w:eastAsia="Calibri" w:cs="Times New Roman"/>
                <w:sz w:val="20"/>
                <w:szCs w:val="20"/>
              </w:rPr>
              <w:t>January 20, 2015</w:t>
            </w:r>
          </w:p>
          <w:p w:rsidR="004D7FA2" w:rsidRPr="00841E19" w:rsidRDefault="004D7FA2" w:rsidP="00102938">
            <w:pPr>
              <w:jc w:val="both"/>
              <w:rPr>
                <w:rFonts w:eastAsia="Calibri" w:cs="Times New Roman"/>
                <w:sz w:val="20"/>
                <w:szCs w:val="20"/>
              </w:rPr>
            </w:pPr>
            <w:r w:rsidRPr="00841E19">
              <w:rPr>
                <w:rFonts w:eastAsia="Calibri" w:cs="Times New Roman"/>
                <w:sz w:val="20"/>
                <w:szCs w:val="20"/>
              </w:rPr>
              <w:t>Supreme Court of Canada</w:t>
            </w:r>
          </w:p>
        </w:tc>
        <w:tc>
          <w:tcPr>
            <w:tcW w:w="243" w:type="pct"/>
          </w:tcPr>
          <w:p w:rsidR="004D7FA2" w:rsidRPr="00841E19" w:rsidRDefault="004D7FA2" w:rsidP="00102938">
            <w:pPr>
              <w:jc w:val="both"/>
              <w:rPr>
                <w:rFonts w:eastAsia="Calibri" w:cs="Times New Roman"/>
                <w:sz w:val="20"/>
                <w:szCs w:val="20"/>
              </w:rPr>
            </w:pPr>
          </w:p>
        </w:tc>
        <w:tc>
          <w:tcPr>
            <w:tcW w:w="2330" w:type="pct"/>
          </w:tcPr>
          <w:p w:rsidR="004D7FA2" w:rsidRPr="00841E19" w:rsidRDefault="004D7FA2" w:rsidP="00102938">
            <w:pPr>
              <w:jc w:val="both"/>
              <w:rPr>
                <w:rFonts w:eastAsia="Calibri" w:cs="Times New Roman"/>
                <w:sz w:val="20"/>
                <w:szCs w:val="20"/>
              </w:rPr>
            </w:pPr>
            <w:r w:rsidRPr="00841E19">
              <w:rPr>
                <w:rFonts w:eastAsia="Calibri" w:cs="Times New Roman"/>
                <w:sz w:val="20"/>
                <w:szCs w:val="20"/>
              </w:rPr>
              <w:t>Application for extension of time to apply for leave to appeal and Application for leave to appeal filed</w:t>
            </w:r>
          </w:p>
        </w:tc>
      </w:tr>
    </w:tbl>
    <w:p w:rsidR="004D7FA2" w:rsidRPr="00841E19" w:rsidRDefault="004D7FA2" w:rsidP="004D7FA2">
      <w:pPr>
        <w:jc w:val="both"/>
        <w:rPr>
          <w:rFonts w:eastAsia="Calibri" w:cs="Times New Roman"/>
          <w:sz w:val="20"/>
          <w:szCs w:val="20"/>
        </w:rPr>
      </w:pPr>
    </w:p>
    <w:p w:rsidR="004D7FA2" w:rsidRPr="00C50A5C" w:rsidRDefault="00417673" w:rsidP="004D7FA2">
      <w:pPr>
        <w:rPr>
          <w:sz w:val="20"/>
          <w:szCs w:val="20"/>
        </w:rPr>
      </w:pPr>
      <w:r>
        <w:rPr>
          <w:sz w:val="20"/>
          <w:szCs w:val="20"/>
          <w:lang w:val="fr-CA"/>
        </w:rPr>
        <w:pict>
          <v:rect id="_x0000_i1080" style="width:2in;height:1pt" o:hrpct="0" o:hralign="center" o:hrstd="t" o:hrnoshade="t" o:hr="t" fillcolor="black [3213]" stroked="f"/>
        </w:pict>
      </w:r>
    </w:p>
    <w:p w:rsidR="004D7FA2" w:rsidRDefault="004D7FA2" w:rsidP="004D7FA2">
      <w:pPr>
        <w:rPr>
          <w:sz w:val="20"/>
          <w:szCs w:val="20"/>
        </w:rPr>
      </w:pPr>
    </w:p>
    <w:p w:rsidR="004D7FA2" w:rsidRDefault="004D7FA2" w:rsidP="004D7FA2">
      <w:pPr>
        <w:rPr>
          <w:sz w:val="20"/>
          <w:szCs w:val="20"/>
          <w:u w:val="single"/>
          <w:lang w:val="fr-CA"/>
        </w:rPr>
      </w:pPr>
      <w:r w:rsidRPr="001B157C">
        <w:rPr>
          <w:sz w:val="20"/>
          <w:szCs w:val="20"/>
          <w:u w:val="single"/>
          <w:lang w:val="fr-CA"/>
        </w:rPr>
        <w:t>RÉSUMÉ DE L’AFFAIRE</w:t>
      </w:r>
    </w:p>
    <w:p w:rsidR="004D7FA2" w:rsidRPr="001B157C" w:rsidRDefault="004D7FA2" w:rsidP="004D7FA2">
      <w:pPr>
        <w:rPr>
          <w:sz w:val="20"/>
          <w:szCs w:val="20"/>
          <w:u w:val="single"/>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D7FA2" w:rsidRPr="00584913" w:rsidTr="00102938">
        <w:tc>
          <w:tcPr>
            <w:tcW w:w="5000" w:type="pct"/>
            <w:gridSpan w:val="3"/>
          </w:tcPr>
          <w:p w:rsidR="004D7FA2" w:rsidRPr="00841E19" w:rsidRDefault="004D7FA2" w:rsidP="00102938">
            <w:pPr>
              <w:jc w:val="both"/>
              <w:rPr>
                <w:rFonts w:eastAsia="Calibri" w:cs="Times New Roman"/>
                <w:sz w:val="20"/>
                <w:szCs w:val="20"/>
                <w:lang w:val="fr-CA"/>
              </w:rPr>
            </w:pPr>
            <w:r w:rsidRPr="00841E19">
              <w:rPr>
                <w:rFonts w:eastAsia="Calibri" w:cs="Times New Roman"/>
                <w:sz w:val="20"/>
                <w:szCs w:val="20"/>
                <w:lang w:val="fr-CA"/>
              </w:rPr>
              <w:t>Droit criminel – Preuve – Témoin douteux – La police a partagé des renseignements obtenus de membres de la famille de l’accusé avec un témoin douteux avant que ce dernier ne fasse une déclaration à la police et livre un témoignage incriminant l’accusé – Le témoignage des membres de la famille au procès peut-il confirmer le témoignage du témoin douteux?</w:t>
            </w:r>
          </w:p>
        </w:tc>
      </w:tr>
      <w:tr w:rsidR="004D7FA2" w:rsidRPr="00584913" w:rsidTr="00102938">
        <w:tc>
          <w:tcPr>
            <w:tcW w:w="5000" w:type="pct"/>
            <w:gridSpan w:val="3"/>
          </w:tcPr>
          <w:p w:rsidR="004D7FA2" w:rsidRPr="00841E19" w:rsidRDefault="004D7FA2" w:rsidP="00102938">
            <w:pPr>
              <w:jc w:val="both"/>
              <w:rPr>
                <w:rFonts w:eastAsia="Calibri" w:cs="Times New Roman"/>
                <w:sz w:val="20"/>
                <w:szCs w:val="20"/>
                <w:lang w:val="fr-CA"/>
              </w:rPr>
            </w:pPr>
          </w:p>
        </w:tc>
      </w:tr>
      <w:tr w:rsidR="004D7FA2" w:rsidRPr="00584913" w:rsidTr="00102938">
        <w:tc>
          <w:tcPr>
            <w:tcW w:w="5000" w:type="pct"/>
            <w:gridSpan w:val="3"/>
          </w:tcPr>
          <w:p w:rsidR="004D7FA2" w:rsidRPr="00841E19" w:rsidRDefault="004D7FA2" w:rsidP="00102938">
            <w:pPr>
              <w:autoSpaceDE w:val="0"/>
              <w:autoSpaceDN w:val="0"/>
              <w:adjustRightInd w:val="0"/>
              <w:jc w:val="both"/>
              <w:rPr>
                <w:rFonts w:eastAsia="Times New Roman" w:cs="Times New Roman"/>
                <w:color w:val="000000"/>
                <w:sz w:val="20"/>
                <w:szCs w:val="20"/>
                <w:lang w:val="fr-CA"/>
              </w:rPr>
            </w:pPr>
            <w:r w:rsidRPr="00841E19">
              <w:rPr>
                <w:rFonts w:eastAsia="Times New Roman" w:cs="Times New Roman"/>
                <w:color w:val="000000"/>
                <w:sz w:val="20"/>
                <w:szCs w:val="20"/>
                <w:lang w:val="fr-CA"/>
              </w:rPr>
              <w:t xml:space="preserve">Les parents et le frère de M. Labossière ont été tués.  S’appuyant en partie sur des renseignements obtenus du neveu et de la sœur de M. Labossière, les policiers ont cru que celui-ci avait engagé M. Toupin pour commettre les meurtres.  </w:t>
            </w:r>
            <w:r w:rsidRPr="00841E19">
              <w:rPr>
                <w:rFonts w:eastAsia="Times New Roman" w:cs="Times New Roman"/>
                <w:color w:val="000000"/>
                <w:sz w:val="20"/>
                <w:szCs w:val="20"/>
                <w:lang w:val="fr-CA"/>
              </w:rPr>
              <w:lastRenderedPageBreak/>
              <w:t xml:space="preserve">Ils ont arrêté M. Toupin.  Ils lui ont dit à maintes reprises qu’ils croyaient qu’il avait été engagé par M. Labossière pour commettre les meurtres et ils ont fait écouter à M. Toupin des enregistrements de déclarations que le neveu et la sœur de M. Labossière avaient faites à la police.  Monsieur Toupin a alors fait une déclaration en échange d’une transaction pénale.  Au procès, M. Toupin a témoigné pour le ministère public.  Le neveu et la sœur ont témoigné eux-aussi au procès.  Dans ses directives au jury, la juge Keyser a qualifié M. Toupin de témoin douteux et a servi une mise en garde de type </w:t>
            </w:r>
            <w:r w:rsidRPr="00841E19">
              <w:rPr>
                <w:rFonts w:eastAsia="Times New Roman" w:cs="Times New Roman"/>
                <w:i/>
                <w:color w:val="000000"/>
                <w:sz w:val="20"/>
                <w:szCs w:val="20"/>
                <w:lang w:val="fr-CA"/>
              </w:rPr>
              <w:t>Vetrovec</w:t>
            </w:r>
            <w:r w:rsidRPr="00841E19">
              <w:rPr>
                <w:rFonts w:eastAsia="Times New Roman" w:cs="Times New Roman"/>
                <w:color w:val="000000"/>
                <w:sz w:val="20"/>
                <w:szCs w:val="20"/>
                <w:lang w:val="fr-CA"/>
              </w:rPr>
              <w:t xml:space="preserve">.  </w:t>
            </w:r>
          </w:p>
          <w:p w:rsidR="004D7FA2" w:rsidRPr="00841E19" w:rsidRDefault="004D7FA2" w:rsidP="00102938">
            <w:pPr>
              <w:jc w:val="both"/>
              <w:rPr>
                <w:rFonts w:eastAsia="Calibri" w:cs="Times New Roman"/>
                <w:sz w:val="20"/>
                <w:szCs w:val="20"/>
                <w:lang w:val="fr-CA"/>
              </w:rPr>
            </w:pPr>
          </w:p>
        </w:tc>
      </w:tr>
      <w:tr w:rsidR="004D7FA2" w:rsidRPr="00584913" w:rsidTr="00102938">
        <w:tc>
          <w:tcPr>
            <w:tcW w:w="2427" w:type="pct"/>
          </w:tcPr>
          <w:p w:rsidR="004D7FA2" w:rsidRPr="00841E19" w:rsidRDefault="004D7FA2" w:rsidP="00102938">
            <w:pPr>
              <w:jc w:val="both"/>
              <w:rPr>
                <w:rFonts w:eastAsia="Calibri" w:cs="Times New Roman"/>
                <w:sz w:val="20"/>
                <w:szCs w:val="20"/>
                <w:lang w:val="fr-CA"/>
              </w:rPr>
            </w:pPr>
            <w:r w:rsidRPr="00841E19">
              <w:rPr>
                <w:rFonts w:eastAsia="Calibri" w:cs="Times New Roman"/>
                <w:sz w:val="20"/>
                <w:szCs w:val="20"/>
                <w:lang w:val="fr-CA"/>
              </w:rPr>
              <w:lastRenderedPageBreak/>
              <w:t>1</w:t>
            </w:r>
            <w:r w:rsidRPr="00841E19">
              <w:rPr>
                <w:rFonts w:eastAsia="Calibri" w:cs="Times New Roman"/>
                <w:sz w:val="20"/>
                <w:szCs w:val="20"/>
                <w:vertAlign w:val="superscript"/>
                <w:lang w:val="fr-CA"/>
              </w:rPr>
              <w:t>er</w:t>
            </w:r>
            <w:r w:rsidRPr="00841E19">
              <w:rPr>
                <w:rFonts w:eastAsia="Calibri" w:cs="Times New Roman"/>
                <w:sz w:val="20"/>
                <w:szCs w:val="20"/>
                <w:lang w:val="fr-CA"/>
              </w:rPr>
              <w:t xml:space="preserve"> février 2012</w:t>
            </w:r>
          </w:p>
          <w:p w:rsidR="004D7FA2" w:rsidRPr="00841E19" w:rsidRDefault="004D7FA2" w:rsidP="00102938">
            <w:pPr>
              <w:jc w:val="both"/>
              <w:rPr>
                <w:rFonts w:eastAsia="Calibri" w:cs="Times New Roman"/>
                <w:sz w:val="20"/>
                <w:szCs w:val="20"/>
                <w:lang w:val="fr-CA"/>
              </w:rPr>
            </w:pPr>
            <w:r w:rsidRPr="00841E19">
              <w:rPr>
                <w:rFonts w:eastAsia="Calibri" w:cs="Times New Roman"/>
                <w:sz w:val="20"/>
                <w:szCs w:val="20"/>
                <w:lang w:val="fr-CA"/>
              </w:rPr>
              <w:t>Cour du Banc de la Reine du Manitoba</w:t>
            </w:r>
          </w:p>
          <w:p w:rsidR="004D7FA2" w:rsidRPr="00841E19" w:rsidRDefault="004D7FA2" w:rsidP="00102938">
            <w:pPr>
              <w:jc w:val="both"/>
              <w:rPr>
                <w:rFonts w:eastAsia="Calibri" w:cs="Times New Roman"/>
                <w:sz w:val="20"/>
                <w:szCs w:val="20"/>
                <w:lang w:val="fr-CA"/>
              </w:rPr>
            </w:pPr>
            <w:r w:rsidRPr="00841E19">
              <w:rPr>
                <w:rFonts w:eastAsia="Calibri" w:cs="Times New Roman"/>
                <w:sz w:val="20"/>
                <w:szCs w:val="20"/>
                <w:lang w:val="fr-CA"/>
              </w:rPr>
              <w:t xml:space="preserve">(Juge Keyser) </w:t>
            </w:r>
          </w:p>
          <w:p w:rsidR="004D7FA2" w:rsidRPr="00841E19" w:rsidRDefault="004D7FA2" w:rsidP="00102938">
            <w:pPr>
              <w:jc w:val="both"/>
              <w:rPr>
                <w:rFonts w:eastAsia="Calibri" w:cs="Times New Roman"/>
                <w:sz w:val="20"/>
                <w:szCs w:val="20"/>
                <w:lang w:val="fr-CA"/>
              </w:rPr>
            </w:pPr>
          </w:p>
        </w:tc>
        <w:tc>
          <w:tcPr>
            <w:tcW w:w="243" w:type="pct"/>
          </w:tcPr>
          <w:p w:rsidR="004D7FA2" w:rsidRPr="00841E19" w:rsidRDefault="004D7FA2" w:rsidP="00102938">
            <w:pPr>
              <w:jc w:val="both"/>
              <w:rPr>
                <w:rFonts w:eastAsia="Calibri" w:cs="Times New Roman"/>
                <w:sz w:val="20"/>
                <w:szCs w:val="20"/>
                <w:lang w:val="fr-CA"/>
              </w:rPr>
            </w:pPr>
          </w:p>
        </w:tc>
        <w:tc>
          <w:tcPr>
            <w:tcW w:w="2330" w:type="pct"/>
          </w:tcPr>
          <w:p w:rsidR="004D7FA2" w:rsidRPr="00841E19" w:rsidRDefault="004D7FA2" w:rsidP="00102938">
            <w:pPr>
              <w:jc w:val="both"/>
              <w:rPr>
                <w:rFonts w:eastAsia="Calibri" w:cs="Times New Roman"/>
                <w:sz w:val="20"/>
                <w:szCs w:val="20"/>
                <w:lang w:val="fr-CA"/>
              </w:rPr>
            </w:pPr>
            <w:r w:rsidRPr="00841E19">
              <w:rPr>
                <w:rFonts w:eastAsia="Calibri" w:cs="Times New Roman"/>
                <w:sz w:val="20"/>
                <w:szCs w:val="20"/>
                <w:lang w:val="fr-CA"/>
              </w:rPr>
              <w:t>Déclaration de culpabilité par un jury : trois chefs de meurtre au premier degré</w:t>
            </w:r>
          </w:p>
          <w:p w:rsidR="004D7FA2" w:rsidRPr="00841E19" w:rsidRDefault="004D7FA2" w:rsidP="00102938">
            <w:pPr>
              <w:jc w:val="both"/>
              <w:rPr>
                <w:rFonts w:eastAsia="Calibri" w:cs="Times New Roman"/>
                <w:sz w:val="20"/>
                <w:szCs w:val="20"/>
                <w:lang w:val="fr-CA"/>
              </w:rPr>
            </w:pPr>
          </w:p>
        </w:tc>
      </w:tr>
      <w:tr w:rsidR="004D7FA2" w:rsidRPr="00584913" w:rsidTr="00102938">
        <w:tc>
          <w:tcPr>
            <w:tcW w:w="2427" w:type="pct"/>
          </w:tcPr>
          <w:p w:rsidR="004D7FA2" w:rsidRPr="00841E19" w:rsidRDefault="004D7FA2" w:rsidP="00102938">
            <w:pPr>
              <w:jc w:val="both"/>
              <w:rPr>
                <w:rFonts w:eastAsia="Calibri" w:cs="Times New Roman"/>
                <w:sz w:val="20"/>
                <w:szCs w:val="20"/>
                <w:lang w:val="fr-CA"/>
              </w:rPr>
            </w:pPr>
            <w:r w:rsidRPr="00841E19">
              <w:rPr>
                <w:rFonts w:eastAsia="Calibri" w:cs="Times New Roman"/>
                <w:sz w:val="20"/>
                <w:szCs w:val="20"/>
                <w:lang w:val="fr-CA"/>
              </w:rPr>
              <w:t>25 septembre 2014</w:t>
            </w:r>
          </w:p>
          <w:p w:rsidR="004D7FA2" w:rsidRPr="00841E19" w:rsidRDefault="004D7FA2" w:rsidP="00102938">
            <w:pPr>
              <w:jc w:val="both"/>
              <w:rPr>
                <w:rFonts w:eastAsia="Calibri" w:cs="Times New Roman"/>
                <w:sz w:val="20"/>
                <w:szCs w:val="20"/>
                <w:lang w:val="fr-CA"/>
              </w:rPr>
            </w:pPr>
            <w:r w:rsidRPr="00841E19">
              <w:rPr>
                <w:rFonts w:eastAsia="Calibri" w:cs="Times New Roman"/>
                <w:sz w:val="20"/>
                <w:szCs w:val="20"/>
                <w:lang w:val="fr-CA"/>
              </w:rPr>
              <w:t>Cour d’appel du Manitoba</w:t>
            </w:r>
          </w:p>
          <w:p w:rsidR="004D7FA2" w:rsidRPr="00841E19" w:rsidRDefault="004D7FA2" w:rsidP="00102938">
            <w:pPr>
              <w:jc w:val="both"/>
              <w:rPr>
                <w:rFonts w:eastAsia="Calibri" w:cs="Times New Roman"/>
                <w:sz w:val="20"/>
                <w:szCs w:val="20"/>
                <w:lang w:val="fr-CA"/>
              </w:rPr>
            </w:pPr>
            <w:r w:rsidRPr="00841E19">
              <w:rPr>
                <w:rFonts w:eastAsia="Calibri" w:cs="Times New Roman"/>
                <w:sz w:val="20"/>
                <w:szCs w:val="20"/>
                <w:lang w:val="fr-CA"/>
              </w:rPr>
              <w:t>(Juge en chef Chartier, juges Beard et Burnett)</w:t>
            </w:r>
          </w:p>
          <w:p w:rsidR="004D7FA2" w:rsidRPr="00841E19" w:rsidRDefault="004D7FA2" w:rsidP="00102938">
            <w:pPr>
              <w:jc w:val="both"/>
              <w:rPr>
                <w:rFonts w:eastAsia="Calibri" w:cs="Times New Roman"/>
                <w:sz w:val="20"/>
                <w:szCs w:val="20"/>
                <w:lang w:val="fr-CA"/>
              </w:rPr>
            </w:pPr>
            <w:r w:rsidRPr="00841E19">
              <w:rPr>
                <w:rFonts w:eastAsia="Calibri" w:cs="Times New Roman"/>
                <w:sz w:val="20"/>
                <w:szCs w:val="20"/>
                <w:lang w:val="fr-CA"/>
              </w:rPr>
              <w:t xml:space="preserve">AR 12-30-07743; </w:t>
            </w:r>
            <w:hyperlink r:id="rId88" w:history="1">
              <w:r w:rsidRPr="00841E19">
                <w:rPr>
                  <w:rFonts w:eastAsia="Calibri" w:cs="Times New Roman"/>
                  <w:color w:val="0000FF"/>
                  <w:sz w:val="20"/>
                  <w:szCs w:val="20"/>
                  <w:u w:val="single"/>
                  <w:lang w:val="fr-CA"/>
                </w:rPr>
                <w:t>2014 MBCA 89</w:t>
              </w:r>
            </w:hyperlink>
          </w:p>
          <w:p w:rsidR="004D7FA2" w:rsidRPr="00841E19" w:rsidRDefault="004D7FA2" w:rsidP="00102938">
            <w:pPr>
              <w:jc w:val="both"/>
              <w:rPr>
                <w:rFonts w:eastAsia="Calibri" w:cs="Times New Roman"/>
                <w:sz w:val="20"/>
                <w:szCs w:val="20"/>
                <w:lang w:val="fr-CA"/>
              </w:rPr>
            </w:pPr>
          </w:p>
        </w:tc>
        <w:tc>
          <w:tcPr>
            <w:tcW w:w="243" w:type="pct"/>
          </w:tcPr>
          <w:p w:rsidR="004D7FA2" w:rsidRPr="00841E19" w:rsidRDefault="004D7FA2" w:rsidP="00102938">
            <w:pPr>
              <w:jc w:val="both"/>
              <w:rPr>
                <w:rFonts w:eastAsia="Calibri" w:cs="Times New Roman"/>
                <w:sz w:val="20"/>
                <w:szCs w:val="20"/>
                <w:lang w:val="fr-CA"/>
              </w:rPr>
            </w:pPr>
          </w:p>
        </w:tc>
        <w:tc>
          <w:tcPr>
            <w:tcW w:w="2330" w:type="pct"/>
          </w:tcPr>
          <w:p w:rsidR="004D7FA2" w:rsidRPr="00841E19" w:rsidRDefault="004D7FA2" w:rsidP="00102938">
            <w:pPr>
              <w:jc w:val="both"/>
              <w:rPr>
                <w:rFonts w:eastAsia="Calibri" w:cs="Times New Roman"/>
                <w:sz w:val="20"/>
                <w:szCs w:val="20"/>
                <w:lang w:val="fr-CA"/>
              </w:rPr>
            </w:pPr>
            <w:r w:rsidRPr="00841E19">
              <w:rPr>
                <w:rFonts w:eastAsia="Calibri" w:cs="Times New Roman"/>
                <w:sz w:val="20"/>
                <w:szCs w:val="20"/>
                <w:lang w:val="fr-CA"/>
              </w:rPr>
              <w:t>Rejet de l’appel des déclarations de culpabilité</w:t>
            </w:r>
          </w:p>
          <w:p w:rsidR="004D7FA2" w:rsidRPr="00841E19" w:rsidRDefault="004D7FA2" w:rsidP="00102938">
            <w:pPr>
              <w:jc w:val="both"/>
              <w:rPr>
                <w:rFonts w:eastAsia="Calibri" w:cs="Times New Roman"/>
                <w:sz w:val="20"/>
                <w:szCs w:val="20"/>
                <w:lang w:val="fr-CA"/>
              </w:rPr>
            </w:pPr>
          </w:p>
        </w:tc>
      </w:tr>
      <w:tr w:rsidR="004D7FA2" w:rsidRPr="00584913" w:rsidTr="00102938">
        <w:tc>
          <w:tcPr>
            <w:tcW w:w="2427" w:type="pct"/>
          </w:tcPr>
          <w:p w:rsidR="004D7FA2" w:rsidRPr="00841E19" w:rsidRDefault="004D7FA2" w:rsidP="00102938">
            <w:pPr>
              <w:jc w:val="both"/>
              <w:rPr>
                <w:rFonts w:eastAsia="Calibri" w:cs="Times New Roman"/>
                <w:sz w:val="20"/>
                <w:szCs w:val="20"/>
                <w:lang w:val="fr-CA"/>
              </w:rPr>
            </w:pPr>
            <w:r w:rsidRPr="00841E19">
              <w:rPr>
                <w:rFonts w:eastAsia="Calibri" w:cs="Times New Roman"/>
                <w:sz w:val="20"/>
                <w:szCs w:val="20"/>
                <w:lang w:val="fr-CA"/>
              </w:rPr>
              <w:t>20 janvier 2015</w:t>
            </w:r>
          </w:p>
          <w:p w:rsidR="004D7FA2" w:rsidRPr="00841E19" w:rsidRDefault="004D7FA2" w:rsidP="00102938">
            <w:pPr>
              <w:jc w:val="both"/>
              <w:rPr>
                <w:rFonts w:eastAsia="Calibri" w:cs="Times New Roman"/>
                <w:sz w:val="20"/>
                <w:szCs w:val="20"/>
                <w:lang w:val="fr-CA"/>
              </w:rPr>
            </w:pPr>
            <w:r w:rsidRPr="00841E19">
              <w:rPr>
                <w:rFonts w:eastAsia="Calibri" w:cs="Times New Roman"/>
                <w:sz w:val="20"/>
                <w:szCs w:val="20"/>
                <w:lang w:val="fr-CA"/>
              </w:rPr>
              <w:t>Cour suprême du Canada</w:t>
            </w:r>
          </w:p>
        </w:tc>
        <w:tc>
          <w:tcPr>
            <w:tcW w:w="243" w:type="pct"/>
          </w:tcPr>
          <w:p w:rsidR="004D7FA2" w:rsidRPr="00841E19" w:rsidRDefault="004D7FA2" w:rsidP="00102938">
            <w:pPr>
              <w:jc w:val="both"/>
              <w:rPr>
                <w:rFonts w:eastAsia="Calibri" w:cs="Times New Roman"/>
                <w:sz w:val="20"/>
                <w:szCs w:val="20"/>
                <w:lang w:val="fr-CA"/>
              </w:rPr>
            </w:pPr>
          </w:p>
        </w:tc>
        <w:tc>
          <w:tcPr>
            <w:tcW w:w="2330" w:type="pct"/>
          </w:tcPr>
          <w:p w:rsidR="004D7FA2" w:rsidRPr="00841E19" w:rsidRDefault="004D7FA2" w:rsidP="00102938">
            <w:pPr>
              <w:jc w:val="both"/>
              <w:rPr>
                <w:rFonts w:eastAsia="Calibri" w:cs="Times New Roman"/>
                <w:sz w:val="20"/>
                <w:szCs w:val="20"/>
                <w:lang w:val="fr-CA"/>
              </w:rPr>
            </w:pPr>
            <w:r w:rsidRPr="00841E19">
              <w:rPr>
                <w:rFonts w:eastAsia="Calibri" w:cs="Times New Roman"/>
                <w:sz w:val="20"/>
                <w:szCs w:val="20"/>
                <w:lang w:val="fr-CA"/>
              </w:rPr>
              <w:t>Dépôt de la demande de prorogation du délai de signification et de dépôt de la demande d’autorisation d’appel et de la demande d’autorisation d’appel</w:t>
            </w:r>
          </w:p>
        </w:tc>
      </w:tr>
    </w:tbl>
    <w:p w:rsidR="004D7FA2" w:rsidRPr="00204D62" w:rsidRDefault="004D7FA2" w:rsidP="004D7FA2">
      <w:pPr>
        <w:jc w:val="both"/>
        <w:rPr>
          <w:rFonts w:eastAsia="Calibri" w:cs="Times New Roman"/>
          <w:sz w:val="20"/>
          <w:szCs w:val="20"/>
          <w:lang w:val="fr-CA"/>
        </w:rPr>
      </w:pPr>
    </w:p>
    <w:p w:rsidR="004D7FA2" w:rsidRPr="00C50A5C" w:rsidRDefault="00417673" w:rsidP="004D7FA2">
      <w:pPr>
        <w:rPr>
          <w:sz w:val="20"/>
          <w:szCs w:val="20"/>
        </w:rPr>
      </w:pPr>
      <w:r>
        <w:rPr>
          <w:sz w:val="20"/>
          <w:szCs w:val="20"/>
          <w:lang w:val="fr-CA"/>
        </w:rPr>
        <w:pict>
          <v:rect id="_x0000_i1081" style="width:2in;height:1pt" o:hrpct="0" o:hralign="center" o:hrstd="t" o:hrnoshade="t" o:hr="t" fillcolor="black [3213]" stroked="f"/>
        </w:pict>
      </w:r>
    </w:p>
    <w:p w:rsidR="004F2E0E" w:rsidRPr="00D96177" w:rsidRDefault="004F2E0E" w:rsidP="004F2E0E">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89"/>
          <w:headerReference w:type="default" r:id="rId90"/>
          <w:footerReference w:type="even" r:id="rId91"/>
          <w:footerReference w:type="default" r:id="rId92"/>
          <w:headerReference w:type="first" r:id="rId93"/>
          <w:footerReference w:type="first" r:id="rId9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926859" w:rsidRDefault="00926859" w:rsidP="00926859">
      <w:pPr>
        <w:tabs>
          <w:tab w:val="left" w:pos="-1440"/>
          <w:tab w:val="left" w:pos="-720"/>
        </w:tabs>
        <w:jc w:val="both"/>
        <w:rPr>
          <w:rFonts w:eastAsia="Times New Roman" w:cs="Times New Roman"/>
          <w:sz w:val="20"/>
          <w:szCs w:val="20"/>
          <w:lang w:val="fr-CA" w:eastAsia="en-CA"/>
        </w:rPr>
      </w:pPr>
    </w:p>
    <w:p w:rsidR="00926859" w:rsidRPr="00926859" w:rsidRDefault="00926859" w:rsidP="00926859">
      <w:pPr>
        <w:tabs>
          <w:tab w:val="left" w:pos="-1440"/>
          <w:tab w:val="left" w:pos="-720"/>
        </w:tabs>
        <w:jc w:val="both"/>
        <w:rPr>
          <w:rFonts w:eastAsia="Times New Roman" w:cs="Times New Roman"/>
          <w:sz w:val="20"/>
          <w:szCs w:val="20"/>
          <w:lang w:val="fr-CA" w:eastAsia="en-CA"/>
        </w:rPr>
      </w:pPr>
      <w:r w:rsidRPr="00926859">
        <w:rPr>
          <w:rFonts w:eastAsia="Times New Roman" w:cs="Times New Roman"/>
          <w:sz w:val="20"/>
          <w:szCs w:val="20"/>
          <w:lang w:val="fr-CA" w:eastAsia="en-CA"/>
        </w:rPr>
        <w:t>14.04.2015</w:t>
      </w:r>
    </w:p>
    <w:p w:rsidR="00926859" w:rsidRPr="00926859" w:rsidRDefault="00926859" w:rsidP="00926859">
      <w:pPr>
        <w:tabs>
          <w:tab w:val="left" w:pos="-1440"/>
          <w:tab w:val="left" w:pos="-720"/>
        </w:tabs>
        <w:jc w:val="both"/>
        <w:rPr>
          <w:rFonts w:eastAsia="Times New Roman" w:cs="Times New Roman"/>
          <w:sz w:val="20"/>
          <w:szCs w:val="20"/>
          <w:lang w:val="fr-CA" w:eastAsia="en-CA"/>
        </w:rPr>
      </w:pPr>
    </w:p>
    <w:p w:rsidR="00926859" w:rsidRPr="00926859" w:rsidRDefault="00926859" w:rsidP="00926859">
      <w:pPr>
        <w:tabs>
          <w:tab w:val="left" w:pos="-1440"/>
          <w:tab w:val="left" w:pos="-720"/>
        </w:tabs>
        <w:jc w:val="both"/>
        <w:rPr>
          <w:rFonts w:eastAsia="Times New Roman" w:cs="Times New Roman"/>
          <w:sz w:val="20"/>
          <w:szCs w:val="20"/>
          <w:lang w:val="fr-CA" w:eastAsia="en-CA"/>
        </w:rPr>
      </w:pPr>
      <w:r w:rsidRPr="00926859">
        <w:rPr>
          <w:rFonts w:eastAsia="Times New Roman" w:cs="Times New Roman"/>
          <w:sz w:val="20"/>
          <w:szCs w:val="20"/>
          <w:lang w:val="fr-CA" w:eastAsia="en-CA"/>
        </w:rPr>
        <w:t>Before / Devant:   WAGNER J. / LE JUGE WAGNER</w:t>
      </w:r>
    </w:p>
    <w:p w:rsidR="00926859" w:rsidRPr="00926859" w:rsidRDefault="00926859" w:rsidP="00926859">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926859" w:rsidRPr="00926859" w:rsidTr="00841E19">
        <w:tc>
          <w:tcPr>
            <w:tcW w:w="4338" w:type="dxa"/>
            <w:gridSpan w:val="2"/>
          </w:tcPr>
          <w:p w:rsidR="00926859" w:rsidRPr="00926859" w:rsidRDefault="00926859" w:rsidP="00841E19">
            <w:pPr>
              <w:rPr>
                <w:b/>
              </w:rPr>
            </w:pPr>
            <w:r w:rsidRPr="00926859">
              <w:rPr>
                <w:b/>
              </w:rPr>
              <w:t>Motion for leave to intervene</w:t>
            </w:r>
            <w:r w:rsidRPr="00926859">
              <w:rPr>
                <w:lang w:val="en-US"/>
              </w:rPr>
              <w:t xml:space="preserve"> </w:t>
            </w:r>
            <w:r w:rsidR="00A26E00" w:rsidRPr="00926859">
              <w:rPr>
                <w:lang w:val="en-US"/>
              </w:rPr>
              <w:fldChar w:fldCharType="begin"/>
            </w:r>
            <w:r w:rsidRPr="00926859">
              <w:instrText xml:space="preserve"> SEQ CHAPTER \h \r 1</w:instrText>
            </w:r>
            <w:r w:rsidR="00A26E00" w:rsidRPr="00926859">
              <w:rPr>
                <w:lang w:val="en-US"/>
              </w:rPr>
              <w:fldChar w:fldCharType="end"/>
            </w:r>
          </w:p>
        </w:tc>
        <w:tc>
          <w:tcPr>
            <w:tcW w:w="1170" w:type="dxa"/>
          </w:tcPr>
          <w:p w:rsidR="00926859" w:rsidRPr="00926859" w:rsidRDefault="00926859" w:rsidP="00841E19"/>
          <w:p w:rsidR="00926859" w:rsidRPr="00926859" w:rsidRDefault="00926859" w:rsidP="00841E19"/>
        </w:tc>
        <w:tc>
          <w:tcPr>
            <w:tcW w:w="4327" w:type="dxa"/>
          </w:tcPr>
          <w:p w:rsidR="00926859" w:rsidRPr="00926859" w:rsidRDefault="00926859" w:rsidP="00841E19">
            <w:pPr>
              <w:rPr>
                <w:b/>
              </w:rPr>
            </w:pPr>
            <w:r w:rsidRPr="00926859">
              <w:rPr>
                <w:b/>
                <w:bCs/>
                <w:lang w:val="fr-CA"/>
              </w:rPr>
              <w:t>Requête en autorisation d’intervenir</w:t>
            </w:r>
            <w:r w:rsidRPr="00926859">
              <w:rPr>
                <w:lang w:val="en-US"/>
              </w:rPr>
              <w:t xml:space="preserve"> </w:t>
            </w:r>
            <w:r w:rsidR="00A26E00" w:rsidRPr="00926859">
              <w:rPr>
                <w:lang w:val="en-US"/>
              </w:rPr>
              <w:fldChar w:fldCharType="begin"/>
            </w:r>
            <w:r w:rsidRPr="00926859">
              <w:instrText xml:space="preserve"> SEQ CHAPTER \h \r 1</w:instrText>
            </w:r>
            <w:r w:rsidR="00A26E00" w:rsidRPr="00926859">
              <w:rPr>
                <w:lang w:val="en-US"/>
              </w:rPr>
              <w:fldChar w:fldCharType="end"/>
            </w:r>
          </w:p>
        </w:tc>
      </w:tr>
      <w:tr w:rsidR="00926859" w:rsidRPr="00926859" w:rsidTr="00556701">
        <w:trPr>
          <w:trHeight w:hRule="exact" w:val="576"/>
        </w:trPr>
        <w:tc>
          <w:tcPr>
            <w:tcW w:w="1368" w:type="dxa"/>
          </w:tcPr>
          <w:p w:rsidR="00926859" w:rsidRPr="00926859" w:rsidRDefault="00926859" w:rsidP="00841E19">
            <w:r w:rsidRPr="00926859">
              <w:t>BY / PAR</w:t>
            </w:r>
          </w:p>
        </w:tc>
        <w:tc>
          <w:tcPr>
            <w:tcW w:w="2970" w:type="dxa"/>
          </w:tcPr>
          <w:p w:rsidR="00926859" w:rsidRPr="00926859" w:rsidRDefault="00556701" w:rsidP="00841E19">
            <w:r w:rsidRPr="00926859">
              <w:rPr>
                <w:rFonts w:eastAsiaTheme="minorEastAsia"/>
                <w:lang w:val="en-US"/>
              </w:rPr>
              <w:t>Mothers Against Drunk Driving Canada</w:t>
            </w:r>
          </w:p>
        </w:tc>
        <w:tc>
          <w:tcPr>
            <w:tcW w:w="1170" w:type="dxa"/>
          </w:tcPr>
          <w:p w:rsidR="00926859" w:rsidRPr="00926859" w:rsidRDefault="00926859" w:rsidP="00841E19"/>
        </w:tc>
        <w:tc>
          <w:tcPr>
            <w:tcW w:w="4327" w:type="dxa"/>
          </w:tcPr>
          <w:p w:rsidR="00926859" w:rsidRPr="00926859" w:rsidRDefault="00926859" w:rsidP="00841E19"/>
        </w:tc>
      </w:tr>
      <w:tr w:rsidR="00926859" w:rsidRPr="00926859" w:rsidTr="00841E19">
        <w:tc>
          <w:tcPr>
            <w:tcW w:w="1368" w:type="dxa"/>
          </w:tcPr>
          <w:p w:rsidR="00926859" w:rsidRPr="00926859" w:rsidRDefault="00926859" w:rsidP="00841E19"/>
        </w:tc>
        <w:tc>
          <w:tcPr>
            <w:tcW w:w="2970" w:type="dxa"/>
          </w:tcPr>
          <w:p w:rsidR="00926859" w:rsidRPr="00926859" w:rsidRDefault="00926859" w:rsidP="00841E19">
            <w:pPr>
              <w:rPr>
                <w:lang w:val="en-US"/>
              </w:rPr>
            </w:pPr>
          </w:p>
        </w:tc>
        <w:tc>
          <w:tcPr>
            <w:tcW w:w="1170" w:type="dxa"/>
          </w:tcPr>
          <w:p w:rsidR="00926859" w:rsidRPr="00926859" w:rsidRDefault="00926859" w:rsidP="00841E19"/>
        </w:tc>
        <w:tc>
          <w:tcPr>
            <w:tcW w:w="4327" w:type="dxa"/>
          </w:tcPr>
          <w:p w:rsidR="00926859" w:rsidRPr="00926859" w:rsidRDefault="00926859" w:rsidP="00841E19"/>
        </w:tc>
      </w:tr>
      <w:tr w:rsidR="00926859" w:rsidRPr="00926859" w:rsidTr="00841E19">
        <w:tc>
          <w:tcPr>
            <w:tcW w:w="1368" w:type="dxa"/>
          </w:tcPr>
          <w:p w:rsidR="00926859" w:rsidRPr="00926859" w:rsidRDefault="00926859" w:rsidP="00841E19">
            <w:r w:rsidRPr="00926859">
              <w:t>IN / DANS :</w:t>
            </w:r>
          </w:p>
        </w:tc>
        <w:tc>
          <w:tcPr>
            <w:tcW w:w="2970" w:type="dxa"/>
          </w:tcPr>
          <w:p w:rsidR="00926859" w:rsidRPr="00926859" w:rsidRDefault="00926859" w:rsidP="00841E19">
            <w:r w:rsidRPr="00926859">
              <w:t>Lee Michael Wilson</w:t>
            </w:r>
          </w:p>
          <w:p w:rsidR="00926859" w:rsidRPr="00926859" w:rsidRDefault="00926859" w:rsidP="00841E19"/>
          <w:p w:rsidR="00926859" w:rsidRPr="00926859" w:rsidRDefault="00926859" w:rsidP="00841E19">
            <w:r w:rsidRPr="00926859">
              <w:tab/>
              <w:t>v. (35959)</w:t>
            </w:r>
          </w:p>
          <w:p w:rsidR="00926859" w:rsidRPr="00926859" w:rsidRDefault="00926859" w:rsidP="00841E19"/>
          <w:p w:rsidR="00926859" w:rsidRPr="00926859" w:rsidRDefault="00926859" w:rsidP="00841E19">
            <w:r w:rsidRPr="00926859">
              <w:t>Superintendent of Motor Vehicles et al. (B.C.)</w:t>
            </w:r>
          </w:p>
        </w:tc>
        <w:tc>
          <w:tcPr>
            <w:tcW w:w="1170" w:type="dxa"/>
          </w:tcPr>
          <w:p w:rsidR="00926859" w:rsidRPr="00926859" w:rsidRDefault="00926859" w:rsidP="00841E19"/>
        </w:tc>
        <w:tc>
          <w:tcPr>
            <w:tcW w:w="4327" w:type="dxa"/>
          </w:tcPr>
          <w:p w:rsidR="00926859" w:rsidRPr="00926859" w:rsidRDefault="00926859" w:rsidP="00841E19"/>
        </w:tc>
      </w:tr>
    </w:tbl>
    <w:p w:rsidR="00926859" w:rsidRPr="00926859" w:rsidRDefault="00926859" w:rsidP="00926859">
      <w:pPr>
        <w:tabs>
          <w:tab w:val="left" w:pos="-1440"/>
          <w:tab w:val="left" w:pos="-720"/>
        </w:tabs>
        <w:jc w:val="both"/>
        <w:rPr>
          <w:rFonts w:eastAsia="Times New Roman" w:cs="Times New Roman"/>
          <w:sz w:val="20"/>
          <w:szCs w:val="20"/>
          <w:lang w:val="en-US" w:eastAsia="en-CA"/>
        </w:rPr>
      </w:pPr>
    </w:p>
    <w:p w:rsidR="00926859" w:rsidRPr="00926859" w:rsidRDefault="00926859" w:rsidP="00926859">
      <w:pPr>
        <w:tabs>
          <w:tab w:val="left" w:pos="-1440"/>
          <w:tab w:val="left" w:pos="-720"/>
        </w:tabs>
        <w:jc w:val="both"/>
        <w:rPr>
          <w:rFonts w:eastAsia="Times New Roman" w:cs="Times New Roman"/>
          <w:sz w:val="20"/>
          <w:szCs w:val="20"/>
          <w:lang w:eastAsia="en-CA"/>
        </w:rPr>
      </w:pPr>
      <w:r w:rsidRPr="00926859">
        <w:rPr>
          <w:rFonts w:eastAsia="Times New Roman" w:cs="Times New Roman"/>
          <w:b/>
          <w:sz w:val="20"/>
          <w:szCs w:val="20"/>
          <w:lang w:eastAsia="en-CA"/>
        </w:rPr>
        <w:t>DISMISSED / REJETÉE</w:t>
      </w:r>
    </w:p>
    <w:p w:rsidR="00926859" w:rsidRPr="00926859" w:rsidRDefault="00926859" w:rsidP="00926859">
      <w:pPr>
        <w:tabs>
          <w:tab w:val="left" w:pos="-1440"/>
          <w:tab w:val="left" w:pos="-720"/>
        </w:tabs>
        <w:jc w:val="both"/>
        <w:rPr>
          <w:rFonts w:eastAsia="Times New Roman" w:cs="Times New Roman"/>
          <w:sz w:val="20"/>
          <w:szCs w:val="20"/>
          <w:lang w:eastAsia="en-CA"/>
        </w:rPr>
      </w:pP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926859">
        <w:rPr>
          <w:rFonts w:eastAsiaTheme="minorEastAsia" w:cs="Times New Roman"/>
          <w:b/>
          <w:bCs/>
          <w:sz w:val="20"/>
          <w:szCs w:val="20"/>
          <w:lang w:val="en-US"/>
        </w:rPr>
        <w:t xml:space="preserve">UPON APPLICATION </w:t>
      </w:r>
      <w:r w:rsidRPr="00926859">
        <w:rPr>
          <w:rFonts w:eastAsiaTheme="minorEastAsia" w:cs="Times New Roman"/>
          <w:sz w:val="20"/>
          <w:szCs w:val="20"/>
          <w:lang w:val="en-US"/>
        </w:rPr>
        <w:t>by Mothers Against Drunk Driving Canada</w:t>
      </w:r>
      <w:r w:rsidRPr="00926859">
        <w:rPr>
          <w:rFonts w:eastAsiaTheme="minorEastAsia" w:cs="Times New Roman"/>
          <w:sz w:val="20"/>
          <w:szCs w:val="20"/>
        </w:rPr>
        <w:t xml:space="preserve"> </w:t>
      </w:r>
      <w:r w:rsidRPr="00926859">
        <w:rPr>
          <w:rFonts w:eastAsiaTheme="minorEastAsia" w:cs="Times New Roman"/>
          <w:sz w:val="20"/>
          <w:szCs w:val="20"/>
          <w:lang w:val="en-US"/>
        </w:rPr>
        <w:t>for leave to intervene in the above appeal;</w:t>
      </w: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926859">
        <w:rPr>
          <w:rFonts w:eastAsiaTheme="minorEastAsia" w:cs="Times New Roman"/>
          <w:b/>
          <w:bCs/>
          <w:sz w:val="20"/>
          <w:szCs w:val="20"/>
          <w:lang w:val="en-US"/>
        </w:rPr>
        <w:t>AND THE MATERIAL FILED</w:t>
      </w:r>
      <w:r w:rsidRPr="00926859">
        <w:rPr>
          <w:rFonts w:eastAsiaTheme="minorEastAsia" w:cs="Times New Roman"/>
          <w:sz w:val="20"/>
          <w:szCs w:val="20"/>
          <w:lang w:val="en-US"/>
        </w:rPr>
        <w:t xml:space="preserve"> having been read;</w:t>
      </w: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926859">
        <w:rPr>
          <w:rFonts w:eastAsiaTheme="minorEastAsia" w:cs="Times New Roman"/>
          <w:b/>
          <w:bCs/>
          <w:sz w:val="20"/>
          <w:szCs w:val="20"/>
          <w:lang w:val="en-US"/>
        </w:rPr>
        <w:t>IT IS HEREBY ORDERED THAT:</w:t>
      </w: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r w:rsidRPr="00926859">
        <w:rPr>
          <w:rFonts w:eastAsiaTheme="minorEastAsia" w:cs="Times New Roman"/>
          <w:sz w:val="20"/>
          <w:szCs w:val="20"/>
          <w:lang w:val="en-US"/>
        </w:rPr>
        <w:t>The motion for leave to intervene is dismissed.</w:t>
      </w:r>
    </w:p>
    <w:p w:rsidR="00926859" w:rsidRPr="00926859" w:rsidRDefault="00926859" w:rsidP="00926859">
      <w:pPr>
        <w:autoSpaceDE w:val="0"/>
        <w:autoSpaceDN w:val="0"/>
        <w:adjustRightInd w:val="0"/>
        <w:jc w:val="both"/>
        <w:rPr>
          <w:rFonts w:eastAsiaTheme="minorEastAsia" w:cs="Times New Roman"/>
          <w:b/>
          <w:bCs/>
          <w:sz w:val="20"/>
          <w:szCs w:val="20"/>
        </w:rPr>
      </w:pPr>
    </w:p>
    <w:p w:rsidR="00926859" w:rsidRPr="00926859" w:rsidRDefault="00926859" w:rsidP="00926859">
      <w:pPr>
        <w:autoSpaceDE w:val="0"/>
        <w:autoSpaceDN w:val="0"/>
        <w:adjustRightInd w:val="0"/>
        <w:jc w:val="both"/>
        <w:rPr>
          <w:rFonts w:eastAsiaTheme="minorEastAsia" w:cs="Times New Roman"/>
          <w:b/>
          <w:bCs/>
          <w:sz w:val="20"/>
          <w:szCs w:val="20"/>
        </w:rPr>
      </w:pPr>
    </w:p>
    <w:p w:rsidR="00926859" w:rsidRPr="00926859" w:rsidRDefault="00926859" w:rsidP="00926859">
      <w:pPr>
        <w:autoSpaceDE w:val="0"/>
        <w:autoSpaceDN w:val="0"/>
        <w:adjustRightInd w:val="0"/>
        <w:jc w:val="both"/>
        <w:rPr>
          <w:rFonts w:eastAsiaTheme="minorEastAsia" w:cs="Times New Roman"/>
          <w:b/>
          <w:bCs/>
          <w:sz w:val="20"/>
          <w:szCs w:val="20"/>
        </w:rPr>
      </w:pP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926859">
        <w:rPr>
          <w:rFonts w:eastAsiaTheme="minorEastAsia" w:cs="Times New Roman"/>
          <w:b/>
          <w:bCs/>
          <w:sz w:val="20"/>
          <w:szCs w:val="20"/>
          <w:lang w:val="fr-CA"/>
        </w:rPr>
        <w:t xml:space="preserve">À LA SUITE DE LA DEMANDE </w:t>
      </w:r>
      <w:r w:rsidRPr="00926859">
        <w:rPr>
          <w:rFonts w:eastAsiaTheme="minorEastAsia" w:cs="Times New Roman"/>
          <w:bCs/>
          <w:sz w:val="20"/>
          <w:szCs w:val="20"/>
          <w:lang w:val="fr-CA"/>
        </w:rPr>
        <w:t>d’autorisation d’intervenir dans l’appel</w:t>
      </w:r>
      <w:r w:rsidRPr="00926859">
        <w:rPr>
          <w:rFonts w:eastAsiaTheme="minorEastAsia" w:cs="Times New Roman"/>
          <w:b/>
          <w:bCs/>
          <w:sz w:val="20"/>
          <w:szCs w:val="20"/>
          <w:lang w:val="fr-CA"/>
        </w:rPr>
        <w:t xml:space="preserve"> </w:t>
      </w:r>
      <w:r w:rsidRPr="00926859">
        <w:rPr>
          <w:rFonts w:eastAsiaTheme="minorEastAsia" w:cs="Times New Roman"/>
          <w:bCs/>
          <w:sz w:val="20"/>
          <w:szCs w:val="20"/>
          <w:lang w:val="fr-CA"/>
        </w:rPr>
        <w:t xml:space="preserve">présentée par </w:t>
      </w:r>
      <w:r w:rsidRPr="00926859">
        <w:rPr>
          <w:rFonts w:eastAsiaTheme="minorEastAsia" w:cs="Times New Roman"/>
          <w:sz w:val="20"/>
          <w:szCs w:val="20"/>
          <w:lang w:val="fr-CA"/>
        </w:rPr>
        <w:t>Mothers Against Drunk Driving Canada;</w:t>
      </w: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926859">
        <w:rPr>
          <w:rFonts w:eastAsiaTheme="minorEastAsia" w:cs="Times New Roman"/>
          <w:b/>
          <w:bCs/>
          <w:sz w:val="20"/>
          <w:szCs w:val="20"/>
          <w:lang w:val="fr-CA"/>
        </w:rPr>
        <w:t xml:space="preserve">ET APRÈS EXAMEN </w:t>
      </w:r>
      <w:r w:rsidRPr="00926859">
        <w:rPr>
          <w:rFonts w:eastAsiaTheme="minorEastAsia" w:cs="Times New Roman"/>
          <w:bCs/>
          <w:sz w:val="20"/>
          <w:szCs w:val="20"/>
          <w:lang w:val="fr-CA"/>
        </w:rPr>
        <w:t>des documents déposés</w:t>
      </w:r>
      <w:r w:rsidRPr="00926859">
        <w:rPr>
          <w:rFonts w:eastAsiaTheme="minorEastAsia" w:cs="Times New Roman"/>
          <w:sz w:val="20"/>
          <w:szCs w:val="20"/>
          <w:lang w:val="fr-CA"/>
        </w:rPr>
        <w:t>;</w:t>
      </w: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926859">
        <w:rPr>
          <w:rFonts w:eastAsiaTheme="minorEastAsia" w:cs="Times New Roman"/>
          <w:b/>
          <w:bCs/>
          <w:sz w:val="20"/>
          <w:szCs w:val="20"/>
          <w:lang w:val="fr-CA"/>
        </w:rPr>
        <w:t>IL EST ORDONNÉ CE QUI SUIT:</w:t>
      </w: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r w:rsidRPr="00926859">
        <w:rPr>
          <w:rFonts w:eastAsiaTheme="minorEastAsia" w:cs="Times New Roman"/>
          <w:sz w:val="20"/>
          <w:szCs w:val="20"/>
          <w:lang w:val="fr-CA"/>
        </w:rPr>
        <w:t>La requête en autorisation d’intervenir est rejetée.</w:t>
      </w:r>
    </w:p>
    <w:p w:rsidR="00926859" w:rsidRPr="00926859" w:rsidRDefault="00926859" w:rsidP="00926859">
      <w:pPr>
        <w:tabs>
          <w:tab w:val="left" w:pos="-1440"/>
          <w:tab w:val="left" w:pos="-720"/>
        </w:tabs>
        <w:jc w:val="both"/>
        <w:rPr>
          <w:rFonts w:eastAsia="Times New Roman" w:cs="Times New Roman"/>
          <w:sz w:val="20"/>
          <w:szCs w:val="20"/>
          <w:lang w:val="fr-CA" w:eastAsia="en-CA"/>
        </w:rPr>
      </w:pPr>
    </w:p>
    <w:p w:rsidR="00926859" w:rsidRPr="00926859" w:rsidRDefault="00417673" w:rsidP="00926859">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84" style="width:2in;height:1pt" o:hrpct="0" o:hralign="center" o:hrstd="t" o:hrnoshade="t" o:hr="t" fillcolor="black [3213]" stroked="f"/>
        </w:pict>
      </w:r>
    </w:p>
    <w:p w:rsidR="00926859" w:rsidRPr="00926859" w:rsidRDefault="00926859" w:rsidP="00926859">
      <w:pPr>
        <w:tabs>
          <w:tab w:val="left" w:pos="-1440"/>
          <w:tab w:val="left" w:pos="-720"/>
        </w:tabs>
        <w:jc w:val="both"/>
        <w:rPr>
          <w:rFonts w:eastAsia="Times New Roman" w:cs="Times New Roman"/>
          <w:sz w:val="20"/>
          <w:szCs w:val="20"/>
          <w:lang w:eastAsia="en-CA"/>
        </w:rPr>
      </w:pPr>
    </w:p>
    <w:p w:rsidR="00926859" w:rsidRPr="00926859" w:rsidRDefault="00926859" w:rsidP="00926859">
      <w:pPr>
        <w:tabs>
          <w:tab w:val="left" w:pos="-1440"/>
          <w:tab w:val="left" w:pos="-720"/>
        </w:tabs>
        <w:jc w:val="both"/>
        <w:rPr>
          <w:rFonts w:eastAsia="Times New Roman" w:cs="Times New Roman"/>
          <w:sz w:val="20"/>
          <w:szCs w:val="20"/>
          <w:lang w:eastAsia="en-CA"/>
        </w:rPr>
      </w:pPr>
      <w:r w:rsidRPr="00926859">
        <w:rPr>
          <w:rFonts w:eastAsia="Times New Roman" w:cs="Times New Roman"/>
          <w:sz w:val="20"/>
          <w:szCs w:val="20"/>
          <w:lang w:eastAsia="en-CA"/>
        </w:rPr>
        <w:t>13.04.2015</w:t>
      </w:r>
    </w:p>
    <w:p w:rsidR="00926859" w:rsidRPr="00926859" w:rsidRDefault="00926859" w:rsidP="00926859">
      <w:pPr>
        <w:tabs>
          <w:tab w:val="left" w:pos="-1440"/>
          <w:tab w:val="left" w:pos="-720"/>
        </w:tabs>
        <w:jc w:val="both"/>
        <w:rPr>
          <w:rFonts w:eastAsia="Times New Roman" w:cs="Times New Roman"/>
          <w:sz w:val="20"/>
          <w:szCs w:val="20"/>
          <w:lang w:eastAsia="en-CA"/>
        </w:rPr>
      </w:pPr>
    </w:p>
    <w:p w:rsidR="00926859" w:rsidRPr="00926859" w:rsidRDefault="00926859" w:rsidP="00926859">
      <w:pPr>
        <w:tabs>
          <w:tab w:val="left" w:pos="-1440"/>
          <w:tab w:val="left" w:pos="-720"/>
        </w:tabs>
        <w:jc w:val="both"/>
        <w:rPr>
          <w:rFonts w:eastAsia="Times New Roman" w:cs="Times New Roman"/>
          <w:sz w:val="20"/>
          <w:szCs w:val="20"/>
          <w:lang w:eastAsia="en-CA"/>
        </w:rPr>
      </w:pPr>
      <w:r w:rsidRPr="00926859">
        <w:rPr>
          <w:rFonts w:eastAsia="Times New Roman" w:cs="Times New Roman"/>
          <w:sz w:val="20"/>
          <w:szCs w:val="20"/>
          <w:lang w:eastAsia="en-CA"/>
        </w:rPr>
        <w:t>Before / Devant:   THE REGISTRAR / LE REGISTRAIRE</w:t>
      </w:r>
    </w:p>
    <w:p w:rsidR="00926859" w:rsidRPr="00926859" w:rsidRDefault="00926859" w:rsidP="00926859">
      <w:pPr>
        <w:tabs>
          <w:tab w:val="left" w:pos="-1440"/>
          <w:tab w:val="left" w:pos="-720"/>
        </w:tabs>
        <w:jc w:val="both"/>
        <w:rPr>
          <w:rFonts w:eastAsia="Times New Roman" w:cs="Times New Roman"/>
          <w:sz w:val="20"/>
          <w:szCs w:val="20"/>
          <w:lang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926859" w:rsidRPr="00926859" w:rsidTr="00841E19">
        <w:trPr>
          <w:trHeight w:val="151"/>
        </w:trPr>
        <w:tc>
          <w:tcPr>
            <w:tcW w:w="4338" w:type="dxa"/>
          </w:tcPr>
          <w:p w:rsidR="00926859" w:rsidRPr="00926859" w:rsidRDefault="00A26E00" w:rsidP="00841E19">
            <w:pPr>
              <w:tabs>
                <w:tab w:val="left" w:pos="-1440"/>
                <w:tab w:val="left" w:pos="-720"/>
              </w:tabs>
              <w:jc w:val="both"/>
              <w:rPr>
                <w:lang w:val="fr-CA"/>
              </w:rPr>
            </w:pPr>
            <w:r w:rsidRPr="00926859">
              <w:rPr>
                <w:lang w:val="en-US"/>
              </w:rPr>
              <w:fldChar w:fldCharType="begin"/>
            </w:r>
            <w:r w:rsidR="00926859" w:rsidRPr="00926859">
              <w:rPr>
                <w:lang w:val="fr-CA"/>
              </w:rPr>
              <w:instrText xml:space="preserve"> SEQ CHAPTER \h \r 1</w:instrText>
            </w:r>
            <w:r w:rsidRPr="00926859">
              <w:rPr>
                <w:lang w:val="en-US"/>
              </w:rPr>
              <w:fldChar w:fldCharType="end"/>
            </w:r>
            <w:r w:rsidR="00926859" w:rsidRPr="00926859">
              <w:rPr>
                <w:b/>
                <w:bCs/>
                <w:lang w:val="fr-CA"/>
              </w:rPr>
              <w:t>Miscellaneous motion</w:t>
            </w:r>
          </w:p>
          <w:p w:rsidR="00926859" w:rsidRPr="00926859" w:rsidRDefault="00A26E00" w:rsidP="00841E19">
            <w:pPr>
              <w:tabs>
                <w:tab w:val="left" w:pos="-1440"/>
                <w:tab w:val="left" w:pos="-720"/>
              </w:tabs>
              <w:jc w:val="both"/>
              <w:rPr>
                <w:lang w:val="fr-CA"/>
              </w:rPr>
            </w:pPr>
            <w:r w:rsidRPr="00926859">
              <w:rPr>
                <w:lang w:val="en-US"/>
              </w:rPr>
              <w:fldChar w:fldCharType="begin"/>
            </w:r>
            <w:r w:rsidR="00926859" w:rsidRPr="00926859">
              <w:rPr>
                <w:lang w:val="fr-CA"/>
              </w:rPr>
              <w:instrText xml:space="preserve"> SEQ CHAPTER \h \r 1</w:instrText>
            </w:r>
            <w:r w:rsidRPr="00926859">
              <w:rPr>
                <w:lang w:val="en-US"/>
              </w:rPr>
              <w:fldChar w:fldCharType="end"/>
            </w:r>
          </w:p>
        </w:tc>
        <w:tc>
          <w:tcPr>
            <w:tcW w:w="1170" w:type="dxa"/>
          </w:tcPr>
          <w:p w:rsidR="00926859" w:rsidRPr="00926859" w:rsidRDefault="00926859" w:rsidP="00841E19">
            <w:pPr>
              <w:jc w:val="both"/>
              <w:rPr>
                <w:lang w:val="fr-CA"/>
              </w:rPr>
            </w:pPr>
          </w:p>
          <w:p w:rsidR="00926859" w:rsidRPr="00926859" w:rsidRDefault="00926859" w:rsidP="00841E19">
            <w:pPr>
              <w:jc w:val="both"/>
              <w:rPr>
                <w:lang w:val="fr-CA"/>
              </w:rPr>
            </w:pPr>
          </w:p>
        </w:tc>
        <w:tc>
          <w:tcPr>
            <w:tcW w:w="4327" w:type="dxa"/>
          </w:tcPr>
          <w:p w:rsidR="00926859" w:rsidRPr="00926859" w:rsidRDefault="00A26E00" w:rsidP="00841E19">
            <w:pPr>
              <w:jc w:val="both"/>
              <w:rPr>
                <w:b/>
                <w:lang w:val="fr-CA"/>
              </w:rPr>
            </w:pPr>
            <w:r w:rsidRPr="00926859">
              <w:rPr>
                <w:lang w:val="en-US"/>
              </w:rPr>
              <w:fldChar w:fldCharType="begin"/>
            </w:r>
            <w:r w:rsidR="00926859" w:rsidRPr="00926859">
              <w:rPr>
                <w:lang w:val="fr-CA"/>
              </w:rPr>
              <w:instrText xml:space="preserve"> SEQ CHAPTER \h \r 1</w:instrText>
            </w:r>
            <w:r w:rsidRPr="00926859">
              <w:rPr>
                <w:lang w:val="en-US"/>
              </w:rPr>
              <w:fldChar w:fldCharType="end"/>
            </w:r>
            <w:r w:rsidR="00926859" w:rsidRPr="00926859">
              <w:rPr>
                <w:b/>
                <w:bCs/>
                <w:lang w:val="fr-CA"/>
              </w:rPr>
              <w:t>Requête diverse</w:t>
            </w:r>
          </w:p>
          <w:p w:rsidR="00926859" w:rsidRPr="00926859" w:rsidRDefault="00A26E00" w:rsidP="00841E19">
            <w:pPr>
              <w:jc w:val="both"/>
              <w:rPr>
                <w:b/>
                <w:lang w:val="fr-CA"/>
              </w:rPr>
            </w:pPr>
            <w:r w:rsidRPr="00926859">
              <w:rPr>
                <w:b/>
                <w:lang w:val="en-US"/>
              </w:rPr>
              <w:fldChar w:fldCharType="begin"/>
            </w:r>
            <w:r w:rsidR="00926859" w:rsidRPr="00926859">
              <w:rPr>
                <w:b/>
                <w:lang w:val="fr-CA"/>
              </w:rPr>
              <w:instrText xml:space="preserve"> SEQ CHAPTER \h \r 1</w:instrText>
            </w:r>
            <w:r w:rsidRPr="00926859">
              <w:rPr>
                <w:b/>
                <w:lang w:val="en-US"/>
              </w:rPr>
              <w:fldChar w:fldCharType="end"/>
            </w:r>
            <w:r w:rsidRPr="00926859">
              <w:rPr>
                <w:b/>
                <w:lang w:val="en-US"/>
              </w:rPr>
              <w:fldChar w:fldCharType="begin"/>
            </w:r>
            <w:r w:rsidR="00926859" w:rsidRPr="00926859">
              <w:rPr>
                <w:b/>
                <w:lang w:val="fr-CA"/>
              </w:rPr>
              <w:instrText xml:space="preserve"> SEQ CHAPTER \h \r 1</w:instrText>
            </w:r>
            <w:r w:rsidRPr="00926859">
              <w:rPr>
                <w:b/>
                <w:lang w:val="en-US"/>
              </w:rPr>
              <w:fldChar w:fldCharType="end"/>
            </w:r>
          </w:p>
        </w:tc>
      </w:tr>
      <w:tr w:rsidR="00926859" w:rsidRPr="00926859" w:rsidTr="00841E19">
        <w:trPr>
          <w:trHeight w:val="150"/>
        </w:trPr>
        <w:tc>
          <w:tcPr>
            <w:tcW w:w="4338" w:type="dxa"/>
          </w:tcPr>
          <w:p w:rsidR="00926859" w:rsidRPr="00926859" w:rsidRDefault="00926859" w:rsidP="00841E19">
            <w:pPr>
              <w:tabs>
                <w:tab w:val="left" w:pos="-1440"/>
                <w:tab w:val="left" w:pos="-720"/>
              </w:tabs>
              <w:jc w:val="both"/>
            </w:pPr>
            <w:r w:rsidRPr="00926859">
              <w:t>Catherine Leuthold</w:t>
            </w:r>
          </w:p>
          <w:p w:rsidR="00926859" w:rsidRPr="00926859" w:rsidRDefault="00926859" w:rsidP="00841E19">
            <w:pPr>
              <w:tabs>
                <w:tab w:val="left" w:pos="-1440"/>
                <w:tab w:val="left" w:pos="-720"/>
              </w:tabs>
              <w:jc w:val="both"/>
            </w:pPr>
          </w:p>
          <w:p w:rsidR="00926859" w:rsidRPr="00926859" w:rsidRDefault="00926859" w:rsidP="00841E19">
            <w:pPr>
              <w:tabs>
                <w:tab w:val="left" w:pos="-1440"/>
                <w:tab w:val="left" w:pos="-720"/>
              </w:tabs>
              <w:jc w:val="both"/>
            </w:pPr>
            <w:r w:rsidRPr="00926859">
              <w:tab/>
              <w:t>v. (36030)</w:t>
            </w:r>
          </w:p>
          <w:p w:rsidR="00926859" w:rsidRPr="00926859" w:rsidRDefault="00926859" w:rsidP="00841E19">
            <w:pPr>
              <w:tabs>
                <w:tab w:val="left" w:pos="-1440"/>
                <w:tab w:val="left" w:pos="-720"/>
              </w:tabs>
              <w:jc w:val="both"/>
            </w:pPr>
          </w:p>
          <w:p w:rsidR="00926859" w:rsidRPr="00926859" w:rsidRDefault="00926859" w:rsidP="00841E19">
            <w:pPr>
              <w:tabs>
                <w:tab w:val="left" w:pos="-1440"/>
                <w:tab w:val="left" w:pos="-720"/>
              </w:tabs>
              <w:jc w:val="both"/>
            </w:pPr>
            <w:r w:rsidRPr="00926859">
              <w:t>Canadian Broadcasting Corporation (F.C.)</w:t>
            </w:r>
          </w:p>
        </w:tc>
        <w:tc>
          <w:tcPr>
            <w:tcW w:w="1170" w:type="dxa"/>
          </w:tcPr>
          <w:p w:rsidR="00926859" w:rsidRPr="00926859" w:rsidRDefault="00926859" w:rsidP="00841E19">
            <w:pPr>
              <w:jc w:val="both"/>
            </w:pPr>
          </w:p>
        </w:tc>
        <w:tc>
          <w:tcPr>
            <w:tcW w:w="4327" w:type="dxa"/>
          </w:tcPr>
          <w:p w:rsidR="00926859" w:rsidRPr="00926859" w:rsidRDefault="00926859" w:rsidP="00841E19">
            <w:pPr>
              <w:jc w:val="both"/>
            </w:pPr>
          </w:p>
        </w:tc>
      </w:tr>
    </w:tbl>
    <w:p w:rsidR="00926859" w:rsidRPr="00926859" w:rsidRDefault="00926859" w:rsidP="00926859">
      <w:pPr>
        <w:tabs>
          <w:tab w:val="left" w:pos="-1440"/>
          <w:tab w:val="left" w:pos="-720"/>
        </w:tabs>
        <w:jc w:val="both"/>
        <w:rPr>
          <w:rFonts w:eastAsia="Times New Roman" w:cs="Times New Roman"/>
          <w:sz w:val="20"/>
          <w:szCs w:val="20"/>
          <w:lang w:eastAsia="en-CA"/>
        </w:rPr>
      </w:pPr>
    </w:p>
    <w:p w:rsidR="00926859" w:rsidRPr="00926859" w:rsidRDefault="00926859" w:rsidP="00926859">
      <w:pPr>
        <w:tabs>
          <w:tab w:val="left" w:pos="-1440"/>
          <w:tab w:val="left" w:pos="-720"/>
        </w:tabs>
        <w:jc w:val="both"/>
        <w:rPr>
          <w:rFonts w:eastAsia="Times New Roman" w:cs="Times New Roman"/>
          <w:b/>
          <w:sz w:val="20"/>
          <w:szCs w:val="20"/>
          <w:lang w:val="en-US" w:eastAsia="en-CA"/>
        </w:rPr>
      </w:pPr>
      <w:r w:rsidRPr="00926859">
        <w:rPr>
          <w:rFonts w:eastAsia="Times New Roman" w:cs="Times New Roman"/>
          <w:b/>
          <w:sz w:val="20"/>
          <w:szCs w:val="20"/>
          <w:lang w:val="en-US" w:eastAsia="en-CA"/>
        </w:rPr>
        <w:t>GRANTED / ACCORDÉE</w:t>
      </w:r>
    </w:p>
    <w:p w:rsidR="00926859" w:rsidRPr="00926859" w:rsidRDefault="00926859" w:rsidP="00926859">
      <w:pPr>
        <w:tabs>
          <w:tab w:val="left" w:pos="-1440"/>
          <w:tab w:val="left" w:pos="-720"/>
        </w:tabs>
        <w:jc w:val="both"/>
        <w:rPr>
          <w:rFonts w:eastAsia="Times New Roman" w:cs="Times New Roman"/>
          <w:sz w:val="20"/>
          <w:szCs w:val="20"/>
          <w:lang w:val="en-US" w:eastAsia="en-CA"/>
        </w:rPr>
      </w:pPr>
    </w:p>
    <w:p w:rsidR="00926859" w:rsidRPr="00926859" w:rsidRDefault="00926859" w:rsidP="00926859">
      <w:pPr>
        <w:spacing w:line="233" w:lineRule="auto"/>
        <w:jc w:val="both"/>
        <w:rPr>
          <w:rFonts w:eastAsia="Times New Roman" w:cs="Times New Roman"/>
          <w:bCs/>
          <w:sz w:val="20"/>
          <w:szCs w:val="20"/>
          <w:lang w:eastAsia="en-CA"/>
        </w:rPr>
      </w:pPr>
      <w:r w:rsidRPr="00926859">
        <w:rPr>
          <w:rFonts w:eastAsia="Times New Roman" w:cs="Times New Roman"/>
          <w:b/>
          <w:bCs/>
          <w:sz w:val="20"/>
          <w:szCs w:val="20"/>
          <w:lang w:eastAsia="en-CA"/>
        </w:rPr>
        <w:lastRenderedPageBreak/>
        <w:t xml:space="preserve">UPON APPLICATION </w:t>
      </w:r>
      <w:r w:rsidRPr="00926859">
        <w:rPr>
          <w:rFonts w:eastAsia="Times New Roman" w:cs="Times New Roman"/>
          <w:bCs/>
          <w:sz w:val="20"/>
          <w:szCs w:val="20"/>
          <w:lang w:eastAsia="en-CA"/>
        </w:rPr>
        <w:t>by the applicant for leave to file one application for leave to appeal from the decisions of the Federal Court of Appeal in file numbers A-330-12 and A-543-12;</w:t>
      </w:r>
    </w:p>
    <w:p w:rsidR="00926859" w:rsidRPr="00926859" w:rsidRDefault="00926859" w:rsidP="00926859">
      <w:pPr>
        <w:spacing w:line="233" w:lineRule="auto"/>
        <w:jc w:val="both"/>
        <w:rPr>
          <w:rFonts w:eastAsia="Times New Roman" w:cs="Times New Roman"/>
          <w:b/>
          <w:bCs/>
          <w:sz w:val="20"/>
          <w:szCs w:val="20"/>
          <w:lang w:eastAsia="en-CA"/>
        </w:rPr>
      </w:pPr>
    </w:p>
    <w:p w:rsidR="00926859" w:rsidRPr="00926859" w:rsidRDefault="00926859" w:rsidP="00926859">
      <w:pPr>
        <w:spacing w:line="233" w:lineRule="auto"/>
        <w:jc w:val="both"/>
        <w:rPr>
          <w:rFonts w:eastAsia="Times New Roman" w:cs="Times New Roman"/>
          <w:sz w:val="20"/>
          <w:szCs w:val="20"/>
          <w:lang w:eastAsia="en-CA"/>
        </w:rPr>
      </w:pPr>
      <w:r w:rsidRPr="00926859">
        <w:rPr>
          <w:rFonts w:eastAsia="Times New Roman" w:cs="Times New Roman"/>
          <w:b/>
          <w:bCs/>
          <w:sz w:val="20"/>
          <w:szCs w:val="20"/>
          <w:lang w:eastAsia="en-CA"/>
        </w:rPr>
        <w:t>AND THE MATERIAL FILED</w:t>
      </w:r>
      <w:r w:rsidRPr="00926859">
        <w:rPr>
          <w:rFonts w:eastAsia="Times New Roman" w:cs="Times New Roman"/>
          <w:sz w:val="20"/>
          <w:szCs w:val="20"/>
          <w:lang w:eastAsia="en-CA"/>
        </w:rPr>
        <w:t xml:space="preserve"> having been read;</w:t>
      </w:r>
    </w:p>
    <w:p w:rsidR="00926859" w:rsidRPr="00926859" w:rsidRDefault="00926859" w:rsidP="00926859">
      <w:pPr>
        <w:spacing w:line="233" w:lineRule="auto"/>
        <w:jc w:val="both"/>
        <w:rPr>
          <w:rFonts w:eastAsia="Times New Roman" w:cs="Times New Roman"/>
          <w:sz w:val="20"/>
          <w:szCs w:val="20"/>
          <w:lang w:eastAsia="en-CA"/>
        </w:rPr>
      </w:pPr>
    </w:p>
    <w:p w:rsidR="00926859" w:rsidRPr="00926859" w:rsidRDefault="00926859" w:rsidP="00926859">
      <w:pPr>
        <w:spacing w:line="233" w:lineRule="auto"/>
        <w:jc w:val="both"/>
        <w:rPr>
          <w:rFonts w:eastAsia="Times New Roman" w:cs="Times New Roman"/>
          <w:b/>
          <w:bCs/>
          <w:sz w:val="20"/>
          <w:szCs w:val="20"/>
          <w:lang w:eastAsia="en-CA"/>
        </w:rPr>
      </w:pPr>
      <w:r w:rsidRPr="00926859">
        <w:rPr>
          <w:rFonts w:eastAsia="Times New Roman" w:cs="Times New Roman"/>
          <w:b/>
          <w:bCs/>
          <w:sz w:val="20"/>
          <w:szCs w:val="20"/>
          <w:lang w:eastAsia="en-CA"/>
        </w:rPr>
        <w:t>IT IS HEREBY ORDERED THAT:</w:t>
      </w:r>
    </w:p>
    <w:p w:rsidR="00926859" w:rsidRPr="00926859" w:rsidRDefault="00926859" w:rsidP="00926859">
      <w:pPr>
        <w:spacing w:line="233" w:lineRule="auto"/>
        <w:jc w:val="both"/>
        <w:rPr>
          <w:rFonts w:eastAsia="Times New Roman" w:cs="Times New Roman"/>
          <w:b/>
          <w:bCs/>
          <w:sz w:val="20"/>
          <w:szCs w:val="20"/>
          <w:lang w:eastAsia="en-CA"/>
        </w:rPr>
      </w:pPr>
    </w:p>
    <w:p w:rsidR="00926859" w:rsidRPr="00926859" w:rsidRDefault="00926859" w:rsidP="00926859">
      <w:pPr>
        <w:jc w:val="both"/>
        <w:rPr>
          <w:rFonts w:eastAsia="Times New Roman" w:cs="Times New Roman"/>
          <w:sz w:val="20"/>
          <w:szCs w:val="20"/>
          <w:lang w:val="fr-CA" w:eastAsia="en-CA"/>
        </w:rPr>
      </w:pPr>
      <w:r w:rsidRPr="00926859">
        <w:rPr>
          <w:rFonts w:eastAsia="Times New Roman" w:cs="Times New Roman"/>
          <w:sz w:val="20"/>
          <w:szCs w:val="20"/>
          <w:lang w:val="fr-CA" w:eastAsia="en-CA"/>
        </w:rPr>
        <w:t xml:space="preserve">The motion is granted. </w:t>
      </w:r>
    </w:p>
    <w:p w:rsidR="00926859" w:rsidRPr="00926859" w:rsidRDefault="00926859" w:rsidP="00926859">
      <w:pPr>
        <w:spacing w:line="233" w:lineRule="auto"/>
        <w:jc w:val="both"/>
        <w:rPr>
          <w:rFonts w:eastAsia="Times New Roman" w:cs="Times New Roman"/>
          <w:sz w:val="20"/>
          <w:szCs w:val="20"/>
          <w:lang w:val="fr-CA" w:eastAsia="en-CA"/>
        </w:rPr>
      </w:pPr>
    </w:p>
    <w:p w:rsidR="00926859" w:rsidRPr="00926859" w:rsidRDefault="00926859" w:rsidP="00926859">
      <w:pPr>
        <w:spacing w:line="233" w:lineRule="auto"/>
        <w:jc w:val="both"/>
        <w:rPr>
          <w:rFonts w:eastAsia="Times New Roman" w:cs="Times New Roman"/>
          <w:sz w:val="20"/>
          <w:szCs w:val="20"/>
          <w:lang w:val="fr-CA" w:eastAsia="en-CA"/>
        </w:rPr>
      </w:pPr>
    </w:p>
    <w:p w:rsidR="00926859" w:rsidRPr="00926859" w:rsidRDefault="00926859" w:rsidP="00926859">
      <w:pPr>
        <w:spacing w:line="233" w:lineRule="auto"/>
        <w:jc w:val="both"/>
        <w:rPr>
          <w:rFonts w:eastAsia="Times New Roman" w:cs="Times New Roman"/>
          <w:sz w:val="20"/>
          <w:szCs w:val="20"/>
          <w:lang w:val="fr-CA" w:eastAsia="en-CA"/>
        </w:rPr>
      </w:pPr>
    </w:p>
    <w:p w:rsidR="00926859" w:rsidRPr="00926859" w:rsidRDefault="00926859" w:rsidP="00926859">
      <w:pPr>
        <w:spacing w:line="233" w:lineRule="auto"/>
        <w:jc w:val="both"/>
        <w:rPr>
          <w:rFonts w:eastAsia="Times New Roman" w:cs="Times New Roman"/>
          <w:sz w:val="20"/>
          <w:szCs w:val="20"/>
          <w:lang w:val="fr-CA" w:eastAsia="en-CA"/>
        </w:rPr>
      </w:pPr>
      <w:r w:rsidRPr="00926859">
        <w:rPr>
          <w:rFonts w:eastAsia="Times New Roman" w:cs="Times New Roman"/>
          <w:b/>
          <w:sz w:val="20"/>
          <w:szCs w:val="20"/>
          <w:lang w:val="fr-CA" w:eastAsia="en-CA"/>
        </w:rPr>
        <w:t>À LA SUITE DE LA REQUÊTE</w:t>
      </w:r>
      <w:r w:rsidRPr="00926859">
        <w:rPr>
          <w:rFonts w:eastAsia="Times New Roman" w:cs="Times New Roman"/>
          <w:sz w:val="20"/>
          <w:szCs w:val="20"/>
          <w:lang w:val="fr-CA" w:eastAsia="en-CA"/>
        </w:rPr>
        <w:t xml:space="preserve"> présentée par la demanderesse</w:t>
      </w:r>
      <w:r w:rsidRPr="00926859">
        <w:rPr>
          <w:rFonts w:eastAsia="Times New Roman" w:cs="Times New Roman"/>
          <w:bCs/>
          <w:sz w:val="20"/>
          <w:szCs w:val="20"/>
          <w:lang w:val="fr-CA" w:eastAsia="en-CA"/>
        </w:rPr>
        <w:t xml:space="preserve"> en vue de déposer une demande d’autorisation d’appel des décisions de la Cour d’appel fédérale dans les dossiers A-330-12 et A-543-12</w:t>
      </w:r>
      <w:r w:rsidRPr="00926859">
        <w:rPr>
          <w:rFonts w:eastAsia="Times New Roman" w:cs="Times New Roman"/>
          <w:sz w:val="20"/>
          <w:szCs w:val="20"/>
          <w:lang w:val="fr-CA" w:eastAsia="en-CA"/>
        </w:rPr>
        <w:t>;</w:t>
      </w:r>
    </w:p>
    <w:p w:rsidR="00926859" w:rsidRPr="00926859" w:rsidRDefault="00926859" w:rsidP="00926859">
      <w:pPr>
        <w:spacing w:line="233" w:lineRule="auto"/>
        <w:jc w:val="both"/>
        <w:rPr>
          <w:rFonts w:eastAsia="Times New Roman" w:cs="Times New Roman"/>
          <w:sz w:val="20"/>
          <w:szCs w:val="20"/>
          <w:lang w:val="fr-CA" w:eastAsia="en-CA"/>
        </w:rPr>
      </w:pPr>
    </w:p>
    <w:p w:rsidR="00926859" w:rsidRPr="00926859" w:rsidRDefault="00926859" w:rsidP="00926859">
      <w:pPr>
        <w:spacing w:line="233" w:lineRule="auto"/>
        <w:jc w:val="both"/>
        <w:rPr>
          <w:rFonts w:eastAsia="Times New Roman" w:cs="Times New Roman"/>
          <w:sz w:val="20"/>
          <w:szCs w:val="20"/>
          <w:lang w:val="fr-CA" w:eastAsia="en-CA"/>
        </w:rPr>
      </w:pPr>
      <w:r w:rsidRPr="00926859">
        <w:rPr>
          <w:rFonts w:eastAsia="Times New Roman" w:cs="Times New Roman"/>
          <w:b/>
          <w:bCs/>
          <w:sz w:val="20"/>
          <w:szCs w:val="20"/>
          <w:lang w:val="fr-CA" w:eastAsia="en-CA"/>
        </w:rPr>
        <w:t xml:space="preserve">ET APRÈS EXAMEN </w:t>
      </w:r>
      <w:r w:rsidRPr="00926859">
        <w:rPr>
          <w:rFonts w:eastAsia="Times New Roman" w:cs="Times New Roman"/>
          <w:sz w:val="20"/>
          <w:szCs w:val="20"/>
          <w:lang w:val="fr-CA" w:eastAsia="en-CA"/>
        </w:rPr>
        <w:t>des documents déposés;</w:t>
      </w:r>
    </w:p>
    <w:p w:rsidR="00926859" w:rsidRPr="00926859" w:rsidRDefault="00926859" w:rsidP="00926859">
      <w:pPr>
        <w:spacing w:line="233" w:lineRule="auto"/>
        <w:jc w:val="both"/>
        <w:rPr>
          <w:rFonts w:eastAsia="Times New Roman" w:cs="Times New Roman"/>
          <w:sz w:val="20"/>
          <w:szCs w:val="20"/>
          <w:lang w:val="fr-CA" w:eastAsia="en-CA"/>
        </w:rPr>
      </w:pPr>
    </w:p>
    <w:p w:rsidR="00926859" w:rsidRPr="00926859" w:rsidRDefault="00926859" w:rsidP="00926859">
      <w:pPr>
        <w:spacing w:line="233" w:lineRule="auto"/>
        <w:jc w:val="both"/>
        <w:rPr>
          <w:rFonts w:eastAsia="Times New Roman" w:cs="Times New Roman"/>
          <w:b/>
          <w:bCs/>
          <w:sz w:val="20"/>
          <w:szCs w:val="20"/>
          <w:lang w:val="fr-CA" w:eastAsia="en-CA"/>
        </w:rPr>
      </w:pPr>
      <w:r w:rsidRPr="00926859">
        <w:rPr>
          <w:rFonts w:eastAsia="Times New Roman" w:cs="Times New Roman"/>
          <w:b/>
          <w:bCs/>
          <w:sz w:val="20"/>
          <w:szCs w:val="20"/>
          <w:lang w:val="fr-CA" w:eastAsia="en-CA"/>
        </w:rPr>
        <w:t>IL EST ORDONNÉ CE QUI SUIT :</w:t>
      </w:r>
    </w:p>
    <w:p w:rsidR="00926859" w:rsidRPr="00926859" w:rsidRDefault="00926859" w:rsidP="00926859">
      <w:pPr>
        <w:spacing w:line="233" w:lineRule="auto"/>
        <w:jc w:val="both"/>
        <w:rPr>
          <w:rFonts w:eastAsia="Times New Roman" w:cs="Times New Roman"/>
          <w:b/>
          <w:bCs/>
          <w:sz w:val="20"/>
          <w:szCs w:val="20"/>
          <w:lang w:val="fr-CA" w:eastAsia="en-CA"/>
        </w:rPr>
      </w:pPr>
    </w:p>
    <w:p w:rsidR="00926859" w:rsidRPr="00926859" w:rsidRDefault="00926859" w:rsidP="00926859">
      <w:pPr>
        <w:spacing w:line="233" w:lineRule="auto"/>
        <w:jc w:val="both"/>
        <w:rPr>
          <w:rFonts w:eastAsia="Times New Roman" w:cs="Times New Roman"/>
          <w:bCs/>
          <w:sz w:val="20"/>
          <w:szCs w:val="20"/>
          <w:lang w:val="fr-CA" w:eastAsia="en-CA"/>
        </w:rPr>
      </w:pPr>
      <w:r w:rsidRPr="00926859">
        <w:rPr>
          <w:rFonts w:eastAsia="Times New Roman" w:cs="Times New Roman"/>
          <w:bCs/>
          <w:sz w:val="20"/>
          <w:szCs w:val="20"/>
          <w:lang w:val="fr-CA" w:eastAsia="en-CA"/>
        </w:rPr>
        <w:t>La requête est accueillie.</w:t>
      </w:r>
    </w:p>
    <w:p w:rsidR="00926859" w:rsidRPr="00926859" w:rsidRDefault="00926859" w:rsidP="00926859">
      <w:pPr>
        <w:tabs>
          <w:tab w:val="left" w:pos="-1440"/>
          <w:tab w:val="left" w:pos="-720"/>
        </w:tabs>
        <w:jc w:val="both"/>
        <w:rPr>
          <w:rFonts w:eastAsia="Times New Roman" w:cs="Times New Roman"/>
          <w:sz w:val="20"/>
          <w:szCs w:val="20"/>
          <w:lang w:val="fr-CA" w:eastAsia="en-CA"/>
        </w:rPr>
      </w:pPr>
    </w:p>
    <w:p w:rsidR="00926859" w:rsidRPr="00926859" w:rsidRDefault="00417673" w:rsidP="00926859">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85" style="width:2in;height:1pt" o:hrpct="0" o:hralign="center" o:hrstd="t" o:hrnoshade="t" o:hr="t" fillcolor="black [3213]" stroked="f"/>
        </w:pict>
      </w:r>
    </w:p>
    <w:p w:rsidR="00926859" w:rsidRPr="00926859" w:rsidRDefault="00926859" w:rsidP="00926859">
      <w:pPr>
        <w:tabs>
          <w:tab w:val="left" w:pos="-1440"/>
          <w:tab w:val="left" w:pos="-720"/>
        </w:tabs>
        <w:jc w:val="both"/>
        <w:rPr>
          <w:rFonts w:eastAsia="Times New Roman" w:cs="Times New Roman"/>
          <w:sz w:val="20"/>
          <w:szCs w:val="20"/>
          <w:lang w:val="fr-CA" w:eastAsia="en-CA"/>
        </w:rPr>
      </w:pPr>
    </w:p>
    <w:p w:rsidR="00926859" w:rsidRPr="00926859" w:rsidRDefault="00926859" w:rsidP="00926859">
      <w:pPr>
        <w:tabs>
          <w:tab w:val="left" w:pos="-1440"/>
          <w:tab w:val="left" w:pos="-720"/>
        </w:tabs>
        <w:jc w:val="both"/>
        <w:rPr>
          <w:rFonts w:eastAsia="Times New Roman" w:cs="Times New Roman"/>
          <w:sz w:val="20"/>
          <w:szCs w:val="20"/>
          <w:lang w:val="fr-CA" w:eastAsia="en-CA"/>
        </w:rPr>
      </w:pPr>
      <w:r w:rsidRPr="00926859">
        <w:rPr>
          <w:rFonts w:eastAsia="Times New Roman" w:cs="Times New Roman"/>
          <w:sz w:val="20"/>
          <w:szCs w:val="20"/>
          <w:lang w:val="fr-CA" w:eastAsia="en-CA"/>
        </w:rPr>
        <w:t>14.04.2015</w:t>
      </w:r>
    </w:p>
    <w:p w:rsidR="00926859" w:rsidRPr="00926859" w:rsidRDefault="00926859" w:rsidP="00926859">
      <w:pPr>
        <w:tabs>
          <w:tab w:val="left" w:pos="-1440"/>
          <w:tab w:val="left" w:pos="-720"/>
        </w:tabs>
        <w:jc w:val="both"/>
        <w:rPr>
          <w:rFonts w:eastAsia="Times New Roman" w:cs="Times New Roman"/>
          <w:sz w:val="20"/>
          <w:szCs w:val="20"/>
          <w:lang w:val="fr-CA" w:eastAsia="en-CA"/>
        </w:rPr>
      </w:pPr>
    </w:p>
    <w:p w:rsidR="00926859" w:rsidRPr="00926859" w:rsidRDefault="00926859" w:rsidP="00926859">
      <w:pPr>
        <w:tabs>
          <w:tab w:val="left" w:pos="-1440"/>
          <w:tab w:val="left" w:pos="-720"/>
        </w:tabs>
        <w:jc w:val="both"/>
        <w:rPr>
          <w:rFonts w:eastAsia="Times New Roman" w:cs="Times New Roman"/>
          <w:sz w:val="20"/>
          <w:szCs w:val="20"/>
          <w:lang w:val="fr-CA" w:eastAsia="en-CA"/>
        </w:rPr>
      </w:pPr>
      <w:r w:rsidRPr="00926859">
        <w:rPr>
          <w:rFonts w:eastAsia="Times New Roman" w:cs="Times New Roman"/>
          <w:sz w:val="20"/>
          <w:szCs w:val="20"/>
          <w:lang w:val="fr-CA" w:eastAsia="en-CA"/>
        </w:rPr>
        <w:t>Before / Devant :   ABELLA J. / LA JUGE ABELLA</w:t>
      </w:r>
    </w:p>
    <w:p w:rsidR="00926859" w:rsidRPr="00926859" w:rsidRDefault="00926859" w:rsidP="00926859">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926859" w:rsidRPr="00584913" w:rsidTr="00841E19">
        <w:tc>
          <w:tcPr>
            <w:tcW w:w="4338" w:type="dxa"/>
            <w:gridSpan w:val="2"/>
          </w:tcPr>
          <w:p w:rsidR="00926859" w:rsidRPr="00926859" w:rsidRDefault="00926859" w:rsidP="00841E19">
            <w:pPr>
              <w:jc w:val="both"/>
              <w:rPr>
                <w:b/>
              </w:rPr>
            </w:pPr>
            <w:r w:rsidRPr="00926859">
              <w:rPr>
                <w:b/>
                <w:lang w:val="en-US"/>
              </w:rPr>
              <w:t xml:space="preserve">Order on interventions with respect to oral argument </w:t>
            </w:r>
            <w:r w:rsidR="00A26E00" w:rsidRPr="00926859">
              <w:rPr>
                <w:b/>
                <w:lang w:val="en-US"/>
              </w:rPr>
              <w:fldChar w:fldCharType="begin"/>
            </w:r>
            <w:r w:rsidRPr="00926859">
              <w:rPr>
                <w:b/>
              </w:rPr>
              <w:instrText xml:space="preserve"> SEQ CHAPTER \h \r 1</w:instrText>
            </w:r>
            <w:r w:rsidR="00A26E00" w:rsidRPr="00926859">
              <w:rPr>
                <w:b/>
                <w:lang w:val="en-US"/>
              </w:rPr>
              <w:fldChar w:fldCharType="end"/>
            </w:r>
          </w:p>
        </w:tc>
        <w:tc>
          <w:tcPr>
            <w:tcW w:w="1170" w:type="dxa"/>
          </w:tcPr>
          <w:p w:rsidR="00926859" w:rsidRPr="00926859" w:rsidRDefault="00926859" w:rsidP="00841E19"/>
          <w:p w:rsidR="00926859" w:rsidRPr="00926859" w:rsidRDefault="00926859" w:rsidP="00841E19"/>
          <w:p w:rsidR="00926859" w:rsidRPr="00926859" w:rsidRDefault="00926859" w:rsidP="00841E19"/>
        </w:tc>
        <w:tc>
          <w:tcPr>
            <w:tcW w:w="4327" w:type="dxa"/>
          </w:tcPr>
          <w:p w:rsidR="00926859" w:rsidRPr="00926859" w:rsidRDefault="00926859" w:rsidP="00841E19">
            <w:pPr>
              <w:jc w:val="both"/>
              <w:rPr>
                <w:b/>
                <w:lang w:val="fr-CA"/>
              </w:rPr>
            </w:pPr>
            <w:r w:rsidRPr="00926859">
              <w:rPr>
                <w:b/>
                <w:lang w:val="fr-CA"/>
              </w:rPr>
              <w:t>Ordonnance relative à la présentation d’une plaidoirie orale par les intervenants</w:t>
            </w:r>
            <w:r w:rsidR="00A26E00" w:rsidRPr="00926859">
              <w:rPr>
                <w:b/>
                <w:lang w:val="en-US"/>
              </w:rPr>
              <w:fldChar w:fldCharType="begin"/>
            </w:r>
            <w:r w:rsidRPr="00926859">
              <w:rPr>
                <w:b/>
                <w:lang w:val="fr-CA"/>
              </w:rPr>
              <w:instrText xml:space="preserve"> SEQ CHAPTER \h \r 1</w:instrText>
            </w:r>
            <w:r w:rsidR="00A26E00" w:rsidRPr="00926859">
              <w:rPr>
                <w:b/>
                <w:lang w:val="en-US"/>
              </w:rPr>
              <w:fldChar w:fldCharType="end"/>
            </w:r>
          </w:p>
        </w:tc>
      </w:tr>
      <w:tr w:rsidR="00926859" w:rsidRPr="00926859" w:rsidTr="00841E19">
        <w:trPr>
          <w:trHeight w:hRule="exact" w:val="360"/>
        </w:trPr>
        <w:tc>
          <w:tcPr>
            <w:tcW w:w="1368" w:type="dxa"/>
          </w:tcPr>
          <w:p w:rsidR="00926859" w:rsidRPr="00926859" w:rsidRDefault="00926859" w:rsidP="00841E19">
            <w:r w:rsidRPr="00926859">
              <w:t>RE:</w:t>
            </w:r>
          </w:p>
        </w:tc>
        <w:tc>
          <w:tcPr>
            <w:tcW w:w="2970" w:type="dxa"/>
          </w:tcPr>
          <w:p w:rsidR="00926859" w:rsidRPr="00926859" w:rsidRDefault="00926859" w:rsidP="00841E19">
            <w:r w:rsidRPr="00926859">
              <w:rPr>
                <w:bCs/>
                <w:lang w:val="en-US"/>
              </w:rPr>
              <w:t>Attorney General of Ontario</w:t>
            </w:r>
            <w:r w:rsidRPr="00926859">
              <w:rPr>
                <w:lang w:val="en-US"/>
              </w:rPr>
              <w:t>;</w:t>
            </w:r>
          </w:p>
        </w:tc>
        <w:tc>
          <w:tcPr>
            <w:tcW w:w="1170" w:type="dxa"/>
          </w:tcPr>
          <w:p w:rsidR="00926859" w:rsidRPr="00926859" w:rsidRDefault="00926859" w:rsidP="00841E19"/>
        </w:tc>
        <w:tc>
          <w:tcPr>
            <w:tcW w:w="4327" w:type="dxa"/>
          </w:tcPr>
          <w:p w:rsidR="00926859" w:rsidRPr="00926859" w:rsidRDefault="00926859" w:rsidP="00841E19"/>
        </w:tc>
      </w:tr>
      <w:tr w:rsidR="00926859" w:rsidRPr="00926859" w:rsidTr="00841E19">
        <w:trPr>
          <w:trHeight w:hRule="exact" w:val="576"/>
        </w:trPr>
        <w:tc>
          <w:tcPr>
            <w:tcW w:w="1368" w:type="dxa"/>
          </w:tcPr>
          <w:p w:rsidR="00926859" w:rsidRPr="00926859" w:rsidRDefault="00926859" w:rsidP="00841E19"/>
        </w:tc>
        <w:tc>
          <w:tcPr>
            <w:tcW w:w="2970" w:type="dxa"/>
          </w:tcPr>
          <w:p w:rsidR="00926859" w:rsidRPr="00926859" w:rsidRDefault="00926859" w:rsidP="00841E19">
            <w:r w:rsidRPr="00926859">
              <w:rPr>
                <w:bCs/>
                <w:lang w:val="en-US"/>
              </w:rPr>
              <w:t>Association of the Tax Court of Canada Judges</w:t>
            </w:r>
          </w:p>
        </w:tc>
        <w:tc>
          <w:tcPr>
            <w:tcW w:w="1170" w:type="dxa"/>
          </w:tcPr>
          <w:p w:rsidR="00926859" w:rsidRPr="00926859" w:rsidRDefault="00926859" w:rsidP="00841E19"/>
        </w:tc>
        <w:tc>
          <w:tcPr>
            <w:tcW w:w="4327" w:type="dxa"/>
          </w:tcPr>
          <w:p w:rsidR="00926859" w:rsidRPr="00926859" w:rsidRDefault="00926859" w:rsidP="00841E19"/>
        </w:tc>
      </w:tr>
      <w:tr w:rsidR="00926859" w:rsidRPr="00926859" w:rsidTr="00841E19">
        <w:tc>
          <w:tcPr>
            <w:tcW w:w="1368" w:type="dxa"/>
          </w:tcPr>
          <w:p w:rsidR="00926859" w:rsidRPr="00926859" w:rsidRDefault="00926859" w:rsidP="00841E19"/>
        </w:tc>
        <w:tc>
          <w:tcPr>
            <w:tcW w:w="2970" w:type="dxa"/>
          </w:tcPr>
          <w:p w:rsidR="00926859" w:rsidRPr="00926859" w:rsidRDefault="00926859" w:rsidP="00841E19"/>
        </w:tc>
        <w:tc>
          <w:tcPr>
            <w:tcW w:w="1170" w:type="dxa"/>
          </w:tcPr>
          <w:p w:rsidR="00926859" w:rsidRPr="00926859" w:rsidRDefault="00926859" w:rsidP="00841E19"/>
        </w:tc>
        <w:tc>
          <w:tcPr>
            <w:tcW w:w="4327" w:type="dxa"/>
          </w:tcPr>
          <w:p w:rsidR="00926859" w:rsidRPr="00926859" w:rsidRDefault="00926859" w:rsidP="00841E19"/>
        </w:tc>
      </w:tr>
      <w:tr w:rsidR="00926859" w:rsidRPr="00584913" w:rsidTr="00841E19">
        <w:tc>
          <w:tcPr>
            <w:tcW w:w="1368" w:type="dxa"/>
          </w:tcPr>
          <w:p w:rsidR="00926859" w:rsidRPr="00926859" w:rsidRDefault="00926859" w:rsidP="00841E19">
            <w:r w:rsidRPr="00926859">
              <w:t>IN / DANS :</w:t>
            </w:r>
          </w:p>
        </w:tc>
        <w:tc>
          <w:tcPr>
            <w:tcW w:w="2970" w:type="dxa"/>
          </w:tcPr>
          <w:p w:rsidR="00926859" w:rsidRPr="00926859" w:rsidRDefault="00926859" w:rsidP="00841E19">
            <w:pPr>
              <w:rPr>
                <w:lang w:val="fr-CA"/>
              </w:rPr>
            </w:pPr>
            <w:r w:rsidRPr="00926859">
              <w:rPr>
                <w:lang w:val="fr-CA"/>
              </w:rPr>
              <w:t>Procureure générale du Québec et autre</w:t>
            </w:r>
          </w:p>
          <w:p w:rsidR="00926859" w:rsidRPr="00926859" w:rsidRDefault="00926859" w:rsidP="00841E19">
            <w:pPr>
              <w:rPr>
                <w:lang w:val="fr-CA"/>
              </w:rPr>
            </w:pPr>
          </w:p>
          <w:p w:rsidR="00926859" w:rsidRPr="00926859" w:rsidRDefault="00926859" w:rsidP="00841E19">
            <w:pPr>
              <w:rPr>
                <w:lang w:val="fr-CA"/>
              </w:rPr>
            </w:pPr>
            <w:r w:rsidRPr="00926859">
              <w:rPr>
                <w:lang w:val="fr-CA"/>
              </w:rPr>
              <w:tab/>
              <w:t>c. (36231)</w:t>
            </w:r>
          </w:p>
          <w:p w:rsidR="00926859" w:rsidRPr="00926859" w:rsidRDefault="00926859" w:rsidP="00841E19">
            <w:pPr>
              <w:rPr>
                <w:lang w:val="fr-CA"/>
              </w:rPr>
            </w:pPr>
          </w:p>
          <w:p w:rsidR="00926859" w:rsidRPr="00926859" w:rsidRDefault="00926859" w:rsidP="00841E19">
            <w:pPr>
              <w:rPr>
                <w:lang w:val="fr-CA"/>
              </w:rPr>
            </w:pPr>
            <w:r w:rsidRPr="00926859">
              <w:rPr>
                <w:lang w:val="fr-CA"/>
              </w:rPr>
              <w:t>Procureur général du Canada (Qc)</w:t>
            </w:r>
          </w:p>
        </w:tc>
        <w:tc>
          <w:tcPr>
            <w:tcW w:w="1170" w:type="dxa"/>
          </w:tcPr>
          <w:p w:rsidR="00926859" w:rsidRPr="00926859" w:rsidRDefault="00926859" w:rsidP="00841E19">
            <w:pPr>
              <w:rPr>
                <w:lang w:val="fr-CA"/>
              </w:rPr>
            </w:pPr>
          </w:p>
        </w:tc>
        <w:tc>
          <w:tcPr>
            <w:tcW w:w="4327" w:type="dxa"/>
          </w:tcPr>
          <w:p w:rsidR="00926859" w:rsidRPr="00926859" w:rsidRDefault="00926859" w:rsidP="00841E19">
            <w:pPr>
              <w:rPr>
                <w:lang w:val="fr-CA"/>
              </w:rPr>
            </w:pPr>
          </w:p>
        </w:tc>
      </w:tr>
    </w:tbl>
    <w:p w:rsidR="00926859" w:rsidRPr="00926859" w:rsidRDefault="00926859" w:rsidP="00926859">
      <w:pPr>
        <w:tabs>
          <w:tab w:val="left" w:pos="-1440"/>
          <w:tab w:val="left" w:pos="-720"/>
        </w:tabs>
        <w:jc w:val="both"/>
        <w:rPr>
          <w:rFonts w:eastAsia="Times New Roman" w:cs="Times New Roman"/>
          <w:sz w:val="20"/>
          <w:szCs w:val="20"/>
          <w:lang w:val="fr-CA" w:eastAsia="en-CA"/>
        </w:rPr>
      </w:pPr>
    </w:p>
    <w:p w:rsidR="00926859" w:rsidRPr="00926859" w:rsidRDefault="00926859" w:rsidP="00926859">
      <w:pPr>
        <w:spacing w:line="233" w:lineRule="auto"/>
        <w:jc w:val="both"/>
        <w:rPr>
          <w:rFonts w:eastAsia="Times New Roman" w:cs="Times New Roman"/>
          <w:b/>
          <w:bCs/>
          <w:sz w:val="20"/>
          <w:szCs w:val="20"/>
          <w:lang w:val="en-US" w:eastAsia="en-CA"/>
        </w:rPr>
      </w:pPr>
      <w:r w:rsidRPr="00926859">
        <w:rPr>
          <w:rFonts w:eastAsia="Times New Roman" w:cs="Times New Roman"/>
          <w:b/>
          <w:bCs/>
          <w:sz w:val="20"/>
          <w:szCs w:val="20"/>
          <w:lang w:val="en-US" w:eastAsia="en-CA"/>
        </w:rPr>
        <w:t xml:space="preserve">FURTHER TO THE ORDER </w:t>
      </w:r>
      <w:r w:rsidRPr="00926859">
        <w:rPr>
          <w:rFonts w:eastAsia="Times New Roman" w:cs="Times New Roman"/>
          <w:bCs/>
          <w:sz w:val="20"/>
          <w:szCs w:val="20"/>
          <w:lang w:val="en-US" w:eastAsia="en-CA"/>
        </w:rPr>
        <w:t>dated March 31, 2015, granting leave to intervene to</w:t>
      </w:r>
      <w:r w:rsidRPr="00926859">
        <w:rPr>
          <w:rFonts w:eastAsia="Times New Roman" w:cs="Times New Roman"/>
          <w:sz w:val="20"/>
          <w:szCs w:val="20"/>
          <w:lang w:val="en-US" w:eastAsia="en-CA"/>
        </w:rPr>
        <w:t xml:space="preserve"> the </w:t>
      </w:r>
      <w:r w:rsidRPr="00926859">
        <w:rPr>
          <w:rFonts w:eastAsia="Times New Roman" w:cs="Times New Roman"/>
          <w:bCs/>
          <w:sz w:val="20"/>
          <w:szCs w:val="20"/>
          <w:lang w:val="en-US" w:eastAsia="en-CA"/>
        </w:rPr>
        <w:t>Attorney General of Ontario and the Association of the Tax Court of Canada Judges;</w:t>
      </w:r>
    </w:p>
    <w:p w:rsidR="00926859" w:rsidRPr="00926859" w:rsidRDefault="00926859" w:rsidP="00926859">
      <w:pPr>
        <w:spacing w:line="233" w:lineRule="auto"/>
        <w:jc w:val="both"/>
        <w:rPr>
          <w:rFonts w:eastAsia="Times New Roman" w:cs="Times New Roman"/>
          <w:b/>
          <w:bCs/>
          <w:sz w:val="20"/>
          <w:szCs w:val="20"/>
          <w:lang w:val="en-US" w:eastAsia="en-CA"/>
        </w:rPr>
      </w:pPr>
    </w:p>
    <w:p w:rsidR="00926859" w:rsidRPr="00926859" w:rsidRDefault="00926859" w:rsidP="00926859">
      <w:pPr>
        <w:spacing w:line="233" w:lineRule="auto"/>
        <w:jc w:val="both"/>
        <w:rPr>
          <w:rFonts w:eastAsia="Times New Roman" w:cs="Times New Roman"/>
          <w:b/>
          <w:bCs/>
          <w:sz w:val="20"/>
          <w:szCs w:val="20"/>
          <w:lang w:val="en-US" w:eastAsia="en-CA"/>
        </w:rPr>
      </w:pPr>
      <w:r w:rsidRPr="00926859">
        <w:rPr>
          <w:rFonts w:eastAsia="Times New Roman" w:cs="Times New Roman"/>
          <w:b/>
          <w:bCs/>
          <w:sz w:val="20"/>
          <w:szCs w:val="20"/>
          <w:lang w:val="en-US" w:eastAsia="en-CA"/>
        </w:rPr>
        <w:t xml:space="preserve">IT IS HEREBY FURTHER ORDERED THAT </w:t>
      </w:r>
      <w:r w:rsidRPr="00926859">
        <w:rPr>
          <w:rFonts w:eastAsia="Times New Roman" w:cs="Times New Roman"/>
          <w:bCs/>
          <w:sz w:val="20"/>
          <w:szCs w:val="20"/>
          <w:lang w:val="en-US" w:eastAsia="en-CA"/>
        </w:rPr>
        <w:t xml:space="preserve">the said interveners are each granted permission to present oral argument not exceeding ten (10) minutes at the hearing of the appeal.  </w:t>
      </w:r>
    </w:p>
    <w:p w:rsidR="00926859" w:rsidRPr="00926859" w:rsidRDefault="00926859" w:rsidP="00926859">
      <w:pPr>
        <w:spacing w:line="233" w:lineRule="auto"/>
        <w:jc w:val="both"/>
        <w:rPr>
          <w:rFonts w:eastAsia="Times New Roman" w:cs="Times New Roman"/>
          <w:b/>
          <w:bCs/>
          <w:sz w:val="20"/>
          <w:szCs w:val="20"/>
          <w:lang w:val="en-US" w:eastAsia="en-CA"/>
        </w:rPr>
      </w:pPr>
    </w:p>
    <w:p w:rsidR="00926859" w:rsidRPr="00926859" w:rsidRDefault="00926859" w:rsidP="00926859">
      <w:pPr>
        <w:spacing w:line="233" w:lineRule="auto"/>
        <w:jc w:val="both"/>
        <w:rPr>
          <w:rFonts w:eastAsia="Times New Roman" w:cs="Times New Roman"/>
          <w:b/>
          <w:bCs/>
          <w:sz w:val="20"/>
          <w:szCs w:val="20"/>
          <w:lang w:val="en-US" w:eastAsia="en-CA"/>
        </w:rPr>
      </w:pPr>
    </w:p>
    <w:p w:rsidR="00926859" w:rsidRPr="00926859" w:rsidRDefault="00926859" w:rsidP="00926859">
      <w:pPr>
        <w:spacing w:line="233" w:lineRule="auto"/>
        <w:jc w:val="both"/>
        <w:rPr>
          <w:rFonts w:eastAsia="Times New Roman" w:cs="Times New Roman"/>
          <w:b/>
          <w:bCs/>
          <w:sz w:val="20"/>
          <w:szCs w:val="20"/>
          <w:lang w:val="en-US" w:eastAsia="en-CA"/>
        </w:rPr>
      </w:pPr>
    </w:p>
    <w:p w:rsidR="00926859" w:rsidRPr="00926859" w:rsidRDefault="00926859" w:rsidP="00926859">
      <w:pPr>
        <w:spacing w:line="233" w:lineRule="auto"/>
        <w:jc w:val="both"/>
        <w:rPr>
          <w:rFonts w:eastAsia="Times New Roman" w:cs="Times New Roman"/>
          <w:b/>
          <w:bCs/>
          <w:sz w:val="20"/>
          <w:szCs w:val="20"/>
          <w:lang w:val="fr-CA" w:eastAsia="en-CA"/>
        </w:rPr>
      </w:pPr>
      <w:r w:rsidRPr="00926859">
        <w:rPr>
          <w:rFonts w:eastAsia="Times New Roman" w:cs="Times New Roman"/>
          <w:b/>
          <w:bCs/>
          <w:sz w:val="20"/>
          <w:szCs w:val="20"/>
          <w:lang w:val="fr-CA" w:eastAsia="en-CA"/>
        </w:rPr>
        <w:t xml:space="preserve">À LA SUITE DE L’ORDONNANCE </w:t>
      </w:r>
      <w:r w:rsidRPr="00926859">
        <w:rPr>
          <w:rFonts w:eastAsia="Times New Roman" w:cs="Times New Roman"/>
          <w:bCs/>
          <w:sz w:val="20"/>
          <w:szCs w:val="20"/>
          <w:lang w:val="fr-CA" w:eastAsia="en-CA"/>
        </w:rPr>
        <w:t>datée du 31 mars 2015, autorisant</w:t>
      </w:r>
      <w:r w:rsidRPr="00926859">
        <w:rPr>
          <w:rFonts w:eastAsia="Times New Roman" w:cs="Times New Roman"/>
          <w:sz w:val="20"/>
          <w:szCs w:val="20"/>
          <w:lang w:val="fr-CA" w:eastAsia="en-CA"/>
        </w:rPr>
        <w:t xml:space="preserve"> le </w:t>
      </w:r>
      <w:r w:rsidRPr="00926859">
        <w:rPr>
          <w:rFonts w:eastAsia="Times New Roman" w:cs="Times New Roman"/>
          <w:bCs/>
          <w:sz w:val="20"/>
          <w:szCs w:val="20"/>
          <w:lang w:val="fr-CA" w:eastAsia="en-CA"/>
        </w:rPr>
        <w:t>Procureur général de l’Ontario et l’Association des juges de la Cour canadienne de l’Impôt à intervenir;</w:t>
      </w:r>
    </w:p>
    <w:p w:rsidR="00926859" w:rsidRPr="00926859" w:rsidRDefault="00926859" w:rsidP="00926859">
      <w:pPr>
        <w:spacing w:line="233" w:lineRule="auto"/>
        <w:jc w:val="both"/>
        <w:rPr>
          <w:rFonts w:eastAsia="Times New Roman" w:cs="Times New Roman"/>
          <w:b/>
          <w:bCs/>
          <w:sz w:val="20"/>
          <w:szCs w:val="20"/>
          <w:lang w:val="fr-CA" w:eastAsia="en-CA"/>
        </w:rPr>
      </w:pPr>
    </w:p>
    <w:p w:rsidR="00926859" w:rsidRPr="00926859" w:rsidRDefault="00926859" w:rsidP="00926859">
      <w:pPr>
        <w:spacing w:line="233" w:lineRule="auto"/>
        <w:jc w:val="both"/>
        <w:rPr>
          <w:rFonts w:eastAsia="Times New Roman" w:cs="Times New Roman"/>
          <w:bCs/>
          <w:sz w:val="20"/>
          <w:szCs w:val="20"/>
          <w:lang w:val="fr-CA" w:eastAsia="en-CA"/>
        </w:rPr>
      </w:pPr>
      <w:r w:rsidRPr="00926859">
        <w:rPr>
          <w:rFonts w:eastAsia="Times New Roman" w:cs="Times New Roman"/>
          <w:b/>
          <w:bCs/>
          <w:sz w:val="20"/>
          <w:szCs w:val="20"/>
          <w:lang w:val="fr-CA" w:eastAsia="en-CA"/>
        </w:rPr>
        <w:t xml:space="preserve">IL EST EN OUTRE ORDONNÉ QUE </w:t>
      </w:r>
      <w:r w:rsidRPr="00926859">
        <w:rPr>
          <w:rFonts w:eastAsia="Times New Roman" w:cs="Times New Roman"/>
          <w:bCs/>
          <w:sz w:val="20"/>
          <w:szCs w:val="20"/>
          <w:lang w:val="fr-CA" w:eastAsia="en-CA"/>
        </w:rPr>
        <w:t>ces intervenants auront chacun le droit de présenter une plaidoirie orale d’au plus dix (10) minutes lors de l’audition de l’appel.</w:t>
      </w:r>
    </w:p>
    <w:p w:rsidR="00926859" w:rsidRPr="00926859" w:rsidRDefault="00926859" w:rsidP="00926859">
      <w:pPr>
        <w:tabs>
          <w:tab w:val="left" w:pos="-1440"/>
          <w:tab w:val="left" w:pos="-720"/>
        </w:tabs>
        <w:jc w:val="both"/>
        <w:rPr>
          <w:rFonts w:eastAsia="Times New Roman" w:cs="Times New Roman"/>
          <w:sz w:val="20"/>
          <w:szCs w:val="20"/>
          <w:lang w:val="fr-CA" w:eastAsia="en-CA"/>
        </w:rPr>
      </w:pPr>
    </w:p>
    <w:p w:rsidR="00926859" w:rsidRPr="00926859" w:rsidRDefault="00417673" w:rsidP="00926859">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86" style="width:2in;height:1pt" o:hrpct="0" o:hralign="center" o:hrstd="t" o:hrnoshade="t" o:hr="t" fillcolor="black [3213]" stroked="f"/>
        </w:pict>
      </w:r>
    </w:p>
    <w:p w:rsidR="00926859" w:rsidRPr="00926859" w:rsidRDefault="00926859" w:rsidP="00926859">
      <w:pPr>
        <w:tabs>
          <w:tab w:val="left" w:pos="-1440"/>
          <w:tab w:val="left" w:pos="-720"/>
        </w:tabs>
        <w:jc w:val="both"/>
        <w:rPr>
          <w:rFonts w:eastAsia="Times New Roman" w:cs="Times New Roman"/>
          <w:sz w:val="20"/>
          <w:szCs w:val="20"/>
          <w:lang w:val="fr-CA" w:eastAsia="en-CA"/>
        </w:rPr>
      </w:pPr>
    </w:p>
    <w:p w:rsidR="00926859" w:rsidRPr="00926859" w:rsidRDefault="00926859" w:rsidP="00926859">
      <w:pPr>
        <w:tabs>
          <w:tab w:val="left" w:pos="-1440"/>
          <w:tab w:val="left" w:pos="-720"/>
        </w:tabs>
        <w:jc w:val="both"/>
        <w:rPr>
          <w:rFonts w:eastAsia="Times New Roman" w:cs="Times New Roman"/>
          <w:sz w:val="20"/>
          <w:szCs w:val="20"/>
          <w:lang w:val="fr-CA" w:eastAsia="en-CA"/>
        </w:rPr>
      </w:pPr>
      <w:r w:rsidRPr="00926859">
        <w:rPr>
          <w:rFonts w:eastAsia="Times New Roman" w:cs="Times New Roman"/>
          <w:sz w:val="20"/>
          <w:szCs w:val="20"/>
          <w:lang w:val="fr-CA" w:eastAsia="en-CA"/>
        </w:rPr>
        <w:t>14.04.2015</w:t>
      </w:r>
    </w:p>
    <w:p w:rsidR="00926859" w:rsidRPr="00926859" w:rsidRDefault="00926859" w:rsidP="00926859">
      <w:pPr>
        <w:tabs>
          <w:tab w:val="left" w:pos="-1440"/>
          <w:tab w:val="left" w:pos="-720"/>
        </w:tabs>
        <w:jc w:val="both"/>
        <w:rPr>
          <w:rFonts w:eastAsia="Times New Roman" w:cs="Times New Roman"/>
          <w:sz w:val="20"/>
          <w:szCs w:val="20"/>
          <w:lang w:val="fr-CA" w:eastAsia="en-CA"/>
        </w:rPr>
      </w:pPr>
    </w:p>
    <w:p w:rsidR="00926859" w:rsidRPr="00926859" w:rsidRDefault="00926859" w:rsidP="00926859">
      <w:pPr>
        <w:tabs>
          <w:tab w:val="left" w:pos="-1440"/>
          <w:tab w:val="left" w:pos="-720"/>
        </w:tabs>
        <w:jc w:val="both"/>
        <w:rPr>
          <w:rFonts w:eastAsia="Times New Roman" w:cs="Times New Roman"/>
          <w:sz w:val="20"/>
          <w:szCs w:val="20"/>
          <w:lang w:val="fr-CA" w:eastAsia="en-CA"/>
        </w:rPr>
      </w:pPr>
      <w:r w:rsidRPr="00926859">
        <w:rPr>
          <w:rFonts w:eastAsia="Times New Roman" w:cs="Times New Roman"/>
          <w:sz w:val="20"/>
          <w:szCs w:val="20"/>
          <w:lang w:val="fr-CA" w:eastAsia="en-CA"/>
        </w:rPr>
        <w:t>Before / Devant:   WAGNER J. / LE JUGE WAGNER</w:t>
      </w:r>
    </w:p>
    <w:p w:rsidR="00926859" w:rsidRPr="00926859" w:rsidRDefault="00926859" w:rsidP="00926859">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926859" w:rsidRPr="00926859" w:rsidTr="00841E19">
        <w:tc>
          <w:tcPr>
            <w:tcW w:w="4338" w:type="dxa"/>
            <w:gridSpan w:val="2"/>
          </w:tcPr>
          <w:p w:rsidR="00926859" w:rsidRPr="00926859" w:rsidRDefault="00926859" w:rsidP="00926859">
            <w:pPr>
              <w:rPr>
                <w:b/>
              </w:rPr>
            </w:pPr>
            <w:r w:rsidRPr="00926859">
              <w:rPr>
                <w:b/>
              </w:rPr>
              <w:t>Motions for leave to intervene</w:t>
            </w:r>
            <w:r w:rsidRPr="00926859">
              <w:rPr>
                <w:lang w:val="en-US"/>
              </w:rPr>
              <w:t xml:space="preserve"> </w:t>
            </w:r>
            <w:r w:rsidR="00A26E00" w:rsidRPr="00926859">
              <w:rPr>
                <w:lang w:val="en-US"/>
              </w:rPr>
              <w:fldChar w:fldCharType="begin"/>
            </w:r>
            <w:r w:rsidRPr="00926859">
              <w:instrText xml:space="preserve"> SEQ CHAPTER \h \r 1</w:instrText>
            </w:r>
            <w:r w:rsidR="00A26E00" w:rsidRPr="00926859">
              <w:rPr>
                <w:lang w:val="en-US"/>
              </w:rPr>
              <w:fldChar w:fldCharType="end"/>
            </w:r>
          </w:p>
        </w:tc>
        <w:tc>
          <w:tcPr>
            <w:tcW w:w="1170" w:type="dxa"/>
          </w:tcPr>
          <w:p w:rsidR="00926859" w:rsidRPr="00926859" w:rsidRDefault="00926859" w:rsidP="00926859"/>
          <w:p w:rsidR="00926859" w:rsidRPr="00926859" w:rsidRDefault="00926859" w:rsidP="00926859"/>
        </w:tc>
        <w:tc>
          <w:tcPr>
            <w:tcW w:w="4327" w:type="dxa"/>
          </w:tcPr>
          <w:p w:rsidR="00926859" w:rsidRPr="00926859" w:rsidRDefault="00926859" w:rsidP="00926859">
            <w:pPr>
              <w:rPr>
                <w:b/>
              </w:rPr>
            </w:pPr>
            <w:r w:rsidRPr="00926859">
              <w:rPr>
                <w:b/>
                <w:bCs/>
                <w:lang w:val="fr-CA"/>
              </w:rPr>
              <w:t>Requêtes en autorisation d’intervenir</w:t>
            </w:r>
            <w:r w:rsidRPr="00926859">
              <w:rPr>
                <w:lang w:val="en-US"/>
              </w:rPr>
              <w:t xml:space="preserve"> </w:t>
            </w:r>
            <w:r w:rsidR="00A26E00" w:rsidRPr="00926859">
              <w:rPr>
                <w:lang w:val="en-US"/>
              </w:rPr>
              <w:fldChar w:fldCharType="begin"/>
            </w:r>
            <w:r w:rsidRPr="00926859">
              <w:instrText xml:space="preserve"> SEQ CHAPTER \h \r 1</w:instrText>
            </w:r>
            <w:r w:rsidR="00A26E00" w:rsidRPr="00926859">
              <w:rPr>
                <w:lang w:val="en-US"/>
              </w:rPr>
              <w:fldChar w:fldCharType="end"/>
            </w:r>
          </w:p>
        </w:tc>
      </w:tr>
      <w:tr w:rsidR="00926859" w:rsidRPr="00926859" w:rsidTr="00841E19">
        <w:trPr>
          <w:trHeight w:hRule="exact" w:val="576"/>
        </w:trPr>
        <w:tc>
          <w:tcPr>
            <w:tcW w:w="1368" w:type="dxa"/>
          </w:tcPr>
          <w:p w:rsidR="00926859" w:rsidRPr="00926859" w:rsidRDefault="00926859" w:rsidP="00926859">
            <w:r w:rsidRPr="00926859">
              <w:t>BY / PAR</w:t>
            </w:r>
          </w:p>
        </w:tc>
        <w:tc>
          <w:tcPr>
            <w:tcW w:w="2970" w:type="dxa"/>
          </w:tcPr>
          <w:p w:rsidR="00926859" w:rsidRPr="00926859" w:rsidRDefault="00926859" w:rsidP="00926859">
            <w:r w:rsidRPr="00926859">
              <w:rPr>
                <w:lang w:val="en-US"/>
              </w:rPr>
              <w:t>Criminal Lawyers’ Association of Ontario;</w:t>
            </w:r>
          </w:p>
        </w:tc>
        <w:tc>
          <w:tcPr>
            <w:tcW w:w="1170" w:type="dxa"/>
          </w:tcPr>
          <w:p w:rsidR="00926859" w:rsidRPr="00926859" w:rsidRDefault="00926859" w:rsidP="00926859"/>
        </w:tc>
        <w:tc>
          <w:tcPr>
            <w:tcW w:w="4327" w:type="dxa"/>
          </w:tcPr>
          <w:p w:rsidR="00926859" w:rsidRPr="00926859" w:rsidRDefault="00926859" w:rsidP="00926859"/>
        </w:tc>
      </w:tr>
      <w:tr w:rsidR="00926859" w:rsidRPr="00926859" w:rsidTr="00841E19">
        <w:trPr>
          <w:trHeight w:hRule="exact" w:val="1080"/>
        </w:trPr>
        <w:tc>
          <w:tcPr>
            <w:tcW w:w="1368" w:type="dxa"/>
          </w:tcPr>
          <w:p w:rsidR="00926859" w:rsidRPr="00926859" w:rsidRDefault="00926859" w:rsidP="00926859"/>
        </w:tc>
        <w:tc>
          <w:tcPr>
            <w:tcW w:w="2970" w:type="dxa"/>
          </w:tcPr>
          <w:p w:rsidR="00926859" w:rsidRPr="00926859" w:rsidRDefault="00926859" w:rsidP="00926859">
            <w:pPr>
              <w:rPr>
                <w:lang w:val="en-US"/>
              </w:rPr>
            </w:pPr>
            <w:r w:rsidRPr="00926859">
              <w:rPr>
                <w:lang w:val="en-US"/>
              </w:rPr>
              <w:t>Criminal Trial Lawyers’ Association (Alberta) and the Criminal Defence Lawyers Association (Calgary)</w:t>
            </w:r>
          </w:p>
        </w:tc>
        <w:tc>
          <w:tcPr>
            <w:tcW w:w="1170" w:type="dxa"/>
          </w:tcPr>
          <w:p w:rsidR="00926859" w:rsidRPr="00926859" w:rsidRDefault="00926859" w:rsidP="00926859"/>
        </w:tc>
        <w:tc>
          <w:tcPr>
            <w:tcW w:w="4327" w:type="dxa"/>
          </w:tcPr>
          <w:p w:rsidR="00926859" w:rsidRPr="00926859" w:rsidRDefault="00926859" w:rsidP="00926859"/>
        </w:tc>
      </w:tr>
      <w:tr w:rsidR="00926859" w:rsidRPr="00926859" w:rsidTr="00841E19">
        <w:trPr>
          <w:trHeight w:hRule="exact" w:val="576"/>
        </w:trPr>
        <w:tc>
          <w:tcPr>
            <w:tcW w:w="1368" w:type="dxa"/>
          </w:tcPr>
          <w:p w:rsidR="00926859" w:rsidRPr="00926859" w:rsidRDefault="00926859" w:rsidP="00926859"/>
        </w:tc>
        <w:tc>
          <w:tcPr>
            <w:tcW w:w="2970" w:type="dxa"/>
          </w:tcPr>
          <w:p w:rsidR="00926859" w:rsidRPr="00926859" w:rsidRDefault="00926859" w:rsidP="00926859">
            <w:pPr>
              <w:rPr>
                <w:lang w:val="en-US"/>
              </w:rPr>
            </w:pPr>
            <w:r w:rsidRPr="00926859">
              <w:rPr>
                <w:lang w:val="en-US"/>
              </w:rPr>
              <w:t>British Columbia Civil Liberties Association;</w:t>
            </w:r>
          </w:p>
        </w:tc>
        <w:tc>
          <w:tcPr>
            <w:tcW w:w="1170" w:type="dxa"/>
          </w:tcPr>
          <w:p w:rsidR="00926859" w:rsidRPr="00926859" w:rsidRDefault="00926859" w:rsidP="00926859"/>
        </w:tc>
        <w:tc>
          <w:tcPr>
            <w:tcW w:w="4327" w:type="dxa"/>
          </w:tcPr>
          <w:p w:rsidR="00926859" w:rsidRPr="00926859" w:rsidRDefault="00926859" w:rsidP="00926859"/>
        </w:tc>
      </w:tr>
      <w:tr w:rsidR="00926859" w:rsidRPr="00926859" w:rsidTr="00841E19">
        <w:trPr>
          <w:trHeight w:hRule="exact" w:val="576"/>
        </w:trPr>
        <w:tc>
          <w:tcPr>
            <w:tcW w:w="1368" w:type="dxa"/>
          </w:tcPr>
          <w:p w:rsidR="00926859" w:rsidRPr="00926859" w:rsidRDefault="00926859" w:rsidP="00926859"/>
        </w:tc>
        <w:tc>
          <w:tcPr>
            <w:tcW w:w="2970" w:type="dxa"/>
          </w:tcPr>
          <w:p w:rsidR="00926859" w:rsidRPr="00926859" w:rsidRDefault="00926859" w:rsidP="00926859">
            <w:pPr>
              <w:rPr>
                <w:lang w:val="en-US"/>
              </w:rPr>
            </w:pPr>
            <w:r w:rsidRPr="00926859">
              <w:rPr>
                <w:lang w:val="en-US"/>
              </w:rPr>
              <w:t>Alberta Registrar of Motor Vehicle Services;</w:t>
            </w:r>
          </w:p>
        </w:tc>
        <w:tc>
          <w:tcPr>
            <w:tcW w:w="1170" w:type="dxa"/>
          </w:tcPr>
          <w:p w:rsidR="00926859" w:rsidRPr="00926859" w:rsidRDefault="00926859" w:rsidP="00926859"/>
        </w:tc>
        <w:tc>
          <w:tcPr>
            <w:tcW w:w="4327" w:type="dxa"/>
          </w:tcPr>
          <w:p w:rsidR="00926859" w:rsidRPr="00926859" w:rsidRDefault="00926859" w:rsidP="00926859"/>
        </w:tc>
      </w:tr>
      <w:tr w:rsidR="00926859" w:rsidRPr="00926859" w:rsidTr="00841E19">
        <w:trPr>
          <w:trHeight w:hRule="exact" w:val="360"/>
        </w:trPr>
        <w:tc>
          <w:tcPr>
            <w:tcW w:w="1368" w:type="dxa"/>
          </w:tcPr>
          <w:p w:rsidR="00926859" w:rsidRPr="00926859" w:rsidRDefault="00926859" w:rsidP="00926859"/>
        </w:tc>
        <w:tc>
          <w:tcPr>
            <w:tcW w:w="2970" w:type="dxa"/>
          </w:tcPr>
          <w:p w:rsidR="00926859" w:rsidRPr="00926859" w:rsidRDefault="00926859" w:rsidP="00926859">
            <w:pPr>
              <w:rPr>
                <w:lang w:val="en-US"/>
              </w:rPr>
            </w:pPr>
            <w:r w:rsidRPr="00926859">
              <w:rPr>
                <w:lang w:val="en-US"/>
              </w:rPr>
              <w:t>Insurance Bureau of Canada;</w:t>
            </w:r>
          </w:p>
        </w:tc>
        <w:tc>
          <w:tcPr>
            <w:tcW w:w="1170" w:type="dxa"/>
          </w:tcPr>
          <w:p w:rsidR="00926859" w:rsidRPr="00926859" w:rsidRDefault="00926859" w:rsidP="00926859"/>
        </w:tc>
        <w:tc>
          <w:tcPr>
            <w:tcW w:w="4327" w:type="dxa"/>
          </w:tcPr>
          <w:p w:rsidR="00926859" w:rsidRPr="00926859" w:rsidRDefault="00926859" w:rsidP="00926859"/>
        </w:tc>
      </w:tr>
      <w:tr w:rsidR="00926859" w:rsidRPr="00926859" w:rsidTr="00841E19">
        <w:trPr>
          <w:trHeight w:hRule="exact" w:val="576"/>
        </w:trPr>
        <w:tc>
          <w:tcPr>
            <w:tcW w:w="1368" w:type="dxa"/>
          </w:tcPr>
          <w:p w:rsidR="00926859" w:rsidRPr="00926859" w:rsidRDefault="00926859" w:rsidP="00926859"/>
        </w:tc>
        <w:tc>
          <w:tcPr>
            <w:tcW w:w="2970" w:type="dxa"/>
          </w:tcPr>
          <w:p w:rsidR="00926859" w:rsidRPr="00926859" w:rsidRDefault="00926859" w:rsidP="00926859">
            <w:pPr>
              <w:rPr>
                <w:lang w:val="en-US"/>
              </w:rPr>
            </w:pPr>
            <w:r w:rsidRPr="00926859">
              <w:rPr>
                <w:lang w:val="en-US"/>
              </w:rPr>
              <w:t>Mothers Against Drunk Driving Canada</w:t>
            </w:r>
          </w:p>
        </w:tc>
        <w:tc>
          <w:tcPr>
            <w:tcW w:w="1170" w:type="dxa"/>
          </w:tcPr>
          <w:p w:rsidR="00926859" w:rsidRPr="00926859" w:rsidRDefault="00926859" w:rsidP="00926859"/>
        </w:tc>
        <w:tc>
          <w:tcPr>
            <w:tcW w:w="4327" w:type="dxa"/>
          </w:tcPr>
          <w:p w:rsidR="00926859" w:rsidRPr="00926859" w:rsidRDefault="00926859" w:rsidP="00926859"/>
        </w:tc>
      </w:tr>
      <w:tr w:rsidR="00926859" w:rsidRPr="00926859" w:rsidTr="00841E19">
        <w:tc>
          <w:tcPr>
            <w:tcW w:w="1368" w:type="dxa"/>
          </w:tcPr>
          <w:p w:rsidR="00926859" w:rsidRPr="00926859" w:rsidRDefault="00926859" w:rsidP="00926859"/>
        </w:tc>
        <w:tc>
          <w:tcPr>
            <w:tcW w:w="2970" w:type="dxa"/>
          </w:tcPr>
          <w:p w:rsidR="00926859" w:rsidRPr="00926859" w:rsidRDefault="00926859" w:rsidP="00926859">
            <w:pPr>
              <w:rPr>
                <w:lang w:val="en-US"/>
              </w:rPr>
            </w:pPr>
          </w:p>
        </w:tc>
        <w:tc>
          <w:tcPr>
            <w:tcW w:w="1170" w:type="dxa"/>
          </w:tcPr>
          <w:p w:rsidR="00926859" w:rsidRPr="00926859" w:rsidRDefault="00926859" w:rsidP="00926859"/>
        </w:tc>
        <w:tc>
          <w:tcPr>
            <w:tcW w:w="4327" w:type="dxa"/>
          </w:tcPr>
          <w:p w:rsidR="00926859" w:rsidRPr="00926859" w:rsidRDefault="00926859" w:rsidP="00926859"/>
        </w:tc>
      </w:tr>
      <w:tr w:rsidR="00926859" w:rsidRPr="00926859" w:rsidTr="00841E19">
        <w:tc>
          <w:tcPr>
            <w:tcW w:w="1368" w:type="dxa"/>
          </w:tcPr>
          <w:p w:rsidR="00926859" w:rsidRPr="00926859" w:rsidRDefault="00926859" w:rsidP="00926859">
            <w:r w:rsidRPr="00926859">
              <w:t>IN / DANS :</w:t>
            </w:r>
          </w:p>
        </w:tc>
        <w:tc>
          <w:tcPr>
            <w:tcW w:w="2970" w:type="dxa"/>
          </w:tcPr>
          <w:p w:rsidR="00926859" w:rsidRPr="00926859" w:rsidRDefault="00926859" w:rsidP="00926859">
            <w:pPr>
              <w:rPr>
                <w:lang w:val="fr-CA"/>
              </w:rPr>
            </w:pPr>
            <w:r w:rsidRPr="00926859">
              <w:rPr>
                <w:lang w:val="fr-CA"/>
              </w:rPr>
              <w:t>Richard James Goodwin et al.</w:t>
            </w:r>
          </w:p>
          <w:p w:rsidR="00926859" w:rsidRPr="00926859" w:rsidRDefault="00926859" w:rsidP="00926859">
            <w:pPr>
              <w:rPr>
                <w:lang w:val="fr-CA"/>
              </w:rPr>
            </w:pPr>
          </w:p>
          <w:p w:rsidR="00926859" w:rsidRPr="00926859" w:rsidRDefault="00926859" w:rsidP="00926859">
            <w:r w:rsidRPr="00926859">
              <w:rPr>
                <w:lang w:val="fr-CA"/>
              </w:rPr>
              <w:tab/>
            </w:r>
            <w:r w:rsidRPr="00926859">
              <w:t>v. (35864)</w:t>
            </w:r>
          </w:p>
          <w:p w:rsidR="00926859" w:rsidRPr="00926859" w:rsidRDefault="00926859" w:rsidP="00926859"/>
          <w:p w:rsidR="00926859" w:rsidRPr="00926859" w:rsidRDefault="00926859" w:rsidP="00926859">
            <w:r w:rsidRPr="00926859">
              <w:t>British Columbia (Superintendent of Motor Vehicles) et al. (B.C.)</w:t>
            </w:r>
          </w:p>
        </w:tc>
        <w:tc>
          <w:tcPr>
            <w:tcW w:w="1170" w:type="dxa"/>
          </w:tcPr>
          <w:p w:rsidR="00926859" w:rsidRPr="00926859" w:rsidRDefault="00926859" w:rsidP="00926859"/>
        </w:tc>
        <w:tc>
          <w:tcPr>
            <w:tcW w:w="4327" w:type="dxa"/>
          </w:tcPr>
          <w:p w:rsidR="00926859" w:rsidRPr="00926859" w:rsidRDefault="00926859" w:rsidP="00926859"/>
        </w:tc>
      </w:tr>
    </w:tbl>
    <w:p w:rsidR="00926859" w:rsidRPr="00926859" w:rsidRDefault="00926859" w:rsidP="00926859">
      <w:pPr>
        <w:tabs>
          <w:tab w:val="left" w:pos="-1440"/>
          <w:tab w:val="left" w:pos="-720"/>
        </w:tabs>
        <w:jc w:val="both"/>
        <w:rPr>
          <w:rFonts w:eastAsia="Times New Roman" w:cs="Times New Roman"/>
          <w:sz w:val="20"/>
          <w:szCs w:val="20"/>
          <w:lang w:eastAsia="en-CA"/>
        </w:rPr>
      </w:pPr>
    </w:p>
    <w:p w:rsidR="00926859" w:rsidRPr="00926859" w:rsidRDefault="00926859" w:rsidP="00926859">
      <w:pPr>
        <w:tabs>
          <w:tab w:val="left" w:pos="-1440"/>
          <w:tab w:val="left" w:pos="-720"/>
        </w:tabs>
        <w:jc w:val="both"/>
        <w:rPr>
          <w:rFonts w:eastAsia="Times New Roman" w:cs="Times New Roman"/>
          <w:b/>
          <w:sz w:val="20"/>
          <w:szCs w:val="20"/>
          <w:lang w:eastAsia="en-CA"/>
        </w:rPr>
      </w:pPr>
      <w:r w:rsidRPr="00926859">
        <w:rPr>
          <w:rFonts w:eastAsia="Times New Roman" w:cs="Times New Roman"/>
          <w:b/>
          <w:sz w:val="20"/>
          <w:szCs w:val="20"/>
          <w:lang w:eastAsia="en-CA"/>
        </w:rPr>
        <w:t xml:space="preserve">GRANTED / ACCORDÉES  </w:t>
      </w:r>
    </w:p>
    <w:p w:rsidR="00926859" w:rsidRPr="00926859" w:rsidRDefault="00926859" w:rsidP="00926859">
      <w:pPr>
        <w:tabs>
          <w:tab w:val="left" w:pos="-1440"/>
          <w:tab w:val="left" w:pos="-720"/>
        </w:tabs>
        <w:jc w:val="both"/>
        <w:rPr>
          <w:rFonts w:eastAsia="Times New Roman" w:cs="Times New Roman"/>
          <w:sz w:val="20"/>
          <w:szCs w:val="20"/>
          <w:lang w:eastAsia="en-CA"/>
        </w:rPr>
      </w:pP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926859">
        <w:rPr>
          <w:rFonts w:eastAsiaTheme="minorEastAsia" w:cs="Times New Roman"/>
          <w:b/>
          <w:bCs/>
          <w:sz w:val="20"/>
          <w:szCs w:val="20"/>
          <w:lang w:val="en-US"/>
        </w:rPr>
        <w:t xml:space="preserve">UPON APPLICATIONS </w:t>
      </w:r>
      <w:r w:rsidRPr="00926859">
        <w:rPr>
          <w:rFonts w:eastAsiaTheme="minorEastAsia" w:cs="Times New Roman"/>
          <w:sz w:val="20"/>
          <w:szCs w:val="20"/>
          <w:lang w:val="en-US"/>
        </w:rPr>
        <w:t>by the Criminal Lawyers’ Association of Ontario, the Criminal Trial Lawyers’ Association (Alberta) and the Criminal Defence Lawyers Association (Calgary), the British Columbia Civil Liberties Association, the Alberta Registrar of Motor Vehicle Services, the Insurance Bureau of Canada and Mothers Against Drunk Driving Canada for leave to intervene in the above appeal;</w:t>
      </w: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926859">
        <w:rPr>
          <w:rFonts w:eastAsiaTheme="minorEastAsia" w:cs="Times New Roman"/>
          <w:b/>
          <w:bCs/>
          <w:sz w:val="20"/>
          <w:szCs w:val="20"/>
          <w:lang w:val="en-US"/>
        </w:rPr>
        <w:t>AND THE MATERIAL FILED</w:t>
      </w:r>
      <w:r w:rsidRPr="00926859">
        <w:rPr>
          <w:rFonts w:eastAsiaTheme="minorEastAsia" w:cs="Times New Roman"/>
          <w:sz w:val="20"/>
          <w:szCs w:val="20"/>
          <w:lang w:val="en-US"/>
        </w:rPr>
        <w:t xml:space="preserve"> having been read;</w:t>
      </w: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926859">
        <w:rPr>
          <w:rFonts w:eastAsiaTheme="minorEastAsia" w:cs="Times New Roman"/>
          <w:b/>
          <w:bCs/>
          <w:sz w:val="20"/>
          <w:szCs w:val="20"/>
          <w:lang w:val="en-US"/>
        </w:rPr>
        <w:t>IT IS HEREBY ORDERED THAT:</w:t>
      </w: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926859">
        <w:rPr>
          <w:rFonts w:eastAsiaTheme="minorEastAsia" w:cs="Times New Roman"/>
          <w:sz w:val="20"/>
          <w:szCs w:val="20"/>
          <w:lang w:val="en-US"/>
        </w:rPr>
        <w:t xml:space="preserve">The motions for leave to intervene </w:t>
      </w:r>
      <w:r w:rsidRPr="00926859">
        <w:rPr>
          <w:rFonts w:eastAsiaTheme="minorEastAsia" w:cs="Times New Roman"/>
          <w:sz w:val="20"/>
          <w:szCs w:val="20"/>
        </w:rPr>
        <w:t xml:space="preserve">are </w:t>
      </w:r>
      <w:r w:rsidRPr="00926859">
        <w:rPr>
          <w:rFonts w:eastAsiaTheme="minorEastAsia" w:cs="Times New Roman"/>
          <w:sz w:val="20"/>
          <w:szCs w:val="20"/>
          <w:lang w:val="en-US"/>
        </w:rPr>
        <w:t>granted and the said interveners shall be entitled to serve and file a factum not to exceed ten (10) pages in length in this appeal on or before May 5, 2015.</w:t>
      </w: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926859">
        <w:rPr>
          <w:rFonts w:eastAsiaTheme="minorEastAsia" w:cs="Times New Roman"/>
          <w:sz w:val="20"/>
          <w:szCs w:val="20"/>
          <w:lang w:val="en-US"/>
        </w:rPr>
        <w:t>The requests to present oral argument are deferred to a date following receipt and consideration of the written arguments of the parties and the interveners.</w:t>
      </w: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p>
    <w:p w:rsidR="00926859" w:rsidRPr="00556701" w:rsidRDefault="00A26E00" w:rsidP="00556701">
      <w:pPr>
        <w:widowControl w:val="0"/>
        <w:autoSpaceDE w:val="0"/>
        <w:autoSpaceDN w:val="0"/>
        <w:adjustRightInd w:val="0"/>
        <w:spacing w:line="233" w:lineRule="auto"/>
        <w:jc w:val="both"/>
        <w:rPr>
          <w:rFonts w:eastAsiaTheme="minorEastAsia" w:cs="Times New Roman"/>
          <w:sz w:val="20"/>
          <w:szCs w:val="20"/>
          <w:lang w:val="en-US"/>
        </w:rPr>
      </w:pPr>
      <w:r w:rsidRPr="00556701">
        <w:rPr>
          <w:rFonts w:eastAsiaTheme="minorEastAsia" w:cs="Times New Roman"/>
          <w:sz w:val="20"/>
          <w:szCs w:val="20"/>
        </w:rPr>
        <w:fldChar w:fldCharType="begin"/>
      </w:r>
      <w:r w:rsidR="00926859" w:rsidRPr="00556701">
        <w:rPr>
          <w:rFonts w:eastAsiaTheme="minorEastAsia" w:cs="Times New Roman"/>
          <w:sz w:val="20"/>
          <w:szCs w:val="20"/>
        </w:rPr>
        <w:instrText xml:space="preserve"> SEQ CHAPTER \h \r 1</w:instrText>
      </w:r>
      <w:r w:rsidRPr="00556701">
        <w:rPr>
          <w:rFonts w:eastAsiaTheme="minorEastAsia" w:cs="Times New Roman"/>
          <w:sz w:val="20"/>
          <w:szCs w:val="20"/>
        </w:rPr>
        <w:fldChar w:fldCharType="end"/>
      </w:r>
      <w:r w:rsidR="00926859" w:rsidRPr="00556701">
        <w:rPr>
          <w:rFonts w:eastAsiaTheme="minorEastAsia" w:cs="Times New Roman"/>
          <w:bCs/>
          <w:sz w:val="20"/>
          <w:szCs w:val="20"/>
          <w:lang w:val="en-US"/>
        </w:rPr>
        <w:t>The interveners are not entitled to raise new issues or to adduce further evidence or otherwise to supplement the record of the parties.</w:t>
      </w: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926859">
        <w:rPr>
          <w:rFonts w:eastAsiaTheme="minorEastAsia" w:cs="Times New Roman"/>
          <w:sz w:val="20"/>
          <w:szCs w:val="20"/>
          <w:lang w:val="en-US"/>
        </w:rPr>
        <w:t>Pursuant to Rule 59(1)(</w:t>
      </w:r>
      <w:r w:rsidRPr="00926859">
        <w:rPr>
          <w:rFonts w:eastAsiaTheme="minorEastAsia" w:cs="Times New Roman"/>
          <w:i/>
          <w:iCs/>
          <w:sz w:val="20"/>
          <w:szCs w:val="20"/>
          <w:lang w:val="en-US"/>
        </w:rPr>
        <w:t>a</w:t>
      </w:r>
      <w:r w:rsidRPr="00926859">
        <w:rPr>
          <w:rFonts w:eastAsiaTheme="minorEastAsia" w:cs="Times New Roman"/>
          <w:sz w:val="20"/>
          <w:szCs w:val="20"/>
          <w:lang w:val="en-US"/>
        </w:rPr>
        <w:t xml:space="preserve">) of the </w:t>
      </w:r>
      <w:r w:rsidRPr="00926859">
        <w:rPr>
          <w:rFonts w:eastAsiaTheme="minorEastAsia" w:cs="Times New Roman"/>
          <w:i/>
          <w:iCs/>
          <w:sz w:val="20"/>
          <w:szCs w:val="20"/>
          <w:lang w:val="en-US"/>
        </w:rPr>
        <w:t>Rules of the Supreme Court of Canada</w:t>
      </w:r>
      <w:r w:rsidRPr="00926859">
        <w:rPr>
          <w:rFonts w:eastAsiaTheme="minorEastAsia" w:cs="Times New Roman"/>
          <w:sz w:val="20"/>
          <w:szCs w:val="20"/>
          <w:lang w:val="en-US"/>
        </w:rPr>
        <w:t>, the interveners shall pay to the appellants and respondents any additional disbursements occasioned to the appellants and respondents by their interventions.</w:t>
      </w: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926859">
        <w:rPr>
          <w:rFonts w:eastAsiaTheme="minorEastAsia" w:cs="Times New Roman"/>
          <w:b/>
          <w:bCs/>
          <w:sz w:val="20"/>
          <w:szCs w:val="20"/>
          <w:lang w:val="fr-CA"/>
        </w:rPr>
        <w:lastRenderedPageBreak/>
        <w:t xml:space="preserve">À LA SUITE DES DEMANDES </w:t>
      </w:r>
      <w:r w:rsidRPr="00926859">
        <w:rPr>
          <w:rFonts w:eastAsiaTheme="minorEastAsia" w:cs="Times New Roman"/>
          <w:bCs/>
          <w:sz w:val="20"/>
          <w:szCs w:val="20"/>
          <w:lang w:val="fr-CA"/>
        </w:rPr>
        <w:t xml:space="preserve">d’autorisation d’intervenir dans l’appel présentées par la </w:t>
      </w:r>
      <w:r w:rsidRPr="00926859">
        <w:rPr>
          <w:rFonts w:eastAsiaTheme="minorEastAsia" w:cs="Times New Roman"/>
          <w:sz w:val="20"/>
          <w:szCs w:val="20"/>
          <w:lang w:val="fr-CA"/>
        </w:rPr>
        <w:t>Criminal Lawyers’ Association of Ontario, la Criminal Trial Lawyers’ Association (Alberta) et la Criminal Defence Lawyers Association (Calgary), l’Association des libertés civiles de la Colombie-Britannique, les Alberta Registrar of Motor Vehicle Services, le Bureau d’assurance du Canada et Mothers Against Drunk Driving Canada;</w:t>
      </w: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926859">
        <w:rPr>
          <w:rFonts w:eastAsiaTheme="minorEastAsia" w:cs="Times New Roman"/>
          <w:b/>
          <w:bCs/>
          <w:sz w:val="20"/>
          <w:szCs w:val="20"/>
          <w:lang w:val="fr-CA"/>
        </w:rPr>
        <w:t xml:space="preserve">ET APRÈS EXAMEN </w:t>
      </w:r>
      <w:r w:rsidRPr="00926859">
        <w:rPr>
          <w:rFonts w:eastAsiaTheme="minorEastAsia" w:cs="Times New Roman"/>
          <w:bCs/>
          <w:sz w:val="20"/>
          <w:szCs w:val="20"/>
          <w:lang w:val="fr-CA"/>
        </w:rPr>
        <w:t>des documents déposés</w:t>
      </w:r>
      <w:r w:rsidRPr="00926859">
        <w:rPr>
          <w:rFonts w:eastAsiaTheme="minorEastAsia" w:cs="Times New Roman"/>
          <w:sz w:val="20"/>
          <w:szCs w:val="20"/>
          <w:lang w:val="fr-CA"/>
        </w:rPr>
        <w:t>;</w:t>
      </w: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926859">
        <w:rPr>
          <w:rFonts w:eastAsiaTheme="minorEastAsia" w:cs="Times New Roman"/>
          <w:b/>
          <w:bCs/>
          <w:sz w:val="20"/>
          <w:szCs w:val="20"/>
          <w:lang w:val="fr-CA"/>
        </w:rPr>
        <w:t>IL EST ORDONNÉ CE QUI SUIT :</w:t>
      </w: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926859">
        <w:rPr>
          <w:rFonts w:eastAsiaTheme="minorEastAsia" w:cs="Times New Roman"/>
          <w:sz w:val="20"/>
          <w:szCs w:val="20"/>
          <w:lang w:val="fr-CA"/>
        </w:rPr>
        <w:t>Les requêtes en autorisation d’intervenir sont accueillies et chacun de ces intervenants ou groupe d’intervenants pourra signifier et déposer un mémoire d’au plus dix (10) pages au plus tard le 5 mai 2015.</w:t>
      </w: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926859">
        <w:rPr>
          <w:rFonts w:eastAsiaTheme="minorEastAsia" w:cs="Times New Roman"/>
          <w:sz w:val="20"/>
          <w:szCs w:val="20"/>
          <w:lang w:val="fr-CA"/>
        </w:rPr>
        <w:t>La décision sur les demandes en vue de présenter une plaidoirie orale sera rendue après réception et examen des arguments écrits des parties et des intervenants.</w:t>
      </w: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926859" w:rsidRPr="00556701" w:rsidRDefault="00926859" w:rsidP="00556701">
      <w:pPr>
        <w:widowControl w:val="0"/>
        <w:autoSpaceDE w:val="0"/>
        <w:autoSpaceDN w:val="0"/>
        <w:adjustRightInd w:val="0"/>
        <w:spacing w:line="233" w:lineRule="auto"/>
        <w:jc w:val="both"/>
        <w:rPr>
          <w:rFonts w:eastAsiaTheme="minorEastAsia" w:cs="Times New Roman"/>
          <w:sz w:val="20"/>
          <w:szCs w:val="20"/>
          <w:lang w:val="fr-CA"/>
        </w:rPr>
      </w:pPr>
      <w:r w:rsidRPr="00556701">
        <w:rPr>
          <w:rFonts w:eastAsiaTheme="minorEastAsia" w:cs="Times New Roman"/>
          <w:sz w:val="20"/>
          <w:szCs w:val="20"/>
          <w:lang w:val="fr-CA"/>
        </w:rPr>
        <w:t xml:space="preserve">Les intervenants n’ont pas le droit de soulever de nouvelles questions, de produire d’autres éléments de preuve ni de compléter de quelque autre façon le dossier des parties. </w:t>
      </w:r>
      <w:r w:rsidR="00A26E00" w:rsidRPr="00556701">
        <w:rPr>
          <w:rFonts w:eastAsiaTheme="minorEastAsia" w:cs="Times New Roman"/>
          <w:sz w:val="20"/>
          <w:szCs w:val="20"/>
          <w:lang w:val="fr-CA"/>
        </w:rPr>
        <w:fldChar w:fldCharType="begin"/>
      </w:r>
      <w:r w:rsidRPr="00556701">
        <w:rPr>
          <w:rFonts w:eastAsiaTheme="minorEastAsia" w:cs="Times New Roman"/>
          <w:sz w:val="20"/>
          <w:szCs w:val="20"/>
          <w:lang w:val="fr-CA"/>
        </w:rPr>
        <w:instrText xml:space="preserve"> SEQ CHAPTER \h \r 1</w:instrText>
      </w:r>
      <w:r w:rsidR="00A26E00" w:rsidRPr="00556701">
        <w:rPr>
          <w:rFonts w:eastAsiaTheme="minorEastAsia" w:cs="Times New Roman"/>
          <w:sz w:val="20"/>
          <w:szCs w:val="20"/>
          <w:lang w:val="fr-CA"/>
        </w:rPr>
        <w:fldChar w:fldCharType="end"/>
      </w: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926859">
        <w:rPr>
          <w:rFonts w:eastAsiaTheme="minorEastAsia" w:cs="Times New Roman"/>
          <w:sz w:val="20"/>
          <w:szCs w:val="20"/>
          <w:lang w:val="fr-CA"/>
        </w:rPr>
        <w:t>Conformément à l’alinéa 59(1)</w:t>
      </w:r>
      <w:r w:rsidRPr="00926859">
        <w:rPr>
          <w:rFonts w:eastAsiaTheme="minorEastAsia" w:cs="Times New Roman"/>
          <w:i/>
          <w:sz w:val="20"/>
          <w:szCs w:val="20"/>
          <w:lang w:val="fr-CA"/>
        </w:rPr>
        <w:t>a</w:t>
      </w:r>
      <w:r w:rsidRPr="00926859">
        <w:rPr>
          <w:rFonts w:eastAsiaTheme="minorEastAsia" w:cs="Times New Roman"/>
          <w:sz w:val="20"/>
          <w:szCs w:val="20"/>
          <w:lang w:val="fr-CA"/>
        </w:rPr>
        <w:t xml:space="preserve">) des </w:t>
      </w:r>
      <w:r w:rsidRPr="00926859">
        <w:rPr>
          <w:rFonts w:eastAsiaTheme="minorEastAsia" w:cs="Times New Roman"/>
          <w:i/>
          <w:sz w:val="20"/>
          <w:szCs w:val="20"/>
          <w:lang w:val="fr-CA"/>
        </w:rPr>
        <w:t>Règles de la Cour suprême du Canada</w:t>
      </w:r>
      <w:r w:rsidRPr="00926859">
        <w:rPr>
          <w:rFonts w:eastAsiaTheme="minorEastAsia" w:cs="Times New Roman"/>
          <w:sz w:val="20"/>
          <w:szCs w:val="20"/>
          <w:lang w:val="fr-CA"/>
        </w:rPr>
        <w:t>, les intervenants paieront à l’appelant et aux intimés tous débours supplémentaires résultant de leur intervention.</w:t>
      </w:r>
    </w:p>
    <w:p w:rsidR="00926859" w:rsidRPr="00926859" w:rsidRDefault="00926859" w:rsidP="00926859">
      <w:pPr>
        <w:tabs>
          <w:tab w:val="left" w:pos="-1440"/>
          <w:tab w:val="left" w:pos="-720"/>
        </w:tabs>
        <w:jc w:val="both"/>
        <w:rPr>
          <w:rFonts w:eastAsia="Times New Roman" w:cs="Times New Roman"/>
          <w:sz w:val="20"/>
          <w:szCs w:val="20"/>
          <w:lang w:val="fr-CA" w:eastAsia="en-CA"/>
        </w:rPr>
      </w:pPr>
    </w:p>
    <w:p w:rsidR="00926859" w:rsidRPr="00926859" w:rsidRDefault="00417673" w:rsidP="00926859">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87" style="width:2in;height:1pt" o:hrpct="0" o:hralign="center" o:hrstd="t" o:hrnoshade="t" o:hr="t" fillcolor="black [3213]" stroked="f"/>
        </w:pict>
      </w:r>
    </w:p>
    <w:p w:rsidR="00926859" w:rsidRPr="00926859" w:rsidRDefault="00926859" w:rsidP="00926859">
      <w:pPr>
        <w:tabs>
          <w:tab w:val="left" w:pos="-1440"/>
          <w:tab w:val="left" w:pos="-720"/>
        </w:tabs>
        <w:jc w:val="both"/>
        <w:rPr>
          <w:rFonts w:eastAsia="Times New Roman" w:cs="Times New Roman"/>
          <w:sz w:val="20"/>
          <w:szCs w:val="20"/>
          <w:lang w:val="fr-CA" w:eastAsia="en-CA"/>
        </w:rPr>
      </w:pPr>
    </w:p>
    <w:p w:rsidR="00926859" w:rsidRPr="00926859" w:rsidRDefault="00926859" w:rsidP="00926859">
      <w:pPr>
        <w:tabs>
          <w:tab w:val="left" w:pos="-1440"/>
          <w:tab w:val="left" w:pos="-720"/>
        </w:tabs>
        <w:jc w:val="both"/>
        <w:rPr>
          <w:rFonts w:eastAsia="Times New Roman" w:cs="Times New Roman"/>
          <w:sz w:val="20"/>
          <w:szCs w:val="20"/>
          <w:lang w:val="fr-CA" w:eastAsia="en-CA"/>
        </w:rPr>
      </w:pPr>
      <w:r w:rsidRPr="00926859">
        <w:rPr>
          <w:rFonts w:eastAsia="Times New Roman" w:cs="Times New Roman"/>
          <w:sz w:val="20"/>
          <w:szCs w:val="20"/>
          <w:lang w:val="fr-CA" w:eastAsia="en-CA"/>
        </w:rPr>
        <w:t>14.04.2015</w:t>
      </w:r>
    </w:p>
    <w:p w:rsidR="00926859" w:rsidRPr="00926859" w:rsidRDefault="00926859" w:rsidP="00926859">
      <w:pPr>
        <w:tabs>
          <w:tab w:val="left" w:pos="-1440"/>
          <w:tab w:val="left" w:pos="-720"/>
        </w:tabs>
        <w:jc w:val="both"/>
        <w:rPr>
          <w:rFonts w:eastAsia="Times New Roman" w:cs="Times New Roman"/>
          <w:sz w:val="20"/>
          <w:szCs w:val="20"/>
          <w:lang w:val="fr-CA" w:eastAsia="en-CA"/>
        </w:rPr>
      </w:pPr>
    </w:p>
    <w:p w:rsidR="00926859" w:rsidRPr="00926859" w:rsidRDefault="00926859" w:rsidP="00926859">
      <w:pPr>
        <w:tabs>
          <w:tab w:val="left" w:pos="-1440"/>
          <w:tab w:val="left" w:pos="-720"/>
        </w:tabs>
        <w:jc w:val="both"/>
        <w:rPr>
          <w:rFonts w:eastAsia="Times New Roman" w:cs="Times New Roman"/>
          <w:sz w:val="20"/>
          <w:szCs w:val="20"/>
          <w:lang w:val="fr-CA" w:eastAsia="en-CA"/>
        </w:rPr>
      </w:pPr>
      <w:r w:rsidRPr="00926859">
        <w:rPr>
          <w:rFonts w:eastAsia="Times New Roman" w:cs="Times New Roman"/>
          <w:sz w:val="20"/>
          <w:szCs w:val="20"/>
          <w:lang w:val="fr-CA" w:eastAsia="en-CA"/>
        </w:rPr>
        <w:t>Before / Devant:   WAGNER J. / LE JUGE WAGNER</w:t>
      </w:r>
    </w:p>
    <w:p w:rsidR="00926859" w:rsidRPr="00926859" w:rsidRDefault="00926859" w:rsidP="00926859">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926859" w:rsidRPr="00926859" w:rsidTr="00841E19">
        <w:tc>
          <w:tcPr>
            <w:tcW w:w="4338" w:type="dxa"/>
            <w:gridSpan w:val="2"/>
          </w:tcPr>
          <w:p w:rsidR="00926859" w:rsidRPr="00926859" w:rsidRDefault="00926859" w:rsidP="00926859">
            <w:pPr>
              <w:rPr>
                <w:b/>
              </w:rPr>
            </w:pPr>
            <w:r w:rsidRPr="00926859">
              <w:rPr>
                <w:b/>
              </w:rPr>
              <w:t>Motions for leave to intervene</w:t>
            </w:r>
            <w:r w:rsidRPr="00926859">
              <w:rPr>
                <w:lang w:val="en-US"/>
              </w:rPr>
              <w:t xml:space="preserve"> </w:t>
            </w:r>
            <w:r w:rsidR="00A26E00" w:rsidRPr="00926859">
              <w:rPr>
                <w:lang w:val="en-US"/>
              </w:rPr>
              <w:fldChar w:fldCharType="begin"/>
            </w:r>
            <w:r w:rsidRPr="00926859">
              <w:instrText xml:space="preserve"> SEQ CHAPTER \h \r 1</w:instrText>
            </w:r>
            <w:r w:rsidR="00A26E00" w:rsidRPr="00926859">
              <w:rPr>
                <w:lang w:val="en-US"/>
              </w:rPr>
              <w:fldChar w:fldCharType="end"/>
            </w:r>
          </w:p>
        </w:tc>
        <w:tc>
          <w:tcPr>
            <w:tcW w:w="1170" w:type="dxa"/>
          </w:tcPr>
          <w:p w:rsidR="00926859" w:rsidRPr="00926859" w:rsidRDefault="00926859" w:rsidP="00926859"/>
          <w:p w:rsidR="00926859" w:rsidRPr="00926859" w:rsidRDefault="00926859" w:rsidP="00926859"/>
        </w:tc>
        <w:tc>
          <w:tcPr>
            <w:tcW w:w="4327" w:type="dxa"/>
          </w:tcPr>
          <w:p w:rsidR="00926859" w:rsidRPr="00926859" w:rsidRDefault="00926859" w:rsidP="00926859">
            <w:pPr>
              <w:rPr>
                <w:b/>
              </w:rPr>
            </w:pPr>
            <w:r w:rsidRPr="00926859">
              <w:rPr>
                <w:b/>
                <w:bCs/>
                <w:lang w:val="fr-CA"/>
              </w:rPr>
              <w:t>Requêtes en autorisation d’intervenir</w:t>
            </w:r>
            <w:r w:rsidRPr="00926859">
              <w:rPr>
                <w:lang w:val="en-US"/>
              </w:rPr>
              <w:t xml:space="preserve"> </w:t>
            </w:r>
            <w:r w:rsidR="00A26E00" w:rsidRPr="00926859">
              <w:rPr>
                <w:lang w:val="en-US"/>
              </w:rPr>
              <w:fldChar w:fldCharType="begin"/>
            </w:r>
            <w:r w:rsidRPr="00926859">
              <w:instrText xml:space="preserve"> SEQ CHAPTER \h \r 1</w:instrText>
            </w:r>
            <w:r w:rsidR="00A26E00" w:rsidRPr="00926859">
              <w:rPr>
                <w:lang w:val="en-US"/>
              </w:rPr>
              <w:fldChar w:fldCharType="end"/>
            </w:r>
          </w:p>
        </w:tc>
      </w:tr>
      <w:tr w:rsidR="00926859" w:rsidRPr="00926859" w:rsidTr="00841E19">
        <w:trPr>
          <w:trHeight w:hRule="exact" w:val="360"/>
        </w:trPr>
        <w:tc>
          <w:tcPr>
            <w:tcW w:w="1368" w:type="dxa"/>
          </w:tcPr>
          <w:p w:rsidR="00926859" w:rsidRPr="00926859" w:rsidRDefault="00926859" w:rsidP="00926859">
            <w:r w:rsidRPr="00926859">
              <w:t>BY / PAR</w:t>
            </w:r>
          </w:p>
        </w:tc>
        <w:tc>
          <w:tcPr>
            <w:tcW w:w="2970" w:type="dxa"/>
          </w:tcPr>
          <w:p w:rsidR="00926859" w:rsidRPr="00926859" w:rsidRDefault="00926859" w:rsidP="00926859">
            <w:r w:rsidRPr="00926859">
              <w:rPr>
                <w:lang w:val="en-US"/>
              </w:rPr>
              <w:t>Amnesty International Canada;</w:t>
            </w:r>
          </w:p>
        </w:tc>
        <w:tc>
          <w:tcPr>
            <w:tcW w:w="1170" w:type="dxa"/>
          </w:tcPr>
          <w:p w:rsidR="00926859" w:rsidRPr="00926859" w:rsidRDefault="00926859" w:rsidP="00926859"/>
        </w:tc>
        <w:tc>
          <w:tcPr>
            <w:tcW w:w="4327" w:type="dxa"/>
          </w:tcPr>
          <w:p w:rsidR="00926859" w:rsidRPr="00926859" w:rsidRDefault="00926859" w:rsidP="00926859"/>
        </w:tc>
      </w:tr>
      <w:tr w:rsidR="00926859" w:rsidRPr="00926859" w:rsidTr="00841E19">
        <w:trPr>
          <w:trHeight w:hRule="exact" w:val="576"/>
        </w:trPr>
        <w:tc>
          <w:tcPr>
            <w:tcW w:w="1368" w:type="dxa"/>
          </w:tcPr>
          <w:p w:rsidR="00926859" w:rsidRPr="00926859" w:rsidRDefault="00926859" w:rsidP="00926859"/>
        </w:tc>
        <w:tc>
          <w:tcPr>
            <w:tcW w:w="2970" w:type="dxa"/>
          </w:tcPr>
          <w:p w:rsidR="00926859" w:rsidRPr="00926859" w:rsidRDefault="00926859" w:rsidP="00926859">
            <w:pPr>
              <w:rPr>
                <w:lang w:val="en-US"/>
              </w:rPr>
            </w:pPr>
            <w:r w:rsidRPr="00926859">
              <w:rPr>
                <w:lang w:val="en-US"/>
              </w:rPr>
              <w:t>British Columbia Civil Liberties Association;</w:t>
            </w:r>
          </w:p>
        </w:tc>
        <w:tc>
          <w:tcPr>
            <w:tcW w:w="1170" w:type="dxa"/>
          </w:tcPr>
          <w:p w:rsidR="00926859" w:rsidRPr="00926859" w:rsidRDefault="00926859" w:rsidP="00926859"/>
        </w:tc>
        <w:tc>
          <w:tcPr>
            <w:tcW w:w="4327" w:type="dxa"/>
          </w:tcPr>
          <w:p w:rsidR="00926859" w:rsidRPr="00926859" w:rsidRDefault="00926859" w:rsidP="00926859"/>
        </w:tc>
      </w:tr>
      <w:tr w:rsidR="00926859" w:rsidRPr="00926859" w:rsidTr="00841E19">
        <w:trPr>
          <w:trHeight w:hRule="exact" w:val="576"/>
        </w:trPr>
        <w:tc>
          <w:tcPr>
            <w:tcW w:w="1368" w:type="dxa"/>
          </w:tcPr>
          <w:p w:rsidR="00926859" w:rsidRPr="00926859" w:rsidRDefault="00926859" w:rsidP="00926859"/>
        </w:tc>
        <w:tc>
          <w:tcPr>
            <w:tcW w:w="2970" w:type="dxa"/>
          </w:tcPr>
          <w:p w:rsidR="00926859" w:rsidRPr="00926859" w:rsidRDefault="00926859" w:rsidP="00926859">
            <w:pPr>
              <w:rPr>
                <w:lang w:val="en-US"/>
              </w:rPr>
            </w:pPr>
            <w:r w:rsidRPr="00926859">
              <w:rPr>
                <w:lang w:val="en-US"/>
              </w:rPr>
              <w:t>Canadian Civil Liberties Association;</w:t>
            </w:r>
          </w:p>
        </w:tc>
        <w:tc>
          <w:tcPr>
            <w:tcW w:w="1170" w:type="dxa"/>
          </w:tcPr>
          <w:p w:rsidR="00926859" w:rsidRPr="00926859" w:rsidRDefault="00926859" w:rsidP="00926859"/>
        </w:tc>
        <w:tc>
          <w:tcPr>
            <w:tcW w:w="4327" w:type="dxa"/>
          </w:tcPr>
          <w:p w:rsidR="00926859" w:rsidRPr="00926859" w:rsidRDefault="00926859" w:rsidP="00926859"/>
        </w:tc>
      </w:tr>
      <w:tr w:rsidR="00926859" w:rsidRPr="00926859" w:rsidTr="00841E19">
        <w:trPr>
          <w:trHeight w:hRule="exact" w:val="864"/>
        </w:trPr>
        <w:tc>
          <w:tcPr>
            <w:tcW w:w="1368" w:type="dxa"/>
          </w:tcPr>
          <w:p w:rsidR="00926859" w:rsidRPr="00926859" w:rsidRDefault="00926859" w:rsidP="00926859"/>
        </w:tc>
        <w:tc>
          <w:tcPr>
            <w:tcW w:w="2970" w:type="dxa"/>
          </w:tcPr>
          <w:p w:rsidR="00926859" w:rsidRPr="00926859" w:rsidRDefault="00926859" w:rsidP="00926859">
            <w:pPr>
              <w:rPr>
                <w:lang w:val="en-US"/>
              </w:rPr>
            </w:pPr>
            <w:r w:rsidRPr="00926859">
              <w:rPr>
                <w:lang w:val="en-US"/>
              </w:rPr>
              <w:t>Justice for Children and Youth and the Canadian Coalition for the Rights of Children;</w:t>
            </w:r>
          </w:p>
        </w:tc>
        <w:tc>
          <w:tcPr>
            <w:tcW w:w="1170" w:type="dxa"/>
          </w:tcPr>
          <w:p w:rsidR="00926859" w:rsidRPr="00926859" w:rsidRDefault="00926859" w:rsidP="00926859"/>
        </w:tc>
        <w:tc>
          <w:tcPr>
            <w:tcW w:w="4327" w:type="dxa"/>
          </w:tcPr>
          <w:p w:rsidR="00926859" w:rsidRPr="00926859" w:rsidRDefault="00926859" w:rsidP="00926859"/>
        </w:tc>
      </w:tr>
      <w:tr w:rsidR="00926859" w:rsidRPr="00926859" w:rsidTr="00841E19">
        <w:tc>
          <w:tcPr>
            <w:tcW w:w="1368" w:type="dxa"/>
          </w:tcPr>
          <w:p w:rsidR="00926859" w:rsidRPr="00926859" w:rsidRDefault="00926859" w:rsidP="00926859"/>
        </w:tc>
        <w:tc>
          <w:tcPr>
            <w:tcW w:w="2970" w:type="dxa"/>
          </w:tcPr>
          <w:p w:rsidR="00926859" w:rsidRPr="00926859" w:rsidRDefault="00926859" w:rsidP="00926859">
            <w:pPr>
              <w:rPr>
                <w:lang w:val="en-US"/>
              </w:rPr>
            </w:pPr>
          </w:p>
        </w:tc>
        <w:tc>
          <w:tcPr>
            <w:tcW w:w="1170" w:type="dxa"/>
          </w:tcPr>
          <w:p w:rsidR="00926859" w:rsidRPr="00926859" w:rsidRDefault="00926859" w:rsidP="00926859"/>
        </w:tc>
        <w:tc>
          <w:tcPr>
            <w:tcW w:w="4327" w:type="dxa"/>
          </w:tcPr>
          <w:p w:rsidR="00926859" w:rsidRPr="00926859" w:rsidRDefault="00926859" w:rsidP="00926859"/>
        </w:tc>
      </w:tr>
      <w:tr w:rsidR="00926859" w:rsidRPr="00926859" w:rsidTr="00841E19">
        <w:tc>
          <w:tcPr>
            <w:tcW w:w="1368" w:type="dxa"/>
          </w:tcPr>
          <w:p w:rsidR="00926859" w:rsidRPr="00926859" w:rsidRDefault="00926859" w:rsidP="00926859">
            <w:r w:rsidRPr="00926859">
              <w:t>IN / DANS :</w:t>
            </w:r>
          </w:p>
        </w:tc>
        <w:tc>
          <w:tcPr>
            <w:tcW w:w="2970" w:type="dxa"/>
          </w:tcPr>
          <w:p w:rsidR="00926859" w:rsidRPr="00926859" w:rsidRDefault="00926859" w:rsidP="00926859">
            <w:r w:rsidRPr="00926859">
              <w:t>Kelly Hartle, Warden of the Edmonton Institution et al.</w:t>
            </w:r>
          </w:p>
          <w:p w:rsidR="00926859" w:rsidRPr="00926859" w:rsidRDefault="00926859" w:rsidP="00926859"/>
          <w:p w:rsidR="00926859" w:rsidRPr="00926859" w:rsidRDefault="00926859" w:rsidP="00926859">
            <w:r w:rsidRPr="00926859">
              <w:tab/>
              <w:t>v. (36081)</w:t>
            </w:r>
          </w:p>
          <w:p w:rsidR="00926859" w:rsidRPr="00926859" w:rsidRDefault="00926859" w:rsidP="00926859"/>
          <w:p w:rsidR="00926859" w:rsidRPr="00926859" w:rsidRDefault="00926859" w:rsidP="00926859">
            <w:r w:rsidRPr="00926859">
              <w:t>Omar Ahmed Khadr (Alta.)</w:t>
            </w:r>
          </w:p>
        </w:tc>
        <w:tc>
          <w:tcPr>
            <w:tcW w:w="1170" w:type="dxa"/>
          </w:tcPr>
          <w:p w:rsidR="00926859" w:rsidRPr="00926859" w:rsidRDefault="00926859" w:rsidP="00926859"/>
        </w:tc>
        <w:tc>
          <w:tcPr>
            <w:tcW w:w="4327" w:type="dxa"/>
          </w:tcPr>
          <w:p w:rsidR="00926859" w:rsidRPr="00926859" w:rsidRDefault="00926859" w:rsidP="00926859"/>
        </w:tc>
      </w:tr>
    </w:tbl>
    <w:p w:rsidR="00926859" w:rsidRPr="00926859" w:rsidRDefault="00926859" w:rsidP="00926859">
      <w:pPr>
        <w:tabs>
          <w:tab w:val="left" w:pos="-1440"/>
          <w:tab w:val="left" w:pos="-720"/>
        </w:tabs>
        <w:jc w:val="both"/>
        <w:rPr>
          <w:rFonts w:eastAsia="Times New Roman" w:cs="Times New Roman"/>
          <w:sz w:val="20"/>
          <w:szCs w:val="20"/>
          <w:lang w:eastAsia="en-CA"/>
        </w:rPr>
      </w:pPr>
    </w:p>
    <w:p w:rsidR="00926859" w:rsidRPr="00926859" w:rsidRDefault="00926859" w:rsidP="00926859">
      <w:pPr>
        <w:tabs>
          <w:tab w:val="left" w:pos="-1440"/>
          <w:tab w:val="left" w:pos="-720"/>
        </w:tabs>
        <w:jc w:val="both"/>
        <w:rPr>
          <w:rFonts w:eastAsia="Times New Roman" w:cs="Times New Roman"/>
          <w:sz w:val="20"/>
          <w:szCs w:val="20"/>
          <w:lang w:val="en-US" w:eastAsia="en-CA"/>
        </w:rPr>
      </w:pPr>
      <w:r w:rsidRPr="00926859">
        <w:rPr>
          <w:rFonts w:eastAsia="Times New Roman" w:cs="Times New Roman"/>
          <w:b/>
          <w:sz w:val="20"/>
          <w:szCs w:val="20"/>
          <w:lang w:val="en-US" w:eastAsia="en-CA"/>
        </w:rPr>
        <w:t>DISMISSED / REJETÉE</w:t>
      </w:r>
    </w:p>
    <w:p w:rsidR="00926859" w:rsidRPr="00926859" w:rsidRDefault="00926859" w:rsidP="00926859">
      <w:pPr>
        <w:tabs>
          <w:tab w:val="left" w:pos="-1440"/>
          <w:tab w:val="left" w:pos="-720"/>
        </w:tabs>
        <w:jc w:val="both"/>
        <w:rPr>
          <w:rFonts w:eastAsia="Times New Roman" w:cs="Times New Roman"/>
          <w:sz w:val="20"/>
          <w:szCs w:val="20"/>
          <w:lang w:val="en-US" w:eastAsia="en-CA"/>
        </w:rPr>
      </w:pP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rPr>
      </w:pPr>
      <w:r w:rsidRPr="00926859">
        <w:rPr>
          <w:rFonts w:eastAsiaTheme="minorEastAsia" w:cs="Times New Roman"/>
          <w:b/>
          <w:bCs/>
          <w:sz w:val="20"/>
          <w:szCs w:val="20"/>
          <w:lang w:val="en-US"/>
        </w:rPr>
        <w:t xml:space="preserve">UPON APPLICATIONS </w:t>
      </w:r>
      <w:r w:rsidRPr="00926859">
        <w:rPr>
          <w:rFonts w:eastAsiaTheme="minorEastAsia" w:cs="Times New Roman"/>
          <w:sz w:val="20"/>
          <w:szCs w:val="20"/>
          <w:lang w:val="en-US"/>
        </w:rPr>
        <w:t>by Amnesty International Canada, the British Columbia Civil Liberties Association, the Canadian Civil Liberties Association and Justice for Children and Youth and the Canadian Coalition for the Rights of Children for leave to intervene in the above appeal;</w:t>
      </w: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rPr>
      </w:pP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926859">
        <w:rPr>
          <w:rFonts w:eastAsiaTheme="minorEastAsia" w:cs="Times New Roman"/>
          <w:b/>
          <w:bCs/>
          <w:sz w:val="20"/>
          <w:szCs w:val="20"/>
          <w:lang w:val="en-US"/>
        </w:rPr>
        <w:t>AND THE MATERIAL FILED</w:t>
      </w:r>
      <w:r w:rsidRPr="00926859">
        <w:rPr>
          <w:rFonts w:eastAsiaTheme="minorEastAsia" w:cs="Times New Roman"/>
          <w:sz w:val="20"/>
          <w:szCs w:val="20"/>
          <w:lang w:val="en-US"/>
        </w:rPr>
        <w:t xml:space="preserve"> having been read;</w:t>
      </w: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rPr>
          <w:rFonts w:eastAsiaTheme="minorEastAsia" w:cs="Times New Roman"/>
          <w:sz w:val="20"/>
          <w:szCs w:val="20"/>
          <w:lang w:val="en-US"/>
        </w:rPr>
      </w:pPr>
    </w:p>
    <w:p w:rsidR="00926859" w:rsidRDefault="00926859">
      <w:pPr>
        <w:rPr>
          <w:rFonts w:eastAsiaTheme="minorEastAsia" w:cs="Times New Roman"/>
          <w:b/>
          <w:bCs/>
          <w:sz w:val="20"/>
          <w:szCs w:val="20"/>
          <w:lang w:val="en-US"/>
        </w:rPr>
      </w:pPr>
      <w:r>
        <w:rPr>
          <w:rFonts w:eastAsiaTheme="minorEastAsia" w:cs="Times New Roman"/>
          <w:b/>
          <w:bCs/>
          <w:sz w:val="20"/>
          <w:szCs w:val="20"/>
          <w:lang w:val="en-US"/>
        </w:rPr>
        <w:br w:type="page"/>
      </w: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926859">
        <w:rPr>
          <w:rFonts w:eastAsiaTheme="minorEastAsia" w:cs="Times New Roman"/>
          <w:b/>
          <w:bCs/>
          <w:sz w:val="20"/>
          <w:szCs w:val="20"/>
          <w:lang w:val="en-US"/>
        </w:rPr>
        <w:lastRenderedPageBreak/>
        <w:t>IT IS HEREBY ORDERED THAT:</w:t>
      </w: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926859">
        <w:rPr>
          <w:rFonts w:eastAsiaTheme="minorEastAsia" w:cs="Times New Roman"/>
          <w:sz w:val="20"/>
          <w:szCs w:val="20"/>
          <w:lang w:val="en-US"/>
        </w:rPr>
        <w:t>The motions for leave to intervene of Amnesty International Canada and the Canadian Civil Liberties Association are granted and the said interveners shall be entitled to each serve and file a factum not exceeding ten (10) pages in length on or before April 30, 2015.</w:t>
      </w: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926859">
        <w:rPr>
          <w:rFonts w:eastAsiaTheme="minorEastAsia" w:cs="Times New Roman"/>
          <w:sz w:val="20"/>
          <w:szCs w:val="20"/>
          <w:lang w:val="en-US"/>
        </w:rPr>
        <w:t>The motions for leave to intervene by the British Columbia Civil Liberties Association and Justice for Children and Youth and the Canadian Coalition for the Rights of Children are dismissed.</w:t>
      </w: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926859">
        <w:rPr>
          <w:rFonts w:eastAsiaTheme="minorEastAsia" w:cs="Times New Roman"/>
          <w:sz w:val="20"/>
          <w:szCs w:val="20"/>
          <w:lang w:val="en-US"/>
        </w:rPr>
        <w:t>The requests to present oral argument are deferred to a date following receipt and consideration of the written arguments of the parties and the interveners.</w:t>
      </w: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p>
    <w:p w:rsidR="00926859" w:rsidRPr="00556701" w:rsidRDefault="00926859" w:rsidP="00556701">
      <w:pPr>
        <w:widowControl w:val="0"/>
        <w:autoSpaceDE w:val="0"/>
        <w:autoSpaceDN w:val="0"/>
        <w:adjustRightInd w:val="0"/>
        <w:spacing w:line="233" w:lineRule="auto"/>
        <w:jc w:val="both"/>
        <w:rPr>
          <w:rFonts w:eastAsiaTheme="minorEastAsia" w:cs="Times New Roman"/>
          <w:sz w:val="20"/>
          <w:szCs w:val="20"/>
          <w:lang w:val="en-US"/>
        </w:rPr>
      </w:pPr>
      <w:r w:rsidRPr="00556701">
        <w:rPr>
          <w:rFonts w:eastAsiaTheme="minorEastAsia" w:cs="Times New Roman"/>
          <w:sz w:val="20"/>
          <w:szCs w:val="20"/>
          <w:lang w:val="en-US"/>
        </w:rPr>
        <w:t xml:space="preserve">The interveners are not entitled to raise new issues or to adduce further evidence or otherwise to supplement the record of the parties. </w:t>
      </w: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926859">
        <w:rPr>
          <w:rFonts w:eastAsiaTheme="minorEastAsia" w:cs="Times New Roman"/>
          <w:sz w:val="20"/>
          <w:szCs w:val="20"/>
          <w:lang w:val="en-US"/>
        </w:rPr>
        <w:t>Pursuant to Rule 59(1)(</w:t>
      </w:r>
      <w:r w:rsidRPr="00926859">
        <w:rPr>
          <w:rFonts w:eastAsiaTheme="minorEastAsia" w:cs="Times New Roman"/>
          <w:i/>
          <w:iCs/>
          <w:sz w:val="20"/>
          <w:szCs w:val="20"/>
          <w:lang w:val="en-US"/>
        </w:rPr>
        <w:t>a</w:t>
      </w:r>
      <w:r w:rsidRPr="00926859">
        <w:rPr>
          <w:rFonts w:eastAsiaTheme="minorEastAsia" w:cs="Times New Roman"/>
          <w:sz w:val="20"/>
          <w:szCs w:val="20"/>
          <w:lang w:val="en-US"/>
        </w:rPr>
        <w:t xml:space="preserve">) of the </w:t>
      </w:r>
      <w:r w:rsidRPr="00926859">
        <w:rPr>
          <w:rFonts w:eastAsiaTheme="minorEastAsia" w:cs="Times New Roman"/>
          <w:i/>
          <w:iCs/>
          <w:sz w:val="20"/>
          <w:szCs w:val="20"/>
          <w:lang w:val="en-US"/>
        </w:rPr>
        <w:t>Rules of the Supreme Court of Canada</w:t>
      </w:r>
      <w:r w:rsidRPr="00926859">
        <w:rPr>
          <w:rFonts w:eastAsiaTheme="minorEastAsia" w:cs="Times New Roman"/>
          <w:sz w:val="20"/>
          <w:szCs w:val="20"/>
          <w:lang w:val="en-US"/>
        </w:rPr>
        <w:t>, the interveners shall pay to the appellants and respondent any additional disbursements occasioned to the appellants and respondent by their intervention.</w:t>
      </w: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926859">
        <w:rPr>
          <w:rFonts w:eastAsiaTheme="minorEastAsia" w:cs="Times New Roman"/>
          <w:sz w:val="20"/>
          <w:szCs w:val="20"/>
          <w:lang w:val="en-US"/>
        </w:rPr>
        <w:t>The appellants and the respondent are permitted to serve and file a factum not exceeding five (5) pages in reply to these interventions on or before May 7, 2015</w:t>
      </w: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926859">
        <w:rPr>
          <w:rFonts w:eastAsiaTheme="minorEastAsia" w:cs="Times New Roman"/>
          <w:b/>
          <w:bCs/>
          <w:sz w:val="20"/>
          <w:szCs w:val="20"/>
          <w:lang w:val="fr-CA"/>
        </w:rPr>
        <w:t xml:space="preserve">À LA SUITE DES DEMANDES </w:t>
      </w:r>
      <w:r w:rsidRPr="00926859">
        <w:rPr>
          <w:rFonts w:eastAsiaTheme="minorEastAsia" w:cs="Times New Roman"/>
          <w:bCs/>
          <w:sz w:val="20"/>
          <w:szCs w:val="20"/>
          <w:lang w:val="fr-CA"/>
        </w:rPr>
        <w:t xml:space="preserve">d’autorisation d’intervenir dans l’appel présentées par </w:t>
      </w:r>
      <w:r w:rsidRPr="00926859">
        <w:rPr>
          <w:rFonts w:eastAsiaTheme="minorEastAsia" w:cs="Times New Roman"/>
          <w:sz w:val="20"/>
          <w:szCs w:val="20"/>
          <w:lang w:val="fr-CA"/>
        </w:rPr>
        <w:t>Amnesty International Canada, l’Association des libertés civiles de la Colombie-Britannique, l’Association canadienne des libertés civiles et Justice for Children and Youth et la Coalition canadienne pour les droits des enfants;</w:t>
      </w: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926859">
        <w:rPr>
          <w:rFonts w:eastAsiaTheme="minorEastAsia" w:cs="Times New Roman"/>
          <w:b/>
          <w:bCs/>
          <w:sz w:val="20"/>
          <w:szCs w:val="20"/>
          <w:lang w:val="fr-CA"/>
        </w:rPr>
        <w:t>ET APRÈS EXAMEN</w:t>
      </w:r>
      <w:r w:rsidRPr="00926859">
        <w:rPr>
          <w:rFonts w:eastAsiaTheme="minorEastAsia" w:cs="Times New Roman"/>
          <w:sz w:val="20"/>
          <w:szCs w:val="20"/>
          <w:lang w:val="fr-CA"/>
        </w:rPr>
        <w:t xml:space="preserve"> des documents déposés;</w:t>
      </w: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center"/>
        <w:rPr>
          <w:rFonts w:eastAsiaTheme="minorEastAsia" w:cs="Times New Roman"/>
          <w:sz w:val="20"/>
          <w:szCs w:val="20"/>
          <w:lang w:val="fr-CA"/>
        </w:rPr>
      </w:pP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926859">
        <w:rPr>
          <w:rFonts w:eastAsiaTheme="minorEastAsia" w:cs="Times New Roman"/>
          <w:b/>
          <w:bCs/>
          <w:sz w:val="20"/>
          <w:szCs w:val="20"/>
          <w:lang w:val="fr-CA"/>
        </w:rPr>
        <w:t>IL EST ORDONNÉ CE QUI SUIT :</w:t>
      </w: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926859">
        <w:rPr>
          <w:rFonts w:eastAsiaTheme="minorEastAsia" w:cs="Times New Roman"/>
          <w:sz w:val="20"/>
          <w:szCs w:val="20"/>
          <w:lang w:val="fr-CA"/>
        </w:rPr>
        <w:t>Les requêtes en autorisation d’intervenir d’Amnesty International Canada et de l’Association canadienne des libertés civiles sont accueillies et les intervenants pourront signifier et déposer un mémoire d’au plus dix (10) pages au plus tard le 30 avril 2015.</w:t>
      </w: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926859">
        <w:rPr>
          <w:rFonts w:eastAsiaTheme="minorEastAsia" w:cs="Times New Roman"/>
          <w:sz w:val="20"/>
          <w:szCs w:val="20"/>
          <w:lang w:val="fr-CA"/>
        </w:rPr>
        <w:t>Les requêtes en autorisation d’intervenir présentées par l’Association des libertés civiles de la Colombie-Britannique et de Justice for Children and Youth et la Canadian Coalition for the Rights of Children sont rejetées.</w:t>
      </w: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926859">
        <w:rPr>
          <w:rFonts w:eastAsiaTheme="minorEastAsia" w:cs="Times New Roman"/>
          <w:sz w:val="20"/>
          <w:szCs w:val="20"/>
          <w:lang w:val="fr-CA"/>
        </w:rPr>
        <w:t>La décision sur les demandes en vue de présenter une plaidoirie orale sera rendue après réception et examen des arguments écrits des parties et des intervenants.</w:t>
      </w: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926859" w:rsidRPr="00556701" w:rsidRDefault="00926859" w:rsidP="00556701">
      <w:pPr>
        <w:widowControl w:val="0"/>
        <w:autoSpaceDE w:val="0"/>
        <w:autoSpaceDN w:val="0"/>
        <w:adjustRightInd w:val="0"/>
        <w:spacing w:line="233" w:lineRule="auto"/>
        <w:jc w:val="both"/>
        <w:rPr>
          <w:rFonts w:eastAsiaTheme="minorEastAsia" w:cs="Times New Roman"/>
          <w:sz w:val="20"/>
          <w:szCs w:val="20"/>
          <w:lang w:val="fr-CA"/>
        </w:rPr>
      </w:pPr>
      <w:r w:rsidRPr="00556701">
        <w:rPr>
          <w:rFonts w:eastAsiaTheme="minorEastAsia" w:cs="Times New Roman"/>
          <w:sz w:val="20"/>
          <w:szCs w:val="20"/>
          <w:lang w:val="fr-CA"/>
        </w:rPr>
        <w:t xml:space="preserve">Les intervenants n’ont pas le droit de soulever de nouvelles questions, de produire d’autres éléments de preuve ni de compléter de quelque autre façon le dossier des parties. </w:t>
      </w: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926859">
        <w:rPr>
          <w:rFonts w:eastAsiaTheme="minorEastAsia" w:cs="Times New Roman"/>
          <w:sz w:val="20"/>
          <w:szCs w:val="20"/>
          <w:lang w:val="fr-CA"/>
        </w:rPr>
        <w:t>Conformément à l’alinéa 59(1)</w:t>
      </w:r>
      <w:r w:rsidRPr="00926859">
        <w:rPr>
          <w:rFonts w:eastAsiaTheme="minorEastAsia" w:cs="Times New Roman"/>
          <w:i/>
          <w:sz w:val="20"/>
          <w:szCs w:val="20"/>
          <w:lang w:val="fr-CA"/>
        </w:rPr>
        <w:t>a</w:t>
      </w:r>
      <w:r w:rsidRPr="00926859">
        <w:rPr>
          <w:rFonts w:eastAsiaTheme="minorEastAsia" w:cs="Times New Roman"/>
          <w:sz w:val="20"/>
          <w:szCs w:val="20"/>
          <w:lang w:val="fr-CA"/>
        </w:rPr>
        <w:t xml:space="preserve">) des </w:t>
      </w:r>
      <w:r w:rsidRPr="00926859">
        <w:rPr>
          <w:rFonts w:eastAsiaTheme="minorEastAsia" w:cs="Times New Roman"/>
          <w:i/>
          <w:sz w:val="20"/>
          <w:szCs w:val="20"/>
          <w:lang w:val="fr-CA"/>
        </w:rPr>
        <w:t>Règles de la Cour suprême du Canada</w:t>
      </w:r>
      <w:r w:rsidRPr="00926859">
        <w:rPr>
          <w:rFonts w:eastAsiaTheme="minorEastAsia" w:cs="Times New Roman"/>
          <w:sz w:val="20"/>
          <w:szCs w:val="20"/>
          <w:lang w:val="fr-CA"/>
        </w:rPr>
        <w:t>, les intervenants paieront aux appelants et à l’intimé tous débours supplémentaires résultant de leur intervention.</w:t>
      </w: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926859" w:rsidRPr="00926859" w:rsidRDefault="00926859" w:rsidP="009268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926859">
        <w:rPr>
          <w:rFonts w:eastAsiaTheme="minorEastAsia" w:cs="Times New Roman"/>
          <w:sz w:val="20"/>
          <w:szCs w:val="20"/>
          <w:lang w:val="fr-CA"/>
        </w:rPr>
        <w:t xml:space="preserve">Les appelants et l’intimé pourront signifier et déposer un mémoire en réplique aux interventions d’au plus cinq (5) pages au plus tard le 7 mai 2015. </w:t>
      </w:r>
    </w:p>
    <w:p w:rsidR="00926859" w:rsidRPr="00926859" w:rsidRDefault="00926859" w:rsidP="00926859">
      <w:pPr>
        <w:tabs>
          <w:tab w:val="left" w:pos="-1440"/>
          <w:tab w:val="left" w:pos="-720"/>
        </w:tabs>
        <w:jc w:val="both"/>
        <w:rPr>
          <w:rFonts w:eastAsia="Times New Roman" w:cs="Times New Roman"/>
          <w:sz w:val="20"/>
          <w:szCs w:val="20"/>
          <w:lang w:val="fr-CA" w:eastAsia="en-CA"/>
        </w:rPr>
      </w:pPr>
    </w:p>
    <w:p w:rsidR="00926859" w:rsidRPr="00926859" w:rsidRDefault="00417673" w:rsidP="00926859">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88" style="width:2in;height:1pt" o:hrpct="0" o:hralign="center" o:hrstd="t" o:hrnoshade="t" o:hr="t" fillcolor="black [3213]" stroked="f"/>
        </w:pict>
      </w:r>
    </w:p>
    <w:p w:rsidR="00926859" w:rsidRPr="00926859" w:rsidRDefault="00926859" w:rsidP="00926859">
      <w:pPr>
        <w:tabs>
          <w:tab w:val="left" w:pos="-1440"/>
          <w:tab w:val="left" w:pos="-720"/>
        </w:tabs>
        <w:jc w:val="both"/>
        <w:rPr>
          <w:rFonts w:eastAsia="Times New Roman" w:cs="Times New Roman"/>
          <w:sz w:val="20"/>
          <w:szCs w:val="20"/>
          <w:lang w:val="fr-CA" w:eastAsia="en-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95"/>
          <w:headerReference w:type="default" r:id="rId96"/>
          <w:footerReference w:type="even" r:id="rId97"/>
          <w:footerReference w:type="default" r:id="rId98"/>
          <w:headerReference w:type="first" r:id="rId99"/>
          <w:footerReference w:type="first" r:id="rId100"/>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584913"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Pr="003B3977" w:rsidRDefault="0086340B" w:rsidP="005F1ED8">
            <w:pPr>
              <w:rPr>
                <w:sz w:val="20"/>
                <w:szCs w:val="20"/>
              </w:rPr>
            </w:pPr>
            <w:r>
              <w:rPr>
                <w:sz w:val="20"/>
                <w:szCs w:val="20"/>
              </w:rPr>
              <w:t>1</w:t>
            </w:r>
            <w:r w:rsidR="00463ECB">
              <w:rPr>
                <w:sz w:val="20"/>
                <w:szCs w:val="20"/>
              </w:rPr>
              <w:t>5</w:t>
            </w:r>
            <w:r w:rsidRPr="003B3977">
              <w:rPr>
                <w:sz w:val="20"/>
                <w:szCs w:val="20"/>
              </w:rPr>
              <w:t>.</w:t>
            </w:r>
            <w:r w:rsidR="00463ECB">
              <w:rPr>
                <w:sz w:val="20"/>
                <w:szCs w:val="20"/>
              </w:rPr>
              <w:t>04</w:t>
            </w:r>
            <w:r w:rsidRPr="003B3977">
              <w:rPr>
                <w:sz w:val="20"/>
                <w:szCs w:val="20"/>
              </w:rPr>
              <w:t>.201</w:t>
            </w:r>
            <w:r w:rsidR="00463ECB">
              <w:rPr>
                <w:sz w:val="20"/>
                <w:szCs w:val="20"/>
              </w:rPr>
              <w:t>5</w:t>
            </w:r>
          </w:p>
          <w:p w:rsidR="0086340B" w:rsidRPr="003B3977" w:rsidRDefault="0086340B" w:rsidP="005F1ED8">
            <w:pPr>
              <w:rPr>
                <w:sz w:val="20"/>
                <w:szCs w:val="20"/>
              </w:rPr>
            </w:pPr>
          </w:p>
          <w:p w:rsidR="0086340B" w:rsidRDefault="00463ECB" w:rsidP="005F1ED8">
            <w:pPr>
              <w:rPr>
                <w:b/>
                <w:sz w:val="20"/>
                <w:szCs w:val="20"/>
              </w:rPr>
            </w:pPr>
            <w:r w:rsidRPr="00463ECB">
              <w:rPr>
                <w:b/>
                <w:sz w:val="20"/>
                <w:szCs w:val="20"/>
              </w:rPr>
              <w:t>Ronald Hondus</w:t>
            </w:r>
            <w:r>
              <w:rPr>
                <w:b/>
                <w:sz w:val="20"/>
                <w:szCs w:val="20"/>
              </w:rPr>
              <w:t xml:space="preserve"> Jennings</w:t>
            </w:r>
          </w:p>
          <w:p w:rsidR="00463ECB" w:rsidRPr="003B3977" w:rsidRDefault="00463ECB" w:rsidP="005F1ED8">
            <w:pPr>
              <w:rPr>
                <w:b/>
                <w:sz w:val="20"/>
                <w:szCs w:val="20"/>
              </w:rPr>
            </w:pPr>
          </w:p>
          <w:p w:rsidR="0086340B" w:rsidRPr="003B3977" w:rsidRDefault="0086340B" w:rsidP="005F1ED8">
            <w:pPr>
              <w:rPr>
                <w:b/>
                <w:sz w:val="20"/>
                <w:szCs w:val="20"/>
              </w:rPr>
            </w:pPr>
            <w:r w:rsidRPr="003B3977">
              <w:rPr>
                <w:b/>
                <w:sz w:val="20"/>
                <w:szCs w:val="20"/>
              </w:rPr>
              <w:tab/>
              <w:t>v. (</w:t>
            </w:r>
            <w:r w:rsidR="00463ECB">
              <w:rPr>
                <w:b/>
                <w:sz w:val="20"/>
                <w:szCs w:val="20"/>
              </w:rPr>
              <w:t>36394</w:t>
            </w:r>
            <w:r w:rsidRPr="003B3977">
              <w:rPr>
                <w:b/>
                <w:sz w:val="20"/>
                <w:szCs w:val="20"/>
              </w:rPr>
              <w:t>)</w:t>
            </w:r>
          </w:p>
          <w:p w:rsidR="0086340B" w:rsidRPr="003B3977" w:rsidRDefault="0086340B" w:rsidP="005F1ED8">
            <w:pPr>
              <w:rPr>
                <w:b/>
                <w:sz w:val="20"/>
                <w:szCs w:val="20"/>
              </w:rPr>
            </w:pPr>
          </w:p>
          <w:p w:rsidR="0086340B" w:rsidRPr="003B3977" w:rsidRDefault="00463ECB" w:rsidP="005F1ED8">
            <w:pPr>
              <w:rPr>
                <w:b/>
                <w:sz w:val="20"/>
                <w:szCs w:val="20"/>
              </w:rPr>
            </w:pPr>
            <w:r w:rsidRPr="00463ECB">
              <w:rPr>
                <w:b/>
                <w:sz w:val="20"/>
                <w:szCs w:val="20"/>
              </w:rPr>
              <w:t>Her Majesty the Queen</w:t>
            </w:r>
            <w:r w:rsidR="0086340B" w:rsidRPr="003B3977">
              <w:rPr>
                <w:b/>
                <w:sz w:val="20"/>
                <w:szCs w:val="20"/>
              </w:rPr>
              <w:t xml:space="preserve"> (</w:t>
            </w:r>
            <w:r>
              <w:rPr>
                <w:b/>
                <w:sz w:val="20"/>
                <w:szCs w:val="20"/>
              </w:rPr>
              <w:t>N.B</w:t>
            </w:r>
            <w:r w:rsidR="0086340B" w:rsidRPr="003B3977">
              <w:rPr>
                <w:b/>
                <w:sz w:val="20"/>
                <w:szCs w:val="20"/>
              </w:rPr>
              <w:t>.)</w:t>
            </w:r>
          </w:p>
          <w:p w:rsidR="0086340B" w:rsidRPr="003B3977" w:rsidRDefault="0086340B" w:rsidP="005F1ED8">
            <w:pPr>
              <w:rPr>
                <w:sz w:val="20"/>
                <w:szCs w:val="20"/>
              </w:rPr>
            </w:pPr>
          </w:p>
          <w:p w:rsidR="0086340B" w:rsidRPr="003B3977" w:rsidRDefault="0086340B" w:rsidP="005F1ED8">
            <w:pPr>
              <w:rPr>
                <w:sz w:val="20"/>
                <w:szCs w:val="20"/>
              </w:rPr>
            </w:pPr>
            <w:r w:rsidRPr="003B3977">
              <w:rPr>
                <w:sz w:val="20"/>
                <w:szCs w:val="20"/>
              </w:rPr>
              <w:t>(</w:t>
            </w:r>
            <w:r w:rsidR="00463ECB">
              <w:rPr>
                <w:sz w:val="20"/>
                <w:szCs w:val="20"/>
              </w:rPr>
              <w:t>As of Right</w:t>
            </w:r>
            <w:r w:rsidRPr="003B3977">
              <w:rPr>
                <w:sz w:val="20"/>
                <w:szCs w:val="20"/>
              </w:rPr>
              <w:t>)</w:t>
            </w:r>
          </w:p>
          <w:p w:rsidR="0086340B" w:rsidRPr="003B3977" w:rsidRDefault="0086340B" w:rsidP="005F1ED8">
            <w:pPr>
              <w:rPr>
                <w:sz w:val="20"/>
                <w:szCs w:val="20"/>
              </w:rPr>
            </w:pPr>
          </w:p>
          <w:p w:rsidR="0086340B" w:rsidRPr="003B3977" w:rsidRDefault="00417673" w:rsidP="005F1ED8">
            <w:pPr>
              <w:rPr>
                <w:sz w:val="20"/>
                <w:szCs w:val="20"/>
                <w:lang w:val="fr-CA"/>
              </w:rPr>
            </w:pPr>
            <w:r>
              <w:rPr>
                <w:sz w:val="20"/>
                <w:szCs w:val="20"/>
                <w:lang w:val="fr-CA"/>
              </w:rPr>
              <w:pict>
                <v:rect id="_x0000_i1091"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3B3977" w:rsidRDefault="0086340B" w:rsidP="005F1ED8">
            <w:pPr>
              <w:rPr>
                <w:sz w:val="20"/>
                <w:szCs w:val="20"/>
              </w:rPr>
            </w:pPr>
          </w:p>
        </w:tc>
      </w:tr>
    </w:tbl>
    <w:p w:rsidR="00F40249" w:rsidRDefault="00F40249" w:rsidP="00F40249">
      <w:pPr>
        <w:rPr>
          <w:sz w:val="20"/>
          <w:szCs w:val="20"/>
        </w:rPr>
      </w:pPr>
    </w:p>
    <w:p w:rsidR="00463ECB" w:rsidRDefault="00463ECB" w:rsidP="00F40249">
      <w:pPr>
        <w:rPr>
          <w:sz w:val="20"/>
          <w:szCs w:val="20"/>
        </w:rPr>
      </w:pPr>
    </w:p>
    <w:p w:rsidR="00463ECB" w:rsidRDefault="00463ECB" w:rsidP="00F40249">
      <w:pPr>
        <w:rPr>
          <w:sz w:val="20"/>
          <w:szCs w:val="20"/>
        </w:rPr>
      </w:pPr>
    </w:p>
    <w:p w:rsidR="00463ECB" w:rsidRDefault="00463ECB"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101"/>
          <w:headerReference w:type="default" r:id="rId102"/>
          <w:footerReference w:type="even" r:id="rId103"/>
          <w:footerReference w:type="default" r:id="rId104"/>
          <w:headerReference w:type="first" r:id="rId105"/>
          <w:footerReference w:type="first" r:id="rId106"/>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584913"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31C9F" w:rsidRPr="00731C9F" w:rsidRDefault="00731C9F" w:rsidP="00731C9F">
      <w:pPr>
        <w:widowControl w:val="0"/>
        <w:rPr>
          <w:sz w:val="20"/>
          <w:szCs w:val="20"/>
        </w:rPr>
      </w:pPr>
      <w:r w:rsidRPr="00731C9F">
        <w:rPr>
          <w:sz w:val="20"/>
          <w:szCs w:val="20"/>
        </w:rPr>
        <w:t>1</w:t>
      </w:r>
      <w:r w:rsidR="00733D7C">
        <w:rPr>
          <w:sz w:val="20"/>
          <w:szCs w:val="20"/>
        </w:rPr>
        <w:t>7</w:t>
      </w:r>
      <w:r w:rsidRPr="00731C9F">
        <w:rPr>
          <w:sz w:val="20"/>
          <w:szCs w:val="20"/>
        </w:rPr>
        <w:t>.0</w:t>
      </w:r>
      <w:r w:rsidR="00733D7C">
        <w:rPr>
          <w:sz w:val="20"/>
          <w:szCs w:val="20"/>
        </w:rPr>
        <w:t>4</w:t>
      </w:r>
      <w:r w:rsidRPr="00731C9F">
        <w:rPr>
          <w:sz w:val="20"/>
          <w:szCs w:val="20"/>
        </w:rPr>
        <w:t>.2015</w:t>
      </w:r>
    </w:p>
    <w:p w:rsidR="00731C9F" w:rsidRPr="00731C9F" w:rsidRDefault="00731C9F" w:rsidP="00731C9F">
      <w:pPr>
        <w:widowControl w:val="0"/>
        <w:rPr>
          <w:sz w:val="20"/>
          <w:szCs w:val="20"/>
        </w:rPr>
      </w:pPr>
    </w:p>
    <w:p w:rsidR="00731C9F" w:rsidRPr="00070058" w:rsidRDefault="00731C9F" w:rsidP="00731C9F">
      <w:pPr>
        <w:widowControl w:val="0"/>
        <w:rPr>
          <w:sz w:val="20"/>
          <w:szCs w:val="20"/>
        </w:rPr>
      </w:pPr>
      <w:r w:rsidRPr="000819BB">
        <w:rPr>
          <w:sz w:val="20"/>
          <w:szCs w:val="20"/>
        </w:rPr>
        <w:t xml:space="preserve">Coram: </w:t>
      </w:r>
      <w:r w:rsidRPr="000819BB">
        <w:rPr>
          <w:sz w:val="20"/>
          <w:szCs w:val="20"/>
        </w:rPr>
        <w:tab/>
      </w:r>
      <w:r>
        <w:rPr>
          <w:sz w:val="20"/>
          <w:szCs w:val="20"/>
          <w:u w:val="single"/>
        </w:rPr>
        <w:t xml:space="preserve">Abella, Rothstein, </w:t>
      </w:r>
      <w:r w:rsidRPr="000819BB">
        <w:rPr>
          <w:sz w:val="20"/>
          <w:szCs w:val="20"/>
          <w:u w:val="single"/>
        </w:rPr>
        <w:t xml:space="preserve">Cromwell, </w:t>
      </w:r>
      <w:r>
        <w:rPr>
          <w:sz w:val="20"/>
          <w:szCs w:val="20"/>
          <w:u w:val="single"/>
        </w:rPr>
        <w:t>Karakatsanis, W</w:t>
      </w:r>
      <w:r w:rsidRPr="000819BB">
        <w:rPr>
          <w:sz w:val="20"/>
          <w:szCs w:val="20"/>
          <w:u w:val="single"/>
        </w:rPr>
        <w:t>a</w:t>
      </w:r>
      <w:r>
        <w:rPr>
          <w:sz w:val="20"/>
          <w:szCs w:val="20"/>
          <w:u w:val="single"/>
        </w:rPr>
        <w:t>gner</w:t>
      </w:r>
      <w:r w:rsidRPr="000819BB">
        <w:rPr>
          <w:sz w:val="20"/>
          <w:szCs w:val="20"/>
          <w:u w:val="single"/>
        </w:rPr>
        <w:t xml:space="preserve">, </w:t>
      </w:r>
      <w:r>
        <w:rPr>
          <w:sz w:val="20"/>
          <w:szCs w:val="20"/>
          <w:u w:val="single"/>
        </w:rPr>
        <w:t>G</w:t>
      </w:r>
      <w:r w:rsidRPr="000819BB">
        <w:rPr>
          <w:sz w:val="20"/>
          <w:szCs w:val="20"/>
          <w:u w:val="single"/>
        </w:rPr>
        <w:t>a</w:t>
      </w:r>
      <w:r>
        <w:rPr>
          <w:sz w:val="20"/>
          <w:szCs w:val="20"/>
          <w:u w:val="single"/>
        </w:rPr>
        <w:t>scon</w:t>
      </w:r>
      <w:r w:rsidRPr="000819BB">
        <w:rPr>
          <w:sz w:val="20"/>
          <w:szCs w:val="20"/>
          <w:u w:val="single"/>
        </w:rPr>
        <w:t xml:space="preserve"> and Côté JJ.</w:t>
      </w:r>
    </w:p>
    <w:p w:rsidR="00731C9F" w:rsidRPr="00731C9F" w:rsidRDefault="00731C9F" w:rsidP="00731C9F">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31C9F" w:rsidRPr="00731C9F" w:rsidTr="000C0C5C">
        <w:tc>
          <w:tcPr>
            <w:tcW w:w="4380" w:type="dxa"/>
            <w:tcMar>
              <w:left w:w="0" w:type="dxa"/>
              <w:right w:w="0" w:type="dxa"/>
            </w:tcMar>
          </w:tcPr>
          <w:p w:rsidR="00731C9F" w:rsidRPr="00731C9F" w:rsidRDefault="00733D7C" w:rsidP="000C0C5C">
            <w:pPr>
              <w:widowControl w:val="0"/>
              <w:rPr>
                <w:b/>
                <w:sz w:val="20"/>
                <w:szCs w:val="20"/>
              </w:rPr>
            </w:pPr>
            <w:r>
              <w:rPr>
                <w:b/>
                <w:sz w:val="20"/>
                <w:szCs w:val="20"/>
              </w:rPr>
              <w:t>Zurich Insu</w:t>
            </w:r>
            <w:r w:rsidR="00731C9F">
              <w:rPr>
                <w:b/>
                <w:sz w:val="20"/>
                <w:szCs w:val="20"/>
              </w:rPr>
              <w:t>r</w:t>
            </w:r>
            <w:r>
              <w:rPr>
                <w:b/>
                <w:sz w:val="20"/>
                <w:szCs w:val="20"/>
              </w:rPr>
              <w:t>a</w:t>
            </w:r>
            <w:r w:rsidR="00731C9F">
              <w:rPr>
                <w:b/>
                <w:sz w:val="20"/>
                <w:szCs w:val="20"/>
              </w:rPr>
              <w:t>n</w:t>
            </w:r>
            <w:r>
              <w:rPr>
                <w:b/>
                <w:sz w:val="20"/>
                <w:szCs w:val="20"/>
              </w:rPr>
              <w:t>c</w:t>
            </w:r>
            <w:r w:rsidR="00731C9F">
              <w:rPr>
                <w:b/>
                <w:sz w:val="20"/>
                <w:szCs w:val="20"/>
              </w:rPr>
              <w:t>e</w:t>
            </w:r>
            <w:r>
              <w:rPr>
                <w:b/>
                <w:sz w:val="20"/>
                <w:szCs w:val="20"/>
              </w:rPr>
              <w:t xml:space="preserve"> Compan</w:t>
            </w:r>
            <w:r w:rsidR="00731C9F">
              <w:rPr>
                <w:b/>
                <w:sz w:val="20"/>
                <w:szCs w:val="20"/>
              </w:rPr>
              <w:t>y</w:t>
            </w:r>
          </w:p>
          <w:p w:rsidR="00731C9F" w:rsidRPr="00731C9F" w:rsidRDefault="00731C9F" w:rsidP="000C0C5C">
            <w:pPr>
              <w:widowControl w:val="0"/>
              <w:rPr>
                <w:b/>
                <w:sz w:val="20"/>
                <w:szCs w:val="20"/>
              </w:rPr>
            </w:pPr>
          </w:p>
          <w:p w:rsidR="00731C9F" w:rsidRPr="00731C9F" w:rsidRDefault="00731C9F" w:rsidP="000C0C5C">
            <w:pPr>
              <w:widowControl w:val="0"/>
              <w:rPr>
                <w:b/>
                <w:sz w:val="20"/>
                <w:szCs w:val="20"/>
              </w:rPr>
            </w:pPr>
            <w:r w:rsidRPr="00731C9F">
              <w:rPr>
                <w:b/>
                <w:sz w:val="20"/>
                <w:szCs w:val="20"/>
              </w:rPr>
              <w:tab/>
              <w:t xml:space="preserve">v. </w:t>
            </w:r>
            <w:r w:rsidR="004F311B" w:rsidRPr="00B605C6">
              <w:rPr>
                <w:sz w:val="20"/>
                <w:szCs w:val="20"/>
              </w:rPr>
              <w:t>(</w:t>
            </w:r>
            <w:hyperlink r:id="rId107" w:history="1">
              <w:r w:rsidR="004F311B" w:rsidRPr="00B605C6">
                <w:rPr>
                  <w:rStyle w:val="Hyperlink"/>
                  <w:sz w:val="20"/>
                  <w:szCs w:val="20"/>
                </w:rPr>
                <w:t>36002</w:t>
              </w:r>
            </w:hyperlink>
            <w:r w:rsidR="004F311B" w:rsidRPr="00B605C6">
              <w:rPr>
                <w:sz w:val="20"/>
                <w:szCs w:val="20"/>
              </w:rPr>
              <w:t>)</w:t>
            </w:r>
          </w:p>
          <w:p w:rsidR="00731C9F" w:rsidRPr="00731C9F" w:rsidRDefault="00731C9F" w:rsidP="000C0C5C">
            <w:pPr>
              <w:widowControl w:val="0"/>
              <w:rPr>
                <w:b/>
                <w:sz w:val="20"/>
                <w:szCs w:val="20"/>
              </w:rPr>
            </w:pPr>
          </w:p>
          <w:p w:rsidR="004F311B" w:rsidRPr="00731C9F" w:rsidRDefault="00733D7C" w:rsidP="004F311B">
            <w:pPr>
              <w:widowControl w:val="0"/>
              <w:rPr>
                <w:sz w:val="20"/>
                <w:szCs w:val="20"/>
              </w:rPr>
            </w:pPr>
            <w:r>
              <w:rPr>
                <w:b/>
                <w:sz w:val="20"/>
                <w:szCs w:val="20"/>
              </w:rPr>
              <w:t>Chubb Insu</w:t>
            </w:r>
            <w:r w:rsidR="00731C9F" w:rsidRPr="00731C9F">
              <w:rPr>
                <w:b/>
                <w:sz w:val="20"/>
                <w:szCs w:val="20"/>
              </w:rPr>
              <w:t>r</w:t>
            </w:r>
            <w:r>
              <w:rPr>
                <w:b/>
                <w:sz w:val="20"/>
                <w:szCs w:val="20"/>
              </w:rPr>
              <w:t>anc</w:t>
            </w:r>
            <w:r w:rsidR="00731C9F" w:rsidRPr="00731C9F">
              <w:rPr>
                <w:b/>
                <w:sz w:val="20"/>
                <w:szCs w:val="20"/>
              </w:rPr>
              <w:t>e</w:t>
            </w:r>
            <w:r w:rsidR="00731C9F">
              <w:rPr>
                <w:b/>
                <w:sz w:val="20"/>
                <w:szCs w:val="20"/>
              </w:rPr>
              <w:t xml:space="preserve"> </w:t>
            </w:r>
            <w:r>
              <w:rPr>
                <w:b/>
                <w:sz w:val="20"/>
                <w:szCs w:val="20"/>
              </w:rPr>
              <w:t>Company of C</w:t>
            </w:r>
            <w:r w:rsidR="00731C9F">
              <w:rPr>
                <w:b/>
                <w:sz w:val="20"/>
                <w:szCs w:val="20"/>
              </w:rPr>
              <w:t>an</w:t>
            </w:r>
            <w:r>
              <w:rPr>
                <w:b/>
                <w:sz w:val="20"/>
                <w:szCs w:val="20"/>
              </w:rPr>
              <w:t>ada</w:t>
            </w:r>
            <w:r w:rsidR="00731C9F" w:rsidRPr="00731C9F">
              <w:rPr>
                <w:b/>
                <w:sz w:val="20"/>
                <w:szCs w:val="20"/>
              </w:rPr>
              <w:t xml:space="preserve"> (</w:t>
            </w:r>
            <w:r>
              <w:rPr>
                <w:b/>
                <w:sz w:val="20"/>
                <w:szCs w:val="20"/>
              </w:rPr>
              <w:t>Ont</w:t>
            </w:r>
            <w:r w:rsidR="00731C9F" w:rsidRPr="00731C9F">
              <w:rPr>
                <w:b/>
                <w:sz w:val="20"/>
                <w:szCs w:val="20"/>
              </w:rPr>
              <w:t>.) (Civil) (By Leave)</w:t>
            </w:r>
            <w:r w:rsidR="004F311B" w:rsidRPr="00731C9F">
              <w:rPr>
                <w:sz w:val="20"/>
                <w:szCs w:val="20"/>
              </w:rPr>
              <w:t xml:space="preserve"> </w:t>
            </w:r>
          </w:p>
        </w:tc>
        <w:tc>
          <w:tcPr>
            <w:tcW w:w="720" w:type="dxa"/>
            <w:tcMar>
              <w:left w:w="0" w:type="dxa"/>
              <w:right w:w="0" w:type="dxa"/>
            </w:tcMar>
          </w:tcPr>
          <w:p w:rsidR="00731C9F" w:rsidRPr="00731C9F" w:rsidRDefault="00731C9F" w:rsidP="000C0C5C">
            <w:pPr>
              <w:widowControl w:val="0"/>
              <w:jc w:val="center"/>
              <w:rPr>
                <w:sz w:val="20"/>
                <w:szCs w:val="20"/>
              </w:rPr>
            </w:pPr>
          </w:p>
        </w:tc>
        <w:tc>
          <w:tcPr>
            <w:tcW w:w="4380" w:type="dxa"/>
            <w:tcMar>
              <w:left w:w="0" w:type="dxa"/>
              <w:right w:w="0" w:type="dxa"/>
            </w:tcMar>
          </w:tcPr>
          <w:p w:rsidR="009D7C35" w:rsidRDefault="009D7C35" w:rsidP="009D7C35">
            <w:pPr>
              <w:jc w:val="both"/>
              <w:rPr>
                <w:sz w:val="20"/>
                <w:szCs w:val="20"/>
              </w:rPr>
            </w:pPr>
            <w:r w:rsidRPr="00E1622B">
              <w:rPr>
                <w:sz w:val="20"/>
                <w:szCs w:val="20"/>
              </w:rPr>
              <w:t>Eric K. Grossman</w:t>
            </w:r>
            <w:r w:rsidRPr="00E1622B">
              <w:rPr>
                <w:sz w:val="20"/>
                <w:szCs w:val="20"/>
              </w:rPr>
              <w:tab/>
            </w:r>
            <w:r>
              <w:rPr>
                <w:sz w:val="20"/>
                <w:szCs w:val="20"/>
              </w:rPr>
              <w:t xml:space="preserve">, </w:t>
            </w:r>
            <w:r w:rsidRPr="00E1622B">
              <w:rPr>
                <w:sz w:val="20"/>
                <w:szCs w:val="20"/>
              </w:rPr>
              <w:t>Michael Warfe</w:t>
            </w:r>
            <w:r>
              <w:rPr>
                <w:sz w:val="20"/>
                <w:szCs w:val="20"/>
              </w:rPr>
              <w:t xml:space="preserve"> and </w:t>
            </w:r>
            <w:r w:rsidRPr="00E1622B">
              <w:rPr>
                <w:sz w:val="20"/>
                <w:szCs w:val="20"/>
              </w:rPr>
              <w:t>Kate M. MacLeod</w:t>
            </w:r>
            <w:r>
              <w:rPr>
                <w:sz w:val="20"/>
                <w:szCs w:val="20"/>
              </w:rPr>
              <w:t xml:space="preserve"> f</w:t>
            </w:r>
            <w:r w:rsidRPr="00E1622B">
              <w:rPr>
                <w:sz w:val="20"/>
                <w:szCs w:val="20"/>
              </w:rPr>
              <w:t xml:space="preserve">or the </w:t>
            </w:r>
            <w:r>
              <w:rPr>
                <w:sz w:val="20"/>
                <w:szCs w:val="20"/>
              </w:rPr>
              <w:t>a</w:t>
            </w:r>
            <w:r w:rsidRPr="00E1622B">
              <w:rPr>
                <w:sz w:val="20"/>
                <w:szCs w:val="20"/>
              </w:rPr>
              <w:t>ppellant</w:t>
            </w:r>
            <w:r>
              <w:rPr>
                <w:sz w:val="20"/>
                <w:szCs w:val="20"/>
              </w:rPr>
              <w:t>.</w:t>
            </w:r>
          </w:p>
          <w:p w:rsidR="009D7C35" w:rsidRPr="00E1622B" w:rsidRDefault="009D7C35" w:rsidP="009D7C35">
            <w:pPr>
              <w:jc w:val="both"/>
              <w:rPr>
                <w:sz w:val="20"/>
                <w:szCs w:val="20"/>
              </w:rPr>
            </w:pPr>
          </w:p>
          <w:p w:rsidR="00731C9F" w:rsidRPr="00731C9F" w:rsidRDefault="009D7C35" w:rsidP="009D7C35">
            <w:pPr>
              <w:jc w:val="both"/>
              <w:rPr>
                <w:sz w:val="20"/>
                <w:szCs w:val="20"/>
              </w:rPr>
            </w:pPr>
            <w:r w:rsidRPr="00E1622B">
              <w:rPr>
                <w:sz w:val="20"/>
                <w:szCs w:val="20"/>
              </w:rPr>
              <w:t xml:space="preserve">Eugene Meehan, Q.C. </w:t>
            </w:r>
            <w:r>
              <w:rPr>
                <w:sz w:val="20"/>
                <w:szCs w:val="20"/>
              </w:rPr>
              <w:t xml:space="preserve">and </w:t>
            </w:r>
            <w:r w:rsidRPr="00E1622B">
              <w:rPr>
                <w:sz w:val="20"/>
                <w:szCs w:val="20"/>
              </w:rPr>
              <w:t>George Kanellakos</w:t>
            </w:r>
            <w:r>
              <w:rPr>
                <w:sz w:val="20"/>
                <w:szCs w:val="20"/>
              </w:rPr>
              <w:t xml:space="preserve"> f</w:t>
            </w:r>
            <w:r w:rsidRPr="00E1622B">
              <w:rPr>
                <w:sz w:val="20"/>
                <w:szCs w:val="20"/>
              </w:rPr>
              <w:t xml:space="preserve">or the </w:t>
            </w:r>
            <w:r>
              <w:rPr>
                <w:sz w:val="20"/>
                <w:szCs w:val="20"/>
              </w:rPr>
              <w:t>r</w:t>
            </w:r>
            <w:r w:rsidRPr="00E1622B">
              <w:rPr>
                <w:sz w:val="20"/>
                <w:szCs w:val="20"/>
              </w:rPr>
              <w:t>espondent.</w:t>
            </w:r>
          </w:p>
        </w:tc>
      </w:tr>
    </w:tbl>
    <w:p w:rsidR="00731C9F" w:rsidRPr="00731C9F" w:rsidRDefault="00731C9F" w:rsidP="00731C9F">
      <w:pPr>
        <w:widowControl w:val="0"/>
        <w:rPr>
          <w:sz w:val="20"/>
          <w:szCs w:val="20"/>
        </w:rPr>
      </w:pPr>
    </w:p>
    <w:p w:rsidR="004F311B" w:rsidRPr="00E829A1" w:rsidRDefault="004F311B" w:rsidP="004F311B">
      <w:pPr>
        <w:rPr>
          <w:rFonts w:eastAsia="Calibri" w:cs="Times New Roman"/>
          <w:b/>
          <w:bCs/>
          <w:sz w:val="20"/>
          <w:szCs w:val="20"/>
          <w:lang w:val="fr-CA"/>
        </w:rPr>
      </w:pPr>
      <w:r w:rsidRPr="00E829A1">
        <w:rPr>
          <w:rFonts w:eastAsia="Calibri" w:cs="Times New Roman"/>
          <w:b/>
          <w:bCs/>
          <w:sz w:val="20"/>
          <w:szCs w:val="20"/>
          <w:lang w:val="fr-CA"/>
        </w:rPr>
        <w:t>201</w:t>
      </w:r>
      <w:r>
        <w:rPr>
          <w:rFonts w:eastAsia="Calibri" w:cs="Times New Roman"/>
          <w:b/>
          <w:bCs/>
          <w:sz w:val="20"/>
          <w:szCs w:val="20"/>
          <w:lang w:val="fr-CA"/>
        </w:rPr>
        <w:t>5</w:t>
      </w:r>
      <w:r w:rsidRPr="00E829A1">
        <w:rPr>
          <w:rFonts w:eastAsia="Calibri" w:cs="Times New Roman"/>
          <w:b/>
          <w:bCs/>
          <w:sz w:val="20"/>
          <w:szCs w:val="20"/>
          <w:lang w:val="fr-CA"/>
        </w:rPr>
        <w:t xml:space="preserve"> </w:t>
      </w:r>
      <w:r w:rsidRPr="00E829A1">
        <w:rPr>
          <w:rFonts w:eastAsia="Calibri" w:cs="Times New Roman"/>
          <w:b/>
          <w:bCs/>
          <w:sz w:val="20"/>
          <w:szCs w:val="20"/>
        </w:rPr>
        <w:t xml:space="preserve">SCC </w:t>
      </w:r>
      <w:r>
        <w:rPr>
          <w:rFonts w:eastAsia="Calibri" w:cs="Times New Roman"/>
          <w:b/>
          <w:bCs/>
          <w:sz w:val="20"/>
          <w:szCs w:val="20"/>
        </w:rPr>
        <w:t>19</w:t>
      </w:r>
      <w:r w:rsidRPr="00E829A1">
        <w:rPr>
          <w:rFonts w:eastAsia="Calibri" w:cs="Times New Roman"/>
          <w:b/>
          <w:bCs/>
          <w:sz w:val="20"/>
          <w:szCs w:val="20"/>
          <w:lang w:val="fr-CA"/>
        </w:rPr>
        <w:t xml:space="preserve"> / 201</w:t>
      </w:r>
      <w:r>
        <w:rPr>
          <w:rFonts w:eastAsia="Calibri" w:cs="Times New Roman"/>
          <w:b/>
          <w:bCs/>
          <w:sz w:val="20"/>
          <w:szCs w:val="20"/>
          <w:lang w:val="fr-CA"/>
        </w:rPr>
        <w:t>5</w:t>
      </w:r>
      <w:r w:rsidRPr="00E829A1">
        <w:rPr>
          <w:rFonts w:eastAsia="Calibri" w:cs="Times New Roman"/>
          <w:b/>
          <w:bCs/>
          <w:sz w:val="20"/>
          <w:szCs w:val="20"/>
          <w:lang w:val="fr-CA"/>
        </w:rPr>
        <w:t xml:space="preserve"> CSC </w:t>
      </w:r>
      <w:r>
        <w:rPr>
          <w:rFonts w:eastAsia="Calibri" w:cs="Times New Roman"/>
          <w:b/>
          <w:bCs/>
          <w:sz w:val="20"/>
          <w:szCs w:val="20"/>
          <w:lang w:val="fr-CA"/>
        </w:rPr>
        <w:t>19</w:t>
      </w:r>
    </w:p>
    <w:p w:rsidR="004F311B" w:rsidRPr="005E31A3" w:rsidRDefault="004F311B" w:rsidP="004F311B">
      <w:pPr>
        <w:widowControl w:val="0"/>
        <w:rPr>
          <w:sz w:val="20"/>
          <w:szCs w:val="20"/>
        </w:rPr>
      </w:pPr>
    </w:p>
    <w:p w:rsidR="004F311B" w:rsidRPr="004F311B" w:rsidRDefault="004F311B" w:rsidP="004F311B">
      <w:pPr>
        <w:widowControl w:val="0"/>
        <w:rPr>
          <w:sz w:val="20"/>
          <w:szCs w:val="20"/>
        </w:rPr>
      </w:pPr>
      <w:r>
        <w:rPr>
          <w:b/>
          <w:sz w:val="20"/>
          <w:szCs w:val="20"/>
        </w:rPr>
        <w:t>ALLOW</w:t>
      </w:r>
      <w:r w:rsidRPr="0085476B">
        <w:rPr>
          <w:b/>
          <w:sz w:val="20"/>
          <w:szCs w:val="20"/>
        </w:rPr>
        <w:t xml:space="preserve">ED / </w:t>
      </w:r>
      <w:r>
        <w:rPr>
          <w:b/>
          <w:sz w:val="20"/>
          <w:szCs w:val="20"/>
        </w:rPr>
        <w:t>ACC</w:t>
      </w:r>
      <w:r w:rsidR="009D7C35">
        <w:rPr>
          <w:b/>
          <w:sz w:val="20"/>
          <w:szCs w:val="20"/>
        </w:rPr>
        <w:t>U</w:t>
      </w:r>
      <w:r>
        <w:rPr>
          <w:b/>
          <w:sz w:val="20"/>
          <w:szCs w:val="20"/>
        </w:rPr>
        <w:t>E</w:t>
      </w:r>
      <w:r w:rsidR="009D7C35">
        <w:rPr>
          <w:b/>
          <w:sz w:val="20"/>
          <w:szCs w:val="20"/>
        </w:rPr>
        <w:t>ILLI</w:t>
      </w:r>
    </w:p>
    <w:p w:rsidR="004F311B" w:rsidRPr="005E31A3" w:rsidRDefault="004F311B" w:rsidP="004F311B">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4F311B" w:rsidRPr="00584913" w:rsidTr="009D7C35">
        <w:tc>
          <w:tcPr>
            <w:tcW w:w="4380" w:type="dxa"/>
            <w:tcMar>
              <w:left w:w="0" w:type="dxa"/>
              <w:right w:w="0" w:type="dxa"/>
            </w:tcMar>
          </w:tcPr>
          <w:p w:rsidR="004F311B" w:rsidRPr="000E24CB" w:rsidRDefault="004F311B" w:rsidP="009D7C35">
            <w:pPr>
              <w:widowControl w:val="0"/>
              <w:jc w:val="both"/>
              <w:rPr>
                <w:b/>
                <w:sz w:val="20"/>
                <w:szCs w:val="20"/>
                <w:u w:val="single"/>
              </w:rPr>
            </w:pPr>
            <w:r w:rsidRPr="000E24CB">
              <w:rPr>
                <w:b/>
                <w:sz w:val="20"/>
                <w:szCs w:val="20"/>
                <w:u w:val="single"/>
              </w:rPr>
              <w:t>JUDGMENT:</w:t>
            </w:r>
          </w:p>
          <w:p w:rsidR="004F311B" w:rsidRPr="000E24CB" w:rsidRDefault="004F311B" w:rsidP="009D7C35">
            <w:pPr>
              <w:widowControl w:val="0"/>
              <w:jc w:val="both"/>
              <w:rPr>
                <w:b/>
                <w:sz w:val="20"/>
                <w:szCs w:val="20"/>
              </w:rPr>
            </w:pPr>
          </w:p>
          <w:p w:rsidR="000E24CB" w:rsidRPr="000E24CB" w:rsidRDefault="000E24CB" w:rsidP="000E24CB">
            <w:pPr>
              <w:jc w:val="both"/>
              <w:rPr>
                <w:sz w:val="20"/>
                <w:szCs w:val="20"/>
              </w:rPr>
            </w:pPr>
            <w:r w:rsidRPr="000E24CB">
              <w:rPr>
                <w:sz w:val="20"/>
                <w:szCs w:val="20"/>
              </w:rPr>
              <w:t>The appeal from the judgment of the Court of Appeal for Ontario, Number C57553, 2014 ONCA 400, dated May 15, 2014, was heard on April 17, 2015 and the Court on that day delivered the following judgment orally:</w:t>
            </w:r>
          </w:p>
          <w:p w:rsidR="000E24CB" w:rsidRPr="000E24CB" w:rsidRDefault="000E24CB" w:rsidP="000E24CB">
            <w:pPr>
              <w:jc w:val="both"/>
              <w:rPr>
                <w:sz w:val="20"/>
                <w:szCs w:val="20"/>
              </w:rPr>
            </w:pPr>
          </w:p>
          <w:p w:rsidR="000E24CB" w:rsidRPr="000E24CB" w:rsidRDefault="000E24CB" w:rsidP="000E24CB">
            <w:pPr>
              <w:jc w:val="both"/>
              <w:rPr>
                <w:sz w:val="20"/>
                <w:szCs w:val="20"/>
              </w:rPr>
            </w:pPr>
          </w:p>
          <w:p w:rsidR="000E24CB" w:rsidRPr="000E24CB" w:rsidRDefault="000E24CB" w:rsidP="000E24CB">
            <w:pPr>
              <w:jc w:val="both"/>
              <w:rPr>
                <w:sz w:val="20"/>
                <w:szCs w:val="20"/>
              </w:rPr>
            </w:pPr>
            <w:r w:rsidRPr="000E24CB">
              <w:rPr>
                <w:smallCaps/>
                <w:sz w:val="20"/>
                <w:szCs w:val="20"/>
              </w:rPr>
              <w:t>THE COURT</w:t>
            </w:r>
            <w:r w:rsidRPr="000E24CB">
              <w:rPr>
                <w:sz w:val="20"/>
                <w:szCs w:val="20"/>
              </w:rPr>
              <w:t xml:space="preserve"> </w:t>
            </w:r>
            <w:r w:rsidRPr="000E24CB">
              <w:rPr>
                <w:rFonts w:cs="Times New Roman"/>
                <w:sz w:val="20"/>
                <w:szCs w:val="20"/>
              </w:rPr>
              <w:t xml:space="preserve">— </w:t>
            </w:r>
            <w:r w:rsidRPr="000E24CB">
              <w:rPr>
                <w:sz w:val="20"/>
                <w:szCs w:val="20"/>
              </w:rPr>
              <w:t xml:space="preserve">We are of the view that the appeal should be allowed with costs for the reasons of Juriansz J.A. </w:t>
            </w:r>
          </w:p>
          <w:p w:rsidR="004F311B" w:rsidRPr="000E24CB" w:rsidRDefault="004F311B" w:rsidP="009D7C35">
            <w:pPr>
              <w:jc w:val="both"/>
              <w:rPr>
                <w:b/>
                <w:sz w:val="20"/>
                <w:szCs w:val="20"/>
              </w:rPr>
            </w:pPr>
          </w:p>
        </w:tc>
        <w:tc>
          <w:tcPr>
            <w:tcW w:w="720" w:type="dxa"/>
            <w:tcMar>
              <w:left w:w="0" w:type="dxa"/>
              <w:right w:w="0" w:type="dxa"/>
            </w:tcMar>
          </w:tcPr>
          <w:p w:rsidR="004F311B" w:rsidRPr="000E24CB" w:rsidRDefault="004F311B" w:rsidP="009D7C35">
            <w:pPr>
              <w:widowControl w:val="0"/>
              <w:jc w:val="center"/>
              <w:rPr>
                <w:sz w:val="20"/>
                <w:szCs w:val="20"/>
              </w:rPr>
            </w:pPr>
          </w:p>
        </w:tc>
        <w:tc>
          <w:tcPr>
            <w:tcW w:w="4380" w:type="dxa"/>
            <w:tcMar>
              <w:left w:w="0" w:type="dxa"/>
              <w:right w:w="0" w:type="dxa"/>
            </w:tcMar>
          </w:tcPr>
          <w:p w:rsidR="004F311B" w:rsidRPr="000E24CB" w:rsidRDefault="004F311B" w:rsidP="009D7C35">
            <w:pPr>
              <w:widowControl w:val="0"/>
              <w:jc w:val="both"/>
              <w:rPr>
                <w:b/>
                <w:sz w:val="20"/>
                <w:szCs w:val="20"/>
                <w:u w:val="single"/>
                <w:lang w:val="fr-CA"/>
              </w:rPr>
            </w:pPr>
            <w:r w:rsidRPr="000E24CB">
              <w:rPr>
                <w:b/>
                <w:sz w:val="20"/>
                <w:szCs w:val="20"/>
                <w:u w:val="single"/>
                <w:lang w:val="fr-CA"/>
              </w:rPr>
              <w:t>JUGEMENT :</w:t>
            </w:r>
          </w:p>
          <w:p w:rsidR="004F311B" w:rsidRPr="000E24CB" w:rsidRDefault="004F311B" w:rsidP="009D7C35">
            <w:pPr>
              <w:widowControl w:val="0"/>
              <w:jc w:val="both"/>
              <w:rPr>
                <w:sz w:val="20"/>
                <w:szCs w:val="20"/>
                <w:lang w:val="fr-CA"/>
              </w:rPr>
            </w:pPr>
          </w:p>
          <w:p w:rsidR="000E24CB" w:rsidRPr="000E24CB" w:rsidRDefault="000E24CB" w:rsidP="000E24CB">
            <w:pPr>
              <w:jc w:val="both"/>
              <w:rPr>
                <w:sz w:val="20"/>
                <w:szCs w:val="20"/>
                <w:lang w:val="fr-CA"/>
              </w:rPr>
            </w:pPr>
            <w:r w:rsidRPr="000E24CB">
              <w:rPr>
                <w:sz w:val="20"/>
                <w:szCs w:val="20"/>
                <w:lang w:val="fr-CA"/>
              </w:rPr>
              <w:t>L’appel interjeté contre l’arrêt de la Cour d’appel de l’Ontario, numéro C57553, 2014 ONCA 400, daté du 15 mai 2014, a été entendu le 17 avril 2015 et la Cour a prononcé oralement le même jour le jugement suivant :</w:t>
            </w:r>
          </w:p>
          <w:p w:rsidR="000E24CB" w:rsidRPr="000E24CB" w:rsidRDefault="000E24CB" w:rsidP="000E24CB">
            <w:pPr>
              <w:jc w:val="both"/>
              <w:rPr>
                <w:sz w:val="20"/>
                <w:szCs w:val="20"/>
                <w:lang w:val="fr-CA"/>
              </w:rPr>
            </w:pPr>
          </w:p>
          <w:p w:rsidR="000E24CB" w:rsidRPr="000E24CB" w:rsidRDefault="000E24CB" w:rsidP="000E24CB">
            <w:pPr>
              <w:jc w:val="both"/>
              <w:rPr>
                <w:sz w:val="20"/>
                <w:szCs w:val="20"/>
                <w:lang w:val="fr-CA"/>
              </w:rPr>
            </w:pPr>
            <w:r w:rsidRPr="000E24CB">
              <w:rPr>
                <w:sz w:val="20"/>
                <w:szCs w:val="20"/>
                <w:lang w:val="fr-CA"/>
              </w:rPr>
              <w:t>[</w:t>
            </w:r>
            <w:r w:rsidRPr="000E24CB">
              <w:rPr>
                <w:smallCaps/>
                <w:sz w:val="20"/>
                <w:szCs w:val="20"/>
                <w:lang w:val="fr-CA"/>
              </w:rPr>
              <w:t>traduction</w:t>
            </w:r>
            <w:r w:rsidRPr="000E24CB">
              <w:rPr>
                <w:sz w:val="20"/>
                <w:szCs w:val="20"/>
                <w:lang w:val="fr-CA"/>
              </w:rPr>
              <w:t>]</w:t>
            </w:r>
          </w:p>
          <w:p w:rsidR="000E24CB" w:rsidRPr="000E24CB" w:rsidRDefault="000E24CB" w:rsidP="000E24CB">
            <w:pPr>
              <w:jc w:val="both"/>
              <w:rPr>
                <w:sz w:val="20"/>
                <w:szCs w:val="20"/>
                <w:lang w:val="fr-CA"/>
              </w:rPr>
            </w:pPr>
            <w:r w:rsidRPr="000E24CB">
              <w:rPr>
                <w:sz w:val="20"/>
                <w:szCs w:val="20"/>
                <w:lang w:val="fr-CA"/>
              </w:rPr>
              <w:t xml:space="preserve">LA COUR </w:t>
            </w:r>
            <w:r w:rsidRPr="000E24CB">
              <w:rPr>
                <w:rFonts w:cs="Times New Roman"/>
                <w:sz w:val="20"/>
                <w:szCs w:val="20"/>
                <w:lang w:val="fr-CA"/>
              </w:rPr>
              <w:t>—</w:t>
            </w:r>
            <w:r w:rsidRPr="000E24CB">
              <w:rPr>
                <w:sz w:val="20"/>
                <w:szCs w:val="20"/>
                <w:lang w:val="fr-CA"/>
              </w:rPr>
              <w:t xml:space="preserve"> Nous sommes d’avis d’accueillir le pourvoi, avec dépens, pour les motifs expos</w:t>
            </w:r>
            <w:r w:rsidRPr="000E24CB">
              <w:rPr>
                <w:rFonts w:cs="Times New Roman"/>
                <w:sz w:val="20"/>
                <w:szCs w:val="20"/>
                <w:lang w:val="fr-CA"/>
              </w:rPr>
              <w:t>é</w:t>
            </w:r>
            <w:r w:rsidRPr="000E24CB">
              <w:rPr>
                <w:sz w:val="20"/>
                <w:szCs w:val="20"/>
                <w:lang w:val="fr-CA"/>
              </w:rPr>
              <w:t>s par le juge Juriansz de la Cour d’appel.</w:t>
            </w:r>
          </w:p>
          <w:p w:rsidR="004F311B" w:rsidRPr="000E24CB" w:rsidRDefault="004F311B" w:rsidP="009D7C35">
            <w:pPr>
              <w:jc w:val="both"/>
              <w:rPr>
                <w:sz w:val="20"/>
                <w:szCs w:val="20"/>
                <w:lang w:val="fr-CA"/>
              </w:rPr>
            </w:pPr>
          </w:p>
        </w:tc>
      </w:tr>
    </w:tbl>
    <w:p w:rsidR="004F311B" w:rsidRPr="005E31A3" w:rsidRDefault="004F311B" w:rsidP="004F311B">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31C9F" w:rsidRPr="00584913" w:rsidTr="000C0C5C">
        <w:tc>
          <w:tcPr>
            <w:tcW w:w="4380" w:type="dxa"/>
            <w:tcMar>
              <w:left w:w="0" w:type="dxa"/>
              <w:right w:w="0" w:type="dxa"/>
            </w:tcMar>
          </w:tcPr>
          <w:p w:rsidR="00731C9F" w:rsidRPr="00733D7C" w:rsidRDefault="00731C9F" w:rsidP="000C0C5C">
            <w:pPr>
              <w:widowControl w:val="0"/>
              <w:jc w:val="both"/>
              <w:rPr>
                <w:b/>
                <w:sz w:val="20"/>
                <w:szCs w:val="20"/>
                <w:u w:val="single"/>
              </w:rPr>
            </w:pPr>
            <w:r w:rsidRPr="00733D7C">
              <w:rPr>
                <w:b/>
                <w:sz w:val="20"/>
                <w:szCs w:val="20"/>
                <w:u w:val="single"/>
              </w:rPr>
              <w:t>Nature of the case:</w:t>
            </w:r>
          </w:p>
          <w:p w:rsidR="00731C9F" w:rsidRPr="00733D7C" w:rsidRDefault="00731C9F" w:rsidP="000C0C5C">
            <w:pPr>
              <w:widowControl w:val="0"/>
              <w:jc w:val="both"/>
              <w:rPr>
                <w:b/>
                <w:sz w:val="20"/>
                <w:szCs w:val="20"/>
              </w:rPr>
            </w:pPr>
          </w:p>
          <w:p w:rsidR="00731C9F" w:rsidRPr="00733D7C" w:rsidRDefault="00733D7C" w:rsidP="000C0C5C">
            <w:pPr>
              <w:widowControl w:val="0"/>
              <w:jc w:val="both"/>
              <w:rPr>
                <w:b/>
                <w:sz w:val="20"/>
                <w:szCs w:val="20"/>
              </w:rPr>
            </w:pPr>
            <w:r w:rsidRPr="00170A9A">
              <w:rPr>
                <w:sz w:val="20"/>
                <w:szCs w:val="20"/>
              </w:rPr>
              <w:t xml:space="preserve">Insurance - Liability insurance - Motor vehicle liability policy - Rented vehicle - Statutory Accident Benefits - “Pay first, dispute later” rule - Nexus between claimant and insurer - </w:t>
            </w:r>
            <w:r w:rsidRPr="00170A9A">
              <w:rPr>
                <w:i/>
                <w:sz w:val="20"/>
                <w:szCs w:val="20"/>
              </w:rPr>
              <w:t>Insurance Act</w:t>
            </w:r>
            <w:r w:rsidRPr="00170A9A">
              <w:rPr>
                <w:sz w:val="20"/>
                <w:szCs w:val="20"/>
              </w:rPr>
              <w:t xml:space="preserve">, R.S.O. 1990, s. 268 - </w:t>
            </w:r>
            <w:r w:rsidRPr="00170A9A">
              <w:rPr>
                <w:i/>
                <w:sz w:val="20"/>
                <w:szCs w:val="20"/>
              </w:rPr>
              <w:t>Disputes Between Insurers</w:t>
            </w:r>
            <w:r w:rsidRPr="00170A9A">
              <w:rPr>
                <w:sz w:val="20"/>
                <w:szCs w:val="20"/>
              </w:rPr>
              <w:t xml:space="preserve">, O. Reg. 283/95, Claimant declined optional motor vehicle liability policy when renting vehicle - Claimant injured in single-vehicle accident involving rental vehicle - Claimant applied to motor vehicle liability insurer for Statutory Accident Benefits - Insurer refused to provide benefits - Whether Chubb is an “insurer” for the purposes of s. 268 of the </w:t>
            </w:r>
            <w:r w:rsidRPr="00170A9A">
              <w:rPr>
                <w:i/>
                <w:sz w:val="20"/>
                <w:szCs w:val="20"/>
              </w:rPr>
              <w:t>Insurance Act</w:t>
            </w:r>
            <w:r w:rsidRPr="00170A9A">
              <w:rPr>
                <w:sz w:val="20"/>
                <w:szCs w:val="20"/>
              </w:rPr>
              <w:t xml:space="preserve"> and Ontario Regulation 283/95 - </w:t>
            </w:r>
            <w:r w:rsidRPr="00170A9A">
              <w:rPr>
                <w:i/>
                <w:sz w:val="20"/>
                <w:szCs w:val="20"/>
              </w:rPr>
              <w:t>Disputes Between Insurers</w:t>
            </w:r>
            <w:r w:rsidRPr="00170A9A">
              <w:rPr>
                <w:sz w:val="20"/>
                <w:szCs w:val="20"/>
              </w:rPr>
              <w:t xml:space="preserve"> - Whether, where there is a nexus between an insurer and a motor vehicle that gives rise to an accident benefits claim, an insurer can ignore the obligations imposed by the disputes between insurers regulation by unilaterally determining it is not an insurer for that purpose.</w:t>
            </w:r>
          </w:p>
        </w:tc>
        <w:tc>
          <w:tcPr>
            <w:tcW w:w="720" w:type="dxa"/>
            <w:tcMar>
              <w:left w:w="0" w:type="dxa"/>
              <w:right w:w="0" w:type="dxa"/>
            </w:tcMar>
          </w:tcPr>
          <w:p w:rsidR="00731C9F" w:rsidRPr="00733D7C" w:rsidRDefault="00731C9F" w:rsidP="000C0C5C">
            <w:pPr>
              <w:widowControl w:val="0"/>
              <w:jc w:val="center"/>
              <w:rPr>
                <w:sz w:val="20"/>
                <w:szCs w:val="20"/>
              </w:rPr>
            </w:pPr>
          </w:p>
        </w:tc>
        <w:tc>
          <w:tcPr>
            <w:tcW w:w="4380" w:type="dxa"/>
            <w:tcMar>
              <w:left w:w="0" w:type="dxa"/>
              <w:right w:w="0" w:type="dxa"/>
            </w:tcMar>
          </w:tcPr>
          <w:p w:rsidR="00731C9F" w:rsidRPr="00CC4D84" w:rsidRDefault="00731C9F" w:rsidP="000C0C5C">
            <w:pPr>
              <w:widowControl w:val="0"/>
              <w:jc w:val="both"/>
              <w:rPr>
                <w:b/>
                <w:sz w:val="20"/>
                <w:szCs w:val="20"/>
                <w:u w:val="single"/>
                <w:lang w:val="fr-CA"/>
              </w:rPr>
            </w:pPr>
            <w:r w:rsidRPr="00CC4D84">
              <w:rPr>
                <w:b/>
                <w:sz w:val="20"/>
                <w:szCs w:val="20"/>
                <w:u w:val="single"/>
                <w:lang w:val="fr-CA"/>
              </w:rPr>
              <w:t>Nature de la cause :</w:t>
            </w:r>
          </w:p>
          <w:p w:rsidR="00731C9F" w:rsidRPr="00C1697B" w:rsidRDefault="00731C9F" w:rsidP="000C0C5C">
            <w:pPr>
              <w:widowControl w:val="0"/>
              <w:jc w:val="both"/>
              <w:rPr>
                <w:sz w:val="20"/>
                <w:szCs w:val="20"/>
                <w:lang w:val="fr-CA"/>
              </w:rPr>
            </w:pPr>
          </w:p>
          <w:p w:rsidR="00731C9F" w:rsidRPr="00C1697B" w:rsidRDefault="00733D7C" w:rsidP="000C0C5C">
            <w:pPr>
              <w:widowControl w:val="0"/>
              <w:jc w:val="both"/>
              <w:rPr>
                <w:sz w:val="20"/>
                <w:szCs w:val="20"/>
                <w:lang w:val="fr-CA"/>
              </w:rPr>
            </w:pPr>
            <w:r w:rsidRPr="00F67ED4">
              <w:rPr>
                <w:sz w:val="20"/>
                <w:szCs w:val="20"/>
                <w:lang w:val="fr-CA"/>
              </w:rPr>
              <w:t xml:space="preserve">Assurance - Assurance de responsabilité - Police d’assurance de responsabilité automobile - Véhicule loué - Indemnité d’accident légale - Règle  « payez d’abord, contestez après » - Lien entre la réclamante et l’assureur - </w:t>
            </w:r>
            <w:r w:rsidRPr="00F67ED4">
              <w:rPr>
                <w:i/>
                <w:sz w:val="20"/>
                <w:szCs w:val="20"/>
                <w:lang w:val="fr-CA"/>
              </w:rPr>
              <w:t>Loi sur les assurances</w:t>
            </w:r>
            <w:r w:rsidRPr="00F67ED4">
              <w:rPr>
                <w:sz w:val="20"/>
                <w:szCs w:val="20"/>
                <w:lang w:val="fr-CA"/>
              </w:rPr>
              <w:t>, L.R.O. 1990, art. 268 -</w:t>
            </w:r>
            <w:r w:rsidRPr="00F67ED4">
              <w:rPr>
                <w:i/>
                <w:sz w:val="20"/>
                <w:szCs w:val="20"/>
                <w:lang w:val="fr-CA"/>
              </w:rPr>
              <w:t>Disputes Between Insurers</w:t>
            </w:r>
            <w:r w:rsidRPr="00F67ED4">
              <w:rPr>
                <w:sz w:val="20"/>
                <w:szCs w:val="20"/>
                <w:lang w:val="fr-CA"/>
              </w:rPr>
              <w:t xml:space="preserve">, O. Reg. 283/95 : la réclamante a refusé la police d’assurance de responsabilité automobile optionnelle lors de la location de véhicule - La réclamante a été blessée lors d’un accident à un seul véhicule impliquant le véhicule loué - La réclamante a présenté une demande d’indemnité d’accident légale à l’assureur de la police d’assurance de responsabilité automobile - L’assureur a refusé de payer l’indemnité - Est-ce que Chubb est un « assureur » aux fins de l’art. 268 de la </w:t>
            </w:r>
            <w:r w:rsidRPr="00F67ED4">
              <w:rPr>
                <w:i/>
                <w:sz w:val="20"/>
                <w:szCs w:val="20"/>
                <w:lang w:val="fr-CA"/>
              </w:rPr>
              <w:t>Loi sur les assurances</w:t>
            </w:r>
            <w:r w:rsidRPr="00F67ED4">
              <w:rPr>
                <w:sz w:val="20"/>
                <w:szCs w:val="20"/>
                <w:lang w:val="fr-CA"/>
              </w:rPr>
              <w:t xml:space="preserve"> et du Règlement de l’Ontario </w:t>
            </w:r>
            <w:r w:rsidRPr="00F67ED4">
              <w:rPr>
                <w:i/>
                <w:sz w:val="20"/>
                <w:szCs w:val="20"/>
                <w:lang w:val="fr-CA"/>
              </w:rPr>
              <w:t>Disputes Between Insurers</w:t>
            </w:r>
            <w:r w:rsidRPr="00F67ED4">
              <w:rPr>
                <w:sz w:val="20"/>
                <w:szCs w:val="20"/>
                <w:lang w:val="fr-CA"/>
              </w:rPr>
              <w:t xml:space="preserve">, O. Reg. 283/95? - Lorsqu’il y a un lien entre un assureur et un véhicule automobile qui donne lieu à une demande d’indemnité, un assureur peut-il faire abstraction des obligations imposées par le règlement sur les différends qui opposent les assureurs en décidant unilatéralement qu’il n’est pas </w:t>
            </w:r>
            <w:r w:rsidRPr="00F67ED4">
              <w:rPr>
                <w:sz w:val="20"/>
                <w:szCs w:val="20"/>
                <w:lang w:val="fr-CA"/>
              </w:rPr>
              <w:lastRenderedPageBreak/>
              <w:t>un assureur à cette fin?</w:t>
            </w:r>
          </w:p>
        </w:tc>
      </w:tr>
    </w:tbl>
    <w:p w:rsidR="00731C9F" w:rsidRDefault="00731C9F" w:rsidP="00731C9F">
      <w:pPr>
        <w:widowControl w:val="0"/>
        <w:rPr>
          <w:sz w:val="20"/>
          <w:szCs w:val="20"/>
          <w:lang w:val="fr-CA"/>
        </w:rPr>
      </w:pPr>
    </w:p>
    <w:p w:rsidR="00731C9F" w:rsidRDefault="00417673" w:rsidP="00731C9F">
      <w:pPr>
        <w:widowControl w:val="0"/>
        <w:rPr>
          <w:sz w:val="20"/>
          <w:szCs w:val="20"/>
        </w:rPr>
      </w:pPr>
      <w:r>
        <w:rPr>
          <w:sz w:val="20"/>
          <w:szCs w:val="20"/>
          <w:lang w:val="fr-CA"/>
        </w:rPr>
        <w:pict>
          <v:rect id="_x0000_i1094" style="width:2in;height:1pt" o:hrpct="0" o:hralign="center" o:hrstd="t" o:hrnoshade="t" o:hr="t" fillcolor="black [3213]" stroked="f"/>
        </w:pict>
      </w:r>
    </w:p>
    <w:p w:rsidR="00731C9F" w:rsidRDefault="00731C9F" w:rsidP="00731C9F">
      <w:pPr>
        <w:widowControl w:val="0"/>
        <w:rPr>
          <w:sz w:val="20"/>
          <w:szCs w:val="20"/>
        </w:rPr>
      </w:pPr>
    </w:p>
    <w:p w:rsidR="00733D7C" w:rsidRPr="00731C9F" w:rsidRDefault="00733D7C" w:rsidP="00733D7C">
      <w:pPr>
        <w:widowControl w:val="0"/>
        <w:rPr>
          <w:sz w:val="20"/>
          <w:szCs w:val="20"/>
        </w:rPr>
      </w:pPr>
      <w:r>
        <w:rPr>
          <w:sz w:val="20"/>
          <w:szCs w:val="20"/>
        </w:rPr>
        <w:t>2</w:t>
      </w:r>
      <w:r w:rsidR="0017118B">
        <w:rPr>
          <w:sz w:val="20"/>
          <w:szCs w:val="20"/>
        </w:rPr>
        <w:t>0</w:t>
      </w:r>
      <w:r w:rsidRPr="00731C9F">
        <w:rPr>
          <w:sz w:val="20"/>
          <w:szCs w:val="20"/>
        </w:rPr>
        <w:t>.0</w:t>
      </w:r>
      <w:r>
        <w:rPr>
          <w:sz w:val="20"/>
          <w:szCs w:val="20"/>
        </w:rPr>
        <w:t>4</w:t>
      </w:r>
      <w:r w:rsidRPr="00731C9F">
        <w:rPr>
          <w:sz w:val="20"/>
          <w:szCs w:val="20"/>
        </w:rPr>
        <w:t>.2015</w:t>
      </w:r>
    </w:p>
    <w:p w:rsidR="00733D7C" w:rsidRPr="00731C9F" w:rsidRDefault="00733D7C" w:rsidP="00733D7C">
      <w:pPr>
        <w:widowControl w:val="0"/>
        <w:rPr>
          <w:sz w:val="20"/>
          <w:szCs w:val="20"/>
        </w:rPr>
      </w:pPr>
    </w:p>
    <w:p w:rsidR="00733D7C" w:rsidRPr="00070058" w:rsidRDefault="00733D7C" w:rsidP="00733D7C">
      <w:pPr>
        <w:widowControl w:val="0"/>
        <w:rPr>
          <w:sz w:val="20"/>
          <w:szCs w:val="20"/>
        </w:rPr>
      </w:pPr>
      <w:r w:rsidRPr="000819BB">
        <w:rPr>
          <w:sz w:val="20"/>
          <w:szCs w:val="20"/>
        </w:rPr>
        <w:t xml:space="preserve">Coram: </w:t>
      </w:r>
      <w:r w:rsidRPr="000819BB">
        <w:rPr>
          <w:sz w:val="20"/>
          <w:szCs w:val="20"/>
        </w:rPr>
        <w:tab/>
      </w:r>
      <w:r w:rsidRPr="000819BB">
        <w:rPr>
          <w:sz w:val="20"/>
          <w:szCs w:val="20"/>
          <w:u w:val="single"/>
        </w:rPr>
        <w:t xml:space="preserve">McLachlin C.J. and </w:t>
      </w:r>
      <w:r>
        <w:rPr>
          <w:sz w:val="20"/>
          <w:szCs w:val="20"/>
          <w:u w:val="single"/>
        </w:rPr>
        <w:t xml:space="preserve">Abella, Rothstein, </w:t>
      </w:r>
      <w:r w:rsidRPr="000819BB">
        <w:rPr>
          <w:sz w:val="20"/>
          <w:szCs w:val="20"/>
          <w:u w:val="single"/>
        </w:rPr>
        <w:t xml:space="preserve">Cromwell, Moldaver, </w:t>
      </w:r>
      <w:r>
        <w:rPr>
          <w:sz w:val="20"/>
          <w:szCs w:val="20"/>
          <w:u w:val="single"/>
        </w:rPr>
        <w:t>Karakatsanis, W</w:t>
      </w:r>
      <w:r w:rsidRPr="000819BB">
        <w:rPr>
          <w:sz w:val="20"/>
          <w:szCs w:val="20"/>
          <w:u w:val="single"/>
        </w:rPr>
        <w:t>a</w:t>
      </w:r>
      <w:r>
        <w:rPr>
          <w:sz w:val="20"/>
          <w:szCs w:val="20"/>
          <w:u w:val="single"/>
        </w:rPr>
        <w:t>gner</w:t>
      </w:r>
      <w:r w:rsidRPr="000819BB">
        <w:rPr>
          <w:sz w:val="20"/>
          <w:szCs w:val="20"/>
          <w:u w:val="single"/>
        </w:rPr>
        <w:t xml:space="preserve">, </w:t>
      </w:r>
      <w:r>
        <w:rPr>
          <w:sz w:val="20"/>
          <w:szCs w:val="20"/>
          <w:u w:val="single"/>
        </w:rPr>
        <w:t>G</w:t>
      </w:r>
      <w:r w:rsidRPr="000819BB">
        <w:rPr>
          <w:sz w:val="20"/>
          <w:szCs w:val="20"/>
          <w:u w:val="single"/>
        </w:rPr>
        <w:t>a</w:t>
      </w:r>
      <w:r>
        <w:rPr>
          <w:sz w:val="20"/>
          <w:szCs w:val="20"/>
          <w:u w:val="single"/>
        </w:rPr>
        <w:t>scon</w:t>
      </w:r>
      <w:r w:rsidRPr="000819BB">
        <w:rPr>
          <w:sz w:val="20"/>
          <w:szCs w:val="20"/>
          <w:u w:val="single"/>
        </w:rPr>
        <w:t xml:space="preserve"> and Côté JJ.</w:t>
      </w:r>
    </w:p>
    <w:p w:rsidR="00733D7C" w:rsidRPr="00731C9F" w:rsidRDefault="00733D7C" w:rsidP="00733D7C">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33D7C" w:rsidRPr="00731C9F" w:rsidTr="000C0C5C">
        <w:tc>
          <w:tcPr>
            <w:tcW w:w="4380" w:type="dxa"/>
            <w:tcMar>
              <w:left w:w="0" w:type="dxa"/>
              <w:right w:w="0" w:type="dxa"/>
            </w:tcMar>
          </w:tcPr>
          <w:p w:rsidR="00733D7C" w:rsidRPr="000C0C5C" w:rsidRDefault="00733D7C" w:rsidP="000C0C5C">
            <w:pPr>
              <w:widowControl w:val="0"/>
              <w:rPr>
                <w:b/>
                <w:sz w:val="20"/>
                <w:szCs w:val="20"/>
                <w:lang w:val="fr-CA"/>
              </w:rPr>
            </w:pPr>
            <w:r w:rsidRPr="000C0C5C">
              <w:rPr>
                <w:b/>
                <w:sz w:val="20"/>
                <w:szCs w:val="20"/>
                <w:lang w:val="fr-CA"/>
              </w:rPr>
              <w:t>Sanofi-Aventis et al.</w:t>
            </w:r>
          </w:p>
          <w:p w:rsidR="00733D7C" w:rsidRPr="000C0C5C" w:rsidRDefault="00733D7C" w:rsidP="000C0C5C">
            <w:pPr>
              <w:widowControl w:val="0"/>
              <w:rPr>
                <w:b/>
                <w:sz w:val="20"/>
                <w:szCs w:val="20"/>
                <w:lang w:val="fr-CA"/>
              </w:rPr>
            </w:pPr>
          </w:p>
          <w:p w:rsidR="00733D7C" w:rsidRPr="000C0C5C" w:rsidRDefault="00733D7C" w:rsidP="000C0C5C">
            <w:pPr>
              <w:widowControl w:val="0"/>
              <w:rPr>
                <w:b/>
                <w:sz w:val="20"/>
                <w:szCs w:val="20"/>
                <w:lang w:val="fr-CA"/>
              </w:rPr>
            </w:pPr>
            <w:r w:rsidRPr="000C0C5C">
              <w:rPr>
                <w:b/>
                <w:sz w:val="20"/>
                <w:szCs w:val="20"/>
                <w:lang w:val="fr-CA"/>
              </w:rPr>
              <w:tab/>
              <w:t xml:space="preserve">v. </w:t>
            </w:r>
            <w:r w:rsidR="00D33091" w:rsidRPr="00C3286E">
              <w:rPr>
                <w:sz w:val="20"/>
                <w:szCs w:val="20"/>
              </w:rPr>
              <w:t>(</w:t>
            </w:r>
            <w:hyperlink r:id="rId108" w:history="1">
              <w:r w:rsidR="00D33091" w:rsidRPr="00C3286E">
                <w:rPr>
                  <w:rStyle w:val="Hyperlink"/>
                  <w:sz w:val="20"/>
                  <w:szCs w:val="20"/>
                </w:rPr>
                <w:t>35886</w:t>
              </w:r>
            </w:hyperlink>
            <w:r w:rsidR="00D33091" w:rsidRPr="00C3286E">
              <w:rPr>
                <w:sz w:val="20"/>
                <w:szCs w:val="20"/>
              </w:rPr>
              <w:t>)</w:t>
            </w:r>
          </w:p>
          <w:p w:rsidR="00733D7C" w:rsidRPr="000C0C5C" w:rsidRDefault="00733D7C" w:rsidP="000C0C5C">
            <w:pPr>
              <w:widowControl w:val="0"/>
              <w:rPr>
                <w:b/>
                <w:sz w:val="20"/>
                <w:szCs w:val="20"/>
                <w:lang w:val="fr-CA"/>
              </w:rPr>
            </w:pPr>
          </w:p>
          <w:p w:rsidR="00733D7C" w:rsidRPr="00731C9F" w:rsidRDefault="00733D7C" w:rsidP="000C0C5C">
            <w:pPr>
              <w:widowControl w:val="0"/>
              <w:rPr>
                <w:sz w:val="20"/>
                <w:szCs w:val="20"/>
              </w:rPr>
            </w:pPr>
            <w:r>
              <w:rPr>
                <w:b/>
                <w:sz w:val="20"/>
                <w:szCs w:val="20"/>
              </w:rPr>
              <w:t xml:space="preserve">Apotex Inc. </w:t>
            </w:r>
            <w:r w:rsidR="000C0C5C">
              <w:rPr>
                <w:b/>
                <w:sz w:val="20"/>
                <w:szCs w:val="20"/>
              </w:rPr>
              <w:t>e</w:t>
            </w:r>
            <w:r w:rsidRPr="00731C9F">
              <w:rPr>
                <w:b/>
                <w:sz w:val="20"/>
                <w:szCs w:val="20"/>
              </w:rPr>
              <w:t>t</w:t>
            </w:r>
            <w:r w:rsidR="000C0C5C">
              <w:rPr>
                <w:b/>
                <w:sz w:val="20"/>
                <w:szCs w:val="20"/>
              </w:rPr>
              <w:t xml:space="preserve"> al</w:t>
            </w:r>
            <w:r w:rsidRPr="00731C9F">
              <w:rPr>
                <w:b/>
                <w:sz w:val="20"/>
                <w:szCs w:val="20"/>
              </w:rPr>
              <w:t>. (</w:t>
            </w:r>
            <w:r w:rsidR="000C0C5C">
              <w:rPr>
                <w:b/>
                <w:sz w:val="20"/>
                <w:szCs w:val="20"/>
              </w:rPr>
              <w:t>F.C</w:t>
            </w:r>
            <w:r w:rsidRPr="00731C9F">
              <w:rPr>
                <w:b/>
                <w:sz w:val="20"/>
                <w:szCs w:val="20"/>
              </w:rPr>
              <w:t>.) (Civil) (By Leave)</w:t>
            </w:r>
          </w:p>
        </w:tc>
        <w:tc>
          <w:tcPr>
            <w:tcW w:w="720" w:type="dxa"/>
            <w:tcMar>
              <w:left w:w="0" w:type="dxa"/>
              <w:right w:w="0" w:type="dxa"/>
            </w:tcMar>
          </w:tcPr>
          <w:p w:rsidR="00733D7C" w:rsidRPr="0004012C" w:rsidRDefault="00733D7C" w:rsidP="000C0C5C">
            <w:pPr>
              <w:widowControl w:val="0"/>
              <w:jc w:val="center"/>
              <w:rPr>
                <w:sz w:val="20"/>
                <w:szCs w:val="20"/>
              </w:rPr>
            </w:pPr>
          </w:p>
        </w:tc>
        <w:tc>
          <w:tcPr>
            <w:tcW w:w="4380" w:type="dxa"/>
            <w:tcMar>
              <w:left w:w="0" w:type="dxa"/>
              <w:right w:w="0" w:type="dxa"/>
            </w:tcMar>
          </w:tcPr>
          <w:p w:rsidR="0004012C" w:rsidRPr="0004012C" w:rsidRDefault="0004012C" w:rsidP="00556701">
            <w:pPr>
              <w:jc w:val="both"/>
              <w:rPr>
                <w:sz w:val="20"/>
                <w:szCs w:val="20"/>
              </w:rPr>
            </w:pPr>
            <w:r w:rsidRPr="0004012C">
              <w:rPr>
                <w:sz w:val="20"/>
                <w:szCs w:val="20"/>
              </w:rPr>
              <w:t xml:space="preserve">Andrew J. Reddon, </w:t>
            </w:r>
            <w:r w:rsidRPr="0004012C">
              <w:rPr>
                <w:sz w:val="20"/>
                <w:szCs w:val="20"/>
                <w:lang w:val="en-US"/>
              </w:rPr>
              <w:t>Steven G. Mason, David Tait and Sanjaya Mendis f</w:t>
            </w:r>
            <w:r w:rsidRPr="0004012C">
              <w:rPr>
                <w:sz w:val="20"/>
                <w:szCs w:val="20"/>
              </w:rPr>
              <w:t>or the appellant.</w:t>
            </w:r>
          </w:p>
          <w:p w:rsidR="00733D7C" w:rsidRPr="0004012C" w:rsidRDefault="00733D7C" w:rsidP="00556701">
            <w:pPr>
              <w:widowControl w:val="0"/>
              <w:jc w:val="both"/>
              <w:rPr>
                <w:sz w:val="20"/>
                <w:szCs w:val="20"/>
              </w:rPr>
            </w:pPr>
          </w:p>
          <w:p w:rsidR="0004012C" w:rsidRPr="0004012C" w:rsidRDefault="0004012C" w:rsidP="00556701">
            <w:pPr>
              <w:jc w:val="both"/>
              <w:rPr>
                <w:sz w:val="20"/>
                <w:szCs w:val="20"/>
              </w:rPr>
            </w:pPr>
            <w:r w:rsidRPr="0004012C">
              <w:rPr>
                <w:sz w:val="20"/>
                <w:szCs w:val="20"/>
              </w:rPr>
              <w:t>Allyson Whyte Nowak and Jason Markwell for the intervener Canada's Research-Based Pharmaceutical Companies.</w:t>
            </w:r>
          </w:p>
          <w:p w:rsidR="0004012C" w:rsidRPr="0004012C" w:rsidRDefault="0004012C" w:rsidP="00556701">
            <w:pPr>
              <w:widowControl w:val="0"/>
              <w:jc w:val="both"/>
              <w:rPr>
                <w:sz w:val="20"/>
                <w:szCs w:val="20"/>
              </w:rPr>
            </w:pPr>
          </w:p>
          <w:p w:rsidR="0004012C" w:rsidRPr="0004012C" w:rsidRDefault="0004012C" w:rsidP="00556701">
            <w:pPr>
              <w:jc w:val="both"/>
              <w:rPr>
                <w:sz w:val="20"/>
                <w:szCs w:val="20"/>
              </w:rPr>
            </w:pPr>
            <w:r w:rsidRPr="0004012C">
              <w:rPr>
                <w:sz w:val="20"/>
                <w:szCs w:val="20"/>
              </w:rPr>
              <w:t>Harry B. Radomsk, Andrew Brodkin, David Scrimger and Benjamin Hackett for the respondent.</w:t>
            </w:r>
          </w:p>
          <w:p w:rsidR="0004012C" w:rsidRPr="0004012C" w:rsidRDefault="0004012C" w:rsidP="00556701">
            <w:pPr>
              <w:widowControl w:val="0"/>
              <w:jc w:val="both"/>
              <w:rPr>
                <w:sz w:val="20"/>
                <w:szCs w:val="20"/>
              </w:rPr>
            </w:pPr>
          </w:p>
          <w:p w:rsidR="0004012C" w:rsidRPr="0004012C" w:rsidRDefault="0004012C" w:rsidP="00556701">
            <w:pPr>
              <w:jc w:val="both"/>
              <w:rPr>
                <w:sz w:val="20"/>
                <w:szCs w:val="20"/>
              </w:rPr>
            </w:pPr>
            <w:r w:rsidRPr="0004012C">
              <w:rPr>
                <w:sz w:val="20"/>
                <w:szCs w:val="20"/>
              </w:rPr>
              <w:t>Jonathan Stainsby, David W. Aitken and Devin Doyle for the intervener Canadian Generic Pharmaceutical Association.</w:t>
            </w:r>
          </w:p>
        </w:tc>
      </w:tr>
    </w:tbl>
    <w:p w:rsidR="007065AB" w:rsidRPr="007065AB" w:rsidRDefault="007065AB" w:rsidP="007065AB">
      <w:pPr>
        <w:widowControl w:val="0"/>
        <w:rPr>
          <w:sz w:val="20"/>
          <w:szCs w:val="20"/>
        </w:rPr>
      </w:pPr>
    </w:p>
    <w:p w:rsidR="007065AB" w:rsidRPr="007065AB" w:rsidRDefault="007065AB" w:rsidP="007065AB">
      <w:pPr>
        <w:rPr>
          <w:rFonts w:eastAsia="Calibri" w:cs="Times New Roman"/>
          <w:b/>
          <w:bCs/>
          <w:sz w:val="20"/>
          <w:szCs w:val="20"/>
          <w:lang w:val="fr-CA"/>
        </w:rPr>
      </w:pPr>
      <w:r w:rsidRPr="007065AB">
        <w:rPr>
          <w:rFonts w:eastAsia="Calibri" w:cs="Times New Roman"/>
          <w:b/>
          <w:bCs/>
          <w:sz w:val="20"/>
          <w:szCs w:val="20"/>
          <w:lang w:val="fr-CA"/>
        </w:rPr>
        <w:t xml:space="preserve">2015 </w:t>
      </w:r>
      <w:r w:rsidRPr="007065AB">
        <w:rPr>
          <w:rFonts w:eastAsia="Calibri" w:cs="Times New Roman"/>
          <w:b/>
          <w:bCs/>
          <w:sz w:val="20"/>
          <w:szCs w:val="20"/>
        </w:rPr>
        <w:t>SCC 20</w:t>
      </w:r>
      <w:r w:rsidRPr="007065AB">
        <w:rPr>
          <w:rFonts w:eastAsia="Calibri" w:cs="Times New Roman"/>
          <w:b/>
          <w:bCs/>
          <w:sz w:val="20"/>
          <w:szCs w:val="20"/>
          <w:lang w:val="fr-CA"/>
        </w:rPr>
        <w:t xml:space="preserve"> / 2015 CSC 20</w:t>
      </w:r>
    </w:p>
    <w:p w:rsidR="007065AB" w:rsidRPr="007065AB" w:rsidRDefault="007065AB" w:rsidP="007065AB">
      <w:pPr>
        <w:widowControl w:val="0"/>
        <w:rPr>
          <w:sz w:val="20"/>
          <w:szCs w:val="20"/>
        </w:rPr>
      </w:pPr>
    </w:p>
    <w:p w:rsidR="007065AB" w:rsidRPr="007065AB" w:rsidRDefault="007065AB" w:rsidP="007065AB">
      <w:pPr>
        <w:widowControl w:val="0"/>
        <w:rPr>
          <w:sz w:val="20"/>
          <w:szCs w:val="20"/>
          <w:lang w:val="fr-CA"/>
        </w:rPr>
      </w:pPr>
      <w:r>
        <w:rPr>
          <w:b/>
          <w:sz w:val="20"/>
          <w:szCs w:val="20"/>
        </w:rPr>
        <w:t>DISMISSED</w:t>
      </w:r>
      <w:r w:rsidRPr="007065AB">
        <w:rPr>
          <w:b/>
          <w:sz w:val="20"/>
          <w:szCs w:val="20"/>
        </w:rPr>
        <w:t xml:space="preserve"> / </w:t>
      </w:r>
      <w:r>
        <w:rPr>
          <w:b/>
          <w:sz w:val="20"/>
          <w:szCs w:val="20"/>
        </w:rPr>
        <w:t>REJETÉ</w:t>
      </w:r>
    </w:p>
    <w:p w:rsidR="007065AB" w:rsidRPr="007065AB" w:rsidRDefault="007065AB" w:rsidP="007065AB">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065AB" w:rsidRPr="00584913" w:rsidTr="00841E19">
        <w:tc>
          <w:tcPr>
            <w:tcW w:w="4380" w:type="dxa"/>
            <w:tcMar>
              <w:left w:w="0" w:type="dxa"/>
              <w:right w:w="0" w:type="dxa"/>
            </w:tcMar>
          </w:tcPr>
          <w:p w:rsidR="007065AB" w:rsidRPr="00F1436A" w:rsidRDefault="007065AB" w:rsidP="00841E19">
            <w:pPr>
              <w:widowControl w:val="0"/>
              <w:jc w:val="both"/>
              <w:rPr>
                <w:b/>
                <w:sz w:val="20"/>
                <w:szCs w:val="20"/>
                <w:u w:val="single"/>
              </w:rPr>
            </w:pPr>
            <w:r w:rsidRPr="00F1436A">
              <w:rPr>
                <w:b/>
                <w:sz w:val="20"/>
                <w:szCs w:val="20"/>
                <w:u w:val="single"/>
              </w:rPr>
              <w:t>JUDGMENT:</w:t>
            </w:r>
          </w:p>
          <w:p w:rsidR="007065AB" w:rsidRPr="00F1436A" w:rsidRDefault="007065AB" w:rsidP="00841E19">
            <w:pPr>
              <w:widowControl w:val="0"/>
              <w:jc w:val="both"/>
              <w:rPr>
                <w:b/>
                <w:sz w:val="20"/>
                <w:szCs w:val="20"/>
              </w:rPr>
            </w:pPr>
          </w:p>
          <w:p w:rsidR="00F1436A" w:rsidRDefault="00F1436A" w:rsidP="00F1436A">
            <w:pPr>
              <w:jc w:val="both"/>
              <w:rPr>
                <w:sz w:val="20"/>
                <w:szCs w:val="20"/>
              </w:rPr>
            </w:pPr>
            <w:r w:rsidRPr="00F1436A">
              <w:rPr>
                <w:sz w:val="20"/>
                <w:szCs w:val="20"/>
              </w:rPr>
              <w:t>The appeal from the judgment of the Federal Court of Appeal, Numbers A-191-12, A-193-12, A-397-12 and A-474-12, 2014 FCA 68, dated March 14, 2014, was heard on April 20, 2015, and the Court on that day delivered the following judgment orally:</w:t>
            </w:r>
          </w:p>
          <w:p w:rsidR="00F1436A" w:rsidRDefault="00F1436A" w:rsidP="00F1436A">
            <w:pPr>
              <w:jc w:val="both"/>
              <w:rPr>
                <w:sz w:val="20"/>
                <w:szCs w:val="20"/>
              </w:rPr>
            </w:pPr>
          </w:p>
          <w:p w:rsidR="00F1436A" w:rsidRPr="00F1436A" w:rsidRDefault="00F1436A" w:rsidP="00F1436A">
            <w:pPr>
              <w:jc w:val="both"/>
              <w:rPr>
                <w:sz w:val="20"/>
                <w:szCs w:val="20"/>
              </w:rPr>
            </w:pPr>
          </w:p>
          <w:p w:rsidR="00F1436A" w:rsidRPr="00F1436A" w:rsidRDefault="00F1436A" w:rsidP="00F1436A">
            <w:pPr>
              <w:jc w:val="both"/>
              <w:rPr>
                <w:sz w:val="20"/>
                <w:szCs w:val="20"/>
              </w:rPr>
            </w:pPr>
            <w:r w:rsidRPr="00F1436A">
              <w:rPr>
                <w:smallCaps/>
                <w:sz w:val="20"/>
                <w:szCs w:val="20"/>
              </w:rPr>
              <w:t>The Chief Justice</w:t>
            </w:r>
            <w:r w:rsidRPr="00F1436A">
              <w:rPr>
                <w:sz w:val="20"/>
                <w:szCs w:val="20"/>
              </w:rPr>
              <w:t xml:space="preserve"> </w:t>
            </w:r>
            <w:r w:rsidRPr="00F1436A">
              <w:rPr>
                <w:rFonts w:cs="Times New Roman"/>
                <w:sz w:val="20"/>
                <w:szCs w:val="20"/>
              </w:rPr>
              <w:t xml:space="preserve">— </w:t>
            </w:r>
            <w:r w:rsidRPr="00F1436A">
              <w:rPr>
                <w:sz w:val="20"/>
                <w:szCs w:val="20"/>
              </w:rPr>
              <w:t>We are all of the view to dismiss the appeal substantially for the reasons of the majority of the Court of Appeal.</w:t>
            </w:r>
          </w:p>
          <w:p w:rsidR="00F1436A" w:rsidRPr="00F1436A" w:rsidRDefault="00F1436A" w:rsidP="00F1436A">
            <w:pPr>
              <w:jc w:val="both"/>
              <w:rPr>
                <w:sz w:val="20"/>
                <w:szCs w:val="20"/>
              </w:rPr>
            </w:pPr>
          </w:p>
          <w:p w:rsidR="007065AB" w:rsidRPr="00F1436A" w:rsidRDefault="00F1436A" w:rsidP="00F1436A">
            <w:pPr>
              <w:jc w:val="both"/>
              <w:rPr>
                <w:b/>
                <w:sz w:val="20"/>
                <w:szCs w:val="20"/>
              </w:rPr>
            </w:pPr>
            <w:r w:rsidRPr="00F1436A">
              <w:rPr>
                <w:sz w:val="20"/>
                <w:szCs w:val="20"/>
              </w:rPr>
              <w:t>The appeal is dismissed with costs.</w:t>
            </w:r>
          </w:p>
        </w:tc>
        <w:tc>
          <w:tcPr>
            <w:tcW w:w="720" w:type="dxa"/>
            <w:tcMar>
              <w:left w:w="0" w:type="dxa"/>
              <w:right w:w="0" w:type="dxa"/>
            </w:tcMar>
          </w:tcPr>
          <w:p w:rsidR="007065AB" w:rsidRPr="00F1436A" w:rsidRDefault="007065AB" w:rsidP="00841E19">
            <w:pPr>
              <w:widowControl w:val="0"/>
              <w:jc w:val="center"/>
              <w:rPr>
                <w:sz w:val="20"/>
                <w:szCs w:val="20"/>
              </w:rPr>
            </w:pPr>
          </w:p>
        </w:tc>
        <w:tc>
          <w:tcPr>
            <w:tcW w:w="4380" w:type="dxa"/>
            <w:tcMar>
              <w:left w:w="0" w:type="dxa"/>
              <w:right w:w="0" w:type="dxa"/>
            </w:tcMar>
          </w:tcPr>
          <w:p w:rsidR="007065AB" w:rsidRPr="00F1436A" w:rsidRDefault="007065AB" w:rsidP="00841E19">
            <w:pPr>
              <w:widowControl w:val="0"/>
              <w:jc w:val="both"/>
              <w:rPr>
                <w:b/>
                <w:sz w:val="20"/>
                <w:szCs w:val="20"/>
                <w:u w:val="single"/>
                <w:lang w:val="fr-CA"/>
              </w:rPr>
            </w:pPr>
            <w:r w:rsidRPr="00F1436A">
              <w:rPr>
                <w:b/>
                <w:sz w:val="20"/>
                <w:szCs w:val="20"/>
                <w:u w:val="single"/>
                <w:lang w:val="fr-CA"/>
              </w:rPr>
              <w:t>JUGEMENT :</w:t>
            </w:r>
          </w:p>
          <w:p w:rsidR="007065AB" w:rsidRPr="00F1436A" w:rsidRDefault="007065AB" w:rsidP="00841E19">
            <w:pPr>
              <w:widowControl w:val="0"/>
              <w:jc w:val="both"/>
              <w:rPr>
                <w:sz w:val="20"/>
                <w:szCs w:val="20"/>
                <w:lang w:val="fr-CA"/>
              </w:rPr>
            </w:pPr>
          </w:p>
          <w:p w:rsidR="00F1436A" w:rsidRPr="00F1436A" w:rsidRDefault="00F1436A" w:rsidP="00F1436A">
            <w:pPr>
              <w:jc w:val="both"/>
              <w:rPr>
                <w:sz w:val="20"/>
                <w:szCs w:val="20"/>
                <w:lang w:val="fr-CA"/>
              </w:rPr>
            </w:pPr>
            <w:r w:rsidRPr="00F1436A">
              <w:rPr>
                <w:sz w:val="20"/>
                <w:szCs w:val="20"/>
                <w:lang w:val="fr-CA"/>
              </w:rPr>
              <w:t>L’appel interjeté contre l’arrêt de la Cour d’appel fédérale, numéros A-191-12, A-193-12, A-397-12 et A-474-12, 2014 CAF 68, en date du 14 mars 2014, a été entendu le 20 avril 2015 et la Cour a prononcé oralement le même jour le jugement suivant :</w:t>
            </w:r>
          </w:p>
          <w:p w:rsidR="00F1436A" w:rsidRPr="00F1436A" w:rsidRDefault="00F1436A" w:rsidP="00F1436A">
            <w:pPr>
              <w:jc w:val="center"/>
              <w:rPr>
                <w:sz w:val="20"/>
                <w:szCs w:val="20"/>
                <w:lang w:val="fr-CA"/>
              </w:rPr>
            </w:pPr>
          </w:p>
          <w:p w:rsidR="00F1436A" w:rsidRPr="00F1436A" w:rsidRDefault="00F1436A" w:rsidP="00F1436A">
            <w:pPr>
              <w:jc w:val="both"/>
              <w:rPr>
                <w:smallCaps/>
                <w:sz w:val="20"/>
                <w:szCs w:val="20"/>
                <w:lang w:val="fr-CA"/>
              </w:rPr>
            </w:pPr>
            <w:r w:rsidRPr="00F1436A">
              <w:rPr>
                <w:sz w:val="20"/>
                <w:szCs w:val="20"/>
                <w:lang w:val="fr-CA"/>
              </w:rPr>
              <w:t>[</w:t>
            </w:r>
            <w:r w:rsidRPr="00F1436A">
              <w:rPr>
                <w:smallCaps/>
                <w:sz w:val="20"/>
                <w:szCs w:val="20"/>
                <w:lang w:val="fr-CA"/>
              </w:rPr>
              <w:t>Traduction]</w:t>
            </w:r>
          </w:p>
          <w:p w:rsidR="00F1436A" w:rsidRPr="00F1436A" w:rsidRDefault="00F1436A" w:rsidP="00F1436A">
            <w:pPr>
              <w:jc w:val="both"/>
              <w:rPr>
                <w:sz w:val="20"/>
                <w:szCs w:val="20"/>
                <w:lang w:val="fr-CA"/>
              </w:rPr>
            </w:pPr>
            <w:r w:rsidRPr="00F1436A">
              <w:rPr>
                <w:smallCaps/>
                <w:sz w:val="20"/>
                <w:szCs w:val="20"/>
                <w:lang w:val="fr-CA"/>
              </w:rPr>
              <w:t>La Juge en chef</w:t>
            </w:r>
            <w:r w:rsidRPr="00F1436A">
              <w:rPr>
                <w:sz w:val="20"/>
                <w:szCs w:val="20"/>
                <w:lang w:val="fr-CA"/>
              </w:rPr>
              <w:t xml:space="preserve"> </w:t>
            </w:r>
            <w:r w:rsidRPr="00F1436A">
              <w:rPr>
                <w:rFonts w:cs="Times New Roman"/>
                <w:sz w:val="20"/>
                <w:szCs w:val="20"/>
                <w:lang w:val="fr-CA"/>
              </w:rPr>
              <w:t xml:space="preserve">— </w:t>
            </w:r>
            <w:r w:rsidRPr="00F1436A">
              <w:rPr>
                <w:sz w:val="20"/>
                <w:szCs w:val="20"/>
                <w:lang w:val="fr-CA"/>
              </w:rPr>
              <w:t xml:space="preserve">Nous </w:t>
            </w:r>
            <w:r w:rsidRPr="00F1436A">
              <w:rPr>
                <w:rFonts w:asciiTheme="minorBidi" w:hAnsiTheme="minorBidi"/>
                <w:sz w:val="20"/>
                <w:szCs w:val="20"/>
                <w:lang w:val="fr-CA"/>
              </w:rPr>
              <w:t xml:space="preserve">sommes tous d’avis de rejeter l’appel essentiellement pour les motifs de la majorité de la Cour d’appel. </w:t>
            </w:r>
          </w:p>
          <w:p w:rsidR="00F1436A" w:rsidRPr="00F1436A" w:rsidRDefault="00F1436A" w:rsidP="00F1436A">
            <w:pPr>
              <w:rPr>
                <w:sz w:val="20"/>
                <w:szCs w:val="20"/>
                <w:lang w:val="fr-CA"/>
              </w:rPr>
            </w:pPr>
          </w:p>
          <w:p w:rsidR="007065AB" w:rsidRPr="00F1436A" w:rsidRDefault="00F1436A" w:rsidP="00F1436A">
            <w:pPr>
              <w:jc w:val="both"/>
              <w:rPr>
                <w:sz w:val="20"/>
                <w:szCs w:val="20"/>
                <w:lang w:val="fr-CA"/>
              </w:rPr>
            </w:pPr>
            <w:r w:rsidRPr="00F1436A">
              <w:rPr>
                <w:sz w:val="20"/>
                <w:szCs w:val="20"/>
                <w:lang w:val="fr-CA"/>
              </w:rPr>
              <w:t>L’appel est rejeté</w:t>
            </w:r>
            <w:r w:rsidRPr="00F1436A">
              <w:rPr>
                <w:smallCaps/>
                <w:sz w:val="20"/>
                <w:szCs w:val="20"/>
                <w:lang w:val="fr-CA"/>
              </w:rPr>
              <w:t xml:space="preserve"> </w:t>
            </w:r>
            <w:r w:rsidRPr="00F1436A">
              <w:rPr>
                <w:sz w:val="20"/>
                <w:szCs w:val="20"/>
                <w:lang w:val="fr-CA"/>
              </w:rPr>
              <w:t>avec dépens.</w:t>
            </w:r>
          </w:p>
        </w:tc>
      </w:tr>
    </w:tbl>
    <w:p w:rsidR="00733D7C" w:rsidRPr="007065AB" w:rsidRDefault="00733D7C" w:rsidP="00733D7C">
      <w:pPr>
        <w:rPr>
          <w:sz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33D7C" w:rsidRPr="00584913" w:rsidTr="000C0C5C">
        <w:tc>
          <w:tcPr>
            <w:tcW w:w="4380" w:type="dxa"/>
            <w:tcMar>
              <w:left w:w="0" w:type="dxa"/>
              <w:right w:w="0" w:type="dxa"/>
            </w:tcMar>
          </w:tcPr>
          <w:p w:rsidR="00733D7C" w:rsidRPr="000C0C5C" w:rsidRDefault="00733D7C" w:rsidP="000C0C5C">
            <w:pPr>
              <w:widowControl w:val="0"/>
              <w:jc w:val="both"/>
              <w:rPr>
                <w:b/>
                <w:sz w:val="20"/>
                <w:szCs w:val="20"/>
                <w:u w:val="single"/>
              </w:rPr>
            </w:pPr>
            <w:r w:rsidRPr="000C0C5C">
              <w:rPr>
                <w:b/>
                <w:sz w:val="20"/>
                <w:szCs w:val="20"/>
                <w:u w:val="single"/>
              </w:rPr>
              <w:t>Nature of the case:</w:t>
            </w:r>
          </w:p>
          <w:p w:rsidR="00733D7C" w:rsidRPr="000C0C5C" w:rsidRDefault="00733D7C" w:rsidP="000C0C5C">
            <w:pPr>
              <w:widowControl w:val="0"/>
              <w:jc w:val="both"/>
              <w:rPr>
                <w:b/>
                <w:sz w:val="20"/>
                <w:szCs w:val="20"/>
              </w:rPr>
            </w:pPr>
          </w:p>
          <w:p w:rsidR="000C0C5C" w:rsidRPr="000C0C5C" w:rsidRDefault="000C0C5C" w:rsidP="000C0C5C">
            <w:pPr>
              <w:jc w:val="both"/>
              <w:rPr>
                <w:smallCaps/>
                <w:sz w:val="20"/>
                <w:szCs w:val="20"/>
              </w:rPr>
            </w:pPr>
            <w:r w:rsidRPr="00221D30">
              <w:rPr>
                <w:smallCaps/>
                <w:sz w:val="20"/>
                <w:szCs w:val="20"/>
              </w:rPr>
              <w:t xml:space="preserve">(Sealing </w:t>
            </w:r>
            <w:r w:rsidR="00D33091">
              <w:rPr>
                <w:smallCaps/>
                <w:sz w:val="20"/>
                <w:szCs w:val="20"/>
              </w:rPr>
              <w:t>O</w:t>
            </w:r>
            <w:r w:rsidRPr="00221D30">
              <w:rPr>
                <w:smallCaps/>
                <w:sz w:val="20"/>
                <w:szCs w:val="20"/>
              </w:rPr>
              <w:t>rder)</w:t>
            </w:r>
          </w:p>
          <w:p w:rsidR="000C0C5C" w:rsidRPr="000C0C5C" w:rsidRDefault="000C0C5C" w:rsidP="000C0C5C">
            <w:pPr>
              <w:jc w:val="both"/>
              <w:rPr>
                <w:smallCaps/>
                <w:sz w:val="20"/>
                <w:szCs w:val="20"/>
              </w:rPr>
            </w:pPr>
          </w:p>
          <w:p w:rsidR="00733D7C" w:rsidRPr="000C0C5C" w:rsidRDefault="000C0C5C" w:rsidP="000C0C5C">
            <w:pPr>
              <w:widowControl w:val="0"/>
              <w:jc w:val="both"/>
              <w:rPr>
                <w:b/>
                <w:sz w:val="20"/>
                <w:szCs w:val="20"/>
              </w:rPr>
            </w:pPr>
            <w:r w:rsidRPr="00221D30">
              <w:rPr>
                <w:sz w:val="20"/>
                <w:szCs w:val="20"/>
              </w:rPr>
              <w:t xml:space="preserve">Intellectual property - Patents - Medicines - Generic manufacturer seeking damages under s. 8 of </w:t>
            </w:r>
            <w:r w:rsidRPr="00221D30">
              <w:rPr>
                <w:i/>
                <w:sz w:val="20"/>
                <w:szCs w:val="20"/>
              </w:rPr>
              <w:t>Patented Medicines (Notice of Compliance) Regulations</w:t>
            </w:r>
            <w:r w:rsidRPr="00221D30">
              <w:rPr>
                <w:sz w:val="20"/>
                <w:szCs w:val="20"/>
              </w:rPr>
              <w:t xml:space="preserve">, SOR/93-133 after delayed market entry due to statutory stay occasioned by failed prohibition proceedings - Whether lower courts erred in interpreting s. 8 of the </w:t>
            </w:r>
            <w:r w:rsidRPr="00221D30">
              <w:rPr>
                <w:i/>
                <w:sz w:val="20"/>
                <w:szCs w:val="20"/>
              </w:rPr>
              <w:t>NOC Regulations</w:t>
            </w:r>
            <w:r w:rsidRPr="00221D30">
              <w:rPr>
                <w:sz w:val="20"/>
                <w:szCs w:val="20"/>
              </w:rPr>
              <w:t xml:space="preserve"> as providing a damages framework that overcompensates claimants and leads to judicial inconsistencies; in selecting </w:t>
            </w:r>
            <w:r w:rsidRPr="00221D30">
              <w:rPr>
                <w:sz w:val="20"/>
                <w:szCs w:val="20"/>
              </w:rPr>
              <w:lastRenderedPageBreak/>
              <w:t>April 26, 2004 as the commencement date for the period of loss; and in awarding Apotex compensation for hypothetically losing unapproved HOPE sales</w:t>
            </w:r>
          </w:p>
        </w:tc>
        <w:tc>
          <w:tcPr>
            <w:tcW w:w="720" w:type="dxa"/>
            <w:tcMar>
              <w:left w:w="0" w:type="dxa"/>
              <w:right w:w="0" w:type="dxa"/>
            </w:tcMar>
          </w:tcPr>
          <w:p w:rsidR="00733D7C" w:rsidRPr="000C0C5C" w:rsidRDefault="00733D7C" w:rsidP="000C0C5C">
            <w:pPr>
              <w:widowControl w:val="0"/>
              <w:jc w:val="center"/>
              <w:rPr>
                <w:sz w:val="20"/>
                <w:szCs w:val="20"/>
              </w:rPr>
            </w:pPr>
          </w:p>
        </w:tc>
        <w:tc>
          <w:tcPr>
            <w:tcW w:w="4380" w:type="dxa"/>
            <w:tcMar>
              <w:left w:w="0" w:type="dxa"/>
              <w:right w:w="0" w:type="dxa"/>
            </w:tcMar>
          </w:tcPr>
          <w:p w:rsidR="00733D7C" w:rsidRPr="00CC4D84" w:rsidRDefault="00733D7C" w:rsidP="000C0C5C">
            <w:pPr>
              <w:widowControl w:val="0"/>
              <w:jc w:val="both"/>
              <w:rPr>
                <w:b/>
                <w:sz w:val="20"/>
                <w:szCs w:val="20"/>
                <w:u w:val="single"/>
                <w:lang w:val="fr-CA"/>
              </w:rPr>
            </w:pPr>
            <w:r w:rsidRPr="00CC4D84">
              <w:rPr>
                <w:b/>
                <w:sz w:val="20"/>
                <w:szCs w:val="20"/>
                <w:u w:val="single"/>
                <w:lang w:val="fr-CA"/>
              </w:rPr>
              <w:t>Nature de la cause :</w:t>
            </w:r>
          </w:p>
          <w:p w:rsidR="00733D7C" w:rsidRPr="00C1697B" w:rsidRDefault="00733D7C" w:rsidP="000C0C5C">
            <w:pPr>
              <w:widowControl w:val="0"/>
              <w:jc w:val="both"/>
              <w:rPr>
                <w:sz w:val="20"/>
                <w:szCs w:val="20"/>
                <w:lang w:val="fr-CA"/>
              </w:rPr>
            </w:pPr>
          </w:p>
          <w:p w:rsidR="000C0C5C" w:rsidRPr="001B5A3D" w:rsidRDefault="000C0C5C" w:rsidP="000C0C5C">
            <w:pPr>
              <w:jc w:val="both"/>
              <w:rPr>
                <w:smallCaps/>
                <w:sz w:val="20"/>
                <w:szCs w:val="20"/>
                <w:lang w:val="fr-CA"/>
              </w:rPr>
            </w:pPr>
            <w:r w:rsidRPr="001B5A3D">
              <w:rPr>
                <w:smallCaps/>
                <w:sz w:val="20"/>
                <w:szCs w:val="20"/>
                <w:lang w:val="fr-CA"/>
              </w:rPr>
              <w:t>(Ordonnance de mise sous scellés)</w:t>
            </w:r>
          </w:p>
          <w:p w:rsidR="000C0C5C" w:rsidRPr="001B5A3D" w:rsidRDefault="000C0C5C" w:rsidP="000C0C5C">
            <w:pPr>
              <w:jc w:val="both"/>
              <w:rPr>
                <w:smallCaps/>
                <w:sz w:val="20"/>
                <w:szCs w:val="20"/>
                <w:lang w:val="fr-CA"/>
              </w:rPr>
            </w:pPr>
          </w:p>
          <w:p w:rsidR="00733D7C" w:rsidRPr="00C1697B" w:rsidRDefault="000C0C5C" w:rsidP="000C0C5C">
            <w:pPr>
              <w:widowControl w:val="0"/>
              <w:jc w:val="both"/>
              <w:rPr>
                <w:sz w:val="20"/>
                <w:szCs w:val="20"/>
                <w:lang w:val="fr-CA"/>
              </w:rPr>
            </w:pPr>
            <w:r w:rsidRPr="001B5A3D">
              <w:rPr>
                <w:sz w:val="20"/>
                <w:szCs w:val="20"/>
                <w:lang w:val="fr-CA"/>
              </w:rPr>
              <w:t xml:space="preserve">Propriété intellectuelle - Brevets - Médicaments - Un fabricant de produits génériques demande des dommages-intérêts en vertu de l’art. 8 du </w:t>
            </w:r>
            <w:r w:rsidRPr="001B5A3D">
              <w:rPr>
                <w:i/>
                <w:sz w:val="20"/>
                <w:szCs w:val="20"/>
                <w:lang w:val="fr-CA"/>
              </w:rPr>
              <w:t>Règlement sur les médicaments brevetés (avis de conformité)</w:t>
            </w:r>
            <w:r w:rsidRPr="001B5A3D">
              <w:rPr>
                <w:sz w:val="20"/>
                <w:szCs w:val="20"/>
                <w:lang w:val="fr-CA"/>
              </w:rPr>
              <w:t xml:space="preserve">, DORS/93-133 suite au report de la mise en marché en raison d’un sursis prévu par la loi causé par une procédure d’interdiction infructueuse - Les juridictions inférieures ont-elles commis une erreur en interprétant l’art. 8 du </w:t>
            </w:r>
            <w:r w:rsidRPr="001B5A3D">
              <w:rPr>
                <w:i/>
                <w:sz w:val="20"/>
                <w:szCs w:val="20"/>
                <w:lang w:val="fr-CA"/>
              </w:rPr>
              <w:t>Règlement AC</w:t>
            </w:r>
            <w:r w:rsidRPr="001B5A3D">
              <w:rPr>
                <w:sz w:val="20"/>
                <w:szCs w:val="20"/>
                <w:lang w:val="fr-CA"/>
              </w:rPr>
              <w:t xml:space="preserve"> comme si cette </w:t>
            </w:r>
            <w:r w:rsidRPr="001B5A3D">
              <w:rPr>
                <w:sz w:val="20"/>
                <w:szCs w:val="20"/>
                <w:lang w:val="fr-CA"/>
              </w:rPr>
              <w:lastRenderedPageBreak/>
              <w:t>disposition créait un régime de dommages-intérêts qui surindemnise les demandeurs et qui mène à des incohérences judiciaires, en fixant au 26 avril 2004 la date de départ de la période d’indemnisation des pertes et en accordant à Apotex une indemnité pour avoir subi une perte hypothétique de ventes HOPE non autorisées?</w:t>
            </w:r>
          </w:p>
        </w:tc>
      </w:tr>
    </w:tbl>
    <w:p w:rsidR="00733D7C" w:rsidRDefault="00733D7C" w:rsidP="00733D7C">
      <w:pPr>
        <w:widowControl w:val="0"/>
        <w:rPr>
          <w:sz w:val="20"/>
          <w:szCs w:val="20"/>
          <w:lang w:val="fr-CA"/>
        </w:rPr>
      </w:pPr>
    </w:p>
    <w:p w:rsidR="00733D7C" w:rsidRDefault="00417673" w:rsidP="00733D7C">
      <w:pPr>
        <w:widowControl w:val="0"/>
        <w:rPr>
          <w:sz w:val="20"/>
          <w:szCs w:val="20"/>
        </w:rPr>
      </w:pPr>
      <w:r>
        <w:rPr>
          <w:sz w:val="20"/>
          <w:szCs w:val="20"/>
          <w:lang w:val="fr-CA"/>
        </w:rPr>
        <w:pict>
          <v:rect id="_x0000_i1095" style="width:2in;height:1pt" o:hrpct="0" o:hralign="center" o:hrstd="t" o:hrnoshade="t" o:hr="t" fillcolor="black [3213]" stroked="f"/>
        </w:pict>
      </w:r>
    </w:p>
    <w:p w:rsidR="00733D7C" w:rsidRDefault="00733D7C" w:rsidP="00733D7C">
      <w:pPr>
        <w:widowControl w:val="0"/>
        <w:rPr>
          <w:sz w:val="20"/>
          <w:szCs w:val="20"/>
        </w:rPr>
      </w:pPr>
    </w:p>
    <w:p w:rsidR="00733D7C" w:rsidRPr="00731C9F" w:rsidRDefault="00733D7C" w:rsidP="00733D7C">
      <w:pPr>
        <w:widowControl w:val="0"/>
        <w:rPr>
          <w:sz w:val="20"/>
          <w:szCs w:val="20"/>
        </w:rPr>
      </w:pPr>
      <w:r>
        <w:rPr>
          <w:sz w:val="20"/>
          <w:szCs w:val="20"/>
        </w:rPr>
        <w:t>23</w:t>
      </w:r>
      <w:r w:rsidRPr="00731C9F">
        <w:rPr>
          <w:sz w:val="20"/>
          <w:szCs w:val="20"/>
        </w:rPr>
        <w:t>.0</w:t>
      </w:r>
      <w:r>
        <w:rPr>
          <w:sz w:val="20"/>
          <w:szCs w:val="20"/>
        </w:rPr>
        <w:t>4</w:t>
      </w:r>
      <w:r w:rsidRPr="00731C9F">
        <w:rPr>
          <w:sz w:val="20"/>
          <w:szCs w:val="20"/>
        </w:rPr>
        <w:t>.2015</w:t>
      </w:r>
    </w:p>
    <w:p w:rsidR="00733D7C" w:rsidRPr="00731C9F" w:rsidRDefault="00733D7C" w:rsidP="00733D7C">
      <w:pPr>
        <w:widowControl w:val="0"/>
        <w:rPr>
          <w:sz w:val="20"/>
          <w:szCs w:val="20"/>
        </w:rPr>
      </w:pPr>
    </w:p>
    <w:p w:rsidR="00733D7C" w:rsidRPr="00070058" w:rsidRDefault="00733D7C" w:rsidP="00733D7C">
      <w:pPr>
        <w:widowControl w:val="0"/>
        <w:rPr>
          <w:sz w:val="20"/>
          <w:szCs w:val="20"/>
        </w:rPr>
      </w:pPr>
      <w:r w:rsidRPr="000819BB">
        <w:rPr>
          <w:sz w:val="20"/>
          <w:szCs w:val="20"/>
        </w:rPr>
        <w:t xml:space="preserve">Coram: </w:t>
      </w:r>
      <w:r w:rsidRPr="000819BB">
        <w:rPr>
          <w:sz w:val="20"/>
          <w:szCs w:val="20"/>
        </w:rPr>
        <w:tab/>
      </w:r>
      <w:r w:rsidRPr="000819BB">
        <w:rPr>
          <w:sz w:val="20"/>
          <w:szCs w:val="20"/>
          <w:u w:val="single"/>
        </w:rPr>
        <w:t xml:space="preserve">McLachlin C.J. and </w:t>
      </w:r>
      <w:r>
        <w:rPr>
          <w:sz w:val="20"/>
          <w:szCs w:val="20"/>
          <w:u w:val="single"/>
        </w:rPr>
        <w:t xml:space="preserve">Abella, Rothstein, </w:t>
      </w:r>
      <w:r w:rsidRPr="000819BB">
        <w:rPr>
          <w:sz w:val="20"/>
          <w:szCs w:val="20"/>
          <w:u w:val="single"/>
        </w:rPr>
        <w:t xml:space="preserve">Cromwell, Moldaver, </w:t>
      </w:r>
      <w:r>
        <w:rPr>
          <w:sz w:val="20"/>
          <w:szCs w:val="20"/>
          <w:u w:val="single"/>
        </w:rPr>
        <w:t>Karakatsanis, W</w:t>
      </w:r>
      <w:r w:rsidRPr="000819BB">
        <w:rPr>
          <w:sz w:val="20"/>
          <w:szCs w:val="20"/>
          <w:u w:val="single"/>
        </w:rPr>
        <w:t>a</w:t>
      </w:r>
      <w:r>
        <w:rPr>
          <w:sz w:val="20"/>
          <w:szCs w:val="20"/>
          <w:u w:val="single"/>
        </w:rPr>
        <w:t>gner</w:t>
      </w:r>
      <w:r w:rsidRPr="000819BB">
        <w:rPr>
          <w:sz w:val="20"/>
          <w:szCs w:val="20"/>
          <w:u w:val="single"/>
        </w:rPr>
        <w:t xml:space="preserve">, </w:t>
      </w:r>
      <w:r>
        <w:rPr>
          <w:sz w:val="20"/>
          <w:szCs w:val="20"/>
          <w:u w:val="single"/>
        </w:rPr>
        <w:t>G</w:t>
      </w:r>
      <w:r w:rsidRPr="000819BB">
        <w:rPr>
          <w:sz w:val="20"/>
          <w:szCs w:val="20"/>
          <w:u w:val="single"/>
        </w:rPr>
        <w:t>a</w:t>
      </w:r>
      <w:r>
        <w:rPr>
          <w:sz w:val="20"/>
          <w:szCs w:val="20"/>
          <w:u w:val="single"/>
        </w:rPr>
        <w:t>scon</w:t>
      </w:r>
      <w:r w:rsidRPr="000819BB">
        <w:rPr>
          <w:sz w:val="20"/>
          <w:szCs w:val="20"/>
          <w:u w:val="single"/>
        </w:rPr>
        <w:t xml:space="preserve"> and Côté JJ.</w:t>
      </w:r>
    </w:p>
    <w:p w:rsidR="00733D7C" w:rsidRPr="00731C9F" w:rsidRDefault="00733D7C" w:rsidP="00733D7C">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33D7C" w:rsidRPr="00584913" w:rsidTr="000C0C5C">
        <w:tc>
          <w:tcPr>
            <w:tcW w:w="4380" w:type="dxa"/>
            <w:tcMar>
              <w:left w:w="0" w:type="dxa"/>
              <w:right w:w="0" w:type="dxa"/>
            </w:tcMar>
          </w:tcPr>
          <w:p w:rsidR="00733D7C" w:rsidRPr="0017118B" w:rsidRDefault="0017118B" w:rsidP="000C0C5C">
            <w:pPr>
              <w:widowControl w:val="0"/>
              <w:rPr>
                <w:b/>
                <w:sz w:val="20"/>
                <w:szCs w:val="20"/>
                <w:lang w:val="fr-CA"/>
              </w:rPr>
            </w:pPr>
            <w:r w:rsidRPr="0017118B">
              <w:rPr>
                <w:b/>
                <w:sz w:val="20"/>
                <w:szCs w:val="20"/>
                <w:lang w:val="fr-CA"/>
              </w:rPr>
              <w:t>David Capli</w:t>
            </w:r>
            <w:r w:rsidR="00733D7C" w:rsidRPr="0017118B">
              <w:rPr>
                <w:b/>
                <w:sz w:val="20"/>
                <w:szCs w:val="20"/>
                <w:lang w:val="fr-CA"/>
              </w:rPr>
              <w:t>n</w:t>
            </w:r>
          </w:p>
          <w:p w:rsidR="00733D7C" w:rsidRPr="0017118B" w:rsidRDefault="00733D7C" w:rsidP="000C0C5C">
            <w:pPr>
              <w:widowControl w:val="0"/>
              <w:rPr>
                <w:b/>
                <w:sz w:val="20"/>
                <w:szCs w:val="20"/>
                <w:lang w:val="fr-CA"/>
              </w:rPr>
            </w:pPr>
          </w:p>
          <w:p w:rsidR="00733D7C" w:rsidRPr="0017118B" w:rsidRDefault="00733D7C" w:rsidP="000C0C5C">
            <w:pPr>
              <w:widowControl w:val="0"/>
              <w:rPr>
                <w:b/>
                <w:sz w:val="20"/>
                <w:szCs w:val="20"/>
                <w:lang w:val="fr-CA"/>
              </w:rPr>
            </w:pPr>
            <w:r w:rsidRPr="0017118B">
              <w:rPr>
                <w:b/>
                <w:sz w:val="20"/>
                <w:szCs w:val="20"/>
                <w:lang w:val="fr-CA"/>
              </w:rPr>
              <w:tab/>
            </w:r>
            <w:r w:rsidR="0017118B" w:rsidRPr="0017118B">
              <w:rPr>
                <w:b/>
                <w:sz w:val="20"/>
                <w:szCs w:val="20"/>
                <w:lang w:val="fr-CA"/>
              </w:rPr>
              <w:t>c</w:t>
            </w:r>
            <w:r w:rsidRPr="0017118B">
              <w:rPr>
                <w:b/>
                <w:sz w:val="20"/>
                <w:szCs w:val="20"/>
                <w:lang w:val="fr-CA"/>
              </w:rPr>
              <w:t xml:space="preserve">. </w:t>
            </w:r>
            <w:r w:rsidR="00D33091" w:rsidRPr="005B4218">
              <w:rPr>
                <w:sz w:val="20"/>
                <w:szCs w:val="20"/>
                <w:lang w:val="fr-CA"/>
              </w:rPr>
              <w:t>(</w:t>
            </w:r>
            <w:hyperlink r:id="rId109" w:history="1">
              <w:r w:rsidR="00D33091" w:rsidRPr="005B4218">
                <w:rPr>
                  <w:rStyle w:val="Hyperlink"/>
                  <w:sz w:val="20"/>
                  <w:szCs w:val="20"/>
                  <w:lang w:val="fr-CA"/>
                </w:rPr>
                <w:t>35527</w:t>
              </w:r>
            </w:hyperlink>
            <w:r w:rsidR="00D33091" w:rsidRPr="005B4218">
              <w:rPr>
                <w:sz w:val="20"/>
                <w:szCs w:val="20"/>
                <w:lang w:val="fr-CA"/>
              </w:rPr>
              <w:t>)</w:t>
            </w:r>
          </w:p>
          <w:p w:rsidR="00733D7C" w:rsidRPr="0017118B" w:rsidRDefault="00733D7C" w:rsidP="000C0C5C">
            <w:pPr>
              <w:widowControl w:val="0"/>
              <w:rPr>
                <w:b/>
                <w:sz w:val="20"/>
                <w:szCs w:val="20"/>
                <w:lang w:val="fr-CA"/>
              </w:rPr>
            </w:pPr>
          </w:p>
          <w:p w:rsidR="00733D7C" w:rsidRPr="0017118B" w:rsidRDefault="0017118B" w:rsidP="0017118B">
            <w:pPr>
              <w:widowControl w:val="0"/>
              <w:rPr>
                <w:sz w:val="20"/>
                <w:szCs w:val="20"/>
                <w:lang w:val="fr-CA"/>
              </w:rPr>
            </w:pPr>
            <w:r w:rsidRPr="0017118B">
              <w:rPr>
                <w:b/>
                <w:sz w:val="20"/>
                <w:szCs w:val="20"/>
                <w:lang w:val="fr-CA"/>
              </w:rPr>
              <w:t>Ministre de la Justic</w:t>
            </w:r>
            <w:r w:rsidR="00733D7C" w:rsidRPr="0017118B">
              <w:rPr>
                <w:b/>
                <w:sz w:val="20"/>
                <w:szCs w:val="20"/>
                <w:lang w:val="fr-CA"/>
              </w:rPr>
              <w:t xml:space="preserve">e </w:t>
            </w:r>
            <w:r w:rsidRPr="0017118B">
              <w:rPr>
                <w:b/>
                <w:sz w:val="20"/>
                <w:szCs w:val="20"/>
                <w:lang w:val="fr-CA"/>
              </w:rPr>
              <w:t>du Canada</w:t>
            </w:r>
            <w:r w:rsidR="00733D7C" w:rsidRPr="0017118B">
              <w:rPr>
                <w:b/>
                <w:sz w:val="20"/>
                <w:szCs w:val="20"/>
                <w:lang w:val="fr-CA"/>
              </w:rPr>
              <w:t xml:space="preserve"> (</w:t>
            </w:r>
            <w:r w:rsidRPr="0017118B">
              <w:rPr>
                <w:b/>
                <w:sz w:val="20"/>
                <w:szCs w:val="20"/>
                <w:lang w:val="fr-CA"/>
              </w:rPr>
              <w:t>Qc</w:t>
            </w:r>
            <w:r w:rsidR="00733D7C" w:rsidRPr="0017118B">
              <w:rPr>
                <w:b/>
                <w:sz w:val="20"/>
                <w:szCs w:val="20"/>
                <w:lang w:val="fr-CA"/>
              </w:rPr>
              <w:t>) (C</w:t>
            </w:r>
            <w:r w:rsidRPr="0017118B">
              <w:rPr>
                <w:b/>
                <w:sz w:val="20"/>
                <w:szCs w:val="20"/>
                <w:lang w:val="fr-CA"/>
              </w:rPr>
              <w:t>r</w:t>
            </w:r>
            <w:r w:rsidR="00733D7C" w:rsidRPr="0017118B">
              <w:rPr>
                <w:b/>
                <w:sz w:val="20"/>
                <w:szCs w:val="20"/>
                <w:lang w:val="fr-CA"/>
              </w:rPr>
              <w:t>i</w:t>
            </w:r>
            <w:r w:rsidRPr="0017118B">
              <w:rPr>
                <w:b/>
                <w:sz w:val="20"/>
                <w:szCs w:val="20"/>
                <w:lang w:val="fr-CA"/>
              </w:rPr>
              <w:t>mine</w:t>
            </w:r>
            <w:r w:rsidR="00733D7C" w:rsidRPr="0017118B">
              <w:rPr>
                <w:b/>
                <w:sz w:val="20"/>
                <w:szCs w:val="20"/>
                <w:lang w:val="fr-CA"/>
              </w:rPr>
              <w:t>l</w:t>
            </w:r>
            <w:r w:rsidRPr="0017118B">
              <w:rPr>
                <w:b/>
                <w:sz w:val="20"/>
                <w:szCs w:val="20"/>
                <w:lang w:val="fr-CA"/>
              </w:rPr>
              <w:t>le</w:t>
            </w:r>
            <w:r w:rsidR="00733D7C" w:rsidRPr="0017118B">
              <w:rPr>
                <w:b/>
                <w:sz w:val="20"/>
                <w:szCs w:val="20"/>
                <w:lang w:val="fr-CA"/>
              </w:rPr>
              <w:t>) (</w:t>
            </w:r>
            <w:r w:rsidRPr="0017118B">
              <w:rPr>
                <w:b/>
                <w:sz w:val="20"/>
                <w:szCs w:val="20"/>
                <w:lang w:val="fr-CA"/>
              </w:rPr>
              <w:t>Autorisation</w:t>
            </w:r>
            <w:r w:rsidR="00733D7C" w:rsidRPr="0017118B">
              <w:rPr>
                <w:b/>
                <w:sz w:val="20"/>
                <w:szCs w:val="20"/>
                <w:lang w:val="fr-CA"/>
              </w:rPr>
              <w:t>)</w:t>
            </w:r>
          </w:p>
        </w:tc>
        <w:tc>
          <w:tcPr>
            <w:tcW w:w="720" w:type="dxa"/>
            <w:tcMar>
              <w:left w:w="0" w:type="dxa"/>
              <w:right w:w="0" w:type="dxa"/>
            </w:tcMar>
          </w:tcPr>
          <w:p w:rsidR="00733D7C" w:rsidRPr="0017118B" w:rsidRDefault="00733D7C" w:rsidP="000C0C5C">
            <w:pPr>
              <w:widowControl w:val="0"/>
              <w:jc w:val="center"/>
              <w:rPr>
                <w:sz w:val="20"/>
                <w:szCs w:val="20"/>
                <w:lang w:val="fr-CA"/>
              </w:rPr>
            </w:pPr>
          </w:p>
        </w:tc>
        <w:tc>
          <w:tcPr>
            <w:tcW w:w="4380" w:type="dxa"/>
            <w:tcMar>
              <w:left w:w="0" w:type="dxa"/>
              <w:right w:w="0" w:type="dxa"/>
            </w:tcMar>
          </w:tcPr>
          <w:p w:rsidR="00B44A7E" w:rsidRPr="00B44A7E" w:rsidRDefault="00B44A7E" w:rsidP="00D33091">
            <w:pPr>
              <w:jc w:val="both"/>
              <w:rPr>
                <w:sz w:val="20"/>
                <w:szCs w:val="20"/>
                <w:lang w:val="fr-CA"/>
              </w:rPr>
            </w:pPr>
            <w:r w:rsidRPr="00B44A7E">
              <w:rPr>
                <w:sz w:val="20"/>
                <w:szCs w:val="20"/>
                <w:lang w:val="fr-CA"/>
              </w:rPr>
              <w:t>Véronique Courtecuisse et Patrick Cozannet pour l’appelant.</w:t>
            </w:r>
          </w:p>
          <w:p w:rsidR="00B44A7E" w:rsidRPr="00B44A7E" w:rsidRDefault="00B44A7E" w:rsidP="00D33091">
            <w:pPr>
              <w:jc w:val="both"/>
              <w:rPr>
                <w:sz w:val="20"/>
                <w:szCs w:val="20"/>
                <w:lang w:val="fr-CA"/>
              </w:rPr>
            </w:pPr>
          </w:p>
          <w:p w:rsidR="00733D7C" w:rsidRPr="00B44A7E" w:rsidRDefault="00B44A7E" w:rsidP="00D33091">
            <w:pPr>
              <w:jc w:val="both"/>
              <w:rPr>
                <w:sz w:val="20"/>
                <w:szCs w:val="20"/>
                <w:lang w:val="fr-CA"/>
              </w:rPr>
            </w:pPr>
            <w:r w:rsidRPr="00B44A7E">
              <w:rPr>
                <w:sz w:val="20"/>
                <w:szCs w:val="20"/>
                <w:lang w:val="fr-CA"/>
              </w:rPr>
              <w:t>Marc Ribeiro et Ginette Gobeil pour l’intimé.</w:t>
            </w:r>
          </w:p>
        </w:tc>
      </w:tr>
    </w:tbl>
    <w:p w:rsidR="00733D7C" w:rsidRDefault="00733D7C" w:rsidP="00733D7C">
      <w:pPr>
        <w:widowControl w:val="0"/>
        <w:rPr>
          <w:sz w:val="20"/>
          <w:szCs w:val="20"/>
          <w:lang w:val="fr-CA"/>
        </w:rPr>
      </w:pPr>
    </w:p>
    <w:p w:rsidR="00CF36B8" w:rsidRPr="003200C7" w:rsidRDefault="00CF36B8" w:rsidP="00CF36B8">
      <w:pPr>
        <w:widowControl w:val="0"/>
        <w:rPr>
          <w:sz w:val="20"/>
          <w:szCs w:val="20"/>
        </w:rPr>
      </w:pPr>
      <w:r w:rsidRPr="00CF36B8">
        <w:rPr>
          <w:b/>
          <w:sz w:val="20"/>
          <w:szCs w:val="20"/>
          <w:lang w:val="en-US"/>
        </w:rPr>
        <w:t>DISMISSED</w:t>
      </w:r>
      <w:r w:rsidR="00733D7C" w:rsidRPr="00CF36B8">
        <w:rPr>
          <w:b/>
          <w:sz w:val="20"/>
          <w:szCs w:val="20"/>
          <w:lang w:val="en-US"/>
        </w:rPr>
        <w:t xml:space="preserve"> </w:t>
      </w:r>
      <w:r>
        <w:rPr>
          <w:b/>
          <w:sz w:val="20"/>
          <w:szCs w:val="20"/>
        </w:rPr>
        <w:t xml:space="preserve">(Reasons to follow) </w:t>
      </w:r>
      <w:r w:rsidR="00733D7C" w:rsidRPr="00CF36B8">
        <w:rPr>
          <w:b/>
          <w:sz w:val="20"/>
          <w:szCs w:val="20"/>
          <w:lang w:val="en-US"/>
        </w:rPr>
        <w:t xml:space="preserve">/ </w:t>
      </w:r>
      <w:r w:rsidRPr="00CF36B8">
        <w:rPr>
          <w:b/>
          <w:sz w:val="20"/>
          <w:szCs w:val="20"/>
          <w:lang w:val="en-US"/>
        </w:rPr>
        <w:t xml:space="preserve">REJETÉ </w:t>
      </w:r>
      <w:r>
        <w:rPr>
          <w:b/>
          <w:sz w:val="20"/>
          <w:szCs w:val="20"/>
          <w:lang w:val="en-US"/>
        </w:rPr>
        <w:t>(</w:t>
      </w:r>
      <w:r>
        <w:rPr>
          <w:b/>
          <w:sz w:val="20"/>
          <w:szCs w:val="20"/>
        </w:rPr>
        <w:t>m</w:t>
      </w:r>
      <w:r w:rsidRPr="003200C7">
        <w:rPr>
          <w:b/>
          <w:sz w:val="20"/>
          <w:szCs w:val="20"/>
        </w:rPr>
        <w:t xml:space="preserve">otifs </w:t>
      </w:r>
      <w:r>
        <w:rPr>
          <w:b/>
          <w:sz w:val="20"/>
          <w:szCs w:val="20"/>
        </w:rPr>
        <w:t>à suivre)</w:t>
      </w:r>
    </w:p>
    <w:p w:rsidR="00733D7C" w:rsidRPr="00CF36B8" w:rsidRDefault="00733D7C" w:rsidP="00733D7C">
      <w:pPr>
        <w:rPr>
          <w:sz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33D7C" w:rsidRPr="00584913" w:rsidTr="000C0C5C">
        <w:tc>
          <w:tcPr>
            <w:tcW w:w="4380" w:type="dxa"/>
            <w:tcMar>
              <w:left w:w="0" w:type="dxa"/>
              <w:right w:w="0" w:type="dxa"/>
            </w:tcMar>
          </w:tcPr>
          <w:p w:rsidR="00733D7C" w:rsidRPr="0017118B" w:rsidRDefault="00733D7C" w:rsidP="000C0C5C">
            <w:pPr>
              <w:widowControl w:val="0"/>
              <w:jc w:val="both"/>
              <w:rPr>
                <w:b/>
                <w:sz w:val="20"/>
                <w:szCs w:val="20"/>
                <w:u w:val="single"/>
              </w:rPr>
            </w:pPr>
            <w:r w:rsidRPr="0017118B">
              <w:rPr>
                <w:b/>
                <w:sz w:val="20"/>
                <w:szCs w:val="20"/>
                <w:u w:val="single"/>
              </w:rPr>
              <w:t>Nature of the case:</w:t>
            </w:r>
          </w:p>
          <w:p w:rsidR="00733D7C" w:rsidRPr="0017118B" w:rsidRDefault="00733D7C" w:rsidP="000C0C5C">
            <w:pPr>
              <w:widowControl w:val="0"/>
              <w:jc w:val="both"/>
              <w:rPr>
                <w:b/>
                <w:sz w:val="20"/>
                <w:szCs w:val="20"/>
              </w:rPr>
            </w:pPr>
          </w:p>
          <w:p w:rsidR="00733D7C" w:rsidRPr="0017118B" w:rsidRDefault="0017118B" w:rsidP="000C0C5C">
            <w:pPr>
              <w:widowControl w:val="0"/>
              <w:jc w:val="both"/>
              <w:rPr>
                <w:b/>
                <w:sz w:val="20"/>
                <w:szCs w:val="20"/>
              </w:rPr>
            </w:pPr>
            <w:r w:rsidRPr="007D06C0">
              <w:rPr>
                <w:sz w:val="20"/>
                <w:szCs w:val="20"/>
              </w:rPr>
              <w:t>Extradition - Criminal law - Surrender order - Judicial review - Whether the Court of Appeal erred in its interpretation of new evidence - Whether the Court of Appeal erred in law in failing to declare that there was an abuse of process in this matter.</w:t>
            </w:r>
          </w:p>
        </w:tc>
        <w:tc>
          <w:tcPr>
            <w:tcW w:w="720" w:type="dxa"/>
            <w:tcMar>
              <w:left w:w="0" w:type="dxa"/>
              <w:right w:w="0" w:type="dxa"/>
            </w:tcMar>
          </w:tcPr>
          <w:p w:rsidR="00733D7C" w:rsidRPr="0017118B" w:rsidRDefault="00733D7C" w:rsidP="000C0C5C">
            <w:pPr>
              <w:widowControl w:val="0"/>
              <w:jc w:val="center"/>
              <w:rPr>
                <w:sz w:val="20"/>
                <w:szCs w:val="20"/>
              </w:rPr>
            </w:pPr>
          </w:p>
        </w:tc>
        <w:tc>
          <w:tcPr>
            <w:tcW w:w="4380" w:type="dxa"/>
            <w:tcMar>
              <w:left w:w="0" w:type="dxa"/>
              <w:right w:w="0" w:type="dxa"/>
            </w:tcMar>
          </w:tcPr>
          <w:p w:rsidR="00733D7C" w:rsidRPr="00CC4D84" w:rsidRDefault="00733D7C" w:rsidP="000C0C5C">
            <w:pPr>
              <w:widowControl w:val="0"/>
              <w:jc w:val="both"/>
              <w:rPr>
                <w:b/>
                <w:sz w:val="20"/>
                <w:szCs w:val="20"/>
                <w:u w:val="single"/>
                <w:lang w:val="fr-CA"/>
              </w:rPr>
            </w:pPr>
            <w:r w:rsidRPr="00CC4D84">
              <w:rPr>
                <w:b/>
                <w:sz w:val="20"/>
                <w:szCs w:val="20"/>
                <w:u w:val="single"/>
                <w:lang w:val="fr-CA"/>
              </w:rPr>
              <w:t>Nature de la cause :</w:t>
            </w:r>
          </w:p>
          <w:p w:rsidR="00733D7C" w:rsidRPr="00C1697B" w:rsidRDefault="00733D7C" w:rsidP="000C0C5C">
            <w:pPr>
              <w:widowControl w:val="0"/>
              <w:jc w:val="both"/>
              <w:rPr>
                <w:sz w:val="20"/>
                <w:szCs w:val="20"/>
                <w:lang w:val="fr-CA"/>
              </w:rPr>
            </w:pPr>
          </w:p>
          <w:p w:rsidR="00733D7C" w:rsidRPr="00C1697B" w:rsidRDefault="0017118B" w:rsidP="000C0C5C">
            <w:pPr>
              <w:widowControl w:val="0"/>
              <w:jc w:val="both"/>
              <w:rPr>
                <w:sz w:val="20"/>
                <w:szCs w:val="20"/>
                <w:lang w:val="fr-CA"/>
              </w:rPr>
            </w:pPr>
            <w:r w:rsidRPr="000575CD">
              <w:rPr>
                <w:sz w:val="20"/>
                <w:szCs w:val="20"/>
                <w:lang w:val="fr-CA"/>
              </w:rPr>
              <w:t>Extradition - Droit criminel - Arrêté d’extradition - Contrôle judiciaire - La Cour d’appel a</w:t>
            </w:r>
            <w:r w:rsidRPr="000575CD">
              <w:rPr>
                <w:sz w:val="20"/>
                <w:szCs w:val="20"/>
                <w:lang w:val="fr-CA"/>
              </w:rPr>
              <w:noBreakHyphen/>
              <w:t>t</w:t>
            </w:r>
            <w:r w:rsidRPr="000575CD">
              <w:rPr>
                <w:sz w:val="20"/>
                <w:szCs w:val="20"/>
                <w:lang w:val="fr-CA"/>
              </w:rPr>
              <w:noBreakHyphen/>
              <w:t>elle mal interprété les nouveaux éléments de preuve? - La Cour d’appel a-t-elle commis une erreur de droit en ne déclarant pas qu’il y avait eu abus de procédure en l’espèce?</w:t>
            </w:r>
          </w:p>
        </w:tc>
      </w:tr>
    </w:tbl>
    <w:p w:rsidR="00733D7C" w:rsidRDefault="00733D7C" w:rsidP="00733D7C">
      <w:pPr>
        <w:widowControl w:val="0"/>
        <w:rPr>
          <w:sz w:val="20"/>
          <w:szCs w:val="20"/>
          <w:lang w:val="fr-CA"/>
        </w:rPr>
      </w:pPr>
    </w:p>
    <w:p w:rsidR="00733D7C" w:rsidRDefault="00417673" w:rsidP="00733D7C">
      <w:pPr>
        <w:widowControl w:val="0"/>
        <w:rPr>
          <w:sz w:val="20"/>
          <w:szCs w:val="20"/>
        </w:rPr>
      </w:pPr>
      <w:r>
        <w:rPr>
          <w:sz w:val="20"/>
          <w:szCs w:val="20"/>
          <w:lang w:val="fr-CA"/>
        </w:rPr>
        <w:pict>
          <v:rect id="_x0000_i1096" style="width:2in;height:1pt" o:hrpct="0" o:hralign="center" o:hrstd="t" o:hrnoshade="t" o:hr="t" fillcolor="black [3213]" stroked="f"/>
        </w:pict>
      </w:r>
    </w:p>
    <w:p w:rsidR="00733D7C" w:rsidRDefault="00733D7C" w:rsidP="00733D7C">
      <w:pPr>
        <w:widowControl w:val="0"/>
        <w:rPr>
          <w:sz w:val="20"/>
          <w:szCs w:val="20"/>
        </w:rPr>
      </w:pPr>
    </w:p>
    <w:p w:rsidR="0017118B" w:rsidRPr="00731C9F" w:rsidRDefault="0017118B" w:rsidP="0017118B">
      <w:pPr>
        <w:widowControl w:val="0"/>
        <w:rPr>
          <w:sz w:val="20"/>
          <w:szCs w:val="20"/>
        </w:rPr>
      </w:pPr>
      <w:r>
        <w:rPr>
          <w:sz w:val="20"/>
          <w:szCs w:val="20"/>
        </w:rPr>
        <w:t>23</w:t>
      </w:r>
      <w:r w:rsidRPr="00731C9F">
        <w:rPr>
          <w:sz w:val="20"/>
          <w:szCs w:val="20"/>
        </w:rPr>
        <w:t>.0</w:t>
      </w:r>
      <w:r>
        <w:rPr>
          <w:sz w:val="20"/>
          <w:szCs w:val="20"/>
        </w:rPr>
        <w:t>4</w:t>
      </w:r>
      <w:r w:rsidRPr="00731C9F">
        <w:rPr>
          <w:sz w:val="20"/>
          <w:szCs w:val="20"/>
        </w:rPr>
        <w:t>.2015</w:t>
      </w:r>
    </w:p>
    <w:p w:rsidR="0017118B" w:rsidRPr="00731C9F" w:rsidRDefault="0017118B" w:rsidP="0017118B">
      <w:pPr>
        <w:widowControl w:val="0"/>
        <w:rPr>
          <w:sz w:val="20"/>
          <w:szCs w:val="20"/>
        </w:rPr>
      </w:pPr>
    </w:p>
    <w:p w:rsidR="0017118B" w:rsidRPr="00070058" w:rsidRDefault="0017118B" w:rsidP="0017118B">
      <w:pPr>
        <w:widowControl w:val="0"/>
        <w:rPr>
          <w:sz w:val="20"/>
          <w:szCs w:val="20"/>
        </w:rPr>
      </w:pPr>
      <w:r w:rsidRPr="000819BB">
        <w:rPr>
          <w:sz w:val="20"/>
          <w:szCs w:val="20"/>
        </w:rPr>
        <w:t xml:space="preserve">Coram: </w:t>
      </w:r>
      <w:r w:rsidRPr="000819BB">
        <w:rPr>
          <w:sz w:val="20"/>
          <w:szCs w:val="20"/>
        </w:rPr>
        <w:tab/>
      </w:r>
      <w:r w:rsidRPr="000819BB">
        <w:rPr>
          <w:sz w:val="20"/>
          <w:szCs w:val="20"/>
          <w:u w:val="single"/>
        </w:rPr>
        <w:t xml:space="preserve">McLachlin C.J. and </w:t>
      </w:r>
      <w:r>
        <w:rPr>
          <w:sz w:val="20"/>
          <w:szCs w:val="20"/>
          <w:u w:val="single"/>
        </w:rPr>
        <w:t xml:space="preserve">Abella, Rothstein, </w:t>
      </w:r>
      <w:r w:rsidRPr="000819BB">
        <w:rPr>
          <w:sz w:val="20"/>
          <w:szCs w:val="20"/>
          <w:u w:val="single"/>
        </w:rPr>
        <w:t xml:space="preserve">Cromwell, Moldaver, </w:t>
      </w:r>
      <w:r>
        <w:rPr>
          <w:sz w:val="20"/>
          <w:szCs w:val="20"/>
          <w:u w:val="single"/>
        </w:rPr>
        <w:t>Karakatsanis, W</w:t>
      </w:r>
      <w:r w:rsidRPr="000819BB">
        <w:rPr>
          <w:sz w:val="20"/>
          <w:szCs w:val="20"/>
          <w:u w:val="single"/>
        </w:rPr>
        <w:t>a</w:t>
      </w:r>
      <w:r>
        <w:rPr>
          <w:sz w:val="20"/>
          <w:szCs w:val="20"/>
          <w:u w:val="single"/>
        </w:rPr>
        <w:t>gner</w:t>
      </w:r>
      <w:r w:rsidRPr="000819BB">
        <w:rPr>
          <w:sz w:val="20"/>
          <w:szCs w:val="20"/>
          <w:u w:val="single"/>
        </w:rPr>
        <w:t xml:space="preserve">, </w:t>
      </w:r>
      <w:r>
        <w:rPr>
          <w:sz w:val="20"/>
          <w:szCs w:val="20"/>
          <w:u w:val="single"/>
        </w:rPr>
        <w:t>G</w:t>
      </w:r>
      <w:r w:rsidRPr="000819BB">
        <w:rPr>
          <w:sz w:val="20"/>
          <w:szCs w:val="20"/>
          <w:u w:val="single"/>
        </w:rPr>
        <w:t>a</w:t>
      </w:r>
      <w:r>
        <w:rPr>
          <w:sz w:val="20"/>
          <w:szCs w:val="20"/>
          <w:u w:val="single"/>
        </w:rPr>
        <w:t>scon</w:t>
      </w:r>
      <w:r w:rsidRPr="000819BB">
        <w:rPr>
          <w:sz w:val="20"/>
          <w:szCs w:val="20"/>
          <w:u w:val="single"/>
        </w:rPr>
        <w:t xml:space="preserve"> and Côté JJ.</w:t>
      </w:r>
    </w:p>
    <w:p w:rsidR="0017118B" w:rsidRPr="00731C9F" w:rsidRDefault="0017118B" w:rsidP="0017118B">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17118B" w:rsidRPr="00584913" w:rsidTr="0072344A">
        <w:tc>
          <w:tcPr>
            <w:tcW w:w="4380" w:type="dxa"/>
            <w:tcMar>
              <w:left w:w="0" w:type="dxa"/>
              <w:right w:w="0" w:type="dxa"/>
            </w:tcMar>
          </w:tcPr>
          <w:p w:rsidR="0017118B" w:rsidRPr="00731C9F" w:rsidRDefault="0017118B" w:rsidP="0072344A">
            <w:pPr>
              <w:widowControl w:val="0"/>
              <w:rPr>
                <w:b/>
                <w:sz w:val="20"/>
                <w:szCs w:val="20"/>
              </w:rPr>
            </w:pPr>
            <w:r>
              <w:rPr>
                <w:b/>
                <w:sz w:val="20"/>
                <w:szCs w:val="20"/>
              </w:rPr>
              <w:t>Attorney G</w:t>
            </w:r>
            <w:r w:rsidRPr="00731C9F">
              <w:rPr>
                <w:b/>
                <w:sz w:val="20"/>
                <w:szCs w:val="20"/>
              </w:rPr>
              <w:t>e</w:t>
            </w:r>
            <w:r>
              <w:rPr>
                <w:b/>
                <w:sz w:val="20"/>
                <w:szCs w:val="20"/>
              </w:rPr>
              <w:t>ner</w:t>
            </w:r>
            <w:r w:rsidRPr="00731C9F">
              <w:rPr>
                <w:b/>
                <w:sz w:val="20"/>
                <w:szCs w:val="20"/>
              </w:rPr>
              <w:t xml:space="preserve">al </w:t>
            </w:r>
            <w:r>
              <w:rPr>
                <w:b/>
                <w:sz w:val="20"/>
                <w:szCs w:val="20"/>
              </w:rPr>
              <w:t>of Canada</w:t>
            </w:r>
          </w:p>
          <w:p w:rsidR="0017118B" w:rsidRPr="00731C9F" w:rsidRDefault="0017118B" w:rsidP="0072344A">
            <w:pPr>
              <w:widowControl w:val="0"/>
              <w:rPr>
                <w:b/>
                <w:sz w:val="20"/>
                <w:szCs w:val="20"/>
              </w:rPr>
            </w:pPr>
          </w:p>
          <w:p w:rsidR="0017118B" w:rsidRPr="00731C9F" w:rsidRDefault="0017118B" w:rsidP="0072344A">
            <w:pPr>
              <w:widowControl w:val="0"/>
              <w:rPr>
                <w:b/>
                <w:sz w:val="20"/>
                <w:szCs w:val="20"/>
              </w:rPr>
            </w:pPr>
            <w:r w:rsidRPr="00731C9F">
              <w:rPr>
                <w:b/>
                <w:sz w:val="20"/>
                <w:szCs w:val="20"/>
              </w:rPr>
              <w:tab/>
              <w:t xml:space="preserve">v. </w:t>
            </w:r>
            <w:r w:rsidR="00D33091" w:rsidRPr="005B4218">
              <w:rPr>
                <w:sz w:val="20"/>
                <w:szCs w:val="20"/>
              </w:rPr>
              <w:t>(</w:t>
            </w:r>
            <w:hyperlink r:id="rId110" w:history="1">
              <w:r w:rsidR="00D33091" w:rsidRPr="005B4218">
                <w:rPr>
                  <w:rStyle w:val="Hyperlink"/>
                  <w:sz w:val="20"/>
                  <w:szCs w:val="20"/>
                </w:rPr>
                <w:t>35548</w:t>
              </w:r>
            </w:hyperlink>
            <w:r w:rsidR="00D33091" w:rsidRPr="005B4218">
              <w:rPr>
                <w:sz w:val="20"/>
                <w:szCs w:val="20"/>
              </w:rPr>
              <w:t>)</w:t>
            </w:r>
          </w:p>
          <w:p w:rsidR="0017118B" w:rsidRPr="00731C9F" w:rsidRDefault="0017118B" w:rsidP="0072344A">
            <w:pPr>
              <w:widowControl w:val="0"/>
              <w:rPr>
                <w:b/>
                <w:sz w:val="20"/>
                <w:szCs w:val="20"/>
              </w:rPr>
            </w:pPr>
          </w:p>
          <w:p w:rsidR="0017118B" w:rsidRPr="00731C9F" w:rsidRDefault="0017118B" w:rsidP="0017118B">
            <w:pPr>
              <w:widowControl w:val="0"/>
              <w:rPr>
                <w:sz w:val="20"/>
                <w:szCs w:val="20"/>
              </w:rPr>
            </w:pPr>
            <w:r>
              <w:rPr>
                <w:b/>
                <w:sz w:val="20"/>
                <w:szCs w:val="20"/>
              </w:rPr>
              <w:t>Anthony Ba</w:t>
            </w:r>
            <w:r w:rsidRPr="00731C9F">
              <w:rPr>
                <w:b/>
                <w:sz w:val="20"/>
                <w:szCs w:val="20"/>
              </w:rPr>
              <w:t>r</w:t>
            </w:r>
            <w:r>
              <w:rPr>
                <w:b/>
                <w:sz w:val="20"/>
                <w:szCs w:val="20"/>
              </w:rPr>
              <w:t>naby</w:t>
            </w:r>
            <w:r w:rsidRPr="00731C9F">
              <w:rPr>
                <w:b/>
                <w:sz w:val="20"/>
                <w:szCs w:val="20"/>
              </w:rPr>
              <w:t xml:space="preserve"> (</w:t>
            </w:r>
            <w:r>
              <w:rPr>
                <w:b/>
                <w:sz w:val="20"/>
                <w:szCs w:val="20"/>
              </w:rPr>
              <w:t>Que</w:t>
            </w:r>
            <w:r w:rsidRPr="00731C9F">
              <w:rPr>
                <w:b/>
                <w:sz w:val="20"/>
                <w:szCs w:val="20"/>
              </w:rPr>
              <w:t>.) (C</w:t>
            </w:r>
            <w:r>
              <w:rPr>
                <w:b/>
                <w:sz w:val="20"/>
                <w:szCs w:val="20"/>
              </w:rPr>
              <w:t>r</w:t>
            </w:r>
            <w:r w:rsidRPr="00731C9F">
              <w:rPr>
                <w:b/>
                <w:sz w:val="20"/>
                <w:szCs w:val="20"/>
              </w:rPr>
              <w:t>i</w:t>
            </w:r>
            <w:r>
              <w:rPr>
                <w:b/>
                <w:sz w:val="20"/>
                <w:szCs w:val="20"/>
              </w:rPr>
              <w:t>m</w:t>
            </w:r>
            <w:r w:rsidRPr="00731C9F">
              <w:rPr>
                <w:b/>
                <w:sz w:val="20"/>
                <w:szCs w:val="20"/>
              </w:rPr>
              <w:t>i</w:t>
            </w:r>
            <w:r>
              <w:rPr>
                <w:b/>
                <w:sz w:val="20"/>
                <w:szCs w:val="20"/>
              </w:rPr>
              <w:t>na</w:t>
            </w:r>
            <w:r w:rsidRPr="00731C9F">
              <w:rPr>
                <w:b/>
                <w:sz w:val="20"/>
                <w:szCs w:val="20"/>
              </w:rPr>
              <w:t>l) (By Leave)</w:t>
            </w:r>
          </w:p>
        </w:tc>
        <w:tc>
          <w:tcPr>
            <w:tcW w:w="720" w:type="dxa"/>
            <w:tcMar>
              <w:left w:w="0" w:type="dxa"/>
              <w:right w:w="0" w:type="dxa"/>
            </w:tcMar>
          </w:tcPr>
          <w:p w:rsidR="0017118B" w:rsidRPr="00731C9F" w:rsidRDefault="0017118B" w:rsidP="0072344A">
            <w:pPr>
              <w:widowControl w:val="0"/>
              <w:jc w:val="center"/>
              <w:rPr>
                <w:sz w:val="20"/>
                <w:szCs w:val="20"/>
              </w:rPr>
            </w:pPr>
          </w:p>
        </w:tc>
        <w:tc>
          <w:tcPr>
            <w:tcW w:w="4380" w:type="dxa"/>
            <w:tcMar>
              <w:left w:w="0" w:type="dxa"/>
              <w:right w:w="0" w:type="dxa"/>
            </w:tcMar>
          </w:tcPr>
          <w:p w:rsidR="0017118B" w:rsidRDefault="00B44A7E" w:rsidP="00B44A7E">
            <w:pPr>
              <w:widowControl w:val="0"/>
              <w:jc w:val="both"/>
              <w:rPr>
                <w:sz w:val="20"/>
                <w:szCs w:val="20"/>
                <w:lang w:val="fr-CA"/>
              </w:rPr>
            </w:pPr>
            <w:r w:rsidRPr="00B44A7E">
              <w:rPr>
                <w:sz w:val="20"/>
                <w:szCs w:val="20"/>
                <w:lang w:val="fr-CA"/>
              </w:rPr>
              <w:t>Marc Ribeiro et Ginette Gobeil pour l’appellant.</w:t>
            </w:r>
          </w:p>
          <w:p w:rsidR="00B44A7E" w:rsidRDefault="00B44A7E" w:rsidP="00B44A7E">
            <w:pPr>
              <w:widowControl w:val="0"/>
              <w:jc w:val="both"/>
              <w:rPr>
                <w:sz w:val="20"/>
                <w:szCs w:val="20"/>
                <w:lang w:val="fr-CA"/>
              </w:rPr>
            </w:pPr>
          </w:p>
          <w:p w:rsidR="00B44A7E" w:rsidRPr="00B44A7E" w:rsidRDefault="00B44A7E" w:rsidP="00B44A7E">
            <w:pPr>
              <w:widowControl w:val="0"/>
              <w:jc w:val="both"/>
              <w:rPr>
                <w:sz w:val="20"/>
                <w:szCs w:val="20"/>
                <w:lang w:val="fr-CA"/>
              </w:rPr>
            </w:pPr>
            <w:r w:rsidRPr="00B44A7E">
              <w:rPr>
                <w:sz w:val="20"/>
                <w:szCs w:val="20"/>
                <w:lang w:val="fr-CA"/>
              </w:rPr>
              <w:t>Clemente Monterosso</w:t>
            </w:r>
            <w:r>
              <w:rPr>
                <w:sz w:val="20"/>
                <w:szCs w:val="20"/>
                <w:lang w:val="fr-CA"/>
              </w:rPr>
              <w:t xml:space="preserve"> et </w:t>
            </w:r>
            <w:r w:rsidRPr="00B44A7E">
              <w:rPr>
                <w:sz w:val="20"/>
                <w:szCs w:val="20"/>
                <w:lang w:val="fr-CA"/>
              </w:rPr>
              <w:t>Marie-Philippe Tanguay</w:t>
            </w:r>
            <w:r>
              <w:rPr>
                <w:sz w:val="20"/>
                <w:szCs w:val="20"/>
                <w:lang w:val="fr-CA"/>
              </w:rPr>
              <w:t xml:space="preserve"> p</w:t>
            </w:r>
            <w:r w:rsidRPr="00B44A7E">
              <w:rPr>
                <w:sz w:val="20"/>
                <w:szCs w:val="20"/>
                <w:lang w:val="fr-CA"/>
              </w:rPr>
              <w:t>our l’intimé</w:t>
            </w:r>
            <w:r>
              <w:rPr>
                <w:sz w:val="20"/>
                <w:szCs w:val="20"/>
                <w:lang w:val="fr-CA"/>
              </w:rPr>
              <w:t>.</w:t>
            </w:r>
          </w:p>
        </w:tc>
      </w:tr>
    </w:tbl>
    <w:p w:rsidR="0017118B" w:rsidRPr="00B44A7E" w:rsidRDefault="0017118B" w:rsidP="0017118B">
      <w:pPr>
        <w:widowControl w:val="0"/>
        <w:rPr>
          <w:sz w:val="20"/>
          <w:szCs w:val="20"/>
          <w:lang w:val="fr-CA"/>
        </w:rPr>
      </w:pPr>
    </w:p>
    <w:p w:rsidR="00CF36B8" w:rsidRPr="003200C7" w:rsidRDefault="00CF36B8" w:rsidP="00CF36B8">
      <w:pPr>
        <w:widowControl w:val="0"/>
        <w:rPr>
          <w:sz w:val="20"/>
          <w:szCs w:val="20"/>
        </w:rPr>
      </w:pPr>
      <w:r>
        <w:rPr>
          <w:b/>
          <w:sz w:val="20"/>
          <w:szCs w:val="20"/>
        </w:rPr>
        <w:t>ALLOW</w:t>
      </w:r>
      <w:r w:rsidRPr="0085476B">
        <w:rPr>
          <w:b/>
          <w:sz w:val="20"/>
          <w:szCs w:val="20"/>
        </w:rPr>
        <w:t xml:space="preserve">ED </w:t>
      </w:r>
      <w:r>
        <w:rPr>
          <w:b/>
          <w:sz w:val="20"/>
          <w:szCs w:val="20"/>
        </w:rPr>
        <w:t xml:space="preserve">(Reasons to follow) </w:t>
      </w:r>
      <w:r w:rsidRPr="0085476B">
        <w:rPr>
          <w:b/>
          <w:sz w:val="20"/>
          <w:szCs w:val="20"/>
        </w:rPr>
        <w:t xml:space="preserve">/ </w:t>
      </w:r>
      <w:r>
        <w:rPr>
          <w:b/>
          <w:sz w:val="20"/>
          <w:szCs w:val="20"/>
        </w:rPr>
        <w:t>ACCU</w:t>
      </w:r>
      <w:r w:rsidRPr="003200C7">
        <w:rPr>
          <w:b/>
          <w:sz w:val="20"/>
          <w:szCs w:val="20"/>
        </w:rPr>
        <w:t>EILLI (</w:t>
      </w:r>
      <w:r>
        <w:rPr>
          <w:b/>
          <w:sz w:val="20"/>
          <w:szCs w:val="20"/>
        </w:rPr>
        <w:t>m</w:t>
      </w:r>
      <w:r w:rsidRPr="003200C7">
        <w:rPr>
          <w:b/>
          <w:sz w:val="20"/>
          <w:szCs w:val="20"/>
        </w:rPr>
        <w:t xml:space="preserve">otifs </w:t>
      </w:r>
      <w:r>
        <w:rPr>
          <w:b/>
          <w:sz w:val="20"/>
          <w:szCs w:val="20"/>
        </w:rPr>
        <w:t>à suivre)</w:t>
      </w:r>
    </w:p>
    <w:p w:rsidR="0017118B" w:rsidRPr="00CF36B8" w:rsidRDefault="0017118B" w:rsidP="0017118B">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17118B" w:rsidRPr="00584913" w:rsidTr="0072344A">
        <w:tc>
          <w:tcPr>
            <w:tcW w:w="4380" w:type="dxa"/>
            <w:tcMar>
              <w:left w:w="0" w:type="dxa"/>
              <w:right w:w="0" w:type="dxa"/>
            </w:tcMar>
          </w:tcPr>
          <w:p w:rsidR="0017118B" w:rsidRPr="001F684D" w:rsidRDefault="0017118B" w:rsidP="0072344A">
            <w:pPr>
              <w:widowControl w:val="0"/>
              <w:jc w:val="both"/>
              <w:rPr>
                <w:b/>
                <w:sz w:val="20"/>
                <w:szCs w:val="20"/>
                <w:u w:val="single"/>
              </w:rPr>
            </w:pPr>
            <w:r w:rsidRPr="001F684D">
              <w:rPr>
                <w:b/>
                <w:sz w:val="20"/>
                <w:szCs w:val="20"/>
                <w:u w:val="single"/>
              </w:rPr>
              <w:t>Nature of the case:</w:t>
            </w:r>
          </w:p>
          <w:p w:rsidR="0017118B" w:rsidRPr="001F684D" w:rsidRDefault="0017118B" w:rsidP="0072344A">
            <w:pPr>
              <w:widowControl w:val="0"/>
              <w:jc w:val="both"/>
              <w:rPr>
                <w:b/>
                <w:sz w:val="20"/>
                <w:szCs w:val="20"/>
              </w:rPr>
            </w:pPr>
          </w:p>
          <w:p w:rsidR="0017118B" w:rsidRPr="004A4754" w:rsidRDefault="004A4754" w:rsidP="0072344A">
            <w:pPr>
              <w:widowControl w:val="0"/>
              <w:jc w:val="both"/>
              <w:rPr>
                <w:b/>
                <w:sz w:val="20"/>
                <w:szCs w:val="20"/>
              </w:rPr>
            </w:pPr>
            <w:r w:rsidRPr="00C942EA">
              <w:rPr>
                <w:sz w:val="20"/>
                <w:szCs w:val="20"/>
              </w:rPr>
              <w:t>Extradition - Criminal law - Surrender order - Judicial review - Whether the Court of Appeal erred in finding that the order surrendering the respondent to the United States of America was unreasonable.</w:t>
            </w:r>
          </w:p>
        </w:tc>
        <w:tc>
          <w:tcPr>
            <w:tcW w:w="720" w:type="dxa"/>
            <w:tcMar>
              <w:left w:w="0" w:type="dxa"/>
              <w:right w:w="0" w:type="dxa"/>
            </w:tcMar>
          </w:tcPr>
          <w:p w:rsidR="0017118B" w:rsidRPr="004A4754" w:rsidRDefault="0017118B" w:rsidP="0072344A">
            <w:pPr>
              <w:widowControl w:val="0"/>
              <w:jc w:val="center"/>
              <w:rPr>
                <w:sz w:val="20"/>
                <w:szCs w:val="20"/>
              </w:rPr>
            </w:pPr>
          </w:p>
        </w:tc>
        <w:tc>
          <w:tcPr>
            <w:tcW w:w="4380" w:type="dxa"/>
            <w:tcMar>
              <w:left w:w="0" w:type="dxa"/>
              <w:right w:w="0" w:type="dxa"/>
            </w:tcMar>
          </w:tcPr>
          <w:p w:rsidR="0017118B" w:rsidRPr="00CC4D84" w:rsidRDefault="0017118B" w:rsidP="0072344A">
            <w:pPr>
              <w:widowControl w:val="0"/>
              <w:jc w:val="both"/>
              <w:rPr>
                <w:b/>
                <w:sz w:val="20"/>
                <w:szCs w:val="20"/>
                <w:u w:val="single"/>
                <w:lang w:val="fr-CA"/>
              </w:rPr>
            </w:pPr>
            <w:r w:rsidRPr="00CC4D84">
              <w:rPr>
                <w:b/>
                <w:sz w:val="20"/>
                <w:szCs w:val="20"/>
                <w:u w:val="single"/>
                <w:lang w:val="fr-CA"/>
              </w:rPr>
              <w:t>Nature de la cause :</w:t>
            </w:r>
          </w:p>
          <w:p w:rsidR="0017118B" w:rsidRPr="00C1697B" w:rsidRDefault="0017118B" w:rsidP="0072344A">
            <w:pPr>
              <w:widowControl w:val="0"/>
              <w:jc w:val="both"/>
              <w:rPr>
                <w:sz w:val="20"/>
                <w:szCs w:val="20"/>
                <w:lang w:val="fr-CA"/>
              </w:rPr>
            </w:pPr>
          </w:p>
          <w:p w:rsidR="0017118B" w:rsidRPr="00C1697B" w:rsidRDefault="004A4754" w:rsidP="0072344A">
            <w:pPr>
              <w:widowControl w:val="0"/>
              <w:jc w:val="both"/>
              <w:rPr>
                <w:sz w:val="20"/>
                <w:szCs w:val="20"/>
                <w:lang w:val="fr-CA"/>
              </w:rPr>
            </w:pPr>
            <w:r w:rsidRPr="003A7B21">
              <w:rPr>
                <w:sz w:val="20"/>
                <w:szCs w:val="20"/>
                <w:lang w:val="fr-CA"/>
              </w:rPr>
              <w:t>Extradition - Droit criminel - Arrêté d’extradition - Contrôle judiciaire - La Cour d’appel a</w:t>
            </w:r>
            <w:r w:rsidRPr="003A7B21">
              <w:rPr>
                <w:sz w:val="20"/>
                <w:szCs w:val="20"/>
                <w:lang w:val="fr-CA"/>
              </w:rPr>
              <w:noBreakHyphen/>
              <w:t>t</w:t>
            </w:r>
            <w:r w:rsidRPr="003A7B21">
              <w:rPr>
                <w:sz w:val="20"/>
                <w:szCs w:val="20"/>
                <w:lang w:val="fr-CA"/>
              </w:rPr>
              <w:noBreakHyphen/>
              <w:t>elle mal interprété les nouveaux éléments de preuve? - La Cour d’appel a-t-elle eu tort de conclure que l’arrêt d’extradition de l’intimé aux États-Unis était déraisonnable?</w:t>
            </w:r>
          </w:p>
        </w:tc>
      </w:tr>
    </w:tbl>
    <w:p w:rsidR="00732DB7" w:rsidRPr="00C1697B" w:rsidRDefault="00732DB7" w:rsidP="00732DB7">
      <w:pPr>
        <w:widowControl w:val="0"/>
        <w:rPr>
          <w:sz w:val="20"/>
          <w:szCs w:val="20"/>
          <w:lang w:val="fr-CA"/>
        </w:rPr>
        <w:sectPr w:rsidR="00732DB7" w:rsidRPr="00C1697B" w:rsidSect="00732DB7">
          <w:headerReference w:type="even" r:id="rId111"/>
          <w:headerReference w:type="default" r:id="rId112"/>
          <w:footerReference w:type="even" r:id="rId113"/>
          <w:footerReference w:type="default" r:id="rId114"/>
          <w:headerReference w:type="first" r:id="rId115"/>
          <w:footerReference w:type="first" r:id="rId116"/>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584913"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C42C54" w:rsidRDefault="007065AB" w:rsidP="0052229C">
      <w:pPr>
        <w:rPr>
          <w:b/>
          <w:sz w:val="20"/>
          <w:szCs w:val="20"/>
          <w:lang w:val="fr-CA"/>
        </w:rPr>
      </w:pPr>
      <w:r>
        <w:rPr>
          <w:b/>
          <w:sz w:val="20"/>
          <w:szCs w:val="20"/>
          <w:lang w:val="fr-CA"/>
        </w:rPr>
        <w:t>APRIL 24</w:t>
      </w:r>
      <w:r w:rsidR="0052229C" w:rsidRPr="00C42C54">
        <w:rPr>
          <w:b/>
          <w:sz w:val="20"/>
          <w:szCs w:val="20"/>
          <w:lang w:val="fr-CA"/>
        </w:rPr>
        <w:t>, 201</w:t>
      </w:r>
      <w:r w:rsidR="00D33091">
        <w:rPr>
          <w:b/>
          <w:sz w:val="20"/>
          <w:szCs w:val="20"/>
          <w:lang w:val="fr-CA"/>
        </w:rPr>
        <w:t>5</w:t>
      </w:r>
      <w:r w:rsidR="0052229C" w:rsidRPr="00C42C54">
        <w:rPr>
          <w:b/>
          <w:sz w:val="20"/>
          <w:szCs w:val="20"/>
          <w:lang w:val="fr-CA"/>
        </w:rPr>
        <w:t xml:space="preserve"> / LE </w:t>
      </w:r>
      <w:r>
        <w:rPr>
          <w:b/>
          <w:sz w:val="20"/>
          <w:szCs w:val="20"/>
          <w:lang w:val="fr-CA"/>
        </w:rPr>
        <w:t xml:space="preserve">24 AVRIL </w:t>
      </w:r>
      <w:r w:rsidR="0052229C" w:rsidRPr="00C42C54">
        <w:rPr>
          <w:b/>
          <w:sz w:val="20"/>
          <w:szCs w:val="20"/>
          <w:lang w:val="fr-CA"/>
        </w:rPr>
        <w:t>201</w:t>
      </w:r>
      <w:r w:rsidR="00D33091">
        <w:rPr>
          <w:b/>
          <w:sz w:val="20"/>
          <w:szCs w:val="20"/>
          <w:lang w:val="fr-CA"/>
        </w:rPr>
        <w:t>5</w:t>
      </w:r>
    </w:p>
    <w:p w:rsidR="0052229C" w:rsidRPr="00C42C54" w:rsidRDefault="0052229C" w:rsidP="0052229C">
      <w:pPr>
        <w:rPr>
          <w:sz w:val="20"/>
          <w:szCs w:val="20"/>
          <w:lang w:val="fr-CA"/>
        </w:rPr>
      </w:pPr>
    </w:p>
    <w:p w:rsidR="008D3487" w:rsidRPr="008D3487" w:rsidRDefault="00A26E00" w:rsidP="008D3487">
      <w:pPr>
        <w:ind w:left="1440" w:hanging="1440"/>
        <w:jc w:val="both"/>
        <w:rPr>
          <w:rFonts w:eastAsia="Times New Roman" w:cs="Times New Roman"/>
          <w:sz w:val="20"/>
          <w:szCs w:val="20"/>
          <w:lang w:val="fr-CA"/>
        </w:rPr>
      </w:pPr>
      <w:r w:rsidRPr="008D3487">
        <w:rPr>
          <w:rFonts w:eastAsia="Times New Roman" w:cs="Times New Roman"/>
          <w:b/>
          <w:sz w:val="20"/>
          <w:szCs w:val="20"/>
          <w:lang w:val="en-US"/>
        </w:rPr>
        <w:fldChar w:fldCharType="begin"/>
      </w:r>
      <w:r w:rsidR="008D3487" w:rsidRPr="008D3487">
        <w:rPr>
          <w:rFonts w:eastAsia="Times New Roman" w:cs="Times New Roman"/>
          <w:b/>
          <w:sz w:val="20"/>
          <w:szCs w:val="20"/>
          <w:lang w:val="fr-CA"/>
        </w:rPr>
        <w:instrText xml:space="preserve"> SEQ CHAPTER \h \r 1</w:instrText>
      </w:r>
      <w:r w:rsidRPr="008D3487">
        <w:rPr>
          <w:rFonts w:eastAsia="Times New Roman" w:cs="Times New Roman"/>
          <w:b/>
          <w:sz w:val="20"/>
          <w:szCs w:val="20"/>
          <w:lang w:val="en-US"/>
        </w:rPr>
        <w:fldChar w:fldCharType="end"/>
      </w:r>
      <w:r w:rsidR="008D3487" w:rsidRPr="008D3487">
        <w:rPr>
          <w:rFonts w:eastAsia="Times New Roman" w:cs="Times New Roman"/>
          <w:b/>
          <w:sz w:val="20"/>
          <w:szCs w:val="20"/>
          <w:lang w:val="fr-CA"/>
        </w:rPr>
        <w:t>35619</w:t>
      </w:r>
      <w:r w:rsidR="008D3487" w:rsidRPr="008D3487">
        <w:rPr>
          <w:rFonts w:eastAsia="Times New Roman" w:cs="Times New Roman"/>
          <w:sz w:val="20"/>
          <w:szCs w:val="20"/>
          <w:lang w:val="fr-CA"/>
        </w:rPr>
        <w:tab/>
      </w:r>
      <w:r w:rsidR="008D3487" w:rsidRPr="008D3487">
        <w:rPr>
          <w:rFonts w:eastAsia="Times New Roman" w:cs="Times New Roman"/>
          <w:b/>
          <w:sz w:val="20"/>
          <w:szCs w:val="20"/>
          <w:u w:val="single"/>
          <w:lang w:val="fr-CA"/>
        </w:rPr>
        <w:t>Association des parents de l’école Rose-des-vents, Joseph Pagé, en son propre nom et au nom de tous les citoyens canadiens qui résident à l’ouest de la rue Main dans la ville de Vancouver dont la première langue apprise et encore comprise est le français, ou qui ont reçu leur instruction au niveau primaire en français au Canada, ou dont un enfant a reçu ou reçoit son instruction au niveau primaire ou secondaire en français au Canada, et Conseil scolaire francophone de la Colombie-Britannique c. Ministre de l’Éducation de la Colombie-Britannique et procureur général de la Colombie-Britannique – et – Procureur général de la Saskatchewan, procureur général de l’Alberta, procureur général des Territoires du Nord-Ouest, procureur général du Territoire du Yukon, commissaire aux langues officielles du Canada, Commission scolaire francophone, Territoires du Nord-Ouest, Fédération nationale des conseils scolaires francophones, Conseil des écoles fransaskoises et Commission scolaire francophone du Yukon</w:t>
      </w:r>
      <w:r w:rsidR="008D3487" w:rsidRPr="008D3487">
        <w:rPr>
          <w:rFonts w:eastAsia="Times New Roman" w:cs="Times New Roman"/>
          <w:sz w:val="20"/>
          <w:szCs w:val="20"/>
          <w:lang w:val="fr-CA"/>
        </w:rPr>
        <w:t xml:space="preserve"> (C.-B.)</w:t>
      </w:r>
    </w:p>
    <w:p w:rsidR="008D3487" w:rsidRPr="008D3487" w:rsidRDefault="008D3487" w:rsidP="008D3487">
      <w:pPr>
        <w:tabs>
          <w:tab w:val="left" w:pos="1440"/>
          <w:tab w:val="left" w:pos="2160"/>
          <w:tab w:val="left" w:pos="2880"/>
          <w:tab w:val="left" w:pos="3600"/>
          <w:tab w:val="left" w:pos="4320"/>
          <w:tab w:val="left" w:pos="5040"/>
          <w:tab w:val="left" w:pos="5760"/>
          <w:tab w:val="left" w:pos="6480"/>
          <w:tab w:val="left" w:pos="7200"/>
        </w:tabs>
        <w:ind w:left="1440"/>
        <w:jc w:val="both"/>
        <w:rPr>
          <w:rFonts w:eastAsia="Times New Roman" w:cs="Times New Roman"/>
          <w:b/>
          <w:sz w:val="20"/>
          <w:szCs w:val="20"/>
          <w:lang w:val="fr-CA"/>
        </w:rPr>
      </w:pPr>
      <w:r w:rsidRPr="008D3487">
        <w:rPr>
          <w:rFonts w:eastAsia="Times New Roman" w:cs="Times New Roman"/>
          <w:b/>
          <w:sz w:val="20"/>
          <w:szCs w:val="20"/>
          <w:lang w:val="fr-CA"/>
        </w:rPr>
        <w:t>2015 SCC 21 / 2015 CSC 21</w:t>
      </w:r>
    </w:p>
    <w:p w:rsidR="008D3487" w:rsidRPr="008D3487" w:rsidRDefault="008D3487" w:rsidP="008D3487">
      <w:pPr>
        <w:ind w:left="1440" w:hanging="1440"/>
        <w:rPr>
          <w:rFonts w:eastAsia="Times New Roman" w:cs="Times New Roman"/>
          <w:sz w:val="20"/>
          <w:szCs w:val="20"/>
          <w:lang w:val="fr-CA"/>
        </w:rPr>
      </w:pPr>
    </w:p>
    <w:p w:rsidR="008D3487" w:rsidRPr="008D3487" w:rsidRDefault="008D3487" w:rsidP="008D3487">
      <w:pPr>
        <w:ind w:left="1440" w:hanging="1440"/>
        <w:rPr>
          <w:rFonts w:eastAsia="Times New Roman" w:cs="Times New Roman"/>
          <w:sz w:val="20"/>
          <w:szCs w:val="20"/>
          <w:u w:val="single"/>
          <w:lang w:val="fr-CA"/>
        </w:rPr>
      </w:pPr>
      <w:r w:rsidRPr="008D3487">
        <w:rPr>
          <w:rFonts w:eastAsia="Times New Roman" w:cs="Times New Roman"/>
          <w:sz w:val="20"/>
          <w:szCs w:val="20"/>
          <w:lang w:val="fr-CA"/>
        </w:rPr>
        <w:t>Coram:</w:t>
      </w:r>
      <w:r w:rsidRPr="008D3487">
        <w:rPr>
          <w:rFonts w:eastAsia="Times New Roman" w:cs="Times New Roman"/>
          <w:sz w:val="20"/>
          <w:szCs w:val="20"/>
          <w:lang w:val="fr-CA"/>
        </w:rPr>
        <w:tab/>
      </w:r>
      <w:r w:rsidRPr="008D3487">
        <w:rPr>
          <w:rFonts w:eastAsia="Times New Roman" w:cs="Times New Roman"/>
          <w:sz w:val="20"/>
          <w:szCs w:val="20"/>
          <w:u w:val="single"/>
          <w:lang w:val="fr-CA"/>
        </w:rPr>
        <w:t>La juge en chef McLachlin et les juges Abella, Rothstein, Moldaver, Karakatsanis, Wagner et Gascon</w:t>
      </w:r>
    </w:p>
    <w:p w:rsidR="008D3487" w:rsidRPr="008D3487" w:rsidRDefault="008D3487" w:rsidP="008D3487">
      <w:pPr>
        <w:ind w:left="1440" w:hanging="1440"/>
        <w:rPr>
          <w:rFonts w:eastAsia="Times New Roman" w:cs="Times New Roman"/>
          <w:sz w:val="20"/>
          <w:szCs w:val="20"/>
          <w:lang w:val="fr-CA"/>
        </w:rPr>
      </w:pPr>
    </w:p>
    <w:p w:rsidR="008D3487" w:rsidRPr="008D3487" w:rsidRDefault="008D3487" w:rsidP="008D3487">
      <w:pPr>
        <w:jc w:val="both"/>
        <w:rPr>
          <w:rFonts w:eastAsia="Calibri" w:cs="Times New Roman"/>
          <w:sz w:val="20"/>
          <w:szCs w:val="20"/>
          <w:lang w:val="fr-CA"/>
        </w:rPr>
      </w:pPr>
      <w:r w:rsidRPr="008D3487">
        <w:rPr>
          <w:rFonts w:eastAsia="Calibri" w:cs="Times New Roman"/>
          <w:sz w:val="20"/>
          <w:szCs w:val="20"/>
          <w:lang w:val="fr-CA"/>
        </w:rPr>
        <w:t>L’appel interjeté contre les arrêts de la Cour d’appel de la Colombie-Britannique (Vancouver), numéro CA040429, 2013 BCCA 407 et 2014 BCCA 40, en date du 20 septembre 2013 et du 31 janvier 2014, entendu le 2 décembre 2014, est accueilli. Le jugement déclaratoire du juge saisi de la requête est rétabli et l’affaire est renvoyée à la Cour suprême de la Colombie-Britannique pour la prochaine étape de l’instruction de la requête si cela s’avère nécessaire. Les dépens spéciaux accordés par le juge saisi de la requête sont rétablis et des dépens spéciaux sont octroyés aux appelants pour les procédures d’appel.</w:t>
      </w:r>
    </w:p>
    <w:p w:rsidR="008D3487" w:rsidRPr="008D3487" w:rsidRDefault="008D3487" w:rsidP="008D3487">
      <w:pPr>
        <w:jc w:val="both"/>
        <w:rPr>
          <w:rFonts w:eastAsia="Calibri" w:cs="Times New Roman"/>
          <w:sz w:val="20"/>
          <w:szCs w:val="20"/>
          <w:lang w:val="fr-CA"/>
        </w:rPr>
      </w:pPr>
    </w:p>
    <w:p w:rsidR="008D3487" w:rsidRPr="008D3487" w:rsidRDefault="008D3487" w:rsidP="008D3487">
      <w:pPr>
        <w:jc w:val="both"/>
        <w:rPr>
          <w:rFonts w:eastAsia="Calibri" w:cs="Times New Roman"/>
          <w:sz w:val="20"/>
          <w:szCs w:val="20"/>
          <w:lang w:val="en-US"/>
        </w:rPr>
      </w:pPr>
      <w:r w:rsidRPr="008D3487">
        <w:rPr>
          <w:rFonts w:eastAsia="Calibri" w:cs="Times New Roman"/>
          <w:sz w:val="20"/>
          <w:szCs w:val="20"/>
        </w:rPr>
        <w:t xml:space="preserve">The appeal from the judgments </w:t>
      </w:r>
      <w:bookmarkStart w:id="4" w:name="BM_1_"/>
      <w:bookmarkEnd w:id="4"/>
      <w:r w:rsidRPr="008D3487">
        <w:rPr>
          <w:rFonts w:eastAsia="Calibri" w:cs="Times New Roman"/>
          <w:sz w:val="20"/>
          <w:szCs w:val="20"/>
        </w:rPr>
        <w:t xml:space="preserve">of the </w:t>
      </w:r>
      <w:r w:rsidRPr="008D3487">
        <w:rPr>
          <w:rFonts w:eastAsia="Calibri" w:cs="Times New Roman"/>
          <w:sz w:val="20"/>
          <w:szCs w:val="20"/>
          <w:lang w:val="en-US"/>
        </w:rPr>
        <w:t>Court of Appeal for British Columbia (Vancouver)</w:t>
      </w:r>
      <w:r w:rsidRPr="008D3487">
        <w:rPr>
          <w:rFonts w:eastAsia="Calibri" w:cs="Times New Roman"/>
          <w:sz w:val="20"/>
          <w:szCs w:val="20"/>
        </w:rPr>
        <w:t xml:space="preserve">, Number </w:t>
      </w:r>
      <w:r w:rsidRPr="008D3487">
        <w:rPr>
          <w:rFonts w:eastAsia="Calibri" w:cs="Times New Roman"/>
          <w:sz w:val="20"/>
          <w:szCs w:val="20"/>
          <w:lang w:val="en-US"/>
        </w:rPr>
        <w:t>CA040429, 2013 BCCA 407 and 2014 BCCA 40</w:t>
      </w:r>
      <w:r w:rsidRPr="008D3487">
        <w:rPr>
          <w:rFonts w:eastAsia="Calibri" w:cs="Times New Roman"/>
          <w:sz w:val="20"/>
          <w:szCs w:val="20"/>
        </w:rPr>
        <w:t xml:space="preserve">, dated </w:t>
      </w:r>
      <w:r w:rsidRPr="008D3487">
        <w:rPr>
          <w:rFonts w:eastAsia="Calibri" w:cs="Times New Roman"/>
          <w:sz w:val="20"/>
          <w:szCs w:val="20"/>
          <w:lang w:val="en-US"/>
        </w:rPr>
        <w:t>September 20, 2013, and January 31, 2014</w:t>
      </w:r>
      <w:r w:rsidRPr="008D3487">
        <w:rPr>
          <w:rFonts w:eastAsia="Calibri" w:cs="Times New Roman"/>
          <w:sz w:val="20"/>
          <w:szCs w:val="20"/>
        </w:rPr>
        <w:t xml:space="preserve">, heard on </w:t>
      </w:r>
      <w:r w:rsidRPr="008D3487">
        <w:rPr>
          <w:rFonts w:eastAsia="Calibri" w:cs="Times New Roman"/>
          <w:sz w:val="20"/>
          <w:szCs w:val="20"/>
          <w:lang w:val="en-US"/>
        </w:rPr>
        <w:t>December 2, 2014,</w:t>
      </w:r>
      <w:r w:rsidRPr="008D3487">
        <w:rPr>
          <w:rFonts w:eastAsia="Calibri" w:cs="Times New Roman"/>
          <w:sz w:val="20"/>
          <w:szCs w:val="20"/>
        </w:rPr>
        <w:t xml:space="preserve"> is allowed. The petition judge’s declaration is reinstated and the matter is remitted to the Supreme Court of British Columbia for the next phase of the petition, if necessary. The award of special costs issued by the petition judge is restored and special costs are awarded to the appellants for the appeal proceedings.</w:t>
      </w:r>
    </w:p>
    <w:p w:rsidR="008D3487" w:rsidRDefault="008D3487" w:rsidP="0052229C">
      <w:pPr>
        <w:rPr>
          <w:sz w:val="20"/>
          <w:szCs w:val="20"/>
        </w:rPr>
      </w:pPr>
    </w:p>
    <w:p w:rsidR="0052229C" w:rsidRPr="003B3977" w:rsidRDefault="00417673" w:rsidP="0052229C">
      <w:pPr>
        <w:spacing w:line="0" w:lineRule="atLeast"/>
        <w:rPr>
          <w:sz w:val="20"/>
          <w:szCs w:val="20"/>
        </w:rPr>
      </w:pPr>
      <w:r>
        <w:rPr>
          <w:b/>
          <w:sz w:val="20"/>
          <w:szCs w:val="20"/>
        </w:rPr>
        <w:pict>
          <v:rect id="_x0000_i1099"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D004FC" w:rsidRPr="008D3487"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en-US"/>
        </w:rPr>
      </w:pPr>
    </w:p>
    <w:p w:rsidR="008D3487" w:rsidRPr="008D3487" w:rsidRDefault="008D3487"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en-US"/>
        </w:rPr>
      </w:pPr>
    </w:p>
    <w:p w:rsidR="008D3487" w:rsidRPr="008D3487" w:rsidRDefault="008D3487"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en-US"/>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117"/>
          <w:headerReference w:type="default" r:id="rId118"/>
          <w:footerReference w:type="even" r:id="rId119"/>
          <w:footerReference w:type="default" r:id="rId120"/>
          <w:headerReference w:type="first" r:id="rId121"/>
          <w:footerReference w:type="first" r:id="rId122"/>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52229C" w:rsidRPr="00754A71" w:rsidRDefault="007D569A" w:rsidP="007D569A">
      <w:pPr>
        <w:rPr>
          <w:sz w:val="20"/>
          <w:szCs w:val="20"/>
          <w:lang w:val="fr-CA"/>
        </w:rPr>
      </w:pPr>
      <w:r w:rsidRPr="007D569A">
        <w:rPr>
          <w:i/>
          <w:iCs/>
          <w:sz w:val="20"/>
          <w:lang w:val="fr-CA"/>
        </w:rPr>
        <w:t>L’Association des parents de l’école Rose-des-vents et autres c. Ministère de l’Éducation de la province de la Colombie-Britannique et autre</w:t>
      </w:r>
      <w:r w:rsidRPr="007D569A">
        <w:rPr>
          <w:i/>
          <w:iCs/>
          <w:color w:val="000000"/>
          <w:sz w:val="20"/>
          <w:lang w:val="fr-CA"/>
        </w:rPr>
        <w:t xml:space="preserve"> </w:t>
      </w:r>
      <w:r w:rsidRPr="007D569A">
        <w:rPr>
          <w:color w:val="000000"/>
          <w:sz w:val="20"/>
          <w:lang w:val="fr-CA"/>
        </w:rPr>
        <w:t>(C.-B.)</w:t>
      </w:r>
      <w:r w:rsidRPr="00754A71">
        <w:rPr>
          <w:sz w:val="20"/>
          <w:szCs w:val="20"/>
          <w:lang w:val="fr-CA"/>
        </w:rPr>
        <w:t xml:space="preserve"> </w:t>
      </w:r>
      <w:r w:rsidR="0052229C" w:rsidRPr="00754A71">
        <w:rPr>
          <w:sz w:val="20"/>
          <w:szCs w:val="20"/>
          <w:lang w:val="fr-CA"/>
        </w:rPr>
        <w:t>(</w:t>
      </w:r>
      <w:hyperlink r:id="rId123" w:history="1">
        <w:r>
          <w:rPr>
            <w:rStyle w:val="Hyperlink"/>
            <w:sz w:val="20"/>
            <w:szCs w:val="20"/>
            <w:lang w:val="fr-CA"/>
          </w:rPr>
          <w:t>35619</w:t>
        </w:r>
      </w:hyperlink>
      <w:r w:rsidR="0052229C" w:rsidRPr="00754A71">
        <w:rPr>
          <w:sz w:val="20"/>
          <w:szCs w:val="20"/>
          <w:lang w:val="fr-CA"/>
        </w:rPr>
        <w:t>)</w:t>
      </w:r>
    </w:p>
    <w:p w:rsidR="0052229C" w:rsidRPr="007D569A" w:rsidRDefault="0052229C" w:rsidP="00C060D7">
      <w:pPr>
        <w:rPr>
          <w:b/>
          <w:sz w:val="20"/>
          <w:szCs w:val="20"/>
          <w:lang w:val="fr-CA"/>
        </w:rPr>
      </w:pPr>
      <w:r w:rsidRPr="007D569A">
        <w:rPr>
          <w:b/>
          <w:sz w:val="20"/>
          <w:szCs w:val="20"/>
          <w:lang w:val="fr-CA"/>
        </w:rPr>
        <w:t xml:space="preserve">Indexed as: </w:t>
      </w:r>
      <w:r w:rsidR="007D569A" w:rsidRPr="007D569A">
        <w:rPr>
          <w:rStyle w:val="SCCAppellantForIndexChar"/>
          <w:rFonts w:eastAsiaTheme="minorHAnsi"/>
          <w:sz w:val="20"/>
        </w:rPr>
        <w:t xml:space="preserve">Association des parents de l’école Rose des vents </w:t>
      </w:r>
      <w:r w:rsidR="007D569A" w:rsidRPr="007D569A">
        <w:rPr>
          <w:rStyle w:val="SCCAppellantForIndexChar"/>
          <w:rFonts w:eastAsiaTheme="minorHAnsi"/>
          <w:i/>
          <w:sz w:val="20"/>
        </w:rPr>
        <w:t>v</w:t>
      </w:r>
      <w:r w:rsidR="007D569A" w:rsidRPr="007D569A">
        <w:rPr>
          <w:rStyle w:val="SCCAppellantForIndexChar"/>
          <w:rFonts w:eastAsiaTheme="minorHAnsi"/>
          <w:sz w:val="20"/>
        </w:rPr>
        <w:t>. British Columbia (Education)</w:t>
      </w:r>
      <w:r w:rsidRPr="007D569A">
        <w:rPr>
          <w:rStyle w:val="SCCRespondentForIndexChar"/>
          <w:rFonts w:eastAsiaTheme="minorHAnsi"/>
          <w:sz w:val="20"/>
          <w:lang w:val="fr-CA"/>
        </w:rPr>
        <w:t xml:space="preserve"> / </w:t>
      </w:r>
      <w:r w:rsidRPr="007D569A">
        <w:rPr>
          <w:b/>
          <w:sz w:val="20"/>
          <w:szCs w:val="20"/>
          <w:lang w:val="fr-CA"/>
        </w:rPr>
        <w:t>Répertorié : </w:t>
      </w:r>
      <w:r w:rsidR="007D569A" w:rsidRPr="007D569A">
        <w:rPr>
          <w:rStyle w:val="SCCAppellantForIndexChar"/>
          <w:rFonts w:eastAsiaTheme="minorHAnsi"/>
          <w:sz w:val="20"/>
        </w:rPr>
        <w:t xml:space="preserve">Association des parents de l’école Rose des vents </w:t>
      </w:r>
      <w:r w:rsidR="007D569A" w:rsidRPr="007D569A">
        <w:rPr>
          <w:rStyle w:val="SCCAppellantForIndexChar"/>
          <w:rFonts w:eastAsiaTheme="minorHAnsi"/>
          <w:i/>
          <w:sz w:val="20"/>
        </w:rPr>
        <w:t>c</w:t>
      </w:r>
      <w:r w:rsidR="007D569A" w:rsidRPr="007D569A">
        <w:rPr>
          <w:rStyle w:val="SCCAppellantForIndexChar"/>
          <w:rFonts w:eastAsiaTheme="minorHAnsi"/>
          <w:sz w:val="20"/>
        </w:rPr>
        <w:t>. Colombie Britannique (Éducation)</w:t>
      </w:r>
    </w:p>
    <w:p w:rsidR="0052229C" w:rsidRPr="00C060D7" w:rsidRDefault="0052229C" w:rsidP="0052229C">
      <w:pPr>
        <w:pStyle w:val="SCCSystemYear"/>
        <w:jc w:val="both"/>
        <w:rPr>
          <w:sz w:val="20"/>
        </w:rPr>
      </w:pPr>
      <w:r w:rsidRPr="00C060D7">
        <w:rPr>
          <w:sz w:val="20"/>
        </w:rPr>
        <w:t>Neutral citation:  201</w:t>
      </w:r>
      <w:r w:rsidR="00020DC3" w:rsidRPr="00C060D7">
        <w:rPr>
          <w:sz w:val="20"/>
        </w:rPr>
        <w:t>5</w:t>
      </w:r>
      <w:r w:rsidRPr="00C060D7">
        <w:rPr>
          <w:sz w:val="20"/>
        </w:rPr>
        <w:t xml:space="preserve"> SCC </w:t>
      </w:r>
      <w:r w:rsidR="00C060D7" w:rsidRPr="00C060D7">
        <w:rPr>
          <w:sz w:val="20"/>
        </w:rPr>
        <w:t>2</w:t>
      </w:r>
      <w:r w:rsidRPr="00C060D7">
        <w:rPr>
          <w:sz w:val="20"/>
        </w:rPr>
        <w:t>1 / Référence neutre : 201</w:t>
      </w:r>
      <w:r w:rsidR="00020DC3" w:rsidRPr="00C060D7">
        <w:rPr>
          <w:sz w:val="20"/>
        </w:rPr>
        <w:t>5</w:t>
      </w:r>
      <w:r w:rsidRPr="00C060D7">
        <w:rPr>
          <w:sz w:val="20"/>
        </w:rPr>
        <w:t xml:space="preserve"> CSC </w:t>
      </w:r>
      <w:r w:rsidR="00C060D7">
        <w:rPr>
          <w:sz w:val="20"/>
        </w:rPr>
        <w:t>2</w:t>
      </w:r>
      <w:r w:rsidRPr="00C060D7">
        <w:rPr>
          <w:sz w:val="20"/>
        </w:rPr>
        <w:t>1</w:t>
      </w:r>
    </w:p>
    <w:p w:rsidR="0052229C" w:rsidRPr="00C060D7" w:rsidRDefault="0052229C" w:rsidP="0052229C">
      <w:pPr>
        <w:rPr>
          <w:rFonts w:cs="Times New Roman"/>
          <w:sz w:val="20"/>
          <w:szCs w:val="20"/>
          <w:lang w:val="fr-CA"/>
        </w:rPr>
      </w:pPr>
      <w:r w:rsidRPr="00C060D7">
        <w:rPr>
          <w:rFonts w:cs="Times New Roman"/>
          <w:sz w:val="20"/>
          <w:szCs w:val="20"/>
          <w:lang w:val="fr-CA"/>
        </w:rPr>
        <w:t xml:space="preserve">Hearing:  </w:t>
      </w:r>
      <w:r w:rsidR="00C060D7" w:rsidRPr="00C060D7">
        <w:rPr>
          <w:rFonts w:cs="Times New Roman"/>
          <w:sz w:val="20"/>
          <w:szCs w:val="20"/>
          <w:lang w:val="fr-CA"/>
        </w:rPr>
        <w:t>December</w:t>
      </w:r>
      <w:r w:rsidRPr="00C060D7">
        <w:rPr>
          <w:rFonts w:cs="Times New Roman"/>
          <w:sz w:val="20"/>
          <w:szCs w:val="20"/>
          <w:lang w:val="fr-CA"/>
        </w:rPr>
        <w:t xml:space="preserve"> 2, 201</w:t>
      </w:r>
      <w:r w:rsidR="00020DC3" w:rsidRPr="00C060D7">
        <w:rPr>
          <w:rFonts w:cs="Times New Roman"/>
          <w:sz w:val="20"/>
          <w:szCs w:val="20"/>
          <w:lang w:val="fr-CA"/>
        </w:rPr>
        <w:t>4</w:t>
      </w:r>
      <w:r w:rsidRPr="00C060D7">
        <w:rPr>
          <w:rFonts w:cs="Times New Roman"/>
          <w:sz w:val="20"/>
          <w:szCs w:val="20"/>
          <w:lang w:val="fr-CA"/>
        </w:rPr>
        <w:t xml:space="preserve"> / Judgment:  </w:t>
      </w:r>
      <w:r w:rsidR="00C060D7" w:rsidRPr="00C060D7">
        <w:rPr>
          <w:rFonts w:cs="Times New Roman"/>
          <w:sz w:val="20"/>
          <w:szCs w:val="20"/>
          <w:lang w:val="fr-CA"/>
        </w:rPr>
        <w:t>April 24</w:t>
      </w:r>
      <w:r w:rsidRPr="00C060D7">
        <w:rPr>
          <w:rFonts w:cs="Times New Roman"/>
          <w:sz w:val="20"/>
          <w:szCs w:val="20"/>
          <w:lang w:val="fr-CA"/>
        </w:rPr>
        <w:t>, 201</w:t>
      </w:r>
      <w:r w:rsidR="00020DC3" w:rsidRPr="00C060D7">
        <w:rPr>
          <w:rFonts w:cs="Times New Roman"/>
          <w:sz w:val="20"/>
          <w:szCs w:val="20"/>
          <w:lang w:val="fr-CA"/>
        </w:rPr>
        <w:t>5</w:t>
      </w:r>
    </w:p>
    <w:p w:rsidR="0052229C" w:rsidRPr="003B3977" w:rsidRDefault="0052229C" w:rsidP="0052229C">
      <w:pPr>
        <w:rPr>
          <w:rFonts w:cs="Times New Roman"/>
          <w:sz w:val="20"/>
          <w:szCs w:val="20"/>
          <w:lang w:val="fr-CA"/>
        </w:rPr>
      </w:pPr>
      <w:r w:rsidRPr="003B3977">
        <w:rPr>
          <w:rFonts w:cs="Times New Roman"/>
          <w:sz w:val="20"/>
          <w:szCs w:val="20"/>
          <w:lang w:val="fr-CA"/>
        </w:rPr>
        <w:t xml:space="preserve">Audition : Le </w:t>
      </w:r>
      <w:r>
        <w:rPr>
          <w:rFonts w:cs="Times New Roman"/>
          <w:sz w:val="20"/>
          <w:szCs w:val="20"/>
          <w:lang w:val="fr-CA"/>
        </w:rPr>
        <w:t>2</w:t>
      </w:r>
      <w:r w:rsidRPr="003B3977">
        <w:rPr>
          <w:rFonts w:cs="Times New Roman"/>
          <w:sz w:val="20"/>
          <w:szCs w:val="20"/>
          <w:lang w:val="fr-CA"/>
        </w:rPr>
        <w:t xml:space="preserve"> </w:t>
      </w:r>
      <w:r w:rsidR="00C060D7">
        <w:rPr>
          <w:rFonts w:cs="Times New Roman"/>
          <w:sz w:val="20"/>
          <w:szCs w:val="20"/>
          <w:lang w:val="fr-CA"/>
        </w:rPr>
        <w:t>dé</w:t>
      </w:r>
      <w:r w:rsidR="00C060D7" w:rsidRPr="00C060D7">
        <w:rPr>
          <w:rFonts w:cs="Times New Roman"/>
          <w:sz w:val="20"/>
          <w:szCs w:val="20"/>
          <w:lang w:val="fr-CA"/>
        </w:rPr>
        <w:t>cembre</w:t>
      </w:r>
      <w:r w:rsidRPr="003B3977">
        <w:rPr>
          <w:rFonts w:cs="Times New Roman"/>
          <w:sz w:val="20"/>
          <w:szCs w:val="20"/>
          <w:lang w:val="fr-CA"/>
        </w:rPr>
        <w:t xml:space="preserve"> 201</w:t>
      </w:r>
      <w:r w:rsidR="00020DC3">
        <w:rPr>
          <w:rFonts w:cs="Times New Roman"/>
          <w:sz w:val="20"/>
          <w:szCs w:val="20"/>
          <w:lang w:val="fr-CA"/>
        </w:rPr>
        <w:t>4</w:t>
      </w:r>
      <w:r w:rsidRPr="003B3977">
        <w:rPr>
          <w:rFonts w:cs="Times New Roman"/>
          <w:sz w:val="20"/>
          <w:szCs w:val="20"/>
          <w:lang w:val="fr-CA"/>
        </w:rPr>
        <w:t xml:space="preserve"> / Jugement : Le </w:t>
      </w:r>
      <w:r w:rsidR="00C060D7">
        <w:rPr>
          <w:rFonts w:cs="Times New Roman"/>
          <w:sz w:val="20"/>
          <w:szCs w:val="20"/>
          <w:lang w:val="fr-CA"/>
        </w:rPr>
        <w:t xml:space="preserve">24 avril </w:t>
      </w:r>
      <w:r w:rsidRPr="003B3977">
        <w:rPr>
          <w:rFonts w:cs="Times New Roman"/>
          <w:sz w:val="20"/>
          <w:szCs w:val="20"/>
          <w:lang w:val="fr-CA"/>
        </w:rPr>
        <w:t>201</w:t>
      </w:r>
      <w:r w:rsidR="00020DC3">
        <w:rPr>
          <w:rFonts w:cs="Times New Roman"/>
          <w:sz w:val="20"/>
          <w:szCs w:val="20"/>
          <w:lang w:val="fr-CA"/>
        </w:rPr>
        <w:t>5</w:t>
      </w:r>
    </w:p>
    <w:p w:rsidR="005C6840" w:rsidRPr="003B3977" w:rsidRDefault="00417673" w:rsidP="005C6840">
      <w:pPr>
        <w:rPr>
          <w:rFonts w:cs="Times New Roman"/>
          <w:sz w:val="20"/>
          <w:szCs w:val="20"/>
          <w:lang w:val="fr-CA"/>
        </w:rPr>
      </w:pPr>
      <w:r>
        <w:rPr>
          <w:rFonts w:cs="Times New Roman"/>
          <w:i/>
          <w:sz w:val="20"/>
          <w:szCs w:val="20"/>
        </w:rPr>
        <w:pict>
          <v:rect id="_x0000_i1102"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52229C" w:rsidRPr="006919A1" w:rsidRDefault="0052229C" w:rsidP="0052229C">
      <w:pPr>
        <w:jc w:val="both"/>
        <w:rPr>
          <w:sz w:val="20"/>
          <w:szCs w:val="20"/>
          <w:lang w:val="fr-CA"/>
        </w:rPr>
      </w:pPr>
      <w:r w:rsidRPr="006919A1">
        <w:rPr>
          <w:sz w:val="20"/>
          <w:szCs w:val="20"/>
          <w:lang w:val="fr-CA"/>
        </w:rPr>
        <w:t>Présents : </w:t>
      </w:r>
      <w:r w:rsidR="00C060D7" w:rsidRPr="00C060D7">
        <w:rPr>
          <w:sz w:val="20"/>
          <w:szCs w:val="20"/>
          <w:lang w:val="fr-CA"/>
        </w:rPr>
        <w:t>La juge en chef McLachlin et les juges Abella, Rothstein, Moldaver, Karakatsanis, Wagner et Gascon.</w:t>
      </w:r>
    </w:p>
    <w:p w:rsidR="0052229C" w:rsidRPr="00C060D7" w:rsidRDefault="0052229C" w:rsidP="00C060D7">
      <w:pPr>
        <w:jc w:val="both"/>
        <w:rPr>
          <w:smallCaps/>
          <w:sz w:val="20"/>
          <w:szCs w:val="20"/>
          <w:lang w:val="fr-CA"/>
        </w:rPr>
      </w:pPr>
    </w:p>
    <w:p w:rsidR="00C060D7" w:rsidRDefault="00C060D7" w:rsidP="00D33091">
      <w:pPr>
        <w:jc w:val="both"/>
        <w:rPr>
          <w:rFonts w:eastAsia="Times New Roman" w:cs="Times New Roman"/>
          <w:i/>
          <w:sz w:val="20"/>
          <w:szCs w:val="20"/>
          <w:lang w:val="fr-CA" w:eastAsia="en-CA"/>
        </w:rPr>
      </w:pPr>
      <w:r w:rsidRPr="00C060D7">
        <w:rPr>
          <w:rFonts w:eastAsia="Times New Roman" w:cs="Times New Roman"/>
          <w:sz w:val="20"/>
          <w:szCs w:val="20"/>
          <w:lang w:val="fr-CA" w:eastAsia="en-CA"/>
        </w:rPr>
        <w:tab/>
      </w:r>
      <w:r w:rsidRPr="00C060D7">
        <w:rPr>
          <w:rFonts w:eastAsia="Times New Roman" w:cs="Times New Roman"/>
          <w:i/>
          <w:sz w:val="20"/>
          <w:szCs w:val="20"/>
          <w:lang w:val="fr-CA" w:eastAsia="en-CA"/>
        </w:rPr>
        <w:t>Droit constitutionnel — Charte des droits — Droit à l’instruction dans la langue de la minorité — Égalité réelle — Manière dont le tribunal doit déterminer si l’expérience éducative des enfants de titulaires de droits est équivalente à celle offerte dans les écoles de la majorité linguistique de la province ou du territoire en question — Les coûts et les considérations pratiques sont</w:t>
      </w:r>
      <w:r w:rsidRPr="00C060D7">
        <w:rPr>
          <w:rFonts w:eastAsia="Times New Roman" w:cs="Times New Roman"/>
          <w:i/>
          <w:sz w:val="20"/>
          <w:szCs w:val="20"/>
          <w:lang w:val="fr-CA" w:eastAsia="en-CA"/>
        </w:rPr>
        <w:noBreakHyphen/>
        <w:t>ils pertinents pour l’analyse de l’équivalence? — Une conclusion d’absence d’équivalence équivaut</w:t>
      </w:r>
      <w:r w:rsidRPr="00C060D7">
        <w:rPr>
          <w:rFonts w:eastAsia="Times New Roman" w:cs="Times New Roman"/>
          <w:i/>
          <w:sz w:val="20"/>
          <w:szCs w:val="20"/>
          <w:lang w:val="fr-CA" w:eastAsia="en-CA"/>
        </w:rPr>
        <w:noBreakHyphen/>
        <w:t>elle à une conclusion qu’il y a violation de la Charte? — Est</w:t>
      </w:r>
      <w:r w:rsidRPr="00C060D7">
        <w:rPr>
          <w:rFonts w:eastAsia="Times New Roman" w:cs="Times New Roman"/>
          <w:i/>
          <w:sz w:val="20"/>
          <w:szCs w:val="20"/>
          <w:lang w:val="fr-CA" w:eastAsia="en-CA"/>
        </w:rPr>
        <w:noBreakHyphen/>
        <w:t>il nécessaire de départager la responsabilité entre la province ou le territoire et le conseil scolaire avant de conclure à une violation prima facie de l’art. 23 de la Charte canadienne des droits et libertés?</w:t>
      </w:r>
    </w:p>
    <w:p w:rsidR="00C060D7" w:rsidRPr="00C060D7" w:rsidRDefault="00C060D7" w:rsidP="00D33091">
      <w:pPr>
        <w:jc w:val="both"/>
        <w:rPr>
          <w:rFonts w:eastAsia="Times New Roman" w:cs="Times New Roman"/>
          <w:i/>
          <w:sz w:val="20"/>
          <w:szCs w:val="20"/>
          <w:lang w:val="fr-CA" w:eastAsia="en-CA"/>
        </w:rPr>
      </w:pPr>
    </w:p>
    <w:p w:rsidR="00C060D7" w:rsidRDefault="00C060D7" w:rsidP="00D33091">
      <w:pPr>
        <w:jc w:val="both"/>
        <w:rPr>
          <w:rFonts w:eastAsia="Times New Roman" w:cs="Times New Roman"/>
          <w:i/>
          <w:sz w:val="20"/>
          <w:szCs w:val="20"/>
          <w:lang w:val="fr-CA" w:eastAsia="en-CA"/>
        </w:rPr>
      </w:pPr>
      <w:r w:rsidRPr="00C060D7">
        <w:rPr>
          <w:rFonts w:eastAsia="Times New Roman" w:cs="Times New Roman"/>
          <w:i/>
          <w:sz w:val="20"/>
          <w:szCs w:val="20"/>
          <w:lang w:val="fr-CA" w:eastAsia="en-CA"/>
        </w:rPr>
        <w:tab/>
        <w:t>Droit constitutionnel — Charte des droits — Procédure — Audience — Équité procédurale — Division de l’instance en étapes — Pertinence des actes de procédure — Juge saisi de la requête divisant l’instance en étapes et remettant la détermination de la responsabilité pour la violation de la Charte à une étape ultérieure — Passages des actes de procédure de la province radiés par le juge saisi de la requête parce que non pertinents quant à la première étape — La procédure adoptée par le juge saisi de la requête est</w:t>
      </w:r>
      <w:r w:rsidRPr="00C060D7">
        <w:rPr>
          <w:rFonts w:eastAsia="Times New Roman" w:cs="Times New Roman"/>
          <w:i/>
          <w:sz w:val="20"/>
          <w:szCs w:val="20"/>
          <w:lang w:val="fr-CA" w:eastAsia="en-CA"/>
        </w:rPr>
        <w:noBreakHyphen/>
        <w:t xml:space="preserve">elle inéquitable sur le plan procédural? </w:t>
      </w:r>
    </w:p>
    <w:p w:rsidR="00C060D7" w:rsidRPr="00C060D7" w:rsidRDefault="00C060D7" w:rsidP="00D33091">
      <w:pPr>
        <w:jc w:val="both"/>
        <w:rPr>
          <w:rFonts w:eastAsia="Times New Roman" w:cs="Times New Roman"/>
          <w:i/>
          <w:sz w:val="20"/>
          <w:szCs w:val="20"/>
          <w:lang w:val="fr-CA" w:eastAsia="en-CA"/>
        </w:rPr>
      </w:pPr>
    </w:p>
    <w:p w:rsidR="00C060D7" w:rsidRDefault="00C060D7" w:rsidP="00D33091">
      <w:pPr>
        <w:jc w:val="both"/>
        <w:rPr>
          <w:rFonts w:eastAsia="Times New Roman" w:cs="Times New Roman"/>
          <w:sz w:val="20"/>
          <w:szCs w:val="20"/>
          <w:lang w:val="fr-CA" w:eastAsia="en-CA"/>
        </w:rPr>
      </w:pPr>
      <w:r w:rsidRPr="00C060D7">
        <w:rPr>
          <w:rFonts w:eastAsia="Times New Roman" w:cs="Times New Roman"/>
          <w:sz w:val="20"/>
          <w:szCs w:val="20"/>
          <w:lang w:val="fr-CA" w:eastAsia="en-CA"/>
        </w:rPr>
        <w:tab/>
        <w:t>L’école élémentaire Rose</w:t>
      </w:r>
      <w:r w:rsidRPr="00C060D7">
        <w:rPr>
          <w:rFonts w:eastAsia="Times New Roman" w:cs="Times New Roman"/>
          <w:sz w:val="20"/>
          <w:szCs w:val="20"/>
          <w:lang w:val="fr-CA" w:eastAsia="en-CA"/>
        </w:rPr>
        <w:noBreakHyphen/>
        <w:t>des</w:t>
      </w:r>
      <w:r w:rsidRPr="00C060D7">
        <w:rPr>
          <w:rFonts w:eastAsia="Times New Roman" w:cs="Times New Roman"/>
          <w:sz w:val="20"/>
          <w:szCs w:val="20"/>
          <w:lang w:val="fr-CA" w:eastAsia="en-CA"/>
        </w:rPr>
        <w:noBreakHyphen/>
        <w:t xml:space="preserve">vents (« RDV ») est la seule école primaire de langue française financée à même les fonds publics qui dessert les enfants résidant à l’ouest de la rue Main dans la ville de Vancouver. L’école est surpeuplée et le nombre d’inscriptions augmente. RDV est une petite école et les salles de classe sont beaucoup plus petites que celles des autres écoles. Certaines salles de classe sont dépourvues de fenêtres et seulement trois ont la superficie recommandée. La bibliothèque est très petite, les toilettes sont inadéquates et il n’y a aucun local adaptable dans l’école. Environ 85 pour cent des élèves qui fréquentent RDV se rendent à l’école en autobus et le trajet en autobus de plus des deux tiers de ces élèves dure plus de 30 minutes. À l’opposé, les écoles de langue anglaise situées dans la zone desservie par RDV sont plus grandes, disposent de salles de classe plus grandes et de terrains de jeu plus vastes et en meilleur état ainsi que de bibliothèques plus spacieuses. La plupart des élèves des écoles de langue anglaise du secteur habitent à moins d’un kilomètre de leur école. </w:t>
      </w:r>
    </w:p>
    <w:p w:rsidR="00C060D7" w:rsidRPr="00C060D7" w:rsidRDefault="00C060D7" w:rsidP="00D33091">
      <w:pPr>
        <w:jc w:val="both"/>
        <w:rPr>
          <w:rFonts w:eastAsia="Times New Roman" w:cs="Times New Roman"/>
          <w:sz w:val="20"/>
          <w:szCs w:val="20"/>
          <w:lang w:val="fr-CA" w:eastAsia="en-CA"/>
        </w:rPr>
      </w:pPr>
    </w:p>
    <w:p w:rsidR="00C060D7" w:rsidRDefault="00C060D7" w:rsidP="00D33091">
      <w:pPr>
        <w:jc w:val="both"/>
        <w:rPr>
          <w:rFonts w:eastAsia="Times New Roman" w:cs="Times New Roman"/>
          <w:sz w:val="20"/>
          <w:szCs w:val="20"/>
          <w:lang w:val="fr-CA" w:eastAsia="en-CA"/>
        </w:rPr>
      </w:pPr>
      <w:r w:rsidRPr="00C060D7">
        <w:rPr>
          <w:rFonts w:eastAsia="Times New Roman" w:cs="Times New Roman"/>
          <w:sz w:val="20"/>
          <w:szCs w:val="20"/>
          <w:lang w:val="fr-CA" w:eastAsia="en-CA"/>
        </w:rPr>
        <w:tab/>
        <w:t xml:space="preserve">En 2010, les parents d’enfants qui fréquentent RDV ont poursuivi le conseil scolaire et le gouvernement provincial et ont sollicité un jugement déclarant que les services d’enseignement offerts à leurs enfants n’étaient pas équivalents à ceux dispensés par les écoles de langue anglaise du secteur et que les droits à l’instruction dans la langue de la minorité que leur confère l’art. 23 de la </w:t>
      </w:r>
      <w:r w:rsidRPr="00C060D7">
        <w:rPr>
          <w:rFonts w:eastAsia="Times New Roman" w:cs="Times New Roman"/>
          <w:i/>
          <w:sz w:val="20"/>
          <w:szCs w:val="20"/>
          <w:lang w:val="fr-CA" w:eastAsia="en-CA"/>
        </w:rPr>
        <w:t>Charte</w:t>
      </w:r>
      <w:r w:rsidRPr="00C060D7">
        <w:rPr>
          <w:rFonts w:eastAsia="Times New Roman" w:cs="Times New Roman"/>
          <w:sz w:val="20"/>
          <w:szCs w:val="20"/>
          <w:lang w:val="fr-CA" w:eastAsia="en-CA"/>
        </w:rPr>
        <w:t xml:space="preserve"> avaient été violés. Ils ont demandé la division de l’instance en étapes pour pouvoir obtenir un jugement déclaratoire tout en réservant l’attribution d’une responsabilité pour les lacunes alléguées à une étape ultérieure, au besoin. Ils espéraient que le prononcé d’un jugement déclaratoire soit suffisant pour obtenir une réponse favorable du gouvernement.</w:t>
      </w:r>
    </w:p>
    <w:p w:rsidR="00C060D7" w:rsidRPr="00C060D7" w:rsidRDefault="00C060D7" w:rsidP="00D33091">
      <w:pPr>
        <w:jc w:val="both"/>
        <w:rPr>
          <w:rFonts w:eastAsia="Times New Roman" w:cs="Times New Roman"/>
          <w:sz w:val="20"/>
          <w:szCs w:val="20"/>
          <w:lang w:val="fr-CA" w:eastAsia="en-CA"/>
        </w:rPr>
      </w:pPr>
    </w:p>
    <w:p w:rsidR="00C060D7" w:rsidRPr="00C060D7" w:rsidRDefault="00C060D7" w:rsidP="00D33091">
      <w:pPr>
        <w:jc w:val="both"/>
        <w:rPr>
          <w:rFonts w:eastAsia="Times New Roman" w:cs="Times New Roman"/>
          <w:sz w:val="20"/>
          <w:szCs w:val="20"/>
          <w:lang w:val="fr-CA" w:eastAsia="en-CA"/>
        </w:rPr>
      </w:pPr>
      <w:r w:rsidRPr="00C060D7">
        <w:rPr>
          <w:rFonts w:eastAsia="Times New Roman" w:cs="Times New Roman"/>
          <w:sz w:val="20"/>
          <w:szCs w:val="20"/>
          <w:lang w:val="fr-CA" w:eastAsia="en-CA"/>
        </w:rPr>
        <w:tab/>
        <w:t xml:space="preserve">Le juge saisi de la requête a fait droit à la demande de division de l’instance en étapes, choisissant de décider d’abord uniquement si les enfants des titulaires de droits bénéficiaient d’un enseignement et d’installations équivalents à ceux des écoles de la majorité linguistique, comme le garantit l’art. 23 de la </w:t>
      </w:r>
      <w:r w:rsidRPr="00C060D7">
        <w:rPr>
          <w:rFonts w:eastAsia="Times New Roman" w:cs="Times New Roman"/>
          <w:i/>
          <w:sz w:val="20"/>
          <w:szCs w:val="20"/>
          <w:lang w:val="fr-CA" w:eastAsia="en-CA"/>
        </w:rPr>
        <w:t>Charte</w:t>
      </w:r>
      <w:r w:rsidRPr="00C060D7">
        <w:rPr>
          <w:rFonts w:eastAsia="Times New Roman" w:cs="Times New Roman"/>
          <w:sz w:val="20"/>
          <w:szCs w:val="20"/>
          <w:lang w:val="fr-CA" w:eastAsia="en-CA"/>
        </w:rPr>
        <w:t xml:space="preserve">. Avant de passer à cette première étape de l’instance, le juge a radié certains passages des actes de procédure de la province au motif qu’ils n’étaient pas pertinents quant à cette étape. Au terme de la première étape de l’instance, le juge a prononcé un jugement déclaratoire portant que les parents n’avaient pas accès à des établissements d’enseignement dans la langue de la minorité comme leur garantit l’art. 23 de la </w:t>
      </w:r>
      <w:r w:rsidRPr="00C060D7">
        <w:rPr>
          <w:rFonts w:eastAsia="Times New Roman" w:cs="Times New Roman"/>
          <w:i/>
          <w:iCs/>
          <w:sz w:val="20"/>
          <w:szCs w:val="20"/>
          <w:lang w:val="fr-CA" w:eastAsia="en-CA"/>
        </w:rPr>
        <w:t>Charte</w:t>
      </w:r>
      <w:r w:rsidRPr="00C060D7">
        <w:rPr>
          <w:rFonts w:eastAsia="Times New Roman" w:cs="Times New Roman"/>
          <w:iCs/>
          <w:sz w:val="20"/>
          <w:szCs w:val="20"/>
          <w:lang w:val="fr-CA" w:eastAsia="en-CA"/>
        </w:rPr>
        <w:t xml:space="preserve">. Il n’a imputé aucune responsabilité pour ce manquement à la norme constitutionnelle. </w:t>
      </w:r>
      <w:r w:rsidRPr="00C060D7">
        <w:rPr>
          <w:rFonts w:eastAsia="Times New Roman" w:cs="Times New Roman"/>
          <w:sz w:val="20"/>
          <w:szCs w:val="20"/>
          <w:lang w:val="fr-CA" w:eastAsia="en-CA"/>
        </w:rPr>
        <w:t xml:space="preserve">La Cour d’appel a accueilli l’appel de la province. Elle a annulé l’ordonnance radiant certains passages des actes de procédure de la province ainsi que le jugement déclaratoire. </w:t>
      </w:r>
    </w:p>
    <w:p w:rsidR="00C060D7" w:rsidRDefault="00C060D7" w:rsidP="00D33091">
      <w:pPr>
        <w:jc w:val="both"/>
        <w:rPr>
          <w:rFonts w:eastAsia="Times New Roman" w:cs="Times New Roman"/>
          <w:sz w:val="20"/>
          <w:szCs w:val="20"/>
          <w:lang w:val="fr-CA" w:eastAsia="en-CA"/>
        </w:rPr>
      </w:pPr>
      <w:r w:rsidRPr="00C060D7">
        <w:rPr>
          <w:rFonts w:eastAsia="Times New Roman" w:cs="Times New Roman"/>
          <w:i/>
          <w:iCs/>
          <w:sz w:val="20"/>
          <w:szCs w:val="20"/>
          <w:lang w:val="fr-CA" w:eastAsia="en-CA"/>
        </w:rPr>
        <w:lastRenderedPageBreak/>
        <w:tab/>
        <w:t>Arrêt </w:t>
      </w:r>
      <w:r w:rsidRPr="00C060D7">
        <w:rPr>
          <w:rFonts w:eastAsia="Times New Roman" w:cs="Times New Roman"/>
          <w:iCs/>
          <w:sz w:val="20"/>
          <w:szCs w:val="20"/>
          <w:lang w:val="fr-CA" w:eastAsia="en-CA"/>
        </w:rPr>
        <w:t>:</w:t>
      </w:r>
      <w:r w:rsidRPr="00C060D7">
        <w:rPr>
          <w:rFonts w:eastAsia="Times New Roman" w:cs="Times New Roman"/>
          <w:i/>
          <w:sz w:val="20"/>
          <w:szCs w:val="20"/>
          <w:lang w:val="fr-CA" w:eastAsia="en-CA"/>
        </w:rPr>
        <w:t xml:space="preserve"> </w:t>
      </w:r>
      <w:r w:rsidRPr="00C060D7">
        <w:rPr>
          <w:rFonts w:eastAsia="Times New Roman" w:cs="Times New Roman"/>
          <w:sz w:val="20"/>
          <w:szCs w:val="20"/>
          <w:lang w:val="fr-CA" w:eastAsia="en-CA"/>
        </w:rPr>
        <w:t>Le pourvoi est accueilli et le jugement déclaratoire du juge saisi de la requête est rétabli. Les dépens spéciaux accordés par le juge saisi de la requête sont rétablis. L’affaire est renvoyée à la Cour suprême de la Colombie</w:t>
      </w:r>
      <w:r w:rsidRPr="00C060D7">
        <w:rPr>
          <w:rFonts w:eastAsia="Times New Roman" w:cs="Times New Roman"/>
          <w:sz w:val="20"/>
          <w:szCs w:val="20"/>
          <w:lang w:val="fr-CA" w:eastAsia="en-CA"/>
        </w:rPr>
        <w:noBreakHyphen/>
        <w:t>Britannique pour la prochaine étape de l’instance si cela s’avère nécessaire. Des dépens spéciaux sont octroyés aux appelants pour les procédures d’appel.</w:t>
      </w:r>
    </w:p>
    <w:p w:rsidR="00C060D7" w:rsidRPr="00C060D7" w:rsidRDefault="00C060D7" w:rsidP="00D33091">
      <w:pPr>
        <w:jc w:val="both"/>
        <w:rPr>
          <w:rFonts w:eastAsia="Times New Roman" w:cs="Times New Roman"/>
          <w:sz w:val="20"/>
          <w:szCs w:val="20"/>
          <w:lang w:val="fr-CA" w:eastAsia="en-CA"/>
        </w:rPr>
      </w:pPr>
    </w:p>
    <w:p w:rsidR="00C060D7" w:rsidRDefault="00C060D7" w:rsidP="00D33091">
      <w:pPr>
        <w:jc w:val="both"/>
        <w:rPr>
          <w:rFonts w:eastAsia="Times New Roman" w:cs="Times New Roman"/>
          <w:sz w:val="20"/>
          <w:szCs w:val="20"/>
          <w:lang w:val="fr-CA" w:eastAsia="en-CA"/>
        </w:rPr>
      </w:pPr>
      <w:r w:rsidRPr="00C060D7">
        <w:rPr>
          <w:rFonts w:eastAsia="Times New Roman" w:cs="Times New Roman"/>
          <w:sz w:val="20"/>
          <w:szCs w:val="20"/>
          <w:lang w:val="fr-CA" w:eastAsia="en-CA"/>
        </w:rPr>
        <w:tab/>
        <w:t xml:space="preserve">L’article 23 de la </w:t>
      </w:r>
      <w:r w:rsidRPr="00C060D7">
        <w:rPr>
          <w:rFonts w:eastAsia="Times New Roman" w:cs="Times New Roman"/>
          <w:i/>
          <w:sz w:val="20"/>
          <w:szCs w:val="20"/>
          <w:lang w:val="fr-CA" w:eastAsia="en-CA"/>
        </w:rPr>
        <w:t>Charte</w:t>
      </w:r>
      <w:r w:rsidRPr="00C060D7">
        <w:rPr>
          <w:rFonts w:eastAsia="Times New Roman" w:cs="Times New Roman"/>
          <w:sz w:val="20"/>
          <w:szCs w:val="20"/>
          <w:lang w:val="fr-CA" w:eastAsia="en-CA"/>
        </w:rPr>
        <w:t xml:space="preserve"> garantit une « échelle variable » de droits à l’instruction dans la langue de la minorité. À la limite supérieure de l’échelle variable, les titulaires de droits doivent bénéficier d’établissements d’enseignement complets, distincts de ceux offerts à la majorité linguistique, mais de qualité équivalente. Pour donner effet aux droits garantis par l’art. 23, l’accent devrait être mis sur l’équivalence réelle plutôt que sur les coûts par personne et les autres indicateurs d’équivalence formelle. Ce qui est primordial, c’est que l’expérience éducative des enfants de titulaires des droits garantis par l’art. 23 à la limite supérieure de l’échelle variable soit de qualité réellement semblable à l’expérience éducative des élèves de la majorité linguistique. </w:t>
      </w:r>
    </w:p>
    <w:p w:rsidR="00C060D7" w:rsidRPr="00C060D7" w:rsidRDefault="00C060D7" w:rsidP="00D33091">
      <w:pPr>
        <w:jc w:val="both"/>
        <w:rPr>
          <w:rFonts w:eastAsia="Times New Roman" w:cs="Times New Roman"/>
          <w:sz w:val="20"/>
          <w:szCs w:val="20"/>
          <w:lang w:val="fr-CA" w:eastAsia="en-CA"/>
        </w:rPr>
      </w:pPr>
    </w:p>
    <w:p w:rsidR="00C060D7" w:rsidRDefault="00C060D7" w:rsidP="00D33091">
      <w:pPr>
        <w:jc w:val="both"/>
        <w:rPr>
          <w:rFonts w:eastAsia="Times New Roman" w:cs="Times New Roman"/>
          <w:sz w:val="20"/>
          <w:szCs w:val="20"/>
          <w:lang w:val="fr-CA" w:eastAsia="en-CA"/>
        </w:rPr>
      </w:pPr>
      <w:r w:rsidRPr="00C060D7">
        <w:rPr>
          <w:rFonts w:eastAsia="Times New Roman" w:cs="Times New Roman"/>
          <w:sz w:val="20"/>
          <w:szCs w:val="20"/>
          <w:lang w:val="fr-CA" w:eastAsia="en-CA"/>
        </w:rPr>
        <w:tab/>
        <w:t xml:space="preserve">Dans l’évaluation de l’équivalence réelle, la méthode téléologique exige du tribunal qu’il tienne compte des choix offerts en matière d’éducation du point de vue des titulaires des droits garantis à l’art. 23. Le groupe de comparaison qui conviendra généralement à cette évaluation sera constitué des écoles avoisinantes de la majorité linguistique qui représentent une solution de rechange réaliste pour les titulaires de droits. La question à examiner est de savoir si des parents raisonnables qui détiennent ces droits seraient dissuadés d’envoyer leurs enfants dans une école de la minorité linguistique parce que l’école est véritablement inférieure à une école de la majorité linguistique où ils peuvent les inscrire. Dans l’affirmative, l’objet réparateur de l’art. 23 est menacé. Si l’expérience éducative, prise globalement, est suffisamment supérieure dans les écoles de la majorité linguistique, ce fait pourrait affaiblir la volonté des parents de faire instruire leurs enfants dans la langue de la minorité, ce qui, du coup, risque d’entraîner l’assimilation. </w:t>
      </w:r>
    </w:p>
    <w:p w:rsidR="00C060D7" w:rsidRPr="00C060D7" w:rsidRDefault="00C060D7" w:rsidP="00D33091">
      <w:pPr>
        <w:jc w:val="both"/>
        <w:rPr>
          <w:rFonts w:eastAsia="Times New Roman" w:cs="Times New Roman"/>
          <w:sz w:val="20"/>
          <w:szCs w:val="20"/>
          <w:lang w:val="fr-CA" w:eastAsia="en-CA"/>
        </w:rPr>
      </w:pPr>
    </w:p>
    <w:p w:rsidR="00C060D7" w:rsidRDefault="00C060D7" w:rsidP="00D33091">
      <w:pPr>
        <w:jc w:val="both"/>
        <w:rPr>
          <w:rFonts w:eastAsia="Times New Roman" w:cs="Times New Roman"/>
          <w:sz w:val="20"/>
          <w:szCs w:val="20"/>
          <w:lang w:val="fr-CA" w:eastAsia="en-CA"/>
        </w:rPr>
      </w:pPr>
      <w:r w:rsidRPr="00C060D7">
        <w:rPr>
          <w:rFonts w:eastAsia="Times New Roman" w:cs="Times New Roman"/>
          <w:sz w:val="20"/>
          <w:szCs w:val="20"/>
          <w:lang w:val="fr-CA" w:eastAsia="en-CA"/>
        </w:rPr>
        <w:tab/>
        <w:t>Dans l’exercice de comparaison, il faut être conscient des divers facteurs dont les parents raisonnables tiennent compte pour évaluer l’équivalence. La comparaison est de nature contextuelle et holistique, tenant compte non seulement des installations matérielles, mais aussi d’autres facteurs comme la qualité de l’instruction, les résultats scolaires, les activités parascolaires et le temps de déplacement. Une telle approche s’apparente à la façon dont les parents prennent des décisions relatives à l’instruction de leurs enfants. La mesure dans laquelle un facteur donné constitue une question en litige dans l’appréciation de l’équivalence est fonction des circonstances de l’affaire. On examine ensemble les facteurs pertinents pour décider si, globalement, l’expérience éducative est inférieure au point de pouvoir dissuader les titulaires de droits d’inscrire leurs enfants dans une école de la minorité linguistique. Si, dans l’ensemble, l’expérience est équivalente, les exigences de l’art. 23 sont respectées.</w:t>
      </w:r>
    </w:p>
    <w:p w:rsidR="00C060D7" w:rsidRPr="00C060D7" w:rsidRDefault="00C060D7" w:rsidP="00D33091">
      <w:pPr>
        <w:jc w:val="both"/>
        <w:rPr>
          <w:rFonts w:eastAsia="Times New Roman" w:cs="Times New Roman"/>
          <w:sz w:val="20"/>
          <w:szCs w:val="20"/>
          <w:lang w:val="fr-CA" w:eastAsia="en-CA"/>
        </w:rPr>
      </w:pPr>
    </w:p>
    <w:p w:rsidR="00C060D7" w:rsidRDefault="00C060D7" w:rsidP="00D33091">
      <w:pPr>
        <w:jc w:val="both"/>
        <w:rPr>
          <w:rFonts w:eastAsia="Times New Roman" w:cs="Times New Roman"/>
          <w:sz w:val="20"/>
          <w:szCs w:val="20"/>
          <w:lang w:val="fr-CA" w:eastAsia="en-CA"/>
        </w:rPr>
      </w:pPr>
      <w:r w:rsidRPr="00C060D7">
        <w:rPr>
          <w:rFonts w:eastAsia="Times New Roman" w:cs="Times New Roman"/>
          <w:sz w:val="20"/>
          <w:szCs w:val="20"/>
          <w:lang w:val="fr-CA" w:eastAsia="en-CA"/>
        </w:rPr>
        <w:tab/>
        <w:t xml:space="preserve">On tient compte des coûts et des considérations pratiques pour établir le niveau de services d’enseignement dont doit bénéficier un groupe de titulaires de droits selon l’échelle variable. Ce serait compromettre cette analyse que d’examiner de nouveau les coûts et les considérations pratiques, après que le niveau approprié de services d’enseignement eut déjà été fixé. Par conséquent, il n’est pas opportun pour les gouvernements provinciaux ou territoriaux de soulever des questions liées aux considérations pratiques ou aux coûts dans le cadre de l’analyse de l’équivalence. Les coûts et les considérations pratiques peuvent toutefois s’avérer pertinents lorsqu’on tente de justifier une violation de l’art. 23 ou de concevoir une réparation convenable et juste par suite d’une violation. </w:t>
      </w:r>
    </w:p>
    <w:p w:rsidR="00C060D7" w:rsidRPr="00C060D7" w:rsidRDefault="00C060D7" w:rsidP="00D33091">
      <w:pPr>
        <w:jc w:val="both"/>
        <w:rPr>
          <w:rFonts w:eastAsia="Times New Roman" w:cs="Times New Roman"/>
          <w:sz w:val="20"/>
          <w:szCs w:val="20"/>
          <w:lang w:val="fr-CA" w:eastAsia="en-CA"/>
        </w:rPr>
      </w:pPr>
    </w:p>
    <w:p w:rsidR="00C060D7" w:rsidRDefault="00C060D7" w:rsidP="00D33091">
      <w:pPr>
        <w:jc w:val="both"/>
        <w:rPr>
          <w:rFonts w:eastAsia="Times New Roman" w:cs="Times New Roman"/>
          <w:sz w:val="20"/>
          <w:szCs w:val="20"/>
          <w:lang w:val="fr-CA" w:eastAsia="en-CA"/>
        </w:rPr>
      </w:pPr>
      <w:r w:rsidRPr="00C060D7">
        <w:rPr>
          <w:rFonts w:eastAsia="Times New Roman" w:cs="Times New Roman"/>
          <w:sz w:val="20"/>
          <w:szCs w:val="20"/>
          <w:lang w:val="fr-CA" w:eastAsia="en-CA"/>
        </w:rPr>
        <w:tab/>
        <w:t>En l’espèce, le juge saisi de la requête a appliqué le bon critère pour évaluer l’équivalence. Il a évalué les facteurs pertinents de façon exhaustive et holistique et a comparé RDV aux écoles de langue anglaise du secteur concerné de Vancouver. Au moment d’établir l’équivalence réelle globale, il a conclu que les programmes offerts à RDV n’étaient pas de qualité suffisante pour pallier le caractère inadéquat de ses installations, la surpopulation et les longs déplacements. Selon lui, l’écart entre les écoles de la minorité linguistique et celles de la majorité était tel qu’il avait pour effet de limiter l’inscription et de contribuer à l’assimilation. Il n’y a aucune erreur de principe dans l’analyse du juge saisi de la requête.</w:t>
      </w:r>
    </w:p>
    <w:p w:rsidR="00C060D7" w:rsidRPr="00C060D7" w:rsidRDefault="00C060D7" w:rsidP="00D33091">
      <w:pPr>
        <w:jc w:val="both"/>
        <w:rPr>
          <w:rFonts w:eastAsia="Times New Roman" w:cs="Times New Roman"/>
          <w:sz w:val="20"/>
          <w:szCs w:val="20"/>
          <w:lang w:val="fr-CA" w:eastAsia="en-CA"/>
        </w:rPr>
      </w:pPr>
    </w:p>
    <w:p w:rsidR="00C060D7" w:rsidRDefault="00C060D7" w:rsidP="00D33091">
      <w:pPr>
        <w:jc w:val="both"/>
        <w:rPr>
          <w:rFonts w:eastAsia="Times New Roman" w:cs="Times New Roman"/>
          <w:sz w:val="20"/>
          <w:szCs w:val="20"/>
          <w:lang w:val="fr-CA" w:eastAsia="en-CA"/>
        </w:rPr>
      </w:pPr>
      <w:r w:rsidRPr="00C060D7">
        <w:rPr>
          <w:rFonts w:eastAsia="Times New Roman" w:cs="Times New Roman"/>
          <w:sz w:val="20"/>
          <w:szCs w:val="20"/>
          <w:lang w:val="fr-CA" w:eastAsia="en-CA"/>
        </w:rPr>
        <w:tab/>
        <w:t xml:space="preserve">Le jugement déclaratoire du juge saisi de la requête équivaut à une déclaration portant qu’il y a, à première vue, violation de l’art. 23, sous réserve de l’établissement futur de la responsabilité, d’une justification de la violation (s’il y a lieu) et d’une réparation concrète. Si les enfants de titulaires des droits garantis par l’art. 23 ont droit à une expérience éducative équivalente à celle des enfants de la majorité, il n’y a aucune différence entre une conclusion d’absence d’équivalence et une conclusion selon laquelle les titulaires de droits n’ont pas reçu les services auxquels ils </w:t>
      </w:r>
      <w:r w:rsidRPr="00C060D7">
        <w:rPr>
          <w:rFonts w:eastAsia="Times New Roman" w:cs="Times New Roman"/>
          <w:sz w:val="20"/>
          <w:szCs w:val="20"/>
          <w:lang w:val="fr-CA" w:eastAsia="en-CA"/>
        </w:rPr>
        <w:lastRenderedPageBreak/>
        <w:t xml:space="preserve">ont droit en vertu de l’art. 23. Cependant, puisqu’aucune responsabilité n’a encore été attribuée pour cette violation ― et qu’il demeure possible que la ou les parties responsables tentent de la justifier ― on ne peut affirmer que le jugement déclaratoire rendu par le juge constitue une conclusion complète selon laquelle il y a eu violation de la </w:t>
      </w:r>
      <w:r w:rsidRPr="00C060D7">
        <w:rPr>
          <w:rFonts w:eastAsia="Times New Roman" w:cs="Times New Roman"/>
          <w:i/>
          <w:sz w:val="20"/>
          <w:szCs w:val="20"/>
          <w:lang w:val="fr-CA" w:eastAsia="en-CA"/>
        </w:rPr>
        <w:t>Charte</w:t>
      </w:r>
      <w:r w:rsidRPr="00C060D7">
        <w:rPr>
          <w:rFonts w:eastAsia="Times New Roman" w:cs="Times New Roman"/>
          <w:sz w:val="20"/>
          <w:szCs w:val="20"/>
          <w:lang w:val="fr-CA" w:eastAsia="en-CA"/>
        </w:rPr>
        <w:t xml:space="preserve">. </w:t>
      </w:r>
    </w:p>
    <w:p w:rsidR="00C060D7" w:rsidRPr="00C060D7" w:rsidRDefault="00C060D7" w:rsidP="00D33091">
      <w:pPr>
        <w:jc w:val="both"/>
        <w:rPr>
          <w:rFonts w:eastAsia="Times New Roman" w:cs="Times New Roman"/>
          <w:sz w:val="20"/>
          <w:szCs w:val="20"/>
          <w:lang w:val="fr-CA" w:eastAsia="en-CA"/>
        </w:rPr>
      </w:pPr>
    </w:p>
    <w:p w:rsidR="00C060D7" w:rsidRDefault="00C060D7" w:rsidP="00D33091">
      <w:pPr>
        <w:jc w:val="both"/>
        <w:rPr>
          <w:rFonts w:eastAsia="Times New Roman" w:cs="Times New Roman"/>
          <w:sz w:val="20"/>
          <w:szCs w:val="20"/>
          <w:lang w:val="fr-CA" w:eastAsia="en-CA"/>
        </w:rPr>
      </w:pPr>
      <w:r w:rsidRPr="00C060D7">
        <w:rPr>
          <w:rFonts w:eastAsia="Times New Roman" w:cs="Times New Roman"/>
          <w:sz w:val="20"/>
          <w:szCs w:val="20"/>
          <w:lang w:val="fr-CA" w:eastAsia="en-CA"/>
        </w:rPr>
        <w:tab/>
        <w:t xml:space="preserve">Dans une instance qui a été officiellement divisée en étapes afin de distinguer la question de l’équivalence réelle des autres éléments de l’analyse fondée sur l’art. 23, la preuve qui ne permet pas de répondre à cette question n’est habituellement pas pertinente. Si on envisage la chose sous cet angle, le juge saisi de la requête pouvait radier les passages des actes de procédure de la province car ils n’étaient pas pertinents pour l’analyse de l’équivalence réelle. </w:t>
      </w:r>
    </w:p>
    <w:p w:rsidR="00C060D7" w:rsidRPr="00C060D7" w:rsidRDefault="00C060D7" w:rsidP="00D33091">
      <w:pPr>
        <w:jc w:val="both"/>
        <w:rPr>
          <w:rFonts w:eastAsia="Times New Roman" w:cs="Times New Roman"/>
          <w:sz w:val="20"/>
          <w:szCs w:val="20"/>
          <w:lang w:val="fr-CA" w:eastAsia="en-CA"/>
        </w:rPr>
      </w:pPr>
    </w:p>
    <w:p w:rsidR="00C060D7" w:rsidRDefault="00C060D7" w:rsidP="00D33091">
      <w:pPr>
        <w:jc w:val="both"/>
        <w:rPr>
          <w:rFonts w:eastAsia="Times New Roman" w:cs="Times New Roman"/>
          <w:sz w:val="20"/>
          <w:szCs w:val="20"/>
          <w:lang w:val="fr-CA" w:eastAsia="en-CA"/>
        </w:rPr>
      </w:pPr>
      <w:r w:rsidRPr="00C060D7">
        <w:rPr>
          <w:rFonts w:eastAsia="Times New Roman" w:cs="Times New Roman"/>
          <w:sz w:val="20"/>
          <w:szCs w:val="20"/>
          <w:lang w:val="fr-CA" w:eastAsia="en-CA"/>
        </w:rPr>
        <w:tab/>
        <w:t>POURVOI contre des arrêts de la Cour d’appel de la Colombie</w:t>
      </w:r>
      <w:r w:rsidRPr="00C060D7">
        <w:rPr>
          <w:rFonts w:eastAsia="Times New Roman" w:cs="Times New Roman"/>
          <w:sz w:val="20"/>
          <w:szCs w:val="20"/>
          <w:lang w:val="fr-CA" w:eastAsia="en-CA"/>
        </w:rPr>
        <w:noBreakHyphen/>
        <w:t xml:space="preserve">Britannique (les juges Saunders, Bennett et Hinkson), 2013 BCCA 407, 49 B.C.L.R. (5th) 246, 342 B.C.A.C. 251, 585 W.A.C. 251, 367 D.L.R. (4th) 387, 291 C.R.R. (2d) 106, 44 C.P.C. (7th) 122, [2014] 1 W.W.R. 1, [2013] B.C.J. No. 2057 (QL), 2013 CarswellBC 2799 (WL Can.); et 2014 BCCA 40, 54 B.C.L.R. (5th) 79, 350 B.C.A.C. 142, [2014] 4 W.W.R. 528, 58 C.P.C. (7th) 230, [2014] B.C.J. No. 155 (QL), 2014 CarswellBC 225 (WL Can.), qui ont infirmé des décisions du juge Willcock, 2011 BCSC 1495, 21 C.P.C. (7th) 111, [2011] B.C.J. No. 2096 (QL), 2011 CarswellBC 3303 (WL Can.); 2012 BCSC 1614, 39 B.C.L.R. (5th) 144, 270 C.R.R. (2d) 220, [2013] 2 W.W.R. 528, [2012] B.C.J. No. 2247 (QL), 2012 CarswellBC 3373 (WL Can.); et 2013 BCSC 1111, 49 B.C.L.R. (5th) 189, [2013] 10 W.W.R. 602, 40 C.P.C. (7th) 274, 61 Admin. </w:t>
      </w:r>
      <w:r w:rsidRPr="00C060D7">
        <w:rPr>
          <w:rFonts w:eastAsia="Times New Roman" w:cs="Times New Roman"/>
          <w:sz w:val="20"/>
          <w:szCs w:val="20"/>
          <w:lang w:eastAsia="en-CA"/>
        </w:rPr>
        <w:t xml:space="preserve">L.R. (5th) 310, [2013] B.C.J. No. 1352 (QL), 2013 CarswellBC 1871 (WL Can.). </w:t>
      </w:r>
      <w:r w:rsidRPr="00C060D7">
        <w:rPr>
          <w:rFonts w:eastAsia="Times New Roman" w:cs="Times New Roman"/>
          <w:sz w:val="20"/>
          <w:szCs w:val="20"/>
          <w:lang w:val="fr-CA" w:eastAsia="en-CA"/>
        </w:rPr>
        <w:t>Pourvoi accueilli.</w:t>
      </w:r>
    </w:p>
    <w:p w:rsidR="00C060D7" w:rsidRPr="00C060D7" w:rsidRDefault="00C060D7" w:rsidP="00D33091">
      <w:pPr>
        <w:jc w:val="both"/>
        <w:rPr>
          <w:rFonts w:eastAsia="Times New Roman" w:cs="Times New Roman"/>
          <w:sz w:val="20"/>
          <w:szCs w:val="20"/>
          <w:lang w:val="fr-CA" w:eastAsia="en-CA"/>
        </w:rPr>
      </w:pPr>
    </w:p>
    <w:p w:rsidR="00C060D7" w:rsidRDefault="00C060D7" w:rsidP="00D33091">
      <w:pPr>
        <w:jc w:val="both"/>
        <w:rPr>
          <w:rFonts w:eastAsia="Times New Roman" w:cs="Times New Roman"/>
          <w:sz w:val="20"/>
          <w:szCs w:val="20"/>
          <w:lang w:val="fr-CA" w:eastAsia="en-CA"/>
        </w:rPr>
      </w:pPr>
      <w:r w:rsidRPr="00C060D7">
        <w:rPr>
          <w:rFonts w:eastAsia="Times New Roman" w:cs="Times New Roman"/>
          <w:i/>
          <w:sz w:val="20"/>
          <w:szCs w:val="20"/>
          <w:lang w:val="fr-CA" w:eastAsia="en-CA"/>
        </w:rPr>
        <w:tab/>
        <w:t xml:space="preserve">Nicolas M. Rouleau </w:t>
      </w:r>
      <w:r w:rsidRPr="00C060D7">
        <w:rPr>
          <w:rFonts w:eastAsia="Times New Roman" w:cs="Times New Roman"/>
          <w:sz w:val="20"/>
          <w:szCs w:val="20"/>
          <w:lang w:val="fr-CA" w:eastAsia="en-CA"/>
        </w:rPr>
        <w:t xml:space="preserve">et </w:t>
      </w:r>
      <w:r w:rsidRPr="00C060D7">
        <w:rPr>
          <w:rFonts w:eastAsia="Times New Roman" w:cs="Times New Roman"/>
          <w:i/>
          <w:sz w:val="20"/>
          <w:szCs w:val="20"/>
          <w:lang w:val="fr-CA" w:eastAsia="en-CA"/>
        </w:rPr>
        <w:t>Joseph Pagé</w:t>
      </w:r>
      <w:r w:rsidRPr="00C060D7">
        <w:rPr>
          <w:rFonts w:eastAsia="Times New Roman" w:cs="Times New Roman"/>
          <w:sz w:val="20"/>
          <w:szCs w:val="20"/>
          <w:lang w:val="fr-CA" w:eastAsia="en-CA"/>
        </w:rPr>
        <w:t>, pour les appelants l’Association des parents de l’école Rose</w:t>
      </w:r>
      <w:r w:rsidRPr="00C060D7">
        <w:rPr>
          <w:rFonts w:eastAsia="Times New Roman" w:cs="Times New Roman"/>
          <w:sz w:val="20"/>
          <w:szCs w:val="20"/>
          <w:lang w:val="fr-CA" w:eastAsia="en-CA"/>
        </w:rPr>
        <w:noBreakHyphen/>
        <w:t>des</w:t>
      </w:r>
      <w:r w:rsidRPr="00C060D7">
        <w:rPr>
          <w:rFonts w:eastAsia="Times New Roman" w:cs="Times New Roman"/>
          <w:sz w:val="20"/>
          <w:szCs w:val="20"/>
          <w:lang w:val="fr-CA" w:eastAsia="en-CA"/>
        </w:rPr>
        <w:noBreakHyphen/>
        <w:t xml:space="preserve">vents et autres. </w:t>
      </w:r>
    </w:p>
    <w:p w:rsidR="00C060D7" w:rsidRPr="00C060D7" w:rsidRDefault="00C060D7" w:rsidP="00D33091">
      <w:pPr>
        <w:jc w:val="both"/>
        <w:rPr>
          <w:rFonts w:eastAsia="Times New Roman" w:cs="Times New Roman"/>
          <w:sz w:val="20"/>
          <w:szCs w:val="20"/>
          <w:lang w:val="fr-CA" w:eastAsia="en-CA"/>
        </w:rPr>
      </w:pPr>
    </w:p>
    <w:p w:rsidR="00C060D7" w:rsidRDefault="00C060D7" w:rsidP="00D33091">
      <w:pPr>
        <w:jc w:val="both"/>
        <w:rPr>
          <w:rFonts w:eastAsia="Times New Roman" w:cs="Times New Roman"/>
          <w:sz w:val="20"/>
          <w:szCs w:val="20"/>
          <w:lang w:val="fr-CA" w:eastAsia="en-CA"/>
        </w:rPr>
      </w:pPr>
      <w:r w:rsidRPr="00C060D7">
        <w:rPr>
          <w:rFonts w:eastAsia="Times New Roman" w:cs="Times New Roman"/>
          <w:i/>
          <w:sz w:val="20"/>
          <w:szCs w:val="20"/>
          <w:lang w:val="fr-CA" w:eastAsia="en-CA"/>
        </w:rPr>
        <w:tab/>
        <w:t>Robert W. Grant</w:t>
      </w:r>
      <w:r w:rsidRPr="00C060D7">
        <w:rPr>
          <w:rFonts w:eastAsia="Times New Roman" w:cs="Times New Roman"/>
          <w:sz w:val="20"/>
          <w:szCs w:val="20"/>
          <w:lang w:val="fr-CA" w:eastAsia="en-CA"/>
        </w:rPr>
        <w:t>,</w:t>
      </w:r>
      <w:r w:rsidRPr="00C060D7">
        <w:rPr>
          <w:rFonts w:eastAsia="Times New Roman" w:cs="Times New Roman"/>
          <w:i/>
          <w:sz w:val="20"/>
          <w:szCs w:val="20"/>
          <w:lang w:val="fr-CA" w:eastAsia="en-CA"/>
        </w:rPr>
        <w:t xml:space="preserve"> c.r.</w:t>
      </w:r>
      <w:r w:rsidRPr="00C060D7">
        <w:rPr>
          <w:rFonts w:eastAsia="Times New Roman" w:cs="Times New Roman"/>
          <w:sz w:val="20"/>
          <w:szCs w:val="20"/>
          <w:lang w:val="fr-CA" w:eastAsia="en-CA"/>
        </w:rPr>
        <w:t>,</w:t>
      </w:r>
      <w:r w:rsidRPr="00C060D7">
        <w:rPr>
          <w:rFonts w:eastAsia="Times New Roman" w:cs="Times New Roman"/>
          <w:i/>
          <w:sz w:val="20"/>
          <w:szCs w:val="20"/>
          <w:lang w:val="fr-CA" w:eastAsia="en-CA"/>
        </w:rPr>
        <w:t xml:space="preserve"> Jean</w:t>
      </w:r>
      <w:r w:rsidRPr="00C060D7">
        <w:rPr>
          <w:rFonts w:eastAsia="Times New Roman" w:cs="Times New Roman"/>
          <w:i/>
          <w:sz w:val="20"/>
          <w:szCs w:val="20"/>
          <w:lang w:val="fr-CA" w:eastAsia="en-CA"/>
        </w:rPr>
        <w:noBreakHyphen/>
        <w:t>Pierre Hachey</w:t>
      </w:r>
      <w:r w:rsidRPr="00C060D7">
        <w:rPr>
          <w:rFonts w:eastAsia="Times New Roman" w:cs="Times New Roman"/>
          <w:sz w:val="20"/>
          <w:szCs w:val="20"/>
          <w:lang w:val="fr-CA" w:eastAsia="en-CA"/>
        </w:rPr>
        <w:t>,</w:t>
      </w:r>
      <w:r w:rsidRPr="00C060D7">
        <w:rPr>
          <w:rFonts w:eastAsia="Times New Roman" w:cs="Times New Roman"/>
          <w:i/>
          <w:sz w:val="20"/>
          <w:szCs w:val="20"/>
          <w:lang w:val="fr-CA" w:eastAsia="en-CA"/>
        </w:rPr>
        <w:t xml:space="preserve"> Mark C. Power</w:t>
      </w:r>
      <w:r w:rsidRPr="00C060D7">
        <w:rPr>
          <w:rFonts w:eastAsia="Times New Roman" w:cs="Times New Roman"/>
          <w:sz w:val="20"/>
          <w:szCs w:val="20"/>
          <w:lang w:val="fr-CA" w:eastAsia="en-CA"/>
        </w:rPr>
        <w:t xml:space="preserve"> et </w:t>
      </w:r>
      <w:r w:rsidRPr="00C060D7">
        <w:rPr>
          <w:rFonts w:eastAsia="Times New Roman" w:cs="Times New Roman"/>
          <w:i/>
          <w:sz w:val="20"/>
          <w:szCs w:val="20"/>
          <w:lang w:val="fr-CA" w:eastAsia="en-CA"/>
        </w:rPr>
        <w:t>David P. Taylor</w:t>
      </w:r>
      <w:r w:rsidRPr="00C060D7">
        <w:rPr>
          <w:rFonts w:eastAsia="Times New Roman" w:cs="Times New Roman"/>
          <w:sz w:val="20"/>
          <w:szCs w:val="20"/>
          <w:lang w:val="fr-CA" w:eastAsia="en-CA"/>
        </w:rPr>
        <w:t>, pour l’appelant le Conseil scolaire francophone de la Colombie</w:t>
      </w:r>
      <w:r w:rsidRPr="00C060D7">
        <w:rPr>
          <w:rFonts w:eastAsia="Times New Roman" w:cs="Times New Roman"/>
          <w:sz w:val="20"/>
          <w:szCs w:val="20"/>
          <w:lang w:val="fr-CA" w:eastAsia="en-CA"/>
        </w:rPr>
        <w:noBreakHyphen/>
        <w:t>Britannique.</w:t>
      </w:r>
    </w:p>
    <w:p w:rsidR="00C060D7" w:rsidRPr="00C060D7" w:rsidRDefault="00C060D7" w:rsidP="00D33091">
      <w:pPr>
        <w:jc w:val="both"/>
        <w:rPr>
          <w:rFonts w:eastAsia="Times New Roman" w:cs="Times New Roman"/>
          <w:sz w:val="20"/>
          <w:szCs w:val="20"/>
          <w:lang w:val="fr-CA" w:eastAsia="en-CA"/>
        </w:rPr>
      </w:pPr>
    </w:p>
    <w:p w:rsidR="00C060D7" w:rsidRDefault="00C060D7" w:rsidP="00D33091">
      <w:pPr>
        <w:jc w:val="both"/>
        <w:rPr>
          <w:rFonts w:eastAsia="Times New Roman" w:cs="Times New Roman"/>
          <w:sz w:val="20"/>
          <w:szCs w:val="20"/>
          <w:lang w:val="fr-CA" w:eastAsia="en-CA"/>
        </w:rPr>
      </w:pPr>
      <w:r w:rsidRPr="00C060D7">
        <w:rPr>
          <w:rFonts w:eastAsia="Times New Roman" w:cs="Times New Roman"/>
          <w:i/>
          <w:sz w:val="20"/>
          <w:szCs w:val="20"/>
          <w:lang w:val="fr-CA" w:eastAsia="en-CA"/>
        </w:rPr>
        <w:tab/>
        <w:t>Leonard T. Doust</w:t>
      </w:r>
      <w:r w:rsidRPr="00C060D7">
        <w:rPr>
          <w:rFonts w:eastAsia="Times New Roman" w:cs="Times New Roman"/>
          <w:sz w:val="20"/>
          <w:szCs w:val="20"/>
          <w:lang w:val="fr-CA" w:eastAsia="en-CA"/>
        </w:rPr>
        <w:t>,</w:t>
      </w:r>
      <w:r w:rsidRPr="00C060D7">
        <w:rPr>
          <w:rFonts w:eastAsia="Times New Roman" w:cs="Times New Roman"/>
          <w:i/>
          <w:sz w:val="20"/>
          <w:szCs w:val="20"/>
          <w:lang w:val="fr-CA" w:eastAsia="en-CA"/>
        </w:rPr>
        <w:t xml:space="preserve"> c.r.</w:t>
      </w:r>
      <w:r w:rsidRPr="00C060D7">
        <w:rPr>
          <w:rFonts w:eastAsia="Times New Roman" w:cs="Times New Roman"/>
          <w:sz w:val="20"/>
          <w:szCs w:val="20"/>
          <w:lang w:val="fr-CA" w:eastAsia="en-CA"/>
        </w:rPr>
        <w:t xml:space="preserve">, </w:t>
      </w:r>
      <w:r w:rsidRPr="00C060D7">
        <w:rPr>
          <w:rFonts w:eastAsia="Times New Roman" w:cs="Times New Roman"/>
          <w:i/>
          <w:sz w:val="20"/>
          <w:szCs w:val="20"/>
          <w:lang w:val="fr-CA" w:eastAsia="en-CA"/>
        </w:rPr>
        <w:t>Karrie Wolfe</w:t>
      </w:r>
      <w:r w:rsidRPr="00C060D7">
        <w:rPr>
          <w:rFonts w:eastAsia="Times New Roman" w:cs="Times New Roman"/>
          <w:sz w:val="20"/>
          <w:szCs w:val="20"/>
          <w:lang w:val="fr-CA" w:eastAsia="en-CA"/>
        </w:rPr>
        <w:t xml:space="preserve"> et </w:t>
      </w:r>
      <w:r w:rsidRPr="00C060D7">
        <w:rPr>
          <w:rFonts w:eastAsia="Times New Roman" w:cs="Times New Roman"/>
          <w:i/>
          <w:sz w:val="20"/>
          <w:szCs w:val="20"/>
          <w:lang w:val="fr-CA" w:eastAsia="en-CA"/>
        </w:rPr>
        <w:t>Warren B. Milman</w:t>
      </w:r>
      <w:r w:rsidRPr="00C060D7">
        <w:rPr>
          <w:rFonts w:eastAsia="Times New Roman" w:cs="Times New Roman"/>
          <w:sz w:val="20"/>
          <w:szCs w:val="20"/>
          <w:lang w:val="fr-CA" w:eastAsia="en-CA"/>
        </w:rPr>
        <w:t>, pour les intimés.</w:t>
      </w:r>
    </w:p>
    <w:p w:rsidR="00C060D7" w:rsidRPr="00C060D7" w:rsidRDefault="00C060D7" w:rsidP="00D33091">
      <w:pPr>
        <w:jc w:val="both"/>
        <w:rPr>
          <w:rFonts w:eastAsia="Times New Roman" w:cs="Times New Roman"/>
          <w:sz w:val="20"/>
          <w:szCs w:val="20"/>
          <w:lang w:val="fr-CA" w:eastAsia="en-CA"/>
        </w:rPr>
      </w:pPr>
    </w:p>
    <w:p w:rsidR="00C060D7" w:rsidRDefault="00C060D7" w:rsidP="00D33091">
      <w:pPr>
        <w:jc w:val="both"/>
        <w:rPr>
          <w:rFonts w:eastAsia="Times New Roman" w:cs="Times New Roman"/>
          <w:sz w:val="20"/>
          <w:szCs w:val="20"/>
          <w:lang w:val="fr-CA" w:eastAsia="en-CA"/>
        </w:rPr>
      </w:pPr>
      <w:r w:rsidRPr="00C060D7">
        <w:rPr>
          <w:rFonts w:eastAsia="Times New Roman" w:cs="Times New Roman"/>
          <w:i/>
          <w:sz w:val="20"/>
          <w:szCs w:val="20"/>
          <w:lang w:val="fr-CA" w:eastAsia="en-CA"/>
        </w:rPr>
        <w:tab/>
        <w:t>Alan F. Jacobson</w:t>
      </w:r>
      <w:r w:rsidRPr="00C060D7">
        <w:rPr>
          <w:rFonts w:eastAsia="Times New Roman" w:cs="Times New Roman"/>
          <w:sz w:val="20"/>
          <w:szCs w:val="20"/>
          <w:lang w:val="fr-CA" w:eastAsia="en-CA"/>
        </w:rPr>
        <w:t xml:space="preserve"> et </w:t>
      </w:r>
      <w:r w:rsidRPr="00C060D7">
        <w:rPr>
          <w:rFonts w:eastAsia="Times New Roman" w:cs="Times New Roman"/>
          <w:i/>
          <w:sz w:val="20"/>
          <w:szCs w:val="20"/>
          <w:lang w:val="fr-CA" w:eastAsia="en-CA"/>
        </w:rPr>
        <w:t>Barbara C. Mysko</w:t>
      </w:r>
      <w:r w:rsidRPr="00C060D7">
        <w:rPr>
          <w:rFonts w:eastAsia="Times New Roman" w:cs="Times New Roman"/>
          <w:sz w:val="20"/>
          <w:szCs w:val="20"/>
          <w:lang w:val="fr-CA" w:eastAsia="en-CA"/>
        </w:rPr>
        <w:t>, pour l’intervenant le procureur général de la Saskatchewan.</w:t>
      </w:r>
    </w:p>
    <w:p w:rsidR="00C060D7" w:rsidRPr="00C060D7" w:rsidRDefault="00C060D7" w:rsidP="00D33091">
      <w:pPr>
        <w:jc w:val="both"/>
        <w:rPr>
          <w:rFonts w:eastAsia="Times New Roman" w:cs="Times New Roman"/>
          <w:sz w:val="20"/>
          <w:szCs w:val="20"/>
          <w:lang w:val="fr-CA" w:eastAsia="en-CA"/>
        </w:rPr>
      </w:pPr>
    </w:p>
    <w:p w:rsidR="00C060D7" w:rsidRDefault="00C060D7" w:rsidP="00D33091">
      <w:pPr>
        <w:jc w:val="both"/>
        <w:rPr>
          <w:rFonts w:eastAsia="Times New Roman" w:cs="Times New Roman"/>
          <w:sz w:val="20"/>
          <w:szCs w:val="20"/>
          <w:lang w:val="fr-CA" w:eastAsia="en-CA"/>
        </w:rPr>
      </w:pPr>
      <w:r w:rsidRPr="00C060D7">
        <w:rPr>
          <w:rFonts w:eastAsia="Times New Roman" w:cs="Times New Roman"/>
          <w:i/>
          <w:sz w:val="20"/>
          <w:szCs w:val="20"/>
          <w:lang w:val="fr-CA" w:eastAsia="en-CA"/>
        </w:rPr>
        <w:tab/>
        <w:t>Randy Steele</w:t>
      </w:r>
      <w:r w:rsidRPr="00C060D7">
        <w:rPr>
          <w:rFonts w:eastAsia="Times New Roman" w:cs="Times New Roman"/>
          <w:sz w:val="20"/>
          <w:szCs w:val="20"/>
          <w:lang w:val="fr-CA" w:eastAsia="en-CA"/>
        </w:rPr>
        <w:t>, pour l’intervenant le procureur général de l’Alberta.</w:t>
      </w:r>
    </w:p>
    <w:p w:rsidR="00C060D7" w:rsidRPr="00C060D7" w:rsidRDefault="00C060D7" w:rsidP="00D33091">
      <w:pPr>
        <w:jc w:val="both"/>
        <w:rPr>
          <w:rFonts w:eastAsia="Times New Roman" w:cs="Times New Roman"/>
          <w:sz w:val="20"/>
          <w:szCs w:val="20"/>
          <w:lang w:val="fr-CA" w:eastAsia="en-CA"/>
        </w:rPr>
      </w:pPr>
    </w:p>
    <w:p w:rsidR="00C060D7" w:rsidRDefault="00C060D7" w:rsidP="00D33091">
      <w:pPr>
        <w:jc w:val="both"/>
        <w:rPr>
          <w:rFonts w:eastAsia="Times New Roman" w:cs="Times New Roman"/>
          <w:sz w:val="20"/>
          <w:szCs w:val="20"/>
          <w:lang w:val="fr-CA" w:eastAsia="en-CA"/>
        </w:rPr>
      </w:pPr>
      <w:r w:rsidRPr="00C060D7">
        <w:rPr>
          <w:rFonts w:eastAsia="Times New Roman" w:cs="Times New Roman"/>
          <w:i/>
          <w:sz w:val="20"/>
          <w:szCs w:val="20"/>
          <w:lang w:val="fr-CA" w:eastAsia="en-CA"/>
        </w:rPr>
        <w:tab/>
        <w:t>François Baril</w:t>
      </w:r>
      <w:r w:rsidRPr="00C060D7">
        <w:rPr>
          <w:rFonts w:eastAsia="Times New Roman" w:cs="Times New Roman"/>
          <w:sz w:val="20"/>
          <w:szCs w:val="20"/>
          <w:lang w:val="fr-CA" w:eastAsia="en-CA"/>
        </w:rPr>
        <w:t>, pour l’intervenant le procureur général des Territoires du Nord</w:t>
      </w:r>
      <w:r w:rsidRPr="00C060D7">
        <w:rPr>
          <w:rFonts w:eastAsia="Times New Roman" w:cs="Times New Roman"/>
          <w:sz w:val="20"/>
          <w:szCs w:val="20"/>
          <w:lang w:val="fr-CA" w:eastAsia="en-CA"/>
        </w:rPr>
        <w:noBreakHyphen/>
        <w:t>Ouest.</w:t>
      </w:r>
    </w:p>
    <w:p w:rsidR="00C060D7" w:rsidRPr="00C060D7" w:rsidRDefault="00C060D7" w:rsidP="00D33091">
      <w:pPr>
        <w:jc w:val="both"/>
        <w:rPr>
          <w:rFonts w:eastAsia="Times New Roman" w:cs="Times New Roman"/>
          <w:sz w:val="20"/>
          <w:szCs w:val="20"/>
          <w:lang w:val="fr-CA" w:eastAsia="en-CA"/>
        </w:rPr>
      </w:pPr>
    </w:p>
    <w:p w:rsidR="00C060D7" w:rsidRDefault="00C060D7" w:rsidP="00D33091">
      <w:pPr>
        <w:jc w:val="both"/>
        <w:rPr>
          <w:rFonts w:eastAsia="Times New Roman" w:cs="Times New Roman"/>
          <w:sz w:val="20"/>
          <w:szCs w:val="20"/>
          <w:lang w:val="fr-CA" w:eastAsia="en-CA"/>
        </w:rPr>
      </w:pPr>
      <w:r w:rsidRPr="00C060D7">
        <w:rPr>
          <w:rFonts w:eastAsia="Times New Roman" w:cs="Times New Roman"/>
          <w:i/>
          <w:sz w:val="20"/>
          <w:szCs w:val="20"/>
          <w:lang w:val="fr-CA" w:eastAsia="en-CA"/>
        </w:rPr>
        <w:tab/>
        <w:t>Maxime Faille</w:t>
      </w:r>
      <w:r w:rsidRPr="00C060D7">
        <w:rPr>
          <w:rFonts w:eastAsia="Times New Roman" w:cs="Times New Roman"/>
          <w:sz w:val="20"/>
          <w:szCs w:val="20"/>
          <w:lang w:val="fr-CA" w:eastAsia="en-CA"/>
        </w:rPr>
        <w:t xml:space="preserve">, </w:t>
      </w:r>
      <w:r w:rsidRPr="00C060D7">
        <w:rPr>
          <w:rFonts w:eastAsia="Times New Roman" w:cs="Times New Roman"/>
          <w:i/>
          <w:sz w:val="20"/>
          <w:szCs w:val="20"/>
          <w:lang w:val="fr-CA" w:eastAsia="en-CA"/>
        </w:rPr>
        <w:t>Guy Régimbald</w:t>
      </w:r>
      <w:r w:rsidRPr="00C060D7">
        <w:rPr>
          <w:rFonts w:eastAsia="Times New Roman" w:cs="Times New Roman"/>
          <w:sz w:val="20"/>
          <w:szCs w:val="20"/>
          <w:lang w:val="fr-CA" w:eastAsia="en-CA"/>
        </w:rPr>
        <w:t xml:space="preserve"> et </w:t>
      </w:r>
      <w:r w:rsidRPr="00C060D7">
        <w:rPr>
          <w:rFonts w:eastAsia="Times New Roman" w:cs="Times New Roman"/>
          <w:i/>
          <w:sz w:val="20"/>
          <w:szCs w:val="20"/>
          <w:lang w:val="fr-CA" w:eastAsia="en-CA"/>
        </w:rPr>
        <w:t>Pippa Lawson</w:t>
      </w:r>
      <w:r w:rsidRPr="00C060D7">
        <w:rPr>
          <w:rFonts w:eastAsia="Times New Roman" w:cs="Times New Roman"/>
          <w:sz w:val="20"/>
          <w:szCs w:val="20"/>
          <w:lang w:val="fr-CA" w:eastAsia="en-CA"/>
        </w:rPr>
        <w:t>, pour l’intervenant le procureur général du Territoire du Yukon.</w:t>
      </w:r>
    </w:p>
    <w:p w:rsidR="00C060D7" w:rsidRPr="00C060D7" w:rsidRDefault="00C060D7" w:rsidP="00D33091">
      <w:pPr>
        <w:jc w:val="both"/>
        <w:rPr>
          <w:rFonts w:eastAsia="Times New Roman" w:cs="Times New Roman"/>
          <w:sz w:val="20"/>
          <w:szCs w:val="20"/>
          <w:lang w:val="fr-CA" w:eastAsia="en-CA"/>
        </w:rPr>
      </w:pPr>
    </w:p>
    <w:p w:rsidR="00C060D7" w:rsidRDefault="00C060D7" w:rsidP="00D33091">
      <w:pPr>
        <w:jc w:val="both"/>
        <w:rPr>
          <w:rFonts w:eastAsia="Times New Roman" w:cs="Times New Roman"/>
          <w:sz w:val="20"/>
          <w:szCs w:val="20"/>
          <w:lang w:val="fr-CA" w:eastAsia="en-CA"/>
        </w:rPr>
      </w:pPr>
      <w:r w:rsidRPr="00C060D7">
        <w:rPr>
          <w:rFonts w:eastAsia="Times New Roman" w:cs="Times New Roman"/>
          <w:i/>
          <w:sz w:val="20"/>
          <w:szCs w:val="20"/>
          <w:lang w:val="fr-CA" w:eastAsia="en-CA"/>
        </w:rPr>
        <w:tab/>
        <w:t>Christine Ruest Norrena</w:t>
      </w:r>
      <w:r w:rsidRPr="00C060D7">
        <w:rPr>
          <w:rFonts w:eastAsia="Times New Roman" w:cs="Times New Roman"/>
          <w:sz w:val="20"/>
          <w:szCs w:val="20"/>
          <w:lang w:val="fr-CA" w:eastAsia="en-CA"/>
        </w:rPr>
        <w:t xml:space="preserve"> et </w:t>
      </w:r>
      <w:r w:rsidRPr="00C060D7">
        <w:rPr>
          <w:rFonts w:eastAsia="Times New Roman" w:cs="Times New Roman"/>
          <w:i/>
          <w:sz w:val="20"/>
          <w:szCs w:val="20"/>
          <w:lang w:val="fr-CA" w:eastAsia="en-CA"/>
        </w:rPr>
        <w:t>Isabelle Bousquet</w:t>
      </w:r>
      <w:r w:rsidRPr="00C060D7">
        <w:rPr>
          <w:rFonts w:eastAsia="Times New Roman" w:cs="Times New Roman"/>
          <w:sz w:val="20"/>
          <w:szCs w:val="20"/>
          <w:lang w:val="fr-CA" w:eastAsia="en-CA"/>
        </w:rPr>
        <w:t>, pour l’intervenant le commissaire aux langues officielles du Canada.</w:t>
      </w:r>
    </w:p>
    <w:p w:rsidR="00C060D7" w:rsidRPr="00C060D7" w:rsidRDefault="00C060D7" w:rsidP="00D33091">
      <w:pPr>
        <w:jc w:val="both"/>
        <w:rPr>
          <w:rFonts w:eastAsia="Times New Roman" w:cs="Times New Roman"/>
          <w:sz w:val="20"/>
          <w:szCs w:val="20"/>
          <w:lang w:val="fr-CA" w:eastAsia="en-CA"/>
        </w:rPr>
      </w:pPr>
    </w:p>
    <w:p w:rsidR="00C060D7" w:rsidRDefault="00C060D7" w:rsidP="00D33091">
      <w:pPr>
        <w:jc w:val="both"/>
        <w:rPr>
          <w:rFonts w:eastAsia="Times New Roman" w:cs="Times New Roman"/>
          <w:sz w:val="20"/>
          <w:szCs w:val="20"/>
          <w:lang w:val="fr-CA" w:eastAsia="en-CA"/>
        </w:rPr>
      </w:pPr>
      <w:r w:rsidRPr="00C060D7">
        <w:rPr>
          <w:rFonts w:eastAsia="Times New Roman" w:cs="Times New Roman"/>
          <w:i/>
          <w:sz w:val="20"/>
          <w:szCs w:val="20"/>
          <w:lang w:val="fr-CA" w:eastAsia="en-CA"/>
        </w:rPr>
        <w:tab/>
        <w:t>Roger J. F. Lepage</w:t>
      </w:r>
      <w:r w:rsidRPr="00C060D7">
        <w:rPr>
          <w:rFonts w:eastAsia="Times New Roman" w:cs="Times New Roman"/>
          <w:sz w:val="20"/>
          <w:szCs w:val="20"/>
          <w:lang w:val="fr-CA" w:eastAsia="en-CA"/>
        </w:rPr>
        <w:t xml:space="preserve"> et </w:t>
      </w:r>
      <w:r w:rsidRPr="00C060D7">
        <w:rPr>
          <w:rFonts w:eastAsia="Times New Roman" w:cs="Times New Roman"/>
          <w:i/>
          <w:sz w:val="20"/>
          <w:szCs w:val="20"/>
          <w:lang w:val="fr-CA" w:eastAsia="en-CA"/>
        </w:rPr>
        <w:t>Francis P. Poulin</w:t>
      </w:r>
      <w:r w:rsidRPr="00C060D7">
        <w:rPr>
          <w:rFonts w:eastAsia="Times New Roman" w:cs="Times New Roman"/>
          <w:sz w:val="20"/>
          <w:szCs w:val="20"/>
          <w:lang w:val="fr-CA" w:eastAsia="en-CA"/>
        </w:rPr>
        <w:t>, pour les intervenants la Commission scolaire francophone, Territoires du Nord</w:t>
      </w:r>
      <w:r w:rsidRPr="00C060D7">
        <w:rPr>
          <w:rFonts w:eastAsia="Times New Roman" w:cs="Times New Roman"/>
          <w:sz w:val="20"/>
          <w:szCs w:val="20"/>
          <w:lang w:val="fr-CA" w:eastAsia="en-CA"/>
        </w:rPr>
        <w:noBreakHyphen/>
        <w:t>Ouest, la Fédération nationale des conseils scolaires francophones, le Conseil des écoles fransaskoises et la Commission scolaire francophone du Yukon.</w:t>
      </w:r>
    </w:p>
    <w:p w:rsidR="00C060D7" w:rsidRPr="00C060D7" w:rsidRDefault="00C060D7" w:rsidP="00D33091">
      <w:pPr>
        <w:jc w:val="both"/>
        <w:rPr>
          <w:rFonts w:eastAsia="Times New Roman" w:cs="Times New Roman"/>
          <w:sz w:val="20"/>
          <w:szCs w:val="20"/>
          <w:lang w:val="fr-CA" w:eastAsia="en-CA"/>
        </w:rPr>
      </w:pPr>
    </w:p>
    <w:p w:rsidR="00C060D7" w:rsidRDefault="00C060D7" w:rsidP="00D33091">
      <w:pPr>
        <w:jc w:val="both"/>
        <w:rPr>
          <w:rFonts w:eastAsia="Times New Roman" w:cs="Times New Roman"/>
          <w:i/>
          <w:sz w:val="20"/>
          <w:szCs w:val="20"/>
          <w:lang w:val="fr-CA" w:eastAsia="en-CA"/>
        </w:rPr>
      </w:pPr>
      <w:r w:rsidRPr="00C060D7">
        <w:rPr>
          <w:rFonts w:eastAsia="Times New Roman" w:cs="Times New Roman"/>
          <w:i/>
          <w:sz w:val="20"/>
          <w:szCs w:val="20"/>
          <w:lang w:val="fr-CA" w:eastAsia="en-CA"/>
        </w:rPr>
        <w:tab/>
        <w:t>Procureurs des appelants l’Association des parents de l’école Rose</w:t>
      </w:r>
      <w:r w:rsidRPr="00C060D7">
        <w:rPr>
          <w:rFonts w:eastAsia="Times New Roman" w:cs="Times New Roman"/>
          <w:i/>
          <w:sz w:val="20"/>
          <w:szCs w:val="20"/>
          <w:lang w:val="fr-CA" w:eastAsia="en-CA"/>
        </w:rPr>
        <w:noBreakHyphen/>
        <w:t>des</w:t>
      </w:r>
      <w:r w:rsidRPr="00C060D7">
        <w:rPr>
          <w:rFonts w:eastAsia="Times New Roman" w:cs="Times New Roman"/>
          <w:i/>
          <w:sz w:val="20"/>
          <w:szCs w:val="20"/>
          <w:lang w:val="fr-CA" w:eastAsia="en-CA"/>
        </w:rPr>
        <w:noBreakHyphen/>
        <w:t>vents et autres : Nicolas M. Rouleau, société professionnelle, Toronto; Joseph Pagé, Vacouver.</w:t>
      </w:r>
    </w:p>
    <w:p w:rsidR="00C060D7" w:rsidRPr="00C060D7" w:rsidRDefault="00C060D7" w:rsidP="00D33091">
      <w:pPr>
        <w:jc w:val="both"/>
        <w:rPr>
          <w:rFonts w:eastAsia="Times New Roman" w:cs="Times New Roman"/>
          <w:i/>
          <w:sz w:val="20"/>
          <w:szCs w:val="20"/>
          <w:lang w:val="fr-CA" w:eastAsia="en-CA"/>
        </w:rPr>
      </w:pPr>
    </w:p>
    <w:p w:rsidR="00C060D7" w:rsidRDefault="00C060D7" w:rsidP="00D33091">
      <w:pPr>
        <w:jc w:val="both"/>
        <w:rPr>
          <w:rFonts w:eastAsia="Times New Roman" w:cs="Times New Roman"/>
          <w:i/>
          <w:sz w:val="20"/>
          <w:szCs w:val="20"/>
          <w:lang w:val="fr-CA" w:eastAsia="en-CA"/>
        </w:rPr>
      </w:pPr>
      <w:r w:rsidRPr="00C060D7">
        <w:rPr>
          <w:rFonts w:eastAsia="Times New Roman" w:cs="Times New Roman"/>
          <w:i/>
          <w:sz w:val="20"/>
          <w:szCs w:val="20"/>
          <w:lang w:val="fr-CA" w:eastAsia="en-CA"/>
        </w:rPr>
        <w:tab/>
        <w:t>Procureurs de l’appelant le Conseil scolaire francophone de la Colombie</w:t>
      </w:r>
      <w:r w:rsidRPr="00C060D7">
        <w:rPr>
          <w:rFonts w:eastAsia="Times New Roman" w:cs="Times New Roman"/>
          <w:i/>
          <w:sz w:val="20"/>
          <w:szCs w:val="20"/>
          <w:lang w:val="fr-CA" w:eastAsia="en-CA"/>
        </w:rPr>
        <w:noBreakHyphen/>
        <w:t>Britannique : Gall, Legge, Grant &amp; Munroe, Vancouver; Juristes Power, Ottawa.</w:t>
      </w:r>
    </w:p>
    <w:p w:rsidR="00C060D7" w:rsidRPr="00C060D7" w:rsidRDefault="00C060D7" w:rsidP="00D33091">
      <w:pPr>
        <w:jc w:val="both"/>
        <w:rPr>
          <w:rFonts w:eastAsia="Times New Roman" w:cs="Times New Roman"/>
          <w:i/>
          <w:sz w:val="20"/>
          <w:szCs w:val="20"/>
          <w:lang w:val="fr-CA" w:eastAsia="en-CA"/>
        </w:rPr>
      </w:pPr>
    </w:p>
    <w:p w:rsidR="00C060D7" w:rsidRDefault="00C060D7" w:rsidP="00D33091">
      <w:pPr>
        <w:jc w:val="both"/>
        <w:rPr>
          <w:rFonts w:eastAsia="Times New Roman" w:cs="Times New Roman"/>
          <w:i/>
          <w:sz w:val="20"/>
          <w:szCs w:val="20"/>
          <w:lang w:val="fr-CA" w:eastAsia="en-CA"/>
        </w:rPr>
      </w:pPr>
      <w:r w:rsidRPr="00C060D7">
        <w:rPr>
          <w:rFonts w:eastAsia="Times New Roman" w:cs="Times New Roman"/>
          <w:i/>
          <w:sz w:val="20"/>
          <w:szCs w:val="20"/>
          <w:lang w:val="fr-CA" w:eastAsia="en-CA"/>
        </w:rPr>
        <w:tab/>
        <w:t>Procureurs des intimés : Procureur général de la Colombie</w:t>
      </w:r>
      <w:r w:rsidRPr="00C060D7">
        <w:rPr>
          <w:rFonts w:eastAsia="Times New Roman" w:cs="Times New Roman"/>
          <w:i/>
          <w:sz w:val="20"/>
          <w:szCs w:val="20"/>
          <w:lang w:val="fr-CA" w:eastAsia="en-CA"/>
        </w:rPr>
        <w:noBreakHyphen/>
        <w:t>Britannique, Victoria; McCarthy Tétrault, Vancouver.</w:t>
      </w:r>
    </w:p>
    <w:p w:rsidR="00C060D7" w:rsidRPr="00C060D7" w:rsidRDefault="00C060D7" w:rsidP="00D33091">
      <w:pPr>
        <w:jc w:val="both"/>
        <w:rPr>
          <w:rFonts w:eastAsia="Times New Roman" w:cs="Times New Roman"/>
          <w:i/>
          <w:sz w:val="20"/>
          <w:szCs w:val="20"/>
          <w:lang w:val="fr-CA" w:eastAsia="en-CA"/>
        </w:rPr>
      </w:pPr>
    </w:p>
    <w:p w:rsidR="00C060D7" w:rsidRDefault="00C060D7" w:rsidP="00D33091">
      <w:pPr>
        <w:jc w:val="both"/>
        <w:rPr>
          <w:rFonts w:eastAsia="Times New Roman" w:cs="Times New Roman"/>
          <w:i/>
          <w:sz w:val="20"/>
          <w:szCs w:val="20"/>
          <w:lang w:val="fr-CA" w:eastAsia="en-CA"/>
        </w:rPr>
      </w:pPr>
      <w:r w:rsidRPr="00C060D7">
        <w:rPr>
          <w:rFonts w:eastAsia="Times New Roman" w:cs="Times New Roman"/>
          <w:i/>
          <w:sz w:val="20"/>
          <w:szCs w:val="20"/>
          <w:lang w:val="fr-CA" w:eastAsia="en-CA"/>
        </w:rPr>
        <w:tab/>
        <w:t>Procureur de l’intervenant le procureur général de la Saskatchewan : Procureur général de la Saskatchewan, Regina.</w:t>
      </w:r>
    </w:p>
    <w:p w:rsidR="00C060D7" w:rsidRPr="00C060D7" w:rsidRDefault="00C060D7" w:rsidP="00D33091">
      <w:pPr>
        <w:jc w:val="both"/>
        <w:rPr>
          <w:rFonts w:eastAsia="Times New Roman" w:cs="Times New Roman"/>
          <w:i/>
          <w:sz w:val="20"/>
          <w:szCs w:val="20"/>
          <w:lang w:val="fr-CA" w:eastAsia="en-CA"/>
        </w:rPr>
      </w:pPr>
    </w:p>
    <w:p w:rsidR="00C060D7" w:rsidRDefault="00C060D7" w:rsidP="00D33091">
      <w:pPr>
        <w:jc w:val="both"/>
        <w:rPr>
          <w:rFonts w:eastAsia="Times New Roman" w:cs="Times New Roman"/>
          <w:i/>
          <w:sz w:val="20"/>
          <w:szCs w:val="20"/>
          <w:lang w:val="fr-CA" w:eastAsia="en-CA"/>
        </w:rPr>
      </w:pPr>
      <w:r w:rsidRPr="00C060D7">
        <w:rPr>
          <w:rFonts w:eastAsia="Times New Roman" w:cs="Times New Roman"/>
          <w:i/>
          <w:sz w:val="20"/>
          <w:szCs w:val="20"/>
          <w:lang w:val="fr-CA" w:eastAsia="en-CA"/>
        </w:rPr>
        <w:lastRenderedPageBreak/>
        <w:tab/>
        <w:t>Procureur de l’intervenant le procureur général de l’Alberta : Procureur général de l’Alberta, Edmonton.</w:t>
      </w:r>
    </w:p>
    <w:p w:rsidR="00C060D7" w:rsidRPr="00C060D7" w:rsidRDefault="00C060D7" w:rsidP="00D33091">
      <w:pPr>
        <w:jc w:val="both"/>
        <w:rPr>
          <w:rFonts w:eastAsia="Times New Roman" w:cs="Times New Roman"/>
          <w:i/>
          <w:sz w:val="20"/>
          <w:szCs w:val="20"/>
          <w:lang w:val="fr-CA" w:eastAsia="en-CA"/>
        </w:rPr>
      </w:pPr>
    </w:p>
    <w:p w:rsidR="00C060D7" w:rsidRDefault="00C060D7" w:rsidP="00D33091">
      <w:pPr>
        <w:jc w:val="both"/>
        <w:rPr>
          <w:rFonts w:eastAsia="Times New Roman" w:cs="Times New Roman"/>
          <w:i/>
          <w:sz w:val="20"/>
          <w:szCs w:val="20"/>
          <w:lang w:val="fr-CA" w:eastAsia="en-CA"/>
        </w:rPr>
      </w:pPr>
      <w:r w:rsidRPr="00C060D7">
        <w:rPr>
          <w:rFonts w:eastAsia="Times New Roman" w:cs="Times New Roman"/>
          <w:i/>
          <w:sz w:val="20"/>
          <w:szCs w:val="20"/>
          <w:lang w:val="fr-CA" w:eastAsia="en-CA"/>
        </w:rPr>
        <w:tab/>
        <w:t>Procureurs de l’intervenant le procureur général des Territoires du Nord</w:t>
      </w:r>
      <w:r w:rsidRPr="00C060D7">
        <w:rPr>
          <w:rFonts w:eastAsia="Times New Roman" w:cs="Times New Roman"/>
          <w:i/>
          <w:sz w:val="20"/>
          <w:szCs w:val="20"/>
          <w:lang w:val="fr-CA" w:eastAsia="en-CA"/>
        </w:rPr>
        <w:noBreakHyphen/>
        <w:t>Ouest : Gowling Lafleur Henderson, Ottawa.</w:t>
      </w:r>
    </w:p>
    <w:p w:rsidR="00C060D7" w:rsidRPr="00C060D7" w:rsidRDefault="00C060D7" w:rsidP="00D33091">
      <w:pPr>
        <w:jc w:val="both"/>
        <w:rPr>
          <w:rFonts w:eastAsia="Times New Roman" w:cs="Times New Roman"/>
          <w:i/>
          <w:sz w:val="20"/>
          <w:szCs w:val="20"/>
          <w:lang w:val="fr-CA" w:eastAsia="en-CA"/>
        </w:rPr>
      </w:pPr>
    </w:p>
    <w:p w:rsidR="00C060D7" w:rsidRDefault="00C060D7" w:rsidP="00D33091">
      <w:pPr>
        <w:jc w:val="both"/>
        <w:rPr>
          <w:rFonts w:eastAsia="Times New Roman" w:cs="Times New Roman"/>
          <w:i/>
          <w:sz w:val="20"/>
          <w:szCs w:val="20"/>
          <w:lang w:val="fr-CA" w:eastAsia="en-CA"/>
        </w:rPr>
      </w:pPr>
      <w:r w:rsidRPr="00C060D7">
        <w:rPr>
          <w:rFonts w:eastAsia="Times New Roman" w:cs="Times New Roman"/>
          <w:i/>
          <w:sz w:val="20"/>
          <w:szCs w:val="20"/>
          <w:lang w:val="fr-CA" w:eastAsia="en-CA"/>
        </w:rPr>
        <w:tab/>
        <w:t>Procureurs de l’intervenant le procureur général du Territoire du Yukon : Procureur général du Yukon, Whitehorse; Gowling Lafleur Henderson, Ottawa.</w:t>
      </w:r>
    </w:p>
    <w:p w:rsidR="00C060D7" w:rsidRPr="00C060D7" w:rsidRDefault="00C060D7" w:rsidP="00D33091">
      <w:pPr>
        <w:jc w:val="both"/>
        <w:rPr>
          <w:rFonts w:eastAsia="Times New Roman" w:cs="Times New Roman"/>
          <w:i/>
          <w:sz w:val="20"/>
          <w:szCs w:val="20"/>
          <w:lang w:val="fr-CA" w:eastAsia="en-CA"/>
        </w:rPr>
      </w:pPr>
    </w:p>
    <w:p w:rsidR="00C060D7" w:rsidRDefault="00C060D7" w:rsidP="00D33091">
      <w:pPr>
        <w:jc w:val="both"/>
        <w:rPr>
          <w:rFonts w:eastAsia="Times New Roman" w:cs="Times New Roman"/>
          <w:i/>
          <w:sz w:val="20"/>
          <w:szCs w:val="20"/>
          <w:lang w:val="fr-CA" w:eastAsia="en-CA"/>
        </w:rPr>
      </w:pPr>
      <w:r w:rsidRPr="00C060D7">
        <w:rPr>
          <w:rFonts w:eastAsia="Times New Roman" w:cs="Times New Roman"/>
          <w:i/>
          <w:sz w:val="20"/>
          <w:szCs w:val="20"/>
          <w:lang w:val="fr-CA" w:eastAsia="en-CA"/>
        </w:rPr>
        <w:tab/>
        <w:t>Procureur de l’intervenant le commissaire aux langues officielles du Canada : Commissariat aux langues officielles, Gatineau.</w:t>
      </w:r>
    </w:p>
    <w:p w:rsidR="00C060D7" w:rsidRPr="00C060D7" w:rsidRDefault="00C060D7" w:rsidP="00D33091">
      <w:pPr>
        <w:jc w:val="both"/>
        <w:rPr>
          <w:rFonts w:eastAsia="Times New Roman" w:cs="Times New Roman"/>
          <w:i/>
          <w:sz w:val="20"/>
          <w:szCs w:val="20"/>
          <w:lang w:val="fr-CA" w:eastAsia="en-CA"/>
        </w:rPr>
      </w:pPr>
    </w:p>
    <w:p w:rsidR="00C060D7" w:rsidRPr="00C060D7" w:rsidRDefault="00C060D7" w:rsidP="00D33091">
      <w:pPr>
        <w:jc w:val="both"/>
        <w:rPr>
          <w:rFonts w:eastAsia="Times New Roman" w:cs="Times New Roman"/>
          <w:i/>
          <w:sz w:val="20"/>
          <w:szCs w:val="20"/>
          <w:lang w:val="fr-CA" w:eastAsia="en-CA"/>
        </w:rPr>
      </w:pPr>
      <w:r w:rsidRPr="00C060D7">
        <w:rPr>
          <w:rFonts w:eastAsia="Times New Roman" w:cs="Times New Roman"/>
          <w:i/>
          <w:sz w:val="20"/>
          <w:szCs w:val="20"/>
          <w:lang w:val="fr-CA" w:eastAsia="en-CA"/>
        </w:rPr>
        <w:tab/>
        <w:t>Procureurs des intervenants la Commission scolaire francophone, Territoires du Nord</w:t>
      </w:r>
      <w:r w:rsidRPr="00C060D7">
        <w:rPr>
          <w:rFonts w:eastAsia="Times New Roman" w:cs="Times New Roman"/>
          <w:i/>
          <w:sz w:val="20"/>
          <w:szCs w:val="20"/>
          <w:lang w:val="fr-CA" w:eastAsia="en-CA"/>
        </w:rPr>
        <w:noBreakHyphen/>
        <w:t>Ouest, la Fédération nationale des conseils scolaires francophones, le Conseil des écoles fransaskoises et la Commission scolaire francophone du Yukon : Miller Thomson, Regina.</w:t>
      </w:r>
    </w:p>
    <w:p w:rsidR="0052229C" w:rsidRPr="00822540" w:rsidRDefault="0052229C" w:rsidP="0052229C">
      <w:pPr>
        <w:rPr>
          <w:rFonts w:cs="Times New Roman"/>
          <w:sz w:val="20"/>
          <w:szCs w:val="20"/>
        </w:rPr>
      </w:pPr>
      <w:r w:rsidRPr="00822540">
        <w:rPr>
          <w:rFonts w:cs="Times New Roman"/>
          <w:sz w:val="20"/>
          <w:szCs w:val="20"/>
        </w:rPr>
        <w:t>________________________</w:t>
      </w:r>
    </w:p>
    <w:p w:rsidR="0052229C" w:rsidRPr="00822540" w:rsidRDefault="0052229C" w:rsidP="0052229C">
      <w:pPr>
        <w:rPr>
          <w:rFonts w:cs="Times New Roman"/>
          <w:sz w:val="20"/>
          <w:szCs w:val="20"/>
        </w:rPr>
      </w:pPr>
    </w:p>
    <w:p w:rsidR="0052229C" w:rsidRDefault="0052229C" w:rsidP="0052229C">
      <w:pPr>
        <w:jc w:val="both"/>
        <w:rPr>
          <w:sz w:val="20"/>
          <w:szCs w:val="20"/>
        </w:rPr>
      </w:pPr>
      <w:r w:rsidRPr="005A1E5C">
        <w:rPr>
          <w:sz w:val="20"/>
          <w:szCs w:val="20"/>
        </w:rPr>
        <w:t xml:space="preserve">Present:  </w:t>
      </w:r>
      <w:r w:rsidR="00C060D7" w:rsidRPr="00C060D7">
        <w:rPr>
          <w:sz w:val="20"/>
          <w:szCs w:val="20"/>
        </w:rPr>
        <w:t>McLachlin C.J. and Abella, Rothstein, Moldaver, Karakatsanis, Wagner and Gascon JJ.</w:t>
      </w:r>
    </w:p>
    <w:p w:rsidR="00C060D7" w:rsidRPr="00E327E7" w:rsidRDefault="00C060D7" w:rsidP="00E327E7">
      <w:pPr>
        <w:jc w:val="both"/>
        <w:rPr>
          <w:sz w:val="20"/>
          <w:szCs w:val="20"/>
        </w:rPr>
      </w:pPr>
    </w:p>
    <w:p w:rsidR="00C060D7" w:rsidRDefault="00C060D7" w:rsidP="00E327E7">
      <w:pPr>
        <w:pStyle w:val="SCCNormalDoubleSpacing"/>
        <w:spacing w:line="240" w:lineRule="auto"/>
        <w:rPr>
          <w:i/>
          <w:sz w:val="20"/>
          <w:lang w:val="en-US"/>
        </w:rPr>
      </w:pPr>
      <w:r w:rsidRPr="00E327E7">
        <w:rPr>
          <w:sz w:val="20"/>
        </w:rPr>
        <w:tab/>
      </w:r>
      <w:r w:rsidRPr="00E327E7">
        <w:rPr>
          <w:i/>
          <w:sz w:val="20"/>
          <w:lang w:val="en-US"/>
        </w:rPr>
        <w:t>Constitutional law — Charter of Rights — Minority language educational rights — Substantive equality — Manner in which court should assess whether children of rights holders are provided with educational experience equivalent to that provided in schools of linguistic majority of province or territory — Are issues of costs and practicalities relevant to equivalence analysis — Whether a finding of lack of equivalence amounts to Charter breach — Whether it is necessary to determine responsibility as between province or territory and school board prior to finding prima facie breach of s. 23 of Canadian Charter of Rights and Freedoms.</w:t>
      </w:r>
    </w:p>
    <w:p w:rsidR="00E327E7" w:rsidRPr="00E327E7" w:rsidRDefault="00E327E7" w:rsidP="00E327E7">
      <w:pPr>
        <w:pStyle w:val="SCCNormalDoubleSpacing"/>
        <w:spacing w:line="240" w:lineRule="auto"/>
        <w:rPr>
          <w:i/>
          <w:sz w:val="20"/>
          <w:lang w:val="en-US"/>
        </w:rPr>
      </w:pPr>
    </w:p>
    <w:p w:rsidR="00E327E7" w:rsidRDefault="00C060D7" w:rsidP="00E327E7">
      <w:pPr>
        <w:pStyle w:val="SCCNormalDoubleSpacing"/>
        <w:spacing w:line="240" w:lineRule="auto"/>
        <w:rPr>
          <w:i/>
          <w:sz w:val="20"/>
          <w:lang w:val="en-US"/>
        </w:rPr>
      </w:pPr>
      <w:r w:rsidRPr="00E327E7">
        <w:rPr>
          <w:i/>
          <w:sz w:val="20"/>
          <w:lang w:val="en-US"/>
        </w:rPr>
        <w:tab/>
        <w:t xml:space="preserve">Constitutional law — Charter of Rights — Procedure — Hearing — Procedural fairness — Phasing of proceedings — Relevance of pleadings — Petition judge phasing proceedings, leaving determination of responsibility for Charter breach to later phase — Petition judge striking portions of province’s pleadings as irrelevant to first phase — Whether procedures adopted by petition judge procedurally unfair. </w:t>
      </w:r>
    </w:p>
    <w:p w:rsidR="00E327E7" w:rsidRDefault="00E327E7" w:rsidP="00E327E7">
      <w:pPr>
        <w:pStyle w:val="SCCNormalDoubleSpacing"/>
        <w:spacing w:line="240" w:lineRule="auto"/>
        <w:rPr>
          <w:i/>
          <w:sz w:val="20"/>
          <w:lang w:val="en-US"/>
        </w:rPr>
      </w:pPr>
    </w:p>
    <w:p w:rsidR="00C060D7" w:rsidRDefault="00C060D7" w:rsidP="00E327E7">
      <w:pPr>
        <w:pStyle w:val="SCCNormalDoubleSpacing"/>
        <w:spacing w:line="240" w:lineRule="auto"/>
        <w:rPr>
          <w:sz w:val="20"/>
          <w:lang w:val="en-US"/>
        </w:rPr>
      </w:pPr>
      <w:r w:rsidRPr="00E327E7">
        <w:rPr>
          <w:sz w:val="20"/>
          <w:lang w:val="en-US"/>
        </w:rPr>
        <w:tab/>
        <w:t>L’école élémentaire Rose</w:t>
      </w:r>
      <w:r w:rsidRPr="00E327E7">
        <w:rPr>
          <w:sz w:val="20"/>
          <w:lang w:val="en-US"/>
        </w:rPr>
        <w:noBreakHyphen/>
        <w:t>des</w:t>
      </w:r>
      <w:r w:rsidRPr="00E327E7">
        <w:rPr>
          <w:sz w:val="20"/>
          <w:lang w:val="en-US"/>
        </w:rPr>
        <w:noBreakHyphen/>
        <w:t>vents (“RDV”) is the only publicly</w:t>
      </w:r>
      <w:r w:rsidRPr="00E327E7">
        <w:rPr>
          <w:sz w:val="20"/>
          <w:lang w:val="en-US"/>
        </w:rPr>
        <w:noBreakHyphen/>
        <w:t>funded French</w:t>
      </w:r>
      <w:r w:rsidRPr="00E327E7">
        <w:rPr>
          <w:sz w:val="20"/>
          <w:lang w:val="en-US"/>
        </w:rPr>
        <w:noBreakHyphen/>
        <w:t>language elementary school for children living west of Main Street in the city of Vancouver. The school is overcrowded and enrollment is growing. RDV is small and the classrooms are significantly smaller than those in other schools. Some have no windows and only three classrooms meet the recommended size for classrooms. The library is very small, the washrooms are inadequate and there is no available flexible space in the school. Roughly 85 per cent of students attending RDV are transported to school by bus and over two</w:t>
      </w:r>
      <w:r w:rsidRPr="00E327E7">
        <w:rPr>
          <w:sz w:val="20"/>
          <w:lang w:val="en-US"/>
        </w:rPr>
        <w:noBreakHyphen/>
        <w:t>thirds of those have bus trips of more than 30 minutes per trip. By contrast, the English</w:t>
      </w:r>
      <w:r w:rsidRPr="00E327E7">
        <w:rPr>
          <w:sz w:val="20"/>
          <w:lang w:val="en-US"/>
        </w:rPr>
        <w:noBreakHyphen/>
        <w:t>language schools in RDV’s catchment area are larger, with larger classrooms, larger and better playing fields, and more spacious libraries. Most students attending English</w:t>
      </w:r>
      <w:r w:rsidRPr="00E327E7">
        <w:rPr>
          <w:sz w:val="20"/>
          <w:lang w:val="en-US"/>
        </w:rPr>
        <w:noBreakHyphen/>
        <w:t>language schools in the area live within one kilometre of their schools.</w:t>
      </w:r>
    </w:p>
    <w:p w:rsidR="00E327E7" w:rsidRPr="00E327E7" w:rsidRDefault="00E327E7" w:rsidP="00E327E7">
      <w:pPr>
        <w:pStyle w:val="SCCNormalDoubleSpacing"/>
        <w:spacing w:line="240" w:lineRule="auto"/>
        <w:rPr>
          <w:sz w:val="20"/>
          <w:lang w:val="en-US"/>
        </w:rPr>
      </w:pPr>
    </w:p>
    <w:p w:rsidR="00E327E7" w:rsidRDefault="00C060D7" w:rsidP="00E327E7">
      <w:pPr>
        <w:pStyle w:val="SCCNormalDoubleSpacing"/>
        <w:spacing w:line="240" w:lineRule="auto"/>
        <w:rPr>
          <w:sz w:val="20"/>
        </w:rPr>
      </w:pPr>
      <w:r w:rsidRPr="00E327E7">
        <w:rPr>
          <w:sz w:val="20"/>
        </w:rPr>
        <w:tab/>
        <w:t xml:space="preserve">In 2010, </w:t>
      </w:r>
      <w:r w:rsidRPr="00E327E7">
        <w:rPr>
          <w:sz w:val="20"/>
          <w:lang w:val="en-US"/>
        </w:rPr>
        <w:t>parents of children attending RDV challenged their school board and the provincial government, seeking a declaration that the educational services made available to their children were not equivalent to those of the English</w:t>
      </w:r>
      <w:r w:rsidRPr="00E327E7">
        <w:rPr>
          <w:sz w:val="20"/>
          <w:lang w:val="en-US"/>
        </w:rPr>
        <w:noBreakHyphen/>
        <w:t xml:space="preserve">language schools in the area and that </w:t>
      </w:r>
      <w:r w:rsidRPr="00E327E7">
        <w:rPr>
          <w:sz w:val="20"/>
        </w:rPr>
        <w:t xml:space="preserve">their minority language education rights under s. 23 of the </w:t>
      </w:r>
      <w:r w:rsidRPr="00E327E7">
        <w:rPr>
          <w:i/>
          <w:sz w:val="20"/>
        </w:rPr>
        <w:t>Charter</w:t>
      </w:r>
      <w:r w:rsidRPr="00E327E7">
        <w:rPr>
          <w:sz w:val="20"/>
        </w:rPr>
        <w:t xml:space="preserve"> had been breached. They requested that the legal proceedings be phased so that they could obtain a declaration while leaving the question of responsibility for the alleged inadequacies to a later phase, if necessary. Their hope was that obtaining a declaration would be sufficient to obtain a favourable government response.</w:t>
      </w:r>
    </w:p>
    <w:p w:rsidR="00E327E7" w:rsidRDefault="00E327E7" w:rsidP="00E327E7">
      <w:pPr>
        <w:pStyle w:val="SCCNormalDoubleSpacing"/>
        <w:spacing w:line="240" w:lineRule="auto"/>
        <w:rPr>
          <w:sz w:val="20"/>
        </w:rPr>
      </w:pPr>
    </w:p>
    <w:p w:rsidR="00C060D7" w:rsidRDefault="00C060D7" w:rsidP="00E327E7">
      <w:pPr>
        <w:pStyle w:val="SCCNormalDoubleSpacing"/>
        <w:spacing w:line="240" w:lineRule="auto"/>
        <w:rPr>
          <w:sz w:val="20"/>
          <w:lang w:val="en-US"/>
        </w:rPr>
      </w:pPr>
      <w:r w:rsidRPr="00E327E7">
        <w:rPr>
          <w:sz w:val="20"/>
        </w:rPr>
        <w:tab/>
        <w:t xml:space="preserve">The petition judge accepted the request </w:t>
      </w:r>
      <w:r w:rsidRPr="00E327E7">
        <w:rPr>
          <w:sz w:val="20"/>
          <w:lang w:val="en-US"/>
        </w:rPr>
        <w:t xml:space="preserve">to phase the proceedings, deciding to first assess only whether the children of rights holders were being provided with instruction and facilities equivalent to majority language schools, as guaranteed under s. 23 of the </w:t>
      </w:r>
      <w:r w:rsidRPr="00E327E7">
        <w:rPr>
          <w:i/>
          <w:sz w:val="20"/>
          <w:lang w:val="en-US"/>
        </w:rPr>
        <w:t>Charter</w:t>
      </w:r>
      <w:r w:rsidRPr="00E327E7">
        <w:rPr>
          <w:sz w:val="20"/>
          <w:lang w:val="en-US"/>
        </w:rPr>
        <w:t xml:space="preserve">. Prior to undertaking this initial phase of the proceedings, the judge struck certain parts of the province’s pleadings on the grounds that they were not relevant to that phase. At the conclusion of the first phase of the proceedings, the judge issued a declaration that the parents are not being provided the minority language educational facilities guaranteed to them by s. 23 of the </w:t>
      </w:r>
      <w:r w:rsidRPr="00E327E7">
        <w:rPr>
          <w:i/>
          <w:iCs/>
          <w:sz w:val="20"/>
          <w:lang w:val="en-US"/>
        </w:rPr>
        <w:t>Charter</w:t>
      </w:r>
      <w:r w:rsidRPr="00E327E7">
        <w:rPr>
          <w:iCs/>
          <w:sz w:val="20"/>
          <w:lang w:val="en-US"/>
        </w:rPr>
        <w:t xml:space="preserve">. </w:t>
      </w:r>
      <w:r w:rsidRPr="00E327E7">
        <w:rPr>
          <w:sz w:val="20"/>
          <w:lang w:val="en-US"/>
        </w:rPr>
        <w:t xml:space="preserve">He did not assign responsibility for the failure to meet the constitutional standard. The Court of Appeal allowed the appeal brought by the province. It set aside both the order striking some of the province’s pleadings, and the declaration. </w:t>
      </w:r>
    </w:p>
    <w:p w:rsidR="00E327E7" w:rsidRPr="00E327E7" w:rsidRDefault="00E327E7" w:rsidP="00E327E7">
      <w:pPr>
        <w:pStyle w:val="SCCNormalDoubleSpacing"/>
        <w:spacing w:line="240" w:lineRule="auto"/>
        <w:rPr>
          <w:sz w:val="20"/>
          <w:lang w:val="en-US"/>
        </w:rPr>
      </w:pPr>
    </w:p>
    <w:p w:rsidR="00C060D7" w:rsidRDefault="00C060D7" w:rsidP="00E327E7">
      <w:pPr>
        <w:pStyle w:val="SCCNormalDoubleSpacing"/>
        <w:spacing w:line="240" w:lineRule="auto"/>
        <w:rPr>
          <w:sz w:val="20"/>
          <w:lang w:val="en-US"/>
        </w:rPr>
      </w:pPr>
      <w:r w:rsidRPr="00E327E7">
        <w:rPr>
          <w:rStyle w:val="QuoteChar"/>
          <w:sz w:val="20"/>
        </w:rPr>
        <w:tab/>
        <w:t>Held:</w:t>
      </w:r>
      <w:r w:rsidRPr="00E327E7">
        <w:rPr>
          <w:sz w:val="20"/>
        </w:rPr>
        <w:t xml:space="preserve"> The appeal should be</w:t>
      </w:r>
      <w:r w:rsidRPr="00E327E7">
        <w:rPr>
          <w:sz w:val="20"/>
          <w:lang w:val="en-US"/>
        </w:rPr>
        <w:t xml:space="preserve"> allowed and the petition judge’s declaration reinstated. The award of special costs issued by the petition judge is restored. The matter should be remitted to the Supreme Court of British Columbia for the next phase of the petition, if necessary. Special costs are awarded to the appellants for the appeal proceedings.</w:t>
      </w:r>
    </w:p>
    <w:p w:rsidR="00E327E7" w:rsidRPr="00E327E7" w:rsidRDefault="00E327E7" w:rsidP="00E327E7">
      <w:pPr>
        <w:pStyle w:val="SCCNormalDoubleSpacing"/>
        <w:spacing w:line="240" w:lineRule="auto"/>
        <w:rPr>
          <w:sz w:val="20"/>
          <w:lang w:val="en-US"/>
        </w:rPr>
      </w:pPr>
    </w:p>
    <w:p w:rsidR="00C060D7" w:rsidRDefault="00C060D7" w:rsidP="00E327E7">
      <w:pPr>
        <w:pStyle w:val="SCCNormalDoubleSpacing"/>
        <w:spacing w:line="240" w:lineRule="auto"/>
        <w:rPr>
          <w:sz w:val="20"/>
        </w:rPr>
      </w:pPr>
      <w:r w:rsidRPr="00E327E7">
        <w:rPr>
          <w:sz w:val="20"/>
        </w:rPr>
        <w:tab/>
        <w:t xml:space="preserve">Section 23 of the </w:t>
      </w:r>
      <w:r w:rsidRPr="00E327E7">
        <w:rPr>
          <w:i/>
          <w:sz w:val="20"/>
        </w:rPr>
        <w:t>Charter</w:t>
      </w:r>
      <w:r w:rsidRPr="00E327E7">
        <w:rPr>
          <w:sz w:val="20"/>
        </w:rPr>
        <w:t xml:space="preserve"> guarantees a “sliding scale” of minority language education rights. At the upper limit of the sliding scale, rights holders are entitled to full educational facilities that are distinct from, and equivalent to, those found in the schools of the majority language group. The focus in giving effect to s. 23 rights should be on substantive equivalence, not on </w:t>
      </w:r>
      <w:r w:rsidRPr="00E327E7">
        <w:rPr>
          <w:i/>
          <w:sz w:val="20"/>
        </w:rPr>
        <w:t>per capita</w:t>
      </w:r>
      <w:r w:rsidRPr="00E327E7">
        <w:rPr>
          <w:sz w:val="20"/>
        </w:rPr>
        <w:t xml:space="preserve"> costs and other markers of formal equivalence. What is paramount is that the educational experience of the children of s. 23 rights holders at the upper end of the sliding scale be of meaningfully similar quality to the educational experience of majority language students. </w:t>
      </w:r>
    </w:p>
    <w:p w:rsidR="00E327E7" w:rsidRPr="00E327E7" w:rsidRDefault="00E327E7" w:rsidP="00E327E7">
      <w:pPr>
        <w:pStyle w:val="SCCNormalDoubleSpacing"/>
        <w:spacing w:line="240" w:lineRule="auto"/>
        <w:rPr>
          <w:sz w:val="20"/>
        </w:rPr>
      </w:pPr>
    </w:p>
    <w:p w:rsidR="00C060D7" w:rsidRDefault="00C060D7" w:rsidP="00E327E7">
      <w:pPr>
        <w:pStyle w:val="SCCNormalDoubleSpacing"/>
        <w:spacing w:line="240" w:lineRule="auto"/>
        <w:rPr>
          <w:sz w:val="20"/>
        </w:rPr>
      </w:pPr>
      <w:r w:rsidRPr="00E327E7">
        <w:rPr>
          <w:sz w:val="20"/>
        </w:rPr>
        <w:tab/>
        <w:t>When assessing substantive equivalence, a purposive approach requires a court to consider the educational choices available from the perspective of s. 23 rights holders. The comparator group that will generally be appropriate for that assessment will be the neighbouring majority language schools that represent a realistic alternative for rights holders. The question to be examined is whether reasonable rights</w:t>
      </w:r>
      <w:r w:rsidRPr="00E327E7">
        <w:rPr>
          <w:sz w:val="20"/>
        </w:rPr>
        <w:noBreakHyphen/>
        <w:t>holder parents would be deterred from sending their children to a minority language school because it is meaningfully inferior to an available majority language school? If so, the remedial purpose of s. 23 is threatened. If the educational experience, viewed globally, is sufficiently superior in the majority language schools, that fact could undermine the parents’ desire to have their children educated in the minority language, and thus could lead to assimilation.</w:t>
      </w:r>
    </w:p>
    <w:p w:rsidR="00E327E7" w:rsidRPr="00E327E7" w:rsidRDefault="00E327E7" w:rsidP="00E327E7">
      <w:pPr>
        <w:pStyle w:val="SCCNormalDoubleSpacing"/>
        <w:spacing w:line="240" w:lineRule="auto"/>
        <w:rPr>
          <w:sz w:val="20"/>
        </w:rPr>
      </w:pPr>
    </w:p>
    <w:p w:rsidR="00C060D7" w:rsidRDefault="00C060D7" w:rsidP="00E327E7">
      <w:pPr>
        <w:pStyle w:val="SCCNormalDoubleSpacing"/>
        <w:spacing w:line="240" w:lineRule="auto"/>
        <w:rPr>
          <w:sz w:val="20"/>
        </w:rPr>
      </w:pPr>
      <w:r w:rsidRPr="00E327E7">
        <w:rPr>
          <w:sz w:val="20"/>
        </w:rPr>
        <w:tab/>
        <w:t>The comparative exercise must be alive to the varied factors that reasonable parents use to assess equivalence. The exercise is contextual and holistic, accounting for not only physical facilities, but also quality of instruction, educational outcomes, extracurricular activities, and travel times, amongst other factors. Such an approach is similar to the way parents make decisions regarding their children’s education. The extent to which any given factor will represent a live issue in assessing equivalence will be dictated by the circumstances of each case. The relevant factors are considered together in assessing whether the overall educational experience is inferior in a way that could discourage rights holders from enrolling their children in a minority language school. If, on balance, the experience is equivalent, the requirements of s. 23 will be met.</w:t>
      </w:r>
    </w:p>
    <w:p w:rsidR="00E327E7" w:rsidRPr="00E327E7" w:rsidRDefault="00E327E7" w:rsidP="00E327E7">
      <w:pPr>
        <w:pStyle w:val="SCCNormalDoubleSpacing"/>
        <w:spacing w:line="240" w:lineRule="auto"/>
        <w:rPr>
          <w:sz w:val="20"/>
        </w:rPr>
      </w:pPr>
    </w:p>
    <w:p w:rsidR="00C060D7" w:rsidRDefault="00C060D7" w:rsidP="00E327E7">
      <w:pPr>
        <w:pStyle w:val="SCCNormalDoubleSpacing"/>
        <w:spacing w:line="240" w:lineRule="auto"/>
        <w:rPr>
          <w:sz w:val="20"/>
        </w:rPr>
      </w:pPr>
      <w:r w:rsidRPr="00E327E7">
        <w:rPr>
          <w:sz w:val="20"/>
        </w:rPr>
        <w:tab/>
        <w:t>Issues of costs and practicalities are considered in the determination of the level of educational services a group of rights holders is entitled to on the sliding scale. It would undermine that analysis to consider costs and practicalities again, after the appropriate level of educational services has already been determined. Accordingly, it is not appropriate for provincial or territorial governments to invoke issues of practicality or cost as part of the inquiry into equivalence. Costs and practicalities may, however, be relevant in attempts to justify a breach of s. 23, and in attempts to fashion an appropriate and just remedy for a breach.</w:t>
      </w:r>
    </w:p>
    <w:p w:rsidR="00E327E7" w:rsidRPr="00E327E7" w:rsidRDefault="00E327E7" w:rsidP="00E327E7">
      <w:pPr>
        <w:pStyle w:val="SCCNormalDoubleSpacing"/>
        <w:spacing w:line="240" w:lineRule="auto"/>
        <w:rPr>
          <w:sz w:val="20"/>
        </w:rPr>
      </w:pPr>
    </w:p>
    <w:p w:rsidR="00C060D7" w:rsidRDefault="00C060D7" w:rsidP="00E327E7">
      <w:pPr>
        <w:pStyle w:val="SCCNormalDoubleSpacing"/>
        <w:spacing w:line="240" w:lineRule="auto"/>
        <w:rPr>
          <w:sz w:val="20"/>
        </w:rPr>
      </w:pPr>
      <w:r w:rsidRPr="00E327E7">
        <w:rPr>
          <w:sz w:val="20"/>
        </w:rPr>
        <w:tab/>
        <w:t>In the present case, the petition judge applied the correct test to assess equivalence. He comprehensively and holistically assessed the relevant factors and compared RDV to the English</w:t>
      </w:r>
      <w:r w:rsidRPr="00E327E7">
        <w:rPr>
          <w:sz w:val="20"/>
        </w:rPr>
        <w:noBreakHyphen/>
        <w:t>language schools in the relevant catchment area in Vancouver. In the determination of overall substantive equivalence, he concluded that the programs offered at RDV were not so superior as to offset its inadequate facilities, overcrowding and long travel times. In his opinion, the disparity between the minority and majority language schools was such as to limit enrolment and contribute to assimilation. There is no error in principle in the petition judge’s analysis.</w:t>
      </w:r>
    </w:p>
    <w:p w:rsidR="00E327E7" w:rsidRPr="00E327E7" w:rsidRDefault="00E327E7" w:rsidP="00E327E7">
      <w:pPr>
        <w:pStyle w:val="SCCNormalDoubleSpacing"/>
        <w:spacing w:line="240" w:lineRule="auto"/>
        <w:rPr>
          <w:sz w:val="20"/>
        </w:rPr>
      </w:pPr>
    </w:p>
    <w:p w:rsidR="00C060D7" w:rsidRDefault="00C060D7" w:rsidP="00E327E7">
      <w:pPr>
        <w:pStyle w:val="SCCNormalDoubleSpacing"/>
        <w:spacing w:line="240" w:lineRule="auto"/>
        <w:rPr>
          <w:sz w:val="20"/>
        </w:rPr>
      </w:pPr>
      <w:r w:rsidRPr="00E327E7">
        <w:rPr>
          <w:sz w:val="20"/>
        </w:rPr>
        <w:tab/>
        <w:t xml:space="preserve">The declaration issued by the petition judge represents the equivalent of a declaration of a </w:t>
      </w:r>
      <w:r w:rsidRPr="00E327E7">
        <w:rPr>
          <w:i/>
          <w:sz w:val="20"/>
        </w:rPr>
        <w:t>prima facie</w:t>
      </w:r>
      <w:r w:rsidRPr="00E327E7">
        <w:rPr>
          <w:sz w:val="20"/>
        </w:rPr>
        <w:t xml:space="preserve"> breach of s. 23, subject to the future determination of responsibility, justification for the breach (if applicable), and positive remedy. Where the children of s. 23 rights holders are entitled to an educational experience equivalent to that of majority language children, there is no difference between a finding of a lack of equivalence and a finding that the rights holders have not received the services to which they are entitled under s. 23. However, since responsibility for the breach has not yet been assigned ― and leaving open the possibility that the responsible party or parties may seek to justify the breach ― it cannot be said that the judge’s declaration constitutes a complete finding of a </w:t>
      </w:r>
      <w:r w:rsidRPr="00E327E7">
        <w:rPr>
          <w:i/>
          <w:sz w:val="20"/>
        </w:rPr>
        <w:t>Charter</w:t>
      </w:r>
      <w:r w:rsidRPr="00E327E7">
        <w:rPr>
          <w:sz w:val="20"/>
        </w:rPr>
        <w:t xml:space="preserve"> violation.</w:t>
      </w:r>
    </w:p>
    <w:p w:rsidR="00E327E7" w:rsidRPr="00E327E7" w:rsidRDefault="00E327E7" w:rsidP="00E327E7">
      <w:pPr>
        <w:pStyle w:val="SCCNormalDoubleSpacing"/>
        <w:spacing w:line="240" w:lineRule="auto"/>
        <w:rPr>
          <w:sz w:val="20"/>
        </w:rPr>
      </w:pPr>
    </w:p>
    <w:p w:rsidR="00C060D7" w:rsidRDefault="00C060D7" w:rsidP="00E327E7">
      <w:pPr>
        <w:pStyle w:val="SCCNormalDoubleSpacing"/>
        <w:spacing w:line="240" w:lineRule="auto"/>
        <w:rPr>
          <w:sz w:val="20"/>
        </w:rPr>
      </w:pPr>
      <w:r w:rsidRPr="00E327E7">
        <w:rPr>
          <w:sz w:val="20"/>
        </w:rPr>
        <w:tab/>
        <w:t xml:space="preserve">Where a proceeding has been formally phased to separate the question of substantive equivalence from other elements of the s. 23 analysis, evidence that does not assist in answering that question would normally not be relevant. </w:t>
      </w:r>
      <w:r w:rsidRPr="00E327E7">
        <w:rPr>
          <w:sz w:val="20"/>
        </w:rPr>
        <w:lastRenderedPageBreak/>
        <w:t xml:space="preserve">Considered from this perspective, the petition judge was entitled to strike the portions of the province’s pleadings as they were not relevant to the inquiry into substantive equivalence. </w:t>
      </w:r>
    </w:p>
    <w:p w:rsidR="00E327E7" w:rsidRPr="00E327E7" w:rsidRDefault="00E327E7" w:rsidP="00E327E7">
      <w:pPr>
        <w:pStyle w:val="SCCNormalDoubleSpacing"/>
        <w:spacing w:line="240" w:lineRule="auto"/>
        <w:rPr>
          <w:sz w:val="20"/>
        </w:rPr>
      </w:pPr>
    </w:p>
    <w:p w:rsidR="00C060D7" w:rsidRDefault="00C060D7" w:rsidP="00E327E7">
      <w:pPr>
        <w:pStyle w:val="SCCNormalDoubleSpacing"/>
        <w:spacing w:line="240" w:lineRule="auto"/>
        <w:rPr>
          <w:sz w:val="20"/>
          <w:lang w:val="fr-CA"/>
        </w:rPr>
      </w:pPr>
      <w:r w:rsidRPr="00E327E7">
        <w:rPr>
          <w:sz w:val="20"/>
        </w:rPr>
        <w:tab/>
        <w:t xml:space="preserve">APPEAL from judgments of the British Columbia Court of Appeal (Saunders, Bennett and Hinkson JJ.A.), 2013 BCCA 407, 49 B.C.L.R. (5th) 246, 342 B.C.A.C. 251, 585 W.A.C. 251, 367 D.L.R. (4th) 387, 291 C.R.R. (2d) 106, 44 C.P.C. (7th) 122, [2014] 1 W.W.R. 1, [2013] B.C.J. No. 2057 (QL), 2013 CarswellBC 2799 (WL Can.); and 2014 BCCA 40, 54 B.C.L.R. (5th) 79, 350 B.C.A.C. 142, [2014] 4 W.W.R. 528, 58 C.P.C. (7th) 230, [2014] B.C.J. No. 155 (QL), 2014 CarswellBC 225 (WL Can.), setting aside decisions of Willcock J., 2011 BCSC 1495, 21 C.P.C. (7th) 111, [2011] B.C.J. No. 2096 (QL), 2011 CarswellBC 3303 (WL Can.); 2012 BCSC 1614, 39 B.C.L.R. (5th) 144, 270 C.R.R. (2d) 220, [2013] 2 W.W.R. 528, [2012] B.C.J. No. 2247 (QL), 2012 CarswellBC 3373 (WL Can.); and 2013 BCSC 1111, 49 B.C.L.R. (5th) 189, [2013] 10 W.W.R. 602, 40 C.P.C. (7th) 274, 61 Admin. L.R. (5th) 310, [2013] B.C.J. No. 1352 (QL), 2013 CarswellBC 1871 (WL Can.). </w:t>
      </w:r>
      <w:r w:rsidRPr="00E327E7">
        <w:rPr>
          <w:sz w:val="20"/>
          <w:lang w:val="fr-CA"/>
        </w:rPr>
        <w:t>Appeal allowed.</w:t>
      </w:r>
    </w:p>
    <w:p w:rsidR="00E327E7" w:rsidRPr="00E327E7" w:rsidRDefault="00E327E7" w:rsidP="00E327E7">
      <w:pPr>
        <w:pStyle w:val="SCCNormalDoubleSpacing"/>
        <w:spacing w:line="240" w:lineRule="auto"/>
        <w:rPr>
          <w:sz w:val="20"/>
          <w:lang w:val="fr-CA"/>
        </w:rPr>
      </w:pPr>
    </w:p>
    <w:p w:rsidR="00C060D7" w:rsidRDefault="00C060D7" w:rsidP="00E327E7">
      <w:pPr>
        <w:pStyle w:val="SCCNormalDoubleSpacing"/>
        <w:spacing w:line="240" w:lineRule="auto"/>
        <w:rPr>
          <w:rStyle w:val="SCCCounselPartyRoleChar"/>
          <w:sz w:val="20"/>
          <w:lang w:val="fr-CA"/>
        </w:rPr>
      </w:pPr>
      <w:r w:rsidRPr="00E327E7">
        <w:rPr>
          <w:rStyle w:val="SCCCounselNameChar"/>
          <w:sz w:val="20"/>
          <w:lang w:val="fr-CA"/>
        </w:rPr>
        <w:tab/>
        <w:t>Nicolas M. Rouleau</w:t>
      </w:r>
      <w:r w:rsidRPr="00E327E7">
        <w:rPr>
          <w:rStyle w:val="SCCCounselPartyRoleChar"/>
          <w:sz w:val="20"/>
          <w:lang w:val="fr-CA"/>
        </w:rPr>
        <w:t xml:space="preserve"> and </w:t>
      </w:r>
      <w:r w:rsidRPr="00E327E7">
        <w:rPr>
          <w:rStyle w:val="SCCCounselPartyRoleChar"/>
          <w:i/>
          <w:sz w:val="20"/>
          <w:lang w:val="fr-CA"/>
        </w:rPr>
        <w:t>Joseph Pagé</w:t>
      </w:r>
      <w:r w:rsidRPr="00E327E7">
        <w:rPr>
          <w:rStyle w:val="SCCCounselPartyRoleChar"/>
          <w:sz w:val="20"/>
          <w:lang w:val="fr-CA"/>
        </w:rPr>
        <w:t>, for the appellants Association des parents de l’école Rose</w:t>
      </w:r>
      <w:r w:rsidRPr="00E327E7">
        <w:rPr>
          <w:rStyle w:val="SCCCounselPartyRoleChar"/>
          <w:sz w:val="20"/>
          <w:lang w:val="fr-CA"/>
        </w:rPr>
        <w:noBreakHyphen/>
        <w:t>des</w:t>
      </w:r>
      <w:r w:rsidRPr="00E327E7">
        <w:rPr>
          <w:rStyle w:val="SCCCounselPartyRoleChar"/>
          <w:sz w:val="20"/>
          <w:lang w:val="fr-CA"/>
        </w:rPr>
        <w:noBreakHyphen/>
        <w:t>vents et</w:t>
      </w:r>
      <w:r w:rsidR="00610477">
        <w:rPr>
          <w:rStyle w:val="SCCCounselPartyRoleChar"/>
          <w:sz w:val="20"/>
          <w:lang w:val="fr-CA"/>
        </w:rPr>
        <w:t> </w:t>
      </w:r>
      <w:r w:rsidRPr="00E327E7">
        <w:rPr>
          <w:rStyle w:val="SCCCounselPartyRoleChar"/>
          <w:sz w:val="20"/>
          <w:lang w:val="fr-CA"/>
        </w:rPr>
        <w:t>al.</w:t>
      </w:r>
    </w:p>
    <w:p w:rsidR="00E327E7" w:rsidRPr="00E327E7" w:rsidRDefault="00E327E7" w:rsidP="00E327E7">
      <w:pPr>
        <w:pStyle w:val="SCCNormalDoubleSpacing"/>
        <w:spacing w:line="240" w:lineRule="auto"/>
        <w:rPr>
          <w:rStyle w:val="SCCCounselPartyRoleChar"/>
          <w:sz w:val="20"/>
          <w:lang w:val="fr-CA"/>
        </w:rPr>
      </w:pPr>
    </w:p>
    <w:p w:rsidR="00C060D7" w:rsidRDefault="00C060D7" w:rsidP="00E327E7">
      <w:pPr>
        <w:pStyle w:val="SCCNormalDoubleSpacing"/>
        <w:spacing w:line="240" w:lineRule="auto"/>
        <w:rPr>
          <w:rStyle w:val="SCCCounselPartyRoleChar"/>
          <w:sz w:val="20"/>
          <w:lang w:val="fr-CA"/>
        </w:rPr>
      </w:pPr>
      <w:r w:rsidRPr="00E327E7">
        <w:rPr>
          <w:rStyle w:val="SCCCounselNameChar"/>
          <w:sz w:val="20"/>
          <w:lang w:val="fr-CA"/>
        </w:rPr>
        <w:tab/>
        <w:t>Robert W. Grant, Q.C., Jean</w:t>
      </w:r>
      <w:r w:rsidRPr="00E327E7">
        <w:rPr>
          <w:rStyle w:val="SCCCounselNameChar"/>
          <w:sz w:val="20"/>
          <w:lang w:val="fr-CA"/>
        </w:rPr>
        <w:noBreakHyphen/>
        <w:t>Pierre Hachey</w:t>
      </w:r>
      <w:r w:rsidRPr="00E327E7">
        <w:rPr>
          <w:rStyle w:val="SCCCounselPartyRoleChar"/>
          <w:sz w:val="20"/>
          <w:lang w:val="fr-CA"/>
        </w:rPr>
        <w:t xml:space="preserve">, </w:t>
      </w:r>
      <w:r w:rsidRPr="00E327E7">
        <w:rPr>
          <w:rStyle w:val="SCCCounselNameChar"/>
          <w:sz w:val="20"/>
          <w:lang w:val="fr-CA"/>
        </w:rPr>
        <w:t>Mark C. Power</w:t>
      </w:r>
      <w:r w:rsidRPr="00E327E7">
        <w:rPr>
          <w:rStyle w:val="SCCCounselSeparatorChar"/>
          <w:sz w:val="20"/>
        </w:rPr>
        <w:t xml:space="preserve"> and </w:t>
      </w:r>
      <w:r w:rsidRPr="00E327E7">
        <w:rPr>
          <w:rStyle w:val="SCCCounselNameChar"/>
          <w:sz w:val="20"/>
          <w:lang w:val="fr-CA"/>
        </w:rPr>
        <w:t xml:space="preserve">David P. Taylor, </w:t>
      </w:r>
      <w:r w:rsidRPr="00E327E7">
        <w:rPr>
          <w:rStyle w:val="SCCCounselPartyRoleChar"/>
          <w:sz w:val="20"/>
          <w:lang w:val="fr-CA"/>
        </w:rPr>
        <w:t>for the appellant Conseil scolaire francophone de la Colombie</w:t>
      </w:r>
      <w:r w:rsidRPr="00E327E7">
        <w:rPr>
          <w:rStyle w:val="SCCCounselPartyRoleChar"/>
          <w:sz w:val="20"/>
          <w:lang w:val="fr-CA"/>
        </w:rPr>
        <w:noBreakHyphen/>
        <w:t>Britannique.</w:t>
      </w:r>
    </w:p>
    <w:p w:rsidR="00E327E7" w:rsidRPr="00E327E7" w:rsidRDefault="00E327E7" w:rsidP="00E327E7">
      <w:pPr>
        <w:pStyle w:val="SCCNormalDoubleSpacing"/>
        <w:spacing w:line="240" w:lineRule="auto"/>
        <w:rPr>
          <w:sz w:val="20"/>
          <w:lang w:val="fr-CA"/>
        </w:rPr>
      </w:pPr>
    </w:p>
    <w:p w:rsidR="00C060D7" w:rsidRDefault="00C060D7" w:rsidP="00E327E7">
      <w:pPr>
        <w:pStyle w:val="SCCNormalDoubleSpacing"/>
        <w:spacing w:line="240" w:lineRule="auto"/>
        <w:rPr>
          <w:rStyle w:val="SCCCounselPartyRoleChar"/>
          <w:sz w:val="20"/>
        </w:rPr>
      </w:pPr>
      <w:r w:rsidRPr="00E327E7">
        <w:rPr>
          <w:rStyle w:val="SCCCounselNameChar"/>
          <w:sz w:val="20"/>
          <w:lang w:val="fr-CA"/>
        </w:rPr>
        <w:tab/>
      </w:r>
      <w:r w:rsidRPr="00E327E7">
        <w:rPr>
          <w:rStyle w:val="SCCCounselNameChar"/>
          <w:sz w:val="20"/>
        </w:rPr>
        <w:t>Leonard T. Doust, Q.C.</w:t>
      </w:r>
      <w:r w:rsidRPr="00E327E7">
        <w:rPr>
          <w:rStyle w:val="SCCCounselPartyRoleChar"/>
          <w:sz w:val="20"/>
        </w:rPr>
        <w:t xml:space="preserve">, </w:t>
      </w:r>
      <w:r w:rsidRPr="00E327E7">
        <w:rPr>
          <w:rStyle w:val="SCCCounselNameChar"/>
          <w:sz w:val="20"/>
        </w:rPr>
        <w:t>Karrie Wolfe and</w:t>
      </w:r>
      <w:r w:rsidRPr="00E327E7">
        <w:rPr>
          <w:rStyle w:val="SCCCounselSeparatorChar"/>
          <w:sz w:val="20"/>
          <w:lang w:val="en-US"/>
        </w:rPr>
        <w:t xml:space="preserve"> </w:t>
      </w:r>
      <w:r w:rsidRPr="00E327E7">
        <w:rPr>
          <w:rStyle w:val="SCCCounselNameChar"/>
          <w:sz w:val="20"/>
        </w:rPr>
        <w:t>Warren B. Milman</w:t>
      </w:r>
      <w:r w:rsidRPr="00E327E7">
        <w:rPr>
          <w:rStyle w:val="SCCCounselSeparatorChar"/>
          <w:sz w:val="20"/>
          <w:lang w:val="en-US"/>
        </w:rPr>
        <w:t xml:space="preserve">, </w:t>
      </w:r>
      <w:r w:rsidRPr="00E327E7">
        <w:rPr>
          <w:rStyle w:val="SCCCounselPartyRoleChar"/>
          <w:sz w:val="20"/>
        </w:rPr>
        <w:t>for the respondents.</w:t>
      </w:r>
    </w:p>
    <w:p w:rsidR="00E327E7" w:rsidRPr="00E327E7" w:rsidRDefault="00E327E7" w:rsidP="00E327E7">
      <w:pPr>
        <w:pStyle w:val="SCCNormalDoubleSpacing"/>
        <w:spacing w:line="240" w:lineRule="auto"/>
        <w:rPr>
          <w:sz w:val="20"/>
        </w:rPr>
      </w:pPr>
    </w:p>
    <w:p w:rsidR="00C060D7" w:rsidRDefault="00C060D7" w:rsidP="00E327E7">
      <w:pPr>
        <w:pStyle w:val="SCCNormalDoubleSpacing"/>
        <w:spacing w:line="240" w:lineRule="auto"/>
        <w:rPr>
          <w:rStyle w:val="SCCCounselPartyRoleChar"/>
          <w:sz w:val="20"/>
        </w:rPr>
      </w:pPr>
      <w:r w:rsidRPr="00E327E7">
        <w:rPr>
          <w:rStyle w:val="SCCCounselNameChar"/>
          <w:sz w:val="20"/>
        </w:rPr>
        <w:tab/>
        <w:t>Alan F. Jacobson</w:t>
      </w:r>
      <w:r w:rsidRPr="00E327E7">
        <w:rPr>
          <w:rStyle w:val="SCCCounselSeparatorChar"/>
          <w:sz w:val="20"/>
          <w:lang w:val="en-US"/>
        </w:rPr>
        <w:t xml:space="preserve"> and </w:t>
      </w:r>
      <w:r w:rsidRPr="00E327E7">
        <w:rPr>
          <w:rStyle w:val="SCCCounselNameChar"/>
          <w:sz w:val="20"/>
        </w:rPr>
        <w:t>Barbara C. Mysko</w:t>
      </w:r>
      <w:r w:rsidRPr="00E327E7">
        <w:rPr>
          <w:rStyle w:val="SCCCounselPartyRoleChar"/>
          <w:sz w:val="20"/>
        </w:rPr>
        <w:t>, for the intervener the Attorney General for Saskatchewan.</w:t>
      </w:r>
    </w:p>
    <w:p w:rsidR="00E327E7" w:rsidRPr="00E327E7" w:rsidRDefault="00E327E7" w:rsidP="00E327E7">
      <w:pPr>
        <w:pStyle w:val="SCCNormalDoubleSpacing"/>
        <w:spacing w:line="240" w:lineRule="auto"/>
        <w:rPr>
          <w:rStyle w:val="SCCCounselPartyRoleChar"/>
          <w:sz w:val="20"/>
        </w:rPr>
      </w:pPr>
    </w:p>
    <w:p w:rsidR="00C060D7" w:rsidRDefault="00C060D7" w:rsidP="00E327E7">
      <w:pPr>
        <w:pStyle w:val="SCCNormalDoubleSpacing"/>
        <w:spacing w:line="240" w:lineRule="auto"/>
        <w:rPr>
          <w:rStyle w:val="SCCCounselPartyRoleChar"/>
          <w:sz w:val="20"/>
        </w:rPr>
      </w:pPr>
      <w:r w:rsidRPr="00E327E7">
        <w:rPr>
          <w:rStyle w:val="SCCCounselNameChar"/>
          <w:sz w:val="20"/>
        </w:rPr>
        <w:tab/>
        <w:t>Randy Steele</w:t>
      </w:r>
      <w:r w:rsidRPr="00E327E7">
        <w:rPr>
          <w:rStyle w:val="SCCCounselPartyRoleChar"/>
          <w:sz w:val="20"/>
        </w:rPr>
        <w:t>, for the intervener the Attorney General of Alberta.</w:t>
      </w:r>
    </w:p>
    <w:p w:rsidR="00E327E7" w:rsidRPr="00E327E7" w:rsidRDefault="00E327E7" w:rsidP="00E327E7">
      <w:pPr>
        <w:pStyle w:val="SCCNormalDoubleSpacing"/>
        <w:spacing w:line="240" w:lineRule="auto"/>
        <w:rPr>
          <w:sz w:val="20"/>
        </w:rPr>
      </w:pPr>
    </w:p>
    <w:p w:rsidR="00C060D7" w:rsidRDefault="00C060D7" w:rsidP="00E327E7">
      <w:pPr>
        <w:pStyle w:val="SCCNormalDoubleSpacing"/>
        <w:spacing w:line="240" w:lineRule="auto"/>
        <w:rPr>
          <w:rStyle w:val="SCCCounselPartyRoleChar"/>
          <w:sz w:val="20"/>
        </w:rPr>
      </w:pPr>
      <w:r w:rsidRPr="00E327E7">
        <w:rPr>
          <w:rStyle w:val="SCCCounselNameChar"/>
          <w:sz w:val="20"/>
        </w:rPr>
        <w:tab/>
        <w:t>François Baril</w:t>
      </w:r>
      <w:r w:rsidRPr="00E327E7">
        <w:rPr>
          <w:rStyle w:val="SCCCounselPartyRoleChar"/>
          <w:sz w:val="20"/>
        </w:rPr>
        <w:t>, for the intervener the Attorney General of the Northwest Territories.</w:t>
      </w:r>
    </w:p>
    <w:p w:rsidR="00E327E7" w:rsidRPr="00E327E7" w:rsidRDefault="00E327E7" w:rsidP="00E327E7">
      <w:pPr>
        <w:pStyle w:val="SCCNormalDoubleSpacing"/>
        <w:spacing w:line="240" w:lineRule="auto"/>
        <w:rPr>
          <w:sz w:val="20"/>
        </w:rPr>
      </w:pPr>
    </w:p>
    <w:p w:rsidR="00C060D7" w:rsidRPr="00E327E7" w:rsidRDefault="00C060D7" w:rsidP="00E327E7">
      <w:pPr>
        <w:pStyle w:val="SCCNormalDoubleSpacing"/>
        <w:spacing w:line="240" w:lineRule="auto"/>
        <w:rPr>
          <w:rStyle w:val="SCCCounselPartyRoleChar"/>
          <w:sz w:val="20"/>
        </w:rPr>
      </w:pPr>
      <w:r w:rsidRPr="00E327E7">
        <w:rPr>
          <w:rStyle w:val="SCCCounselNameChar"/>
          <w:sz w:val="20"/>
        </w:rPr>
        <w:tab/>
        <w:t>Maxime Faille</w:t>
      </w:r>
      <w:r w:rsidRPr="00E327E7">
        <w:rPr>
          <w:rStyle w:val="SCCCounselSeparatorChar"/>
          <w:sz w:val="20"/>
          <w:lang w:val="en-US"/>
        </w:rPr>
        <w:t xml:space="preserve">, </w:t>
      </w:r>
      <w:r w:rsidRPr="00E327E7">
        <w:rPr>
          <w:rStyle w:val="SCCCounselNameChar"/>
          <w:sz w:val="20"/>
        </w:rPr>
        <w:t>Guy Régimbald</w:t>
      </w:r>
      <w:r w:rsidRPr="00E327E7">
        <w:rPr>
          <w:rStyle w:val="SCCCounselSeparatorChar"/>
          <w:sz w:val="20"/>
          <w:lang w:val="en-US"/>
        </w:rPr>
        <w:t xml:space="preserve"> and </w:t>
      </w:r>
      <w:r w:rsidRPr="00E327E7">
        <w:rPr>
          <w:rStyle w:val="SCCCounselNameChar"/>
          <w:sz w:val="20"/>
        </w:rPr>
        <w:t>Pippa Lawson</w:t>
      </w:r>
      <w:r w:rsidRPr="00E327E7">
        <w:rPr>
          <w:rStyle w:val="SCCCounselPartyRoleChar"/>
          <w:sz w:val="20"/>
        </w:rPr>
        <w:t>, for the intervener the Attorney General of the Yukon Territory.</w:t>
      </w:r>
    </w:p>
    <w:p w:rsidR="00E327E7" w:rsidRPr="00E327E7" w:rsidRDefault="00E327E7" w:rsidP="00E327E7">
      <w:pPr>
        <w:pStyle w:val="SCCNormalDoubleSpacing"/>
        <w:spacing w:line="240" w:lineRule="auto"/>
        <w:rPr>
          <w:rStyle w:val="SCCCounselPartyRoleChar"/>
          <w:sz w:val="20"/>
        </w:rPr>
      </w:pPr>
    </w:p>
    <w:p w:rsidR="00C060D7" w:rsidRPr="00E327E7" w:rsidRDefault="00C060D7" w:rsidP="00E327E7">
      <w:pPr>
        <w:pStyle w:val="SCCNormalDoubleSpacing"/>
        <w:spacing w:line="240" w:lineRule="auto"/>
        <w:rPr>
          <w:rStyle w:val="SCCCounselPartyRoleChar"/>
          <w:sz w:val="20"/>
        </w:rPr>
      </w:pPr>
      <w:r w:rsidRPr="00E327E7">
        <w:rPr>
          <w:rStyle w:val="SCCCounselNameChar"/>
          <w:sz w:val="20"/>
        </w:rPr>
        <w:tab/>
        <w:t>Christine Ruest Norrena</w:t>
      </w:r>
      <w:r w:rsidRPr="00E327E7">
        <w:rPr>
          <w:rStyle w:val="SCCCounselSeparatorChar"/>
          <w:sz w:val="20"/>
          <w:lang w:val="en-US"/>
        </w:rPr>
        <w:t xml:space="preserve"> and </w:t>
      </w:r>
      <w:r w:rsidRPr="00E327E7">
        <w:rPr>
          <w:rStyle w:val="SCCCounselNameChar"/>
          <w:sz w:val="20"/>
        </w:rPr>
        <w:t>Isabelle Bousquet</w:t>
      </w:r>
      <w:r w:rsidRPr="00E327E7">
        <w:rPr>
          <w:rStyle w:val="SCCCounselPartyRoleChar"/>
          <w:sz w:val="20"/>
        </w:rPr>
        <w:t>, for the intervener the Commissioner of Official Languages of Canada.</w:t>
      </w:r>
    </w:p>
    <w:p w:rsidR="00E327E7" w:rsidRPr="00E327E7" w:rsidRDefault="00E327E7" w:rsidP="00E327E7">
      <w:pPr>
        <w:pStyle w:val="SCCNormalDoubleSpacing"/>
        <w:spacing w:line="240" w:lineRule="auto"/>
        <w:rPr>
          <w:rStyle w:val="SCCCounselPartyRoleChar"/>
          <w:sz w:val="20"/>
        </w:rPr>
      </w:pPr>
    </w:p>
    <w:p w:rsidR="00C060D7" w:rsidRPr="00E327E7" w:rsidRDefault="00C060D7" w:rsidP="00E327E7">
      <w:pPr>
        <w:pStyle w:val="SCCNormalDoubleSpacing"/>
        <w:spacing w:line="240" w:lineRule="auto"/>
        <w:rPr>
          <w:rStyle w:val="SCCCounselPartyRoleChar"/>
          <w:sz w:val="20"/>
          <w:lang w:val="fr-CA"/>
        </w:rPr>
      </w:pPr>
      <w:r w:rsidRPr="00E327E7">
        <w:rPr>
          <w:rStyle w:val="SCCCounselNameChar"/>
          <w:sz w:val="20"/>
        </w:rPr>
        <w:tab/>
      </w:r>
      <w:r w:rsidRPr="00E327E7">
        <w:rPr>
          <w:rStyle w:val="SCCCounselNameChar"/>
          <w:sz w:val="20"/>
          <w:lang w:val="fr-CA"/>
        </w:rPr>
        <w:t>Roger J. F. Lepage</w:t>
      </w:r>
      <w:r w:rsidRPr="00E327E7">
        <w:rPr>
          <w:rStyle w:val="SCCCounselSeparatorChar"/>
          <w:sz w:val="20"/>
        </w:rPr>
        <w:t xml:space="preserve"> and </w:t>
      </w:r>
      <w:r w:rsidRPr="00E327E7">
        <w:rPr>
          <w:rStyle w:val="SCCCounselNameChar"/>
          <w:sz w:val="20"/>
          <w:lang w:val="fr-CA"/>
        </w:rPr>
        <w:t>Francis P. Poulin</w:t>
      </w:r>
      <w:r w:rsidRPr="00E327E7">
        <w:rPr>
          <w:rStyle w:val="SCCCounselPartyRoleChar"/>
          <w:sz w:val="20"/>
          <w:lang w:val="fr-CA"/>
        </w:rPr>
        <w:t>, for the interveners Commission scolaire francophone, Territoires du Nord</w:t>
      </w:r>
      <w:r w:rsidRPr="00E327E7">
        <w:rPr>
          <w:rStyle w:val="SCCCounselPartyRoleChar"/>
          <w:sz w:val="20"/>
          <w:lang w:val="fr-CA"/>
        </w:rPr>
        <w:noBreakHyphen/>
        <w:t>Ouest, Fédération nationale des conseils scolaires francophones, Conseil des écoles fransaskoises and Commission scolaire francophone du Yukon.</w:t>
      </w:r>
    </w:p>
    <w:p w:rsidR="00E327E7" w:rsidRPr="00E327E7" w:rsidRDefault="00E327E7" w:rsidP="00E327E7">
      <w:pPr>
        <w:pStyle w:val="SCCNormalDoubleSpacing"/>
        <w:spacing w:line="240" w:lineRule="auto"/>
        <w:rPr>
          <w:sz w:val="20"/>
          <w:lang w:val="fr-CA"/>
        </w:rPr>
      </w:pPr>
    </w:p>
    <w:p w:rsidR="00C060D7" w:rsidRPr="00E327E7" w:rsidRDefault="00C060D7" w:rsidP="00E327E7">
      <w:pPr>
        <w:pStyle w:val="SCCLawFirm"/>
        <w:spacing w:line="240" w:lineRule="auto"/>
        <w:rPr>
          <w:sz w:val="20"/>
          <w:lang w:val="fr-CA"/>
        </w:rPr>
      </w:pPr>
      <w:r w:rsidRPr="00E327E7">
        <w:rPr>
          <w:sz w:val="20"/>
          <w:lang w:val="fr-CA"/>
        </w:rPr>
        <w:tab/>
        <w:t>Solicitors for the appellants Association des parents de l’école Rose</w:t>
      </w:r>
      <w:r w:rsidRPr="00E327E7">
        <w:rPr>
          <w:sz w:val="20"/>
          <w:lang w:val="fr-CA"/>
        </w:rPr>
        <w:noBreakHyphen/>
        <w:t>des</w:t>
      </w:r>
      <w:r w:rsidRPr="00E327E7">
        <w:rPr>
          <w:sz w:val="20"/>
          <w:lang w:val="fr-CA"/>
        </w:rPr>
        <w:noBreakHyphen/>
        <w:t>vents et al.: Nicolas M. Rouleau, société professionnelle, Toronto; Joseph Pagé, Vancouver.</w:t>
      </w:r>
    </w:p>
    <w:p w:rsidR="00E327E7" w:rsidRPr="00E327E7" w:rsidRDefault="00E327E7" w:rsidP="00E327E7">
      <w:pPr>
        <w:pStyle w:val="SCCNormalDoubleSpacing"/>
        <w:spacing w:line="240" w:lineRule="auto"/>
        <w:rPr>
          <w:sz w:val="20"/>
          <w:lang w:val="fr-CA"/>
        </w:rPr>
      </w:pPr>
    </w:p>
    <w:p w:rsidR="00C060D7" w:rsidRPr="00E327E7" w:rsidRDefault="00C060D7" w:rsidP="00E327E7">
      <w:pPr>
        <w:pStyle w:val="SCCLawFirm"/>
        <w:spacing w:line="240" w:lineRule="auto"/>
        <w:rPr>
          <w:sz w:val="20"/>
          <w:lang w:val="fr-CA"/>
        </w:rPr>
      </w:pPr>
      <w:r w:rsidRPr="00E327E7">
        <w:rPr>
          <w:sz w:val="20"/>
          <w:lang w:val="fr-CA"/>
        </w:rPr>
        <w:tab/>
        <w:t>Solicitors for the appellant Conseil scolaire francophone de la Colombie</w:t>
      </w:r>
      <w:r w:rsidRPr="00E327E7">
        <w:rPr>
          <w:sz w:val="20"/>
          <w:lang w:val="fr-CA"/>
        </w:rPr>
        <w:noBreakHyphen/>
        <w:t>Britannique: Gall, Legge, Grant &amp; Munroe, Vancouver; Power Law, Ottawa.</w:t>
      </w:r>
    </w:p>
    <w:p w:rsidR="00E327E7" w:rsidRPr="00E327E7" w:rsidRDefault="00E327E7" w:rsidP="00E327E7">
      <w:pPr>
        <w:pStyle w:val="SCCNormalDoubleSpacing"/>
        <w:spacing w:line="240" w:lineRule="auto"/>
        <w:rPr>
          <w:sz w:val="20"/>
          <w:lang w:val="fr-CA"/>
        </w:rPr>
      </w:pPr>
    </w:p>
    <w:p w:rsidR="00C060D7" w:rsidRPr="00E327E7" w:rsidRDefault="00C060D7" w:rsidP="00E327E7">
      <w:pPr>
        <w:pStyle w:val="SCCLawFirm"/>
        <w:spacing w:line="240" w:lineRule="auto"/>
        <w:rPr>
          <w:sz w:val="20"/>
        </w:rPr>
      </w:pPr>
      <w:r w:rsidRPr="00E327E7">
        <w:rPr>
          <w:sz w:val="20"/>
          <w:lang w:val="fr-CA"/>
        </w:rPr>
        <w:tab/>
      </w:r>
      <w:r w:rsidRPr="00E327E7">
        <w:rPr>
          <w:sz w:val="20"/>
        </w:rPr>
        <w:t>Solicitors for the respondents: Attorney General of British Columbia, Victoria; McCarthy Tétrault, Vancouver.</w:t>
      </w:r>
    </w:p>
    <w:p w:rsidR="00E327E7" w:rsidRPr="00E327E7" w:rsidRDefault="00E327E7" w:rsidP="00E327E7">
      <w:pPr>
        <w:pStyle w:val="SCCNormalDoubleSpacing"/>
        <w:spacing w:line="240" w:lineRule="auto"/>
        <w:rPr>
          <w:sz w:val="20"/>
        </w:rPr>
      </w:pPr>
    </w:p>
    <w:p w:rsidR="00C060D7" w:rsidRPr="00E327E7" w:rsidRDefault="00C060D7" w:rsidP="00E327E7">
      <w:pPr>
        <w:pStyle w:val="SCCLawFirm"/>
        <w:spacing w:line="240" w:lineRule="auto"/>
        <w:rPr>
          <w:sz w:val="20"/>
        </w:rPr>
      </w:pPr>
      <w:r w:rsidRPr="00E327E7">
        <w:rPr>
          <w:sz w:val="20"/>
        </w:rPr>
        <w:tab/>
        <w:t>Solicitor for the intervener the Attorney General for Saskatchewan: Attorney General for Saskatchewan, Regina.</w:t>
      </w:r>
    </w:p>
    <w:p w:rsidR="00E327E7" w:rsidRPr="00E327E7" w:rsidRDefault="00E327E7" w:rsidP="00E327E7">
      <w:pPr>
        <w:pStyle w:val="SCCNormalDoubleSpacing"/>
        <w:spacing w:line="240" w:lineRule="auto"/>
        <w:rPr>
          <w:sz w:val="20"/>
        </w:rPr>
      </w:pPr>
    </w:p>
    <w:p w:rsidR="00C060D7" w:rsidRPr="00E327E7" w:rsidRDefault="00C060D7" w:rsidP="00E327E7">
      <w:pPr>
        <w:pStyle w:val="SCCLawFirm"/>
        <w:spacing w:line="240" w:lineRule="auto"/>
        <w:rPr>
          <w:sz w:val="20"/>
        </w:rPr>
      </w:pPr>
      <w:r w:rsidRPr="00E327E7">
        <w:rPr>
          <w:sz w:val="20"/>
        </w:rPr>
        <w:tab/>
        <w:t>Solicitor for the intervener the Attorney General of Alberta: Attorney General of Alberta, Edmonton.</w:t>
      </w:r>
    </w:p>
    <w:p w:rsidR="00E327E7" w:rsidRPr="00E327E7" w:rsidRDefault="00E327E7" w:rsidP="00E327E7">
      <w:pPr>
        <w:pStyle w:val="SCCNormalDoubleSpacing"/>
        <w:spacing w:line="240" w:lineRule="auto"/>
        <w:rPr>
          <w:sz w:val="20"/>
        </w:rPr>
      </w:pPr>
    </w:p>
    <w:p w:rsidR="00C060D7" w:rsidRPr="00E327E7" w:rsidRDefault="00C060D7" w:rsidP="00E327E7">
      <w:pPr>
        <w:pStyle w:val="SCCLawFirm"/>
        <w:spacing w:line="240" w:lineRule="auto"/>
        <w:rPr>
          <w:sz w:val="20"/>
        </w:rPr>
      </w:pPr>
      <w:r w:rsidRPr="00E327E7">
        <w:rPr>
          <w:sz w:val="20"/>
        </w:rPr>
        <w:tab/>
        <w:t>Solicitors for the intervener the Attorney General of the Northwest Territories: Gowling Lafleur Henderson, Ottawa.</w:t>
      </w:r>
    </w:p>
    <w:p w:rsidR="00E327E7" w:rsidRPr="00E327E7" w:rsidRDefault="00E327E7" w:rsidP="00E327E7">
      <w:pPr>
        <w:pStyle w:val="SCCNormalDoubleSpacing"/>
        <w:spacing w:line="240" w:lineRule="auto"/>
        <w:rPr>
          <w:sz w:val="20"/>
        </w:rPr>
      </w:pPr>
    </w:p>
    <w:p w:rsidR="00C060D7" w:rsidRPr="00E327E7" w:rsidRDefault="00C060D7" w:rsidP="00E327E7">
      <w:pPr>
        <w:pStyle w:val="SCCLawFirm"/>
        <w:spacing w:line="240" w:lineRule="auto"/>
        <w:rPr>
          <w:sz w:val="20"/>
        </w:rPr>
      </w:pPr>
      <w:r w:rsidRPr="00E327E7">
        <w:rPr>
          <w:sz w:val="20"/>
        </w:rPr>
        <w:lastRenderedPageBreak/>
        <w:tab/>
        <w:t>Solicitors for the intervener the Attorney General of the Yukon Territory: Attorney General of the Yukon, Whitehorse; Gowling Lafleur Henderson, Ottawa.</w:t>
      </w:r>
    </w:p>
    <w:p w:rsidR="00E327E7" w:rsidRPr="00E327E7" w:rsidRDefault="00E327E7" w:rsidP="00E327E7">
      <w:pPr>
        <w:pStyle w:val="SCCNormalDoubleSpacing"/>
        <w:spacing w:line="240" w:lineRule="auto"/>
        <w:rPr>
          <w:sz w:val="20"/>
        </w:rPr>
      </w:pPr>
    </w:p>
    <w:p w:rsidR="00C060D7" w:rsidRPr="00E327E7" w:rsidRDefault="00C060D7" w:rsidP="00E327E7">
      <w:pPr>
        <w:pStyle w:val="SCCLawFirm"/>
        <w:spacing w:line="240" w:lineRule="auto"/>
        <w:rPr>
          <w:sz w:val="20"/>
        </w:rPr>
      </w:pPr>
      <w:r w:rsidRPr="00E327E7">
        <w:rPr>
          <w:sz w:val="20"/>
        </w:rPr>
        <w:tab/>
        <w:t>Solicitor for the intervener the Commissioner of Official Languages of Canada: Office of the Commissioner of Official Languages, Gatineau.</w:t>
      </w:r>
    </w:p>
    <w:p w:rsidR="00E327E7" w:rsidRPr="00E327E7" w:rsidRDefault="00E327E7" w:rsidP="00E327E7">
      <w:pPr>
        <w:pStyle w:val="SCCNormalDoubleSpacing"/>
        <w:spacing w:line="240" w:lineRule="auto"/>
        <w:rPr>
          <w:sz w:val="20"/>
        </w:rPr>
      </w:pPr>
    </w:p>
    <w:p w:rsidR="00C060D7" w:rsidRPr="00E327E7" w:rsidRDefault="00C060D7" w:rsidP="00E327E7">
      <w:pPr>
        <w:pStyle w:val="SCCLawFirm"/>
        <w:spacing w:line="240" w:lineRule="auto"/>
        <w:rPr>
          <w:sz w:val="20"/>
          <w:lang w:val="fr-CA"/>
        </w:rPr>
      </w:pPr>
      <w:r w:rsidRPr="00E327E7">
        <w:rPr>
          <w:sz w:val="20"/>
        </w:rPr>
        <w:tab/>
      </w:r>
      <w:r w:rsidRPr="00E327E7">
        <w:rPr>
          <w:sz w:val="20"/>
          <w:lang w:val="fr-CA"/>
        </w:rPr>
        <w:t>Solicitors for the interveners Commission scolaire francophone, Territoires du Nord</w:t>
      </w:r>
      <w:r w:rsidRPr="00E327E7">
        <w:rPr>
          <w:sz w:val="20"/>
          <w:lang w:val="fr-CA"/>
        </w:rPr>
        <w:noBreakHyphen/>
        <w:t>Ouest, Fédération nationale des conseils scolaires francophones, Conseil des écoles fransaskoises and Commission scolaire francophone du Yukon: Miller Thomson, Regina.</w:t>
      </w:r>
    </w:p>
    <w:p w:rsidR="00C060D7" w:rsidRPr="00C060D7" w:rsidRDefault="00C060D7" w:rsidP="00E327E7">
      <w:pPr>
        <w:jc w:val="both"/>
        <w:rPr>
          <w:sz w:val="20"/>
          <w:szCs w:val="20"/>
          <w:lang w:val="fr-CA"/>
        </w:rPr>
      </w:pPr>
    </w:p>
    <w:p w:rsidR="005C6840" w:rsidRDefault="00417673" w:rsidP="005C6840">
      <w:pPr>
        <w:rPr>
          <w:lang w:val="fr-CA"/>
        </w:rPr>
      </w:pPr>
      <w:r>
        <w:rPr>
          <w:rFonts w:cs="Times New Roman"/>
          <w:sz w:val="20"/>
          <w:szCs w:val="20"/>
          <w:lang w:val="fr-CA"/>
        </w:rPr>
        <w:pict>
          <v:rect id="_x0000_i1103" style="width:144.3pt;height:1pt" o:hrpct="300" o:hralign="center" o:hrstd="t" o:hrnoshade="t" o:hr="t" fillcolor="black [3213]" stroked="f"/>
        </w:pict>
      </w:r>
    </w:p>
    <w:p w:rsidR="00902E51" w:rsidRDefault="00902E51" w:rsidP="00902E51">
      <w:pPr>
        <w:rPr>
          <w:rFonts w:cs="Times New Roman"/>
          <w:sz w:val="20"/>
          <w:szCs w:val="20"/>
          <w:lang w:val="fr-CA"/>
        </w:rPr>
      </w:pPr>
    </w:p>
    <w:p w:rsidR="00BB5EA6" w:rsidRDefault="00BB5EA6" w:rsidP="00902E51">
      <w:pPr>
        <w:rPr>
          <w:rFonts w:cs="Times New Roman"/>
          <w:sz w:val="20"/>
          <w:szCs w:val="20"/>
          <w:lang w:val="fr-CA"/>
        </w:rPr>
      </w:pPr>
    </w:p>
    <w:p w:rsidR="00BB5EA6" w:rsidRDefault="00BB5EA6" w:rsidP="00902E51">
      <w:pPr>
        <w:rPr>
          <w:rFonts w:cs="Times New Roman"/>
          <w:sz w:val="20"/>
          <w:szCs w:val="20"/>
          <w:lang w:val="fr-CA"/>
        </w:rPr>
      </w:pPr>
    </w:p>
    <w:p w:rsidR="00BB5EA6" w:rsidRDefault="00BB5EA6" w:rsidP="00902E51">
      <w:pPr>
        <w:rPr>
          <w:rFonts w:cs="Times New Roman"/>
          <w:sz w:val="20"/>
          <w:szCs w:val="20"/>
          <w:lang w:val="fr-CA"/>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124"/>
          <w:headerReference w:type="default" r:id="rId125"/>
          <w:footerReference w:type="even" r:id="rId126"/>
          <w:footerReference w:type="default" r:id="rId127"/>
          <w:headerReference w:type="first" r:id="rId128"/>
          <w:footerReference w:type="first" r:id="rId129"/>
          <w:pgSz w:w="12240" w:h="15840"/>
          <w:pgMar w:top="720" w:right="965" w:bottom="1080" w:left="1656" w:header="576" w:footer="960" w:gutter="0"/>
          <w:cols w:space="720"/>
          <w:titlePg/>
          <w:docGrid w:linePitch="272"/>
        </w:sectPr>
      </w:pPr>
    </w:p>
    <w:p w:rsidR="008112A9" w:rsidRPr="00265F92" w:rsidRDefault="00A26E00" w:rsidP="008112A9">
      <w:pPr>
        <w:widowControl w:val="0"/>
        <w:spacing w:line="180" w:lineRule="auto"/>
        <w:jc w:val="center"/>
        <w:rPr>
          <w:rFonts w:asciiTheme="minorHAnsi" w:hAnsiTheme="minorHAnsi" w:cstheme="minorHAnsi"/>
          <w:b/>
          <w:szCs w:val="24"/>
          <w:lang w:val="fr-CA"/>
        </w:rPr>
      </w:pPr>
      <w:r w:rsidRPr="002E0C7E">
        <w:rPr>
          <w:rFonts w:asciiTheme="minorHAnsi" w:hAnsiTheme="minorHAnsi" w:cstheme="minorHAnsi"/>
          <w:b/>
          <w:szCs w:val="24"/>
        </w:rPr>
        <w:lastRenderedPageBreak/>
        <w:fldChar w:fldCharType="begin"/>
      </w:r>
      <w:r w:rsidR="008112A9" w:rsidRPr="00265F92">
        <w:rPr>
          <w:rFonts w:asciiTheme="minorHAnsi" w:hAnsiTheme="minorHAnsi" w:cstheme="minorHAnsi"/>
          <w:b/>
          <w:szCs w:val="24"/>
          <w:lang w:val="fr-CA"/>
        </w:rPr>
        <w:instrText xml:space="preserve"> SEQ CHAPTER \h \r 1</w:instrText>
      </w:r>
      <w:r w:rsidRPr="002E0C7E">
        <w:rPr>
          <w:rFonts w:asciiTheme="minorHAnsi" w:hAnsiTheme="minorHAnsi" w:cstheme="minorHAnsi"/>
          <w:b/>
          <w:szCs w:val="24"/>
        </w:rPr>
        <w:fldChar w:fldCharType="end"/>
      </w:r>
      <w:r w:rsidR="008112A9" w:rsidRPr="00265F92">
        <w:rPr>
          <w:rFonts w:asciiTheme="minorHAnsi" w:hAnsiTheme="minorHAnsi" w:cstheme="minorHAnsi"/>
          <w:b/>
          <w:szCs w:val="24"/>
          <w:lang w:val="fr-CA"/>
        </w:rPr>
        <w:t>SUPREME COURT OF CANADA SCHEDULE / CALENDRIER DE LA COUR SUPREME</w:t>
      </w:r>
    </w:p>
    <w:p w:rsidR="008112A9" w:rsidRPr="00265F92" w:rsidRDefault="008112A9" w:rsidP="008112A9">
      <w:pPr>
        <w:widowControl w:val="0"/>
        <w:spacing w:line="180" w:lineRule="auto"/>
        <w:rPr>
          <w:rFonts w:asciiTheme="minorHAnsi" w:hAnsiTheme="minorHAnsi" w:cstheme="minorHAnsi"/>
          <w:szCs w:val="24"/>
          <w:lang w:val="fr-CA"/>
        </w:rPr>
      </w:pPr>
    </w:p>
    <w:p w:rsidR="008112A9" w:rsidRPr="00265F92" w:rsidRDefault="008112A9" w:rsidP="008112A9">
      <w:pPr>
        <w:widowControl w:val="0"/>
        <w:tabs>
          <w:tab w:val="center" w:pos="5400"/>
          <w:tab w:val="right" w:pos="10440"/>
        </w:tabs>
        <w:rPr>
          <w:rFonts w:ascii="Arial" w:hAnsi="Arial"/>
          <w:sz w:val="18"/>
          <w:lang w:val="fr-CA"/>
        </w:rPr>
      </w:pPr>
      <w:r w:rsidRPr="00265F92">
        <w:rPr>
          <w:rFonts w:ascii="Arial" w:hAnsi="Arial"/>
          <w:sz w:val="18"/>
          <w:lang w:val="fr-CA"/>
        </w:rPr>
        <w:tab/>
      </w:r>
      <w:r w:rsidRPr="00265F92">
        <w:rPr>
          <w:rFonts w:ascii="Arial" w:hAnsi="Arial"/>
          <w:i/>
          <w:sz w:val="36"/>
          <w:lang w:val="fr-CA"/>
        </w:rPr>
        <w:t xml:space="preserve">- </w:t>
      </w:r>
      <w:r w:rsidRPr="00265F92">
        <w:rPr>
          <w:rFonts w:ascii="Arial" w:hAnsi="Arial"/>
          <w:b/>
          <w:i/>
          <w:sz w:val="36"/>
          <w:lang w:val="fr-CA"/>
        </w:rPr>
        <w:t>2014</w:t>
      </w:r>
      <w:r w:rsidRPr="00265F92">
        <w:rPr>
          <w:rFonts w:ascii="Arial" w:hAnsi="Arial"/>
          <w:i/>
          <w:sz w:val="36"/>
          <w:lang w:val="fr-CA"/>
        </w:rPr>
        <w:t xml:space="preserve"> -</w:t>
      </w:r>
      <w:r w:rsidRPr="00265F92">
        <w:rPr>
          <w:rFonts w:ascii="Arial" w:hAnsi="Arial"/>
          <w:sz w:val="18"/>
          <w:lang w:val="fr-CA"/>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12A9" w:rsidRPr="002E0C7E" w:rsidTr="000C0C5C">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0C0C5C">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0C0C5C">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0C0C5C">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0C0C5C">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0C0C5C">
            <w:pPr>
              <w:widowControl w:val="0"/>
              <w:jc w:val="center"/>
              <w:rPr>
                <w:rFonts w:ascii="Arial" w:hAnsi="Arial"/>
                <w:sz w:val="14"/>
              </w:rPr>
            </w:pPr>
            <w:r w:rsidRPr="002E0C7E">
              <w:rPr>
                <w:rFonts w:ascii="Arial" w:hAnsi="Arial"/>
                <w:b/>
                <w:sz w:val="14"/>
              </w:rPr>
              <w:t>DECEMBER - DÉCEMBRE</w:t>
            </w:r>
          </w:p>
        </w:tc>
      </w:tr>
      <w:tr w:rsidR="008112A9" w:rsidRPr="002E0C7E" w:rsidTr="000C0C5C">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sz w:val="14"/>
              </w:rPr>
              <w:t>S</w:t>
            </w:r>
          </w:p>
          <w:p w:rsidR="008112A9" w:rsidRPr="002E0C7E" w:rsidRDefault="008112A9" w:rsidP="000C0C5C">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sz w:val="14"/>
              </w:rPr>
              <w:t>M</w:t>
            </w:r>
          </w:p>
          <w:p w:rsidR="008112A9" w:rsidRPr="002E0C7E" w:rsidRDefault="008112A9" w:rsidP="000C0C5C">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sz w:val="14"/>
              </w:rPr>
              <w:t>T</w:t>
            </w:r>
          </w:p>
          <w:p w:rsidR="008112A9" w:rsidRPr="002E0C7E" w:rsidRDefault="008112A9" w:rsidP="000C0C5C">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sz w:val="14"/>
              </w:rPr>
              <w:t>W</w:t>
            </w:r>
          </w:p>
          <w:p w:rsidR="008112A9" w:rsidRPr="002E0C7E" w:rsidRDefault="008112A9" w:rsidP="000C0C5C">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sz w:val="14"/>
              </w:rPr>
              <w:t>T</w:t>
            </w:r>
          </w:p>
          <w:p w:rsidR="008112A9" w:rsidRPr="002E0C7E" w:rsidRDefault="008112A9" w:rsidP="000C0C5C">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sz w:val="14"/>
              </w:rPr>
              <w:t>F</w:t>
            </w:r>
          </w:p>
          <w:p w:rsidR="008112A9" w:rsidRPr="002E0C7E" w:rsidRDefault="008112A9" w:rsidP="000C0C5C">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sz w:val="14"/>
              </w:rPr>
              <w:t>S</w:t>
            </w:r>
          </w:p>
          <w:p w:rsidR="008112A9" w:rsidRPr="002E0C7E" w:rsidRDefault="008112A9" w:rsidP="000C0C5C">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sz w:val="14"/>
              </w:rPr>
              <w:t>S</w:t>
            </w:r>
          </w:p>
          <w:p w:rsidR="008112A9" w:rsidRPr="002E0C7E" w:rsidRDefault="008112A9" w:rsidP="000C0C5C">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sz w:val="14"/>
              </w:rPr>
              <w:t>M</w:t>
            </w:r>
          </w:p>
          <w:p w:rsidR="008112A9" w:rsidRPr="002E0C7E" w:rsidRDefault="008112A9" w:rsidP="000C0C5C">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sz w:val="14"/>
              </w:rPr>
              <w:t>T</w:t>
            </w:r>
          </w:p>
          <w:p w:rsidR="008112A9" w:rsidRPr="002E0C7E" w:rsidRDefault="008112A9" w:rsidP="000C0C5C">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sz w:val="14"/>
              </w:rPr>
              <w:t>W</w:t>
            </w:r>
          </w:p>
          <w:p w:rsidR="008112A9" w:rsidRPr="002E0C7E" w:rsidRDefault="008112A9" w:rsidP="000C0C5C">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sz w:val="14"/>
              </w:rPr>
              <w:t>T</w:t>
            </w:r>
          </w:p>
          <w:p w:rsidR="008112A9" w:rsidRPr="002E0C7E" w:rsidRDefault="008112A9" w:rsidP="000C0C5C">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sz w:val="14"/>
              </w:rPr>
              <w:t>F</w:t>
            </w:r>
          </w:p>
          <w:p w:rsidR="008112A9" w:rsidRPr="002E0C7E" w:rsidRDefault="008112A9" w:rsidP="000C0C5C">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sz w:val="14"/>
              </w:rPr>
              <w:t>S</w:t>
            </w:r>
          </w:p>
          <w:p w:rsidR="008112A9" w:rsidRPr="002E0C7E" w:rsidRDefault="008112A9" w:rsidP="000C0C5C">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sz w:val="14"/>
              </w:rPr>
              <w:t>S</w:t>
            </w:r>
          </w:p>
          <w:p w:rsidR="008112A9" w:rsidRPr="002E0C7E" w:rsidRDefault="008112A9" w:rsidP="000C0C5C">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sz w:val="14"/>
              </w:rPr>
              <w:t>M</w:t>
            </w:r>
          </w:p>
          <w:p w:rsidR="008112A9" w:rsidRPr="002E0C7E" w:rsidRDefault="008112A9" w:rsidP="000C0C5C">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sz w:val="14"/>
              </w:rPr>
              <w:t>T</w:t>
            </w:r>
          </w:p>
          <w:p w:rsidR="008112A9" w:rsidRPr="002E0C7E" w:rsidRDefault="008112A9" w:rsidP="000C0C5C">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sz w:val="14"/>
              </w:rPr>
              <w:t>W</w:t>
            </w:r>
          </w:p>
          <w:p w:rsidR="008112A9" w:rsidRPr="002E0C7E" w:rsidRDefault="008112A9" w:rsidP="000C0C5C">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sz w:val="14"/>
              </w:rPr>
              <w:t>T</w:t>
            </w:r>
          </w:p>
          <w:p w:rsidR="008112A9" w:rsidRPr="002E0C7E" w:rsidRDefault="008112A9" w:rsidP="000C0C5C">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sz w:val="14"/>
              </w:rPr>
              <w:t>F</w:t>
            </w:r>
          </w:p>
          <w:p w:rsidR="008112A9" w:rsidRPr="002E0C7E" w:rsidRDefault="008112A9" w:rsidP="000C0C5C">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sz w:val="14"/>
              </w:rPr>
              <w:t>S</w:t>
            </w:r>
          </w:p>
          <w:p w:rsidR="008112A9" w:rsidRPr="002E0C7E" w:rsidRDefault="008112A9" w:rsidP="000C0C5C">
            <w:pPr>
              <w:widowControl w:val="0"/>
              <w:jc w:val="center"/>
              <w:rPr>
                <w:rFonts w:ascii="Arial" w:hAnsi="Arial"/>
                <w:sz w:val="14"/>
              </w:rPr>
            </w:pPr>
            <w:r w:rsidRPr="002E0C7E">
              <w:rPr>
                <w:rFonts w:ascii="Arial" w:hAnsi="Arial"/>
                <w:sz w:val="14"/>
              </w:rPr>
              <w:t>S</w:t>
            </w:r>
          </w:p>
        </w:tc>
      </w:tr>
      <w:tr w:rsidR="008112A9" w:rsidRPr="002E0C7E" w:rsidTr="000C0C5C">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35CC4" w:rsidRDefault="008112A9" w:rsidP="000C0C5C">
            <w:pPr>
              <w:widowControl w:val="0"/>
              <w:jc w:val="center"/>
              <w:rPr>
                <w:rFonts w:ascii="Arial" w:hAnsi="Arial"/>
                <w:b/>
                <w:sz w:val="14"/>
              </w:rPr>
            </w:pPr>
            <w:r>
              <w:rPr>
                <w:rFonts w:ascii="Arial" w:hAnsi="Arial"/>
                <w:b/>
                <w:sz w:val="14"/>
              </w:rPr>
              <w:t>M</w:t>
            </w:r>
          </w:p>
          <w:p w:rsidR="008112A9" w:rsidRPr="002E0C7E" w:rsidRDefault="008112A9" w:rsidP="000C0C5C">
            <w:pPr>
              <w:widowControl w:val="0"/>
              <w:jc w:val="center"/>
              <w:rPr>
                <w:rFonts w:ascii="Arial" w:hAnsi="Arial"/>
                <w:sz w:val="14"/>
              </w:rPr>
            </w:pPr>
            <w:r>
              <w:rPr>
                <w:rFonts w:ascii="Arial" w:hAnsi="Arial"/>
                <w:sz w:val="14"/>
              </w:rPr>
              <w:t>1</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6</w:t>
            </w:r>
          </w:p>
        </w:tc>
      </w:tr>
      <w:tr w:rsidR="008112A9" w:rsidRPr="002E0C7E" w:rsidTr="000C0C5C">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C583B" w:rsidRDefault="008112A9" w:rsidP="000C0C5C">
            <w:pPr>
              <w:widowControl w:val="0"/>
              <w:jc w:val="center"/>
              <w:rPr>
                <w:rFonts w:ascii="Arial" w:hAnsi="Arial"/>
                <w:b/>
                <w:sz w:val="14"/>
              </w:rPr>
            </w:pPr>
            <w:r>
              <w:rPr>
                <w:rFonts w:ascii="Arial" w:hAnsi="Arial"/>
                <w:b/>
                <w:sz w:val="14"/>
              </w:rPr>
              <w:t>M</w:t>
            </w:r>
          </w:p>
          <w:p w:rsidR="008112A9" w:rsidRPr="002E0C7E" w:rsidRDefault="008112A9" w:rsidP="000C0C5C">
            <w:pPr>
              <w:widowControl w:val="0"/>
              <w:jc w:val="center"/>
              <w:rPr>
                <w:rFonts w:ascii="Arial" w:hAnsi="Arial"/>
                <w:sz w:val="14"/>
              </w:rPr>
            </w:pPr>
            <w:r>
              <w:rPr>
                <w:rFonts w:ascii="Arial" w:hAnsi="Arial"/>
                <w:sz w:val="14"/>
              </w:rPr>
              <w:t>6</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0C583B" w:rsidRDefault="008112A9" w:rsidP="000C0C5C">
            <w:pPr>
              <w:widowControl w:val="0"/>
              <w:jc w:val="center"/>
              <w:rPr>
                <w:rFonts w:ascii="Arial" w:hAnsi="Arial"/>
                <w:b/>
                <w:sz w:val="14"/>
              </w:rPr>
            </w:pPr>
          </w:p>
          <w:p w:rsidR="008112A9" w:rsidRPr="002E0C7E" w:rsidRDefault="008112A9" w:rsidP="000C0C5C">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11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2</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b/>
                <w:sz w:val="14"/>
              </w:rPr>
              <w:t>M</w:t>
            </w:r>
          </w:p>
          <w:p w:rsidR="008112A9" w:rsidRPr="002E0C7E" w:rsidRDefault="008112A9" w:rsidP="000C0C5C">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double" w:sz="6"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13</w:t>
            </w:r>
          </w:p>
        </w:tc>
      </w:tr>
      <w:tr w:rsidR="008112A9" w:rsidRPr="002E0C7E" w:rsidTr="000C0C5C">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0C583B" w:rsidRDefault="008112A9" w:rsidP="000C0C5C">
            <w:pPr>
              <w:widowControl w:val="0"/>
              <w:jc w:val="center"/>
              <w:rPr>
                <w:rFonts w:ascii="Arial" w:hAnsi="Arial"/>
                <w:b/>
                <w:sz w:val="14"/>
              </w:rPr>
            </w:pPr>
            <w:r>
              <w:rPr>
                <w:rFonts w:ascii="Arial" w:hAnsi="Arial"/>
                <w:b/>
                <w:sz w:val="14"/>
              </w:rPr>
              <w:t>H</w:t>
            </w:r>
          </w:p>
          <w:p w:rsidR="008112A9" w:rsidRPr="002E0C7E" w:rsidRDefault="008112A9" w:rsidP="000C0C5C">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C583B"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18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9</w:t>
            </w:r>
          </w:p>
        </w:tc>
        <w:tc>
          <w:tcPr>
            <w:tcW w:w="470" w:type="dxa"/>
            <w:tcBorders>
              <w:top w:val="double" w:sz="6" w:space="0" w:color="000000"/>
              <w:left w:val="single" w:sz="8" w:space="0" w:color="000000"/>
              <w:bottom w:val="single" w:sz="4" w:space="0" w:color="auto"/>
              <w:right w:val="double" w:sz="6" w:space="0" w:color="000000"/>
            </w:tcBorders>
            <w:shd w:val="pct30" w:color="auto" w:fill="auto"/>
            <w:tcMar>
              <w:top w:w="72" w:type="dxa"/>
              <w:left w:w="0" w:type="dxa"/>
              <w:bottom w:w="43" w:type="dxa"/>
              <w:right w:w="0" w:type="dxa"/>
            </w:tcMar>
          </w:tcPr>
          <w:p w:rsidR="008112A9" w:rsidRPr="004030BA"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4F066E" w:rsidRDefault="008112A9" w:rsidP="000C0C5C">
            <w:pPr>
              <w:widowControl w:val="0"/>
              <w:jc w:val="center"/>
              <w:rPr>
                <w:rFonts w:ascii="Arial" w:hAnsi="Arial"/>
                <w:b/>
                <w:sz w:val="14"/>
              </w:rPr>
            </w:pPr>
            <w:r w:rsidRPr="004F066E">
              <w:rPr>
                <w:rFonts w:ascii="Arial" w:hAnsi="Arial"/>
                <w:b/>
                <w:sz w:val="14"/>
              </w:rPr>
              <w:t>H</w:t>
            </w:r>
          </w:p>
          <w:p w:rsidR="008112A9" w:rsidRPr="002E0C7E" w:rsidRDefault="008112A9" w:rsidP="000C0C5C">
            <w:pPr>
              <w:widowControl w:val="0"/>
              <w:jc w:val="center"/>
              <w:rPr>
                <w:rFonts w:ascii="Arial" w:hAnsi="Arial"/>
                <w:sz w:val="14"/>
              </w:rPr>
            </w:pPr>
            <w:r>
              <w:rPr>
                <w:rFonts w:ascii="Arial" w:hAnsi="Arial"/>
                <w:sz w:val="14"/>
              </w:rPr>
              <w:t>11</w:t>
            </w:r>
          </w:p>
        </w:tc>
        <w:tc>
          <w:tcPr>
            <w:tcW w:w="470"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4" w:space="0" w:color="auto"/>
              <w:right w:val="single" w:sz="8" w:space="0" w:color="000000"/>
            </w:tcBorders>
            <w:shd w:val="clear"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20</w:t>
            </w:r>
          </w:p>
        </w:tc>
      </w:tr>
      <w:tr w:rsidR="008112A9" w:rsidRPr="002E0C7E" w:rsidTr="000C0C5C">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16</w:t>
            </w:r>
          </w:p>
        </w:tc>
        <w:tc>
          <w:tcPr>
            <w:tcW w:w="470" w:type="dxa"/>
            <w:tcBorders>
              <w:top w:val="single" w:sz="4" w:space="0" w:color="auto"/>
              <w:left w:val="single" w:sz="8" w:space="0" w:color="000000"/>
              <w:bottom w:val="nil"/>
              <w:right w:val="nil"/>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nil"/>
              <w:right w:val="nil"/>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2</w:t>
            </w:r>
            <w:r>
              <w:rPr>
                <w:rFonts w:ascii="Arial" w:hAnsi="Arial"/>
                <w:sz w:val="14"/>
              </w:rPr>
              <w:t>0</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23</w:t>
            </w: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0C0C5C">
            <w:pPr>
              <w:widowControl w:val="0"/>
              <w:jc w:val="center"/>
              <w:rPr>
                <w:rFonts w:ascii="Arial" w:hAnsi="Arial"/>
                <w:b/>
                <w:sz w:val="14"/>
              </w:rPr>
            </w:pPr>
          </w:p>
          <w:p w:rsidR="008112A9" w:rsidRPr="002E0C7E" w:rsidRDefault="008112A9" w:rsidP="000C0C5C">
            <w:pPr>
              <w:widowControl w:val="0"/>
              <w:jc w:val="center"/>
              <w:rPr>
                <w:rFonts w:ascii="Arial" w:hAnsi="Arial"/>
                <w:sz w:val="14"/>
              </w:rPr>
            </w:pPr>
            <w:r>
              <w:rPr>
                <w:rFonts w:ascii="Arial" w:hAnsi="Arial"/>
                <w:sz w:val="14"/>
              </w:rPr>
              <w:t>24</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0C0C5C">
            <w:pPr>
              <w:widowControl w:val="0"/>
              <w:jc w:val="center"/>
              <w:rPr>
                <w:rFonts w:ascii="Arial" w:hAnsi="Arial"/>
                <w:b/>
                <w:sz w:val="14"/>
              </w:rPr>
            </w:pPr>
            <w:r>
              <w:rPr>
                <w:rFonts w:ascii="Arial" w:hAnsi="Arial"/>
                <w:b/>
                <w:sz w:val="14"/>
              </w:rPr>
              <w:t>H</w:t>
            </w:r>
          </w:p>
          <w:p w:rsidR="008112A9" w:rsidRPr="002E0C7E" w:rsidRDefault="008112A9" w:rsidP="000C0C5C">
            <w:pPr>
              <w:widowControl w:val="0"/>
              <w:jc w:val="center"/>
              <w:rPr>
                <w:rFonts w:ascii="Arial" w:hAnsi="Arial"/>
                <w:sz w:val="14"/>
              </w:rPr>
            </w:pPr>
            <w:r>
              <w:rPr>
                <w:rFonts w:ascii="Arial" w:hAnsi="Arial"/>
                <w:sz w:val="14"/>
              </w:rPr>
              <w:t>25</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0C0C5C">
            <w:pPr>
              <w:widowControl w:val="0"/>
              <w:jc w:val="center"/>
              <w:rPr>
                <w:rFonts w:ascii="Arial" w:hAnsi="Arial"/>
                <w:b/>
                <w:sz w:val="14"/>
              </w:rPr>
            </w:pPr>
            <w:r>
              <w:rPr>
                <w:rFonts w:ascii="Arial" w:hAnsi="Arial"/>
                <w:b/>
                <w:sz w:val="14"/>
              </w:rPr>
              <w:t>H</w:t>
            </w:r>
          </w:p>
          <w:p w:rsidR="008112A9" w:rsidRPr="002E0C7E" w:rsidRDefault="008112A9" w:rsidP="000C0C5C">
            <w:pPr>
              <w:widowControl w:val="0"/>
              <w:jc w:val="center"/>
              <w:rPr>
                <w:rFonts w:ascii="Arial" w:hAnsi="Arial"/>
                <w:sz w:val="14"/>
              </w:rPr>
            </w:pPr>
            <w:r>
              <w:rPr>
                <w:rFonts w:ascii="Arial" w:hAnsi="Arial"/>
                <w:sz w:val="14"/>
              </w:rPr>
              <w:t>26</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0C0C5C">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31</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0C0C5C">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3</w:t>
            </w:r>
          </w:p>
          <w:p w:rsidR="008112A9" w:rsidRPr="002E0C7E" w:rsidRDefault="008112A9" w:rsidP="000C0C5C">
            <w:pPr>
              <w:widowControl w:val="0"/>
              <w:rPr>
                <w:rFonts w:ascii="Arial" w:hAnsi="Arial"/>
                <w:sz w:val="14"/>
              </w:rPr>
            </w:pPr>
            <w:r>
              <w:rPr>
                <w:rFonts w:ascii="Arial" w:hAnsi="Arial"/>
                <w:sz w:val="14"/>
              </w:rPr>
              <w:t xml:space="preserve">      30</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29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30</w:t>
            </w:r>
          </w:p>
        </w:tc>
        <w:tc>
          <w:tcPr>
            <w:tcW w:w="469" w:type="dxa"/>
            <w:tcBorders>
              <w:top w:val="single" w:sz="4" w:space="0" w:color="auto"/>
              <w:left w:val="single" w:sz="8" w:space="0" w:color="000000"/>
              <w:bottom w:val="double" w:sz="6" w:space="0" w:color="000000"/>
              <w:right w:val="single" w:sz="4" w:space="0" w:color="auto"/>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31</w:t>
            </w: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p>
        </w:tc>
      </w:tr>
    </w:tbl>
    <w:p w:rsidR="008112A9" w:rsidRPr="002E0C7E" w:rsidRDefault="008112A9" w:rsidP="008112A9">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12A9" w:rsidRPr="002E0C7E" w:rsidTr="000C0C5C">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0C0C5C">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0C0C5C">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0C0C5C">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0C0C5C">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0C0C5C">
            <w:pPr>
              <w:widowControl w:val="0"/>
              <w:jc w:val="center"/>
              <w:rPr>
                <w:rFonts w:ascii="Arial" w:hAnsi="Arial"/>
                <w:sz w:val="14"/>
              </w:rPr>
            </w:pPr>
            <w:r w:rsidRPr="002E0C7E">
              <w:rPr>
                <w:rFonts w:ascii="Arial" w:hAnsi="Arial"/>
                <w:b/>
                <w:sz w:val="14"/>
              </w:rPr>
              <w:t>MARCH - MARS</w:t>
            </w:r>
          </w:p>
        </w:tc>
      </w:tr>
      <w:tr w:rsidR="008112A9" w:rsidRPr="002E0C7E" w:rsidTr="000C0C5C">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sz w:val="14"/>
              </w:rPr>
              <w:t>S</w:t>
            </w:r>
          </w:p>
          <w:p w:rsidR="008112A9" w:rsidRPr="002E0C7E" w:rsidRDefault="008112A9" w:rsidP="000C0C5C">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sz w:val="14"/>
              </w:rPr>
              <w:t>M</w:t>
            </w:r>
          </w:p>
          <w:p w:rsidR="008112A9" w:rsidRPr="002E0C7E" w:rsidRDefault="008112A9" w:rsidP="000C0C5C">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sz w:val="14"/>
              </w:rPr>
              <w:t>T</w:t>
            </w:r>
          </w:p>
          <w:p w:rsidR="008112A9" w:rsidRPr="002E0C7E" w:rsidRDefault="008112A9" w:rsidP="000C0C5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4" w:space="0" w:color="auto"/>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sz w:val="14"/>
              </w:rPr>
              <w:t>W</w:t>
            </w:r>
          </w:p>
          <w:p w:rsidR="008112A9" w:rsidRPr="002E0C7E" w:rsidRDefault="008112A9" w:rsidP="000C0C5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sz w:val="14"/>
              </w:rPr>
              <w:t>T</w:t>
            </w:r>
          </w:p>
          <w:p w:rsidR="008112A9" w:rsidRPr="002E0C7E" w:rsidRDefault="008112A9" w:rsidP="000C0C5C">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sz w:val="14"/>
              </w:rPr>
              <w:t>F</w:t>
            </w:r>
          </w:p>
          <w:p w:rsidR="008112A9" w:rsidRPr="002E0C7E" w:rsidRDefault="008112A9" w:rsidP="000C0C5C">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sz w:val="14"/>
              </w:rPr>
              <w:t>S</w:t>
            </w:r>
          </w:p>
          <w:p w:rsidR="008112A9" w:rsidRPr="002E0C7E" w:rsidRDefault="008112A9" w:rsidP="000C0C5C">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sz w:val="14"/>
              </w:rPr>
              <w:t>S</w:t>
            </w:r>
          </w:p>
          <w:p w:rsidR="008112A9" w:rsidRPr="002E0C7E" w:rsidRDefault="008112A9" w:rsidP="000C0C5C">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sz w:val="14"/>
              </w:rPr>
              <w:t>M</w:t>
            </w:r>
          </w:p>
          <w:p w:rsidR="008112A9" w:rsidRPr="002E0C7E" w:rsidRDefault="008112A9" w:rsidP="000C0C5C">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sz w:val="14"/>
              </w:rPr>
              <w:t>T</w:t>
            </w:r>
          </w:p>
          <w:p w:rsidR="008112A9" w:rsidRPr="002E0C7E" w:rsidRDefault="008112A9" w:rsidP="000C0C5C">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sz w:val="14"/>
              </w:rPr>
              <w:t>W</w:t>
            </w:r>
          </w:p>
          <w:p w:rsidR="008112A9" w:rsidRPr="002E0C7E" w:rsidRDefault="008112A9" w:rsidP="000C0C5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sz w:val="14"/>
              </w:rPr>
              <w:t>T</w:t>
            </w:r>
          </w:p>
          <w:p w:rsidR="008112A9" w:rsidRPr="002E0C7E" w:rsidRDefault="008112A9" w:rsidP="000C0C5C">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sz w:val="14"/>
              </w:rPr>
              <w:t>F</w:t>
            </w:r>
          </w:p>
          <w:p w:rsidR="008112A9" w:rsidRPr="002E0C7E" w:rsidRDefault="008112A9" w:rsidP="000C0C5C">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sz w:val="14"/>
              </w:rPr>
              <w:t>S</w:t>
            </w:r>
          </w:p>
          <w:p w:rsidR="008112A9" w:rsidRPr="002E0C7E" w:rsidRDefault="008112A9" w:rsidP="000C0C5C">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sz w:val="14"/>
              </w:rPr>
              <w:t>S</w:t>
            </w:r>
          </w:p>
          <w:p w:rsidR="008112A9" w:rsidRPr="002E0C7E" w:rsidRDefault="008112A9" w:rsidP="000C0C5C">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sz w:val="14"/>
              </w:rPr>
              <w:t>M</w:t>
            </w:r>
          </w:p>
          <w:p w:rsidR="008112A9" w:rsidRPr="002E0C7E" w:rsidRDefault="008112A9" w:rsidP="000C0C5C">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sz w:val="14"/>
              </w:rPr>
              <w:t>T</w:t>
            </w:r>
          </w:p>
          <w:p w:rsidR="008112A9" w:rsidRPr="002E0C7E" w:rsidRDefault="008112A9" w:rsidP="000C0C5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sz w:val="14"/>
              </w:rPr>
              <w:t>W</w:t>
            </w:r>
          </w:p>
          <w:p w:rsidR="008112A9" w:rsidRPr="002E0C7E" w:rsidRDefault="008112A9" w:rsidP="000C0C5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sz w:val="14"/>
              </w:rPr>
              <w:t>T</w:t>
            </w:r>
          </w:p>
          <w:p w:rsidR="008112A9" w:rsidRPr="002E0C7E" w:rsidRDefault="008112A9" w:rsidP="000C0C5C">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sz w:val="14"/>
              </w:rPr>
              <w:t>F</w:t>
            </w:r>
          </w:p>
          <w:p w:rsidR="008112A9" w:rsidRPr="002E0C7E" w:rsidRDefault="008112A9" w:rsidP="000C0C5C">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sz w:val="14"/>
              </w:rPr>
              <w:t>S</w:t>
            </w:r>
          </w:p>
          <w:p w:rsidR="008112A9" w:rsidRPr="002E0C7E" w:rsidRDefault="008112A9" w:rsidP="000C0C5C">
            <w:pPr>
              <w:widowControl w:val="0"/>
              <w:jc w:val="center"/>
              <w:rPr>
                <w:rFonts w:ascii="Arial" w:hAnsi="Arial"/>
                <w:sz w:val="14"/>
              </w:rPr>
            </w:pPr>
            <w:r w:rsidRPr="002E0C7E">
              <w:rPr>
                <w:rFonts w:ascii="Arial" w:hAnsi="Arial"/>
                <w:sz w:val="14"/>
              </w:rPr>
              <w:t>S</w:t>
            </w:r>
          </w:p>
        </w:tc>
      </w:tr>
      <w:tr w:rsidR="008112A9" w:rsidRPr="002E0C7E" w:rsidTr="000C0C5C">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317A69" w:rsidRDefault="008112A9" w:rsidP="000C0C5C">
            <w:pPr>
              <w:widowControl w:val="0"/>
              <w:jc w:val="center"/>
              <w:rPr>
                <w:rFonts w:ascii="Arial" w:hAnsi="Arial"/>
                <w:b/>
                <w:sz w:val="14"/>
              </w:rPr>
            </w:pPr>
          </w:p>
          <w:p w:rsidR="008112A9" w:rsidRPr="002E0C7E" w:rsidRDefault="008112A9" w:rsidP="000C0C5C">
            <w:pPr>
              <w:widowControl w:val="0"/>
              <w:jc w:val="center"/>
              <w:rPr>
                <w:rFonts w:ascii="Arial" w:hAnsi="Arial"/>
                <w:sz w:val="14"/>
              </w:rPr>
            </w:pP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0C0C5C">
            <w:pPr>
              <w:widowControl w:val="0"/>
              <w:jc w:val="center"/>
              <w:rPr>
                <w:rFonts w:ascii="Arial" w:hAnsi="Arial"/>
                <w:b/>
                <w:sz w:val="14"/>
              </w:rPr>
            </w:pPr>
          </w:p>
          <w:p w:rsidR="008112A9" w:rsidRPr="002E0C7E" w:rsidRDefault="008112A9" w:rsidP="000C0C5C">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4F066E" w:rsidRDefault="008112A9" w:rsidP="000C0C5C">
            <w:pPr>
              <w:widowControl w:val="0"/>
              <w:jc w:val="center"/>
              <w:rPr>
                <w:rFonts w:ascii="Arial" w:hAnsi="Arial"/>
                <w:b/>
                <w:sz w:val="14"/>
              </w:rPr>
            </w:pPr>
            <w:r w:rsidRPr="004F066E">
              <w:rPr>
                <w:rFonts w:ascii="Arial" w:hAnsi="Arial"/>
                <w:b/>
                <w:sz w:val="14"/>
              </w:rPr>
              <w:t>H</w:t>
            </w:r>
          </w:p>
          <w:p w:rsidR="008112A9" w:rsidRPr="002E0C7E" w:rsidRDefault="008112A9" w:rsidP="000C0C5C">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7</w:t>
            </w:r>
          </w:p>
        </w:tc>
      </w:tr>
      <w:tr w:rsidR="008112A9" w:rsidRPr="002E0C7E" w:rsidTr="000C0C5C">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6</w:t>
            </w:r>
          </w:p>
        </w:tc>
        <w:tc>
          <w:tcPr>
            <w:tcW w:w="469" w:type="dxa"/>
            <w:tcBorders>
              <w:top w:val="single" w:sz="4" w:space="0" w:color="auto"/>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45AC1" w:rsidRDefault="008112A9" w:rsidP="000C0C5C">
            <w:pPr>
              <w:widowControl w:val="0"/>
              <w:jc w:val="center"/>
              <w:rPr>
                <w:rFonts w:ascii="Arial" w:hAnsi="Arial"/>
                <w:b/>
                <w:sz w:val="14"/>
              </w:rPr>
            </w:pPr>
            <w:r>
              <w:rPr>
                <w:rFonts w:ascii="Arial" w:hAnsi="Arial"/>
                <w:b/>
                <w:sz w:val="14"/>
              </w:rPr>
              <w:t>M</w:t>
            </w:r>
          </w:p>
          <w:p w:rsidR="008112A9" w:rsidRPr="002E0C7E" w:rsidRDefault="008112A9" w:rsidP="000C0C5C">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14</w:t>
            </w:r>
          </w:p>
        </w:tc>
      </w:tr>
      <w:tr w:rsidR="008112A9" w:rsidRPr="002E0C7E" w:rsidTr="000C0C5C">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7255AD" w:rsidRDefault="008112A9" w:rsidP="000C0C5C">
            <w:pPr>
              <w:widowControl w:val="0"/>
              <w:jc w:val="center"/>
              <w:rPr>
                <w:rFonts w:ascii="Arial" w:hAnsi="Arial"/>
                <w:b/>
                <w:sz w:val="14"/>
              </w:rPr>
            </w:pPr>
            <w:r>
              <w:rPr>
                <w:rFonts w:ascii="Arial" w:hAnsi="Arial"/>
                <w:b/>
                <w:sz w:val="14"/>
              </w:rPr>
              <w:t>M</w:t>
            </w:r>
          </w:p>
          <w:p w:rsidR="008112A9" w:rsidRPr="002E0C7E" w:rsidRDefault="008112A9" w:rsidP="000C0C5C">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16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15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E2B85" w:rsidRDefault="008112A9" w:rsidP="000C0C5C">
            <w:pPr>
              <w:widowControl w:val="0"/>
              <w:jc w:val="center"/>
              <w:rPr>
                <w:rFonts w:ascii="Arial" w:hAnsi="Arial"/>
                <w:b/>
                <w:sz w:val="14"/>
              </w:rPr>
            </w:pPr>
          </w:p>
          <w:p w:rsidR="008112A9" w:rsidRPr="002E0C7E" w:rsidRDefault="008112A9" w:rsidP="000C0C5C">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9900C5" w:rsidRDefault="008112A9" w:rsidP="000C0C5C">
            <w:pPr>
              <w:widowControl w:val="0"/>
              <w:jc w:val="center"/>
              <w:rPr>
                <w:rFonts w:ascii="Arial" w:hAnsi="Arial"/>
                <w:b/>
                <w:sz w:val="14"/>
              </w:rPr>
            </w:pPr>
            <w:r w:rsidRPr="009900C5">
              <w:rPr>
                <w:rFonts w:ascii="Arial" w:hAnsi="Arial"/>
                <w:b/>
                <w:sz w:val="14"/>
              </w:rPr>
              <w:t>M</w:t>
            </w:r>
          </w:p>
          <w:p w:rsidR="008112A9" w:rsidRPr="002E0C7E" w:rsidRDefault="008112A9" w:rsidP="000C0C5C">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2</w:t>
            </w:r>
            <w:r w:rsidRPr="002E0C7E">
              <w:rPr>
                <w:rFonts w:ascii="Arial" w:hAnsi="Arial"/>
                <w:sz w:val="14"/>
              </w:rPr>
              <w:t>1</w:t>
            </w:r>
          </w:p>
        </w:tc>
      </w:tr>
      <w:tr w:rsidR="008112A9" w:rsidRPr="002E0C7E" w:rsidTr="000C0C5C">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D34238" w:rsidRDefault="008112A9" w:rsidP="000C0C5C">
            <w:pPr>
              <w:widowControl w:val="0"/>
              <w:jc w:val="center"/>
              <w:rPr>
                <w:rFonts w:ascii="Arial" w:hAnsi="Arial"/>
                <w:b/>
                <w:sz w:val="14"/>
              </w:rPr>
            </w:pPr>
          </w:p>
          <w:p w:rsidR="008112A9" w:rsidRPr="002E0C7E" w:rsidRDefault="008112A9" w:rsidP="000C0C5C">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2</w:t>
            </w:r>
            <w:r>
              <w:rPr>
                <w:rFonts w:ascii="Arial" w:hAnsi="Arial"/>
                <w:sz w:val="14"/>
              </w:rPr>
              <w:t>8</w:t>
            </w:r>
          </w:p>
        </w:tc>
      </w:tr>
      <w:tr w:rsidR="008112A9" w:rsidRPr="002E0C7E" w:rsidTr="000C0C5C">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61B35" w:rsidRDefault="008112A9" w:rsidP="000C0C5C">
            <w:pPr>
              <w:widowControl w:val="0"/>
              <w:jc w:val="center"/>
              <w:rPr>
                <w:rFonts w:ascii="Arial" w:hAnsi="Arial"/>
                <w:b/>
                <w:sz w:val="14"/>
              </w:rPr>
            </w:pPr>
          </w:p>
          <w:p w:rsidR="008112A9" w:rsidRPr="002E0C7E" w:rsidRDefault="008112A9" w:rsidP="000C0C5C">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tc>
      </w:tr>
    </w:tbl>
    <w:p w:rsidR="008112A9" w:rsidRPr="002E0C7E" w:rsidRDefault="008112A9" w:rsidP="008112A9">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12A9" w:rsidRPr="002E0C7E" w:rsidTr="000C0C5C">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0C0C5C">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0C0C5C">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0C0C5C">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0C0C5C">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0C0C5C">
            <w:pPr>
              <w:widowControl w:val="0"/>
              <w:jc w:val="center"/>
              <w:rPr>
                <w:rFonts w:ascii="Arial" w:hAnsi="Arial"/>
                <w:sz w:val="14"/>
              </w:rPr>
            </w:pPr>
            <w:r w:rsidRPr="002E0C7E">
              <w:rPr>
                <w:rFonts w:ascii="Arial" w:hAnsi="Arial"/>
                <w:b/>
                <w:sz w:val="14"/>
              </w:rPr>
              <w:t>JUNE - JUIN</w:t>
            </w:r>
          </w:p>
        </w:tc>
      </w:tr>
      <w:tr w:rsidR="008112A9" w:rsidRPr="002E0C7E" w:rsidTr="000C0C5C">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sz w:val="14"/>
              </w:rPr>
              <w:t>S</w:t>
            </w:r>
          </w:p>
          <w:p w:rsidR="008112A9" w:rsidRPr="002E0C7E" w:rsidRDefault="008112A9" w:rsidP="000C0C5C">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sz w:val="14"/>
              </w:rPr>
              <w:t>M</w:t>
            </w:r>
          </w:p>
          <w:p w:rsidR="008112A9" w:rsidRPr="002E0C7E" w:rsidRDefault="008112A9" w:rsidP="000C0C5C">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sz w:val="14"/>
              </w:rPr>
              <w:t>T</w:t>
            </w:r>
          </w:p>
          <w:p w:rsidR="008112A9" w:rsidRPr="002E0C7E" w:rsidRDefault="008112A9" w:rsidP="000C0C5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sz w:val="14"/>
              </w:rPr>
              <w:t>W</w:t>
            </w:r>
          </w:p>
          <w:p w:rsidR="008112A9" w:rsidRPr="002E0C7E" w:rsidRDefault="008112A9" w:rsidP="000C0C5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sz w:val="14"/>
              </w:rPr>
              <w:t>T</w:t>
            </w:r>
          </w:p>
          <w:p w:rsidR="008112A9" w:rsidRPr="002E0C7E" w:rsidRDefault="008112A9" w:rsidP="000C0C5C">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sz w:val="14"/>
              </w:rPr>
              <w:t>F</w:t>
            </w:r>
          </w:p>
          <w:p w:rsidR="008112A9" w:rsidRPr="002E0C7E" w:rsidRDefault="008112A9" w:rsidP="000C0C5C">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sz w:val="14"/>
              </w:rPr>
              <w:t>S</w:t>
            </w:r>
          </w:p>
          <w:p w:rsidR="008112A9" w:rsidRPr="002E0C7E" w:rsidRDefault="008112A9" w:rsidP="000C0C5C">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sz w:val="14"/>
              </w:rPr>
              <w:t>S</w:t>
            </w:r>
          </w:p>
          <w:p w:rsidR="008112A9" w:rsidRPr="002E0C7E" w:rsidRDefault="008112A9" w:rsidP="000C0C5C">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sz w:val="14"/>
              </w:rPr>
              <w:t>M</w:t>
            </w:r>
          </w:p>
          <w:p w:rsidR="008112A9" w:rsidRPr="002E0C7E" w:rsidRDefault="008112A9" w:rsidP="000C0C5C">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sz w:val="14"/>
              </w:rPr>
              <w:t>T</w:t>
            </w:r>
          </w:p>
          <w:p w:rsidR="008112A9" w:rsidRPr="002E0C7E" w:rsidRDefault="008112A9" w:rsidP="000C0C5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sz w:val="14"/>
              </w:rPr>
              <w:t>W</w:t>
            </w:r>
          </w:p>
          <w:p w:rsidR="008112A9" w:rsidRPr="002E0C7E" w:rsidRDefault="008112A9" w:rsidP="000C0C5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sz w:val="14"/>
              </w:rPr>
              <w:t>T</w:t>
            </w:r>
          </w:p>
          <w:p w:rsidR="008112A9" w:rsidRPr="002E0C7E" w:rsidRDefault="008112A9" w:rsidP="000C0C5C">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sz w:val="14"/>
              </w:rPr>
              <w:t>F</w:t>
            </w:r>
          </w:p>
          <w:p w:rsidR="008112A9" w:rsidRPr="002E0C7E" w:rsidRDefault="008112A9" w:rsidP="000C0C5C">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sz w:val="14"/>
              </w:rPr>
              <w:t>S</w:t>
            </w:r>
          </w:p>
          <w:p w:rsidR="008112A9" w:rsidRPr="002E0C7E" w:rsidRDefault="008112A9" w:rsidP="000C0C5C">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sz w:val="14"/>
              </w:rPr>
              <w:t>S</w:t>
            </w:r>
          </w:p>
          <w:p w:rsidR="008112A9" w:rsidRPr="002E0C7E" w:rsidRDefault="008112A9" w:rsidP="000C0C5C">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sz w:val="14"/>
              </w:rPr>
              <w:t>M</w:t>
            </w:r>
          </w:p>
          <w:p w:rsidR="008112A9" w:rsidRPr="002E0C7E" w:rsidRDefault="008112A9" w:rsidP="000C0C5C">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sz w:val="14"/>
              </w:rPr>
              <w:t>T</w:t>
            </w:r>
          </w:p>
          <w:p w:rsidR="008112A9" w:rsidRPr="002E0C7E" w:rsidRDefault="008112A9" w:rsidP="000C0C5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sz w:val="14"/>
              </w:rPr>
              <w:t>W</w:t>
            </w:r>
          </w:p>
          <w:p w:rsidR="008112A9" w:rsidRPr="002E0C7E" w:rsidRDefault="008112A9" w:rsidP="000C0C5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sz w:val="14"/>
              </w:rPr>
              <w:t>T</w:t>
            </w:r>
          </w:p>
          <w:p w:rsidR="008112A9" w:rsidRPr="002E0C7E" w:rsidRDefault="008112A9" w:rsidP="000C0C5C">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sidRPr="002E0C7E">
              <w:rPr>
                <w:rFonts w:ascii="Arial" w:hAnsi="Arial"/>
                <w:sz w:val="14"/>
              </w:rPr>
              <w:t>F</w:t>
            </w:r>
          </w:p>
          <w:p w:rsidR="008112A9" w:rsidRPr="002E0C7E" w:rsidRDefault="008112A9" w:rsidP="000C0C5C">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r>
              <w:rPr>
                <w:rFonts w:ascii="Arial" w:hAnsi="Arial"/>
                <w:sz w:val="14"/>
              </w:rPr>
              <w:t>S</w:t>
            </w:r>
          </w:p>
          <w:p w:rsidR="008112A9" w:rsidRPr="002E0C7E" w:rsidRDefault="008112A9" w:rsidP="000C0C5C">
            <w:pPr>
              <w:widowControl w:val="0"/>
              <w:jc w:val="center"/>
              <w:rPr>
                <w:rFonts w:ascii="Arial" w:hAnsi="Arial"/>
                <w:sz w:val="14"/>
              </w:rPr>
            </w:pPr>
            <w:r>
              <w:rPr>
                <w:rFonts w:ascii="Arial" w:hAnsi="Arial"/>
                <w:sz w:val="14"/>
              </w:rPr>
              <w:t>S</w:t>
            </w:r>
          </w:p>
        </w:tc>
      </w:tr>
      <w:tr w:rsidR="008112A9" w:rsidRPr="002E0C7E" w:rsidTr="000C0C5C">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072FEE" w:rsidRDefault="008112A9" w:rsidP="000C0C5C">
            <w:pPr>
              <w:widowControl w:val="0"/>
              <w:jc w:val="center"/>
              <w:rPr>
                <w:rFonts w:ascii="Arial" w:hAnsi="Arial"/>
                <w:b/>
                <w:sz w:val="14"/>
              </w:rPr>
            </w:pPr>
            <w:r>
              <w:rPr>
                <w:rFonts w:ascii="Arial" w:hAnsi="Arial"/>
                <w:b/>
                <w:sz w:val="14"/>
              </w:rPr>
              <w:t>H</w:t>
            </w:r>
          </w:p>
          <w:p w:rsidR="008112A9" w:rsidRPr="002E0C7E" w:rsidRDefault="008112A9" w:rsidP="000C0C5C">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b/>
                <w:sz w:val="14"/>
              </w:rPr>
            </w:pPr>
          </w:p>
          <w:p w:rsidR="008112A9" w:rsidRPr="002E0C7E" w:rsidRDefault="008112A9" w:rsidP="000C0C5C">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6</w:t>
            </w:r>
          </w:p>
        </w:tc>
      </w:tr>
      <w:tr w:rsidR="008112A9" w:rsidRPr="002E0C7E" w:rsidTr="000C0C5C">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710C8B" w:rsidRDefault="008112A9" w:rsidP="000C0C5C">
            <w:pPr>
              <w:widowControl w:val="0"/>
              <w:jc w:val="center"/>
              <w:rPr>
                <w:rFonts w:ascii="Arial" w:hAnsi="Arial"/>
                <w:b/>
                <w:sz w:val="14"/>
              </w:rPr>
            </w:pPr>
            <w:r>
              <w:rPr>
                <w:rFonts w:ascii="Arial" w:hAnsi="Arial"/>
                <w:b/>
                <w:sz w:val="14"/>
              </w:rPr>
              <w:t>H</w:t>
            </w:r>
          </w:p>
          <w:p w:rsidR="008112A9" w:rsidRPr="002E0C7E" w:rsidRDefault="008112A9" w:rsidP="000C0C5C">
            <w:pPr>
              <w:widowControl w:val="0"/>
              <w:jc w:val="center"/>
              <w:rPr>
                <w:rFonts w:ascii="Arial" w:hAnsi="Arial"/>
                <w:sz w:val="14"/>
              </w:rPr>
            </w:pP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9</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D6F71" w:rsidRDefault="008112A9" w:rsidP="000C0C5C">
            <w:pPr>
              <w:widowControl w:val="0"/>
              <w:jc w:val="center"/>
              <w:rPr>
                <w:rFonts w:ascii="Arial" w:hAnsi="Arial"/>
                <w:b/>
                <w:sz w:val="14"/>
              </w:rPr>
            </w:pPr>
            <w:r>
              <w:rPr>
                <w:rFonts w:ascii="Arial" w:hAnsi="Arial"/>
                <w:b/>
                <w:sz w:val="14"/>
              </w:rPr>
              <w:t>M</w:t>
            </w:r>
          </w:p>
          <w:p w:rsidR="008112A9" w:rsidRPr="002E0C7E" w:rsidRDefault="008112A9" w:rsidP="000C0C5C">
            <w:pPr>
              <w:widowControl w:val="0"/>
              <w:jc w:val="center"/>
              <w:rPr>
                <w:rFonts w:ascii="Arial" w:hAnsi="Arial"/>
                <w:sz w:val="14"/>
              </w:rPr>
            </w:pPr>
            <w:r>
              <w:rPr>
                <w:rFonts w:ascii="Arial" w:hAnsi="Arial"/>
                <w:sz w:val="14"/>
              </w:rPr>
              <w:t>8</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13</w:t>
            </w:r>
          </w:p>
        </w:tc>
      </w:tr>
      <w:tr w:rsidR="008112A9" w:rsidRPr="002E0C7E" w:rsidTr="000C0C5C">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DB5777" w:rsidRDefault="008112A9" w:rsidP="000C0C5C">
            <w:pPr>
              <w:widowControl w:val="0"/>
              <w:jc w:val="center"/>
              <w:rPr>
                <w:rFonts w:ascii="Arial" w:hAnsi="Arial"/>
                <w:b/>
                <w:sz w:val="14"/>
              </w:rPr>
            </w:pPr>
            <w:r>
              <w:rPr>
                <w:rFonts w:ascii="Arial" w:hAnsi="Arial"/>
                <w:b/>
                <w:sz w:val="14"/>
              </w:rPr>
              <w:t>M</w:t>
            </w:r>
          </w:p>
          <w:p w:rsidR="008112A9" w:rsidRPr="002E0C7E" w:rsidRDefault="008112A9" w:rsidP="000C0C5C">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852172" w:rsidRDefault="008112A9" w:rsidP="000C0C5C">
            <w:pPr>
              <w:widowControl w:val="0"/>
              <w:jc w:val="center"/>
              <w:rPr>
                <w:rFonts w:ascii="Arial" w:hAnsi="Arial"/>
                <w:b/>
                <w:sz w:val="14"/>
              </w:rPr>
            </w:pPr>
          </w:p>
          <w:p w:rsidR="008112A9" w:rsidRPr="002E0C7E" w:rsidRDefault="008112A9" w:rsidP="000C0C5C">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18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453E3" w:rsidRDefault="008112A9" w:rsidP="000C0C5C">
            <w:pPr>
              <w:widowControl w:val="0"/>
              <w:jc w:val="center"/>
              <w:rPr>
                <w:rFonts w:ascii="Arial" w:hAnsi="Arial"/>
                <w:b/>
                <w:sz w:val="14"/>
              </w:rPr>
            </w:pPr>
            <w:r w:rsidRPr="002453E3">
              <w:rPr>
                <w:rFonts w:ascii="Arial" w:hAnsi="Arial"/>
                <w:b/>
                <w:sz w:val="14"/>
              </w:rPr>
              <w:t>M</w:t>
            </w:r>
          </w:p>
          <w:p w:rsidR="008112A9" w:rsidRPr="002E0C7E" w:rsidRDefault="008112A9" w:rsidP="000C0C5C">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14</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20</w:t>
            </w:r>
          </w:p>
        </w:tc>
      </w:tr>
      <w:tr w:rsidR="008112A9" w:rsidRPr="002E0C7E" w:rsidTr="000C0C5C">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8112A9" w:rsidRPr="00CD57C3" w:rsidRDefault="008112A9" w:rsidP="000C0C5C">
            <w:pPr>
              <w:widowControl w:val="0"/>
              <w:jc w:val="center"/>
              <w:rPr>
                <w:rFonts w:ascii="Arial" w:hAnsi="Arial"/>
                <w:b/>
                <w:sz w:val="14"/>
              </w:rPr>
            </w:pPr>
          </w:p>
          <w:p w:rsidR="008112A9" w:rsidRPr="002E0C7E" w:rsidRDefault="008112A9" w:rsidP="000C0C5C">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2453E3" w:rsidRDefault="008112A9" w:rsidP="000C0C5C">
            <w:pPr>
              <w:widowControl w:val="0"/>
              <w:jc w:val="center"/>
              <w:rPr>
                <w:rFonts w:ascii="Arial" w:hAnsi="Arial"/>
                <w:b/>
                <w:sz w:val="14"/>
              </w:rPr>
            </w:pPr>
            <w:r>
              <w:rPr>
                <w:rFonts w:ascii="Arial" w:hAnsi="Arial"/>
                <w:b/>
                <w:sz w:val="14"/>
              </w:rPr>
              <w:t>H</w:t>
            </w:r>
          </w:p>
          <w:p w:rsidR="008112A9" w:rsidRPr="002E0C7E" w:rsidRDefault="008112A9" w:rsidP="000C0C5C">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0C0C5C">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0C0C5C">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112A9" w:rsidRPr="002E0C7E" w:rsidRDefault="008112A9" w:rsidP="000C0C5C">
            <w:pPr>
              <w:widowControl w:val="0"/>
              <w:jc w:val="center"/>
              <w:rPr>
                <w:rFonts w:ascii="Arial" w:hAnsi="Arial"/>
                <w:sz w:val="14"/>
              </w:rPr>
            </w:pPr>
            <w:r>
              <w:rPr>
                <w:rFonts w:ascii="Arial" w:hAnsi="Arial"/>
                <w:sz w:val="14"/>
              </w:rPr>
              <w:t xml:space="preserve">    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0C0C5C">
            <w:pPr>
              <w:widowControl w:val="0"/>
              <w:jc w:val="center"/>
              <w:rPr>
                <w:rFonts w:ascii="Arial" w:hAnsi="Arial"/>
                <w:sz w:val="14"/>
              </w:rPr>
            </w:pPr>
          </w:p>
          <w:p w:rsidR="008112A9" w:rsidRPr="002E0C7E" w:rsidRDefault="008112A9" w:rsidP="000C0C5C">
            <w:pPr>
              <w:widowControl w:val="0"/>
              <w:jc w:val="center"/>
              <w:rPr>
                <w:rFonts w:ascii="Arial" w:hAnsi="Arial"/>
                <w:sz w:val="14"/>
              </w:rPr>
            </w:pPr>
          </w:p>
        </w:tc>
      </w:tr>
    </w:tbl>
    <w:p w:rsidR="008112A9" w:rsidRPr="002E0C7E" w:rsidRDefault="008112A9" w:rsidP="008112A9">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12A9" w:rsidRPr="002E0C7E" w:rsidTr="000C0C5C">
        <w:trPr>
          <w:cantSplit/>
        </w:trPr>
        <w:tc>
          <w:tcPr>
            <w:tcW w:w="1710" w:type="dxa"/>
            <w:tcBorders>
              <w:top w:val="nil"/>
              <w:left w:val="nil"/>
              <w:bottom w:val="nil"/>
              <w:right w:val="nil"/>
            </w:tcBorders>
            <w:tcMar>
              <w:top w:w="43" w:type="dxa"/>
              <w:left w:w="120" w:type="dxa"/>
              <w:bottom w:w="29" w:type="dxa"/>
              <w:right w:w="120" w:type="dxa"/>
            </w:tcMar>
          </w:tcPr>
          <w:p w:rsidR="008112A9" w:rsidRPr="002E0C7E" w:rsidRDefault="008112A9" w:rsidP="000C0C5C">
            <w:pPr>
              <w:widowControl w:val="0"/>
              <w:rPr>
                <w:rFonts w:ascii="Arial" w:hAnsi="Arial"/>
                <w:sz w:val="16"/>
              </w:rPr>
            </w:pPr>
            <w:r w:rsidRPr="002E0C7E">
              <w:rPr>
                <w:rFonts w:ascii="Arial" w:hAnsi="Arial"/>
                <w:sz w:val="16"/>
              </w:rPr>
              <w:t>Sittings of the court:</w:t>
            </w:r>
          </w:p>
          <w:p w:rsidR="008112A9" w:rsidRPr="002E0C7E" w:rsidRDefault="008112A9" w:rsidP="000C0C5C">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12A9" w:rsidRPr="002E0C7E" w:rsidRDefault="008112A9" w:rsidP="000C0C5C">
            <w:pPr>
              <w:widowControl w:val="0"/>
              <w:rPr>
                <w:rFonts w:ascii="Arial" w:hAnsi="Arial"/>
                <w:sz w:val="16"/>
              </w:rPr>
            </w:pPr>
          </w:p>
          <w:p w:rsidR="008112A9" w:rsidRPr="002E0C7E" w:rsidRDefault="008112A9" w:rsidP="000C0C5C">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12A9" w:rsidRPr="00B058C3" w:rsidRDefault="008112A9" w:rsidP="000C0C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12A9" w:rsidRPr="00B058C3" w:rsidRDefault="008112A9" w:rsidP="000C0C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12A9" w:rsidRPr="00B058C3" w:rsidRDefault="008112A9" w:rsidP="000C0C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12A9" w:rsidRPr="002E0C7E" w:rsidRDefault="008112A9" w:rsidP="000C0C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3</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12A9" w:rsidRPr="002E0C7E" w:rsidRDefault="008112A9" w:rsidP="000C0C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0C0C5C">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0C0C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12A9" w:rsidRPr="002E0C7E" w:rsidRDefault="008112A9" w:rsidP="000C0C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12A9" w:rsidRPr="002E0C7E" w:rsidRDefault="008112A9" w:rsidP="000C0C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0C0C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0C0C5C">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0C0C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12A9" w:rsidRPr="002E0C7E" w:rsidRDefault="008112A9" w:rsidP="000C0C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12A9" w:rsidRPr="002E0C7E" w:rsidRDefault="008112A9" w:rsidP="000C0C5C">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0C0C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12A9" w:rsidRPr="002E0C7E" w:rsidRDefault="008112A9" w:rsidP="008112A9">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130"/>
      <w:footerReference w:type="default" r:id="rId131"/>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091" w:rsidRDefault="00D33091" w:rsidP="00A87207">
      <w:r>
        <w:separator/>
      </w:r>
    </w:p>
  </w:endnote>
  <w:endnote w:type="continuationSeparator" w:id="0">
    <w:p w:rsidR="00D33091" w:rsidRDefault="00D33091"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91" w:rsidRDefault="00D3309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91" w:rsidRDefault="00D330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D33091" w:rsidRDefault="00D330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33091" w:rsidRDefault="00D33091">
    <w:pPr>
      <w:tabs>
        <w:tab w:val="center" w:pos="4740"/>
      </w:tabs>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91" w:rsidRDefault="004176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2" style="width:480.95pt;height:1pt" o:hralign="center" o:hrstd="t" o:hrnoshade="t" o:hr="t" fillcolor="black [3213]" stroked="f"/>
      </w:pict>
    </w:r>
  </w:p>
  <w:p w:rsidR="00D33091" w:rsidRPr="0009648D" w:rsidRDefault="00D33091" w:rsidP="00ED7E83">
    <w:pPr>
      <w:tabs>
        <w:tab w:val="center" w:pos="4680"/>
      </w:tabs>
    </w:pPr>
    <w:r>
      <w:tab/>
    </w:r>
    <w:r w:rsidRPr="0009648D">
      <w:t xml:space="preserve">- </w:t>
    </w:r>
    <w:r w:rsidR="004E770A">
      <w:fldChar w:fldCharType="begin"/>
    </w:r>
    <w:r w:rsidR="004E770A">
      <w:instrText xml:space="preserve"> PAGE   \* MERGEFORMAT </w:instrText>
    </w:r>
    <w:r w:rsidR="004E770A">
      <w:fldChar w:fldCharType="separate"/>
    </w:r>
    <w:r w:rsidR="00417673">
      <w:rPr>
        <w:noProof/>
      </w:rPr>
      <w:t>717</w:t>
    </w:r>
    <w:r w:rsidR="004E770A">
      <w:rPr>
        <w:noProof/>
      </w:rPr>
      <w:fldChar w:fldCharType="end"/>
    </w:r>
    <w:r w:rsidRPr="0009648D">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91" w:rsidRDefault="00417673">
    <w:pPr>
      <w:pStyle w:val="Footer"/>
      <w:rPr>
        <w:lang w:val="fr-CA"/>
      </w:rPr>
    </w:pPr>
    <w:r>
      <w:rPr>
        <w:lang w:val="fr-CA"/>
      </w:rPr>
      <w:pict>
        <v:rect id="_x0000_i1083" style="width:480.95pt;height:1pt" o:hralign="center" o:hrstd="t" o:hrnoshade="t" o:hr="t" fillcolor="black [3213]" stroked="f"/>
      </w:pict>
    </w:r>
  </w:p>
  <w:p w:rsidR="00D33091" w:rsidRDefault="00D33091" w:rsidP="00245129">
    <w:pPr>
      <w:tabs>
        <w:tab w:val="center" w:pos="4680"/>
      </w:tabs>
    </w:pPr>
    <w:r>
      <w:tab/>
    </w:r>
    <w:r w:rsidRPr="0009648D">
      <w:t xml:space="preserve">- </w:t>
    </w:r>
    <w:r w:rsidR="004E770A">
      <w:fldChar w:fldCharType="begin"/>
    </w:r>
    <w:r w:rsidR="004E770A">
      <w:instrText xml:space="preserve"> PAGE   \* MERGEFORMAT </w:instrText>
    </w:r>
    <w:r w:rsidR="004E770A">
      <w:fldChar w:fldCharType="separate"/>
    </w:r>
    <w:r w:rsidR="00417673">
      <w:rPr>
        <w:noProof/>
      </w:rPr>
      <w:t>701</w:t>
    </w:r>
    <w:r w:rsidR="004E770A">
      <w:rPr>
        <w:noProof/>
      </w:rPr>
      <w:fldChar w:fldCharType="end"/>
    </w:r>
    <w:r w:rsidRPr="0009648D">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91" w:rsidRDefault="00D330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33091" w:rsidRDefault="00D330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33091" w:rsidRDefault="00D33091">
    <w:pPr>
      <w:tabs>
        <w:tab w:val="center" w:pos="4740"/>
      </w:tabs>
    </w:pPr>
    <w:r>
      <w:tab/>
      <w:t xml:space="preserve">- </w:t>
    </w:r>
    <w:r>
      <w:pgNum/>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91" w:rsidRDefault="00417673" w:rsidP="00755F22">
    <w:pPr>
      <w:tabs>
        <w:tab w:val="left" w:pos="-1440"/>
        <w:tab w:val="left" w:pos="-720"/>
      </w:tabs>
    </w:pPr>
    <w:r>
      <w:pict>
        <v:rect id="_x0000_i1089" style="width:480.95pt;height:1pt" o:hralign="center" o:hrstd="t" o:hrnoshade="t" o:hr="t" fillcolor="black [3213]" stroked="f"/>
      </w:pict>
    </w:r>
  </w:p>
  <w:p w:rsidR="00D33091" w:rsidRDefault="00D33091" w:rsidP="00EB2B90">
    <w:pPr>
      <w:tabs>
        <w:tab w:val="center" w:pos="4680"/>
      </w:tabs>
    </w:pPr>
    <w:r>
      <w:tab/>
      <w:t xml:space="preserve">- </w:t>
    </w:r>
    <w:r w:rsidR="004E770A">
      <w:fldChar w:fldCharType="begin"/>
    </w:r>
    <w:r w:rsidR="004E770A">
      <w:instrText xml:space="preserve"> PAGE   \* MERGEFORMAT </w:instrText>
    </w:r>
    <w:r w:rsidR="004E770A">
      <w:fldChar w:fldCharType="separate"/>
    </w:r>
    <w:r w:rsidR="00417673">
      <w:rPr>
        <w:noProof/>
      </w:rPr>
      <w:t>739</w:t>
    </w:r>
    <w:r w:rsidR="004E770A">
      <w:rPr>
        <w:noProof/>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91" w:rsidRDefault="00417673" w:rsidP="00EB2B90">
    <w:pPr>
      <w:tabs>
        <w:tab w:val="center" w:pos="4680"/>
      </w:tabs>
    </w:pPr>
    <w:r>
      <w:pict>
        <v:rect id="_x0000_i1090" style="width:480.95pt;height:1pt" o:hralign="center" o:hrstd="t" o:hrnoshade="t" o:hr="t" fillcolor="black [3213]" stroked="f"/>
      </w:pict>
    </w:r>
  </w:p>
  <w:p w:rsidR="00D33091" w:rsidRPr="0031432F" w:rsidRDefault="00D33091" w:rsidP="00EB2B90">
    <w:pPr>
      <w:tabs>
        <w:tab w:val="center" w:pos="4680"/>
      </w:tabs>
    </w:pPr>
    <w:r>
      <w:tab/>
      <w:t xml:space="preserve">- </w:t>
    </w:r>
    <w:r w:rsidR="004E770A">
      <w:fldChar w:fldCharType="begin"/>
    </w:r>
    <w:r w:rsidR="004E770A">
      <w:instrText xml:space="preserve"> PAGE   \* MERGEFORMAT </w:instrText>
    </w:r>
    <w:r w:rsidR="004E770A">
      <w:fldChar w:fldCharType="separate"/>
    </w:r>
    <w:r w:rsidR="00417673">
      <w:rPr>
        <w:noProof/>
      </w:rPr>
      <w:t>735</w:t>
    </w:r>
    <w:r w:rsidR="004E770A">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91" w:rsidRDefault="00D330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33091" w:rsidRDefault="00D330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33091" w:rsidRDefault="00D33091">
    <w:pPr>
      <w:tabs>
        <w:tab w:val="center" w:pos="4740"/>
      </w:tabs>
    </w:pPr>
    <w:r>
      <w:tab/>
      <w:t xml:space="preserve">- </w:t>
    </w:r>
    <w:r>
      <w:pgNum/>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91" w:rsidRDefault="004176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92" style="width:480.95pt;height:1pt" o:hralign="center" o:hrstd="t" o:hrnoshade="t" o:hr="t" fillcolor="black [3213]" stroked="f"/>
      </w:pict>
    </w:r>
  </w:p>
  <w:p w:rsidR="00D33091" w:rsidRDefault="00D33091" w:rsidP="00EB2B90">
    <w:pPr>
      <w:tabs>
        <w:tab w:val="center" w:pos="4680"/>
      </w:tabs>
    </w:pPr>
    <w:r>
      <w:tab/>
      <w:t xml:space="preserve">- </w:t>
    </w:r>
    <w:r w:rsidR="004E770A">
      <w:fldChar w:fldCharType="begin"/>
    </w:r>
    <w:r w:rsidR="004E770A">
      <w:instrText xml:space="preserve"> PAGE   \* MERGEFORMAT </w:instrText>
    </w:r>
    <w:r w:rsidR="004E770A">
      <w:fldChar w:fldCharType="separate"/>
    </w:r>
    <w:r>
      <w:rPr>
        <w:noProof/>
      </w:rPr>
      <w:t>524</w:t>
    </w:r>
    <w:r w:rsidR="004E770A">
      <w:rPr>
        <w:noProof/>
      </w:rPr>
      <w:fldChar w:fldCharType="end"/>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91" w:rsidRDefault="00417673">
    <w:pPr>
      <w:pStyle w:val="Footer"/>
      <w:rPr>
        <w:lang w:val="fr-CA"/>
      </w:rPr>
    </w:pPr>
    <w:r>
      <w:rPr>
        <w:lang w:val="fr-CA"/>
      </w:rPr>
      <w:pict>
        <v:rect id="_x0000_i1093" style="width:480.95pt;height:1pt" o:hralign="center" o:hrstd="t" o:hrnoshade="t" o:hr="t" fillcolor="black [3213]" stroked="f"/>
      </w:pict>
    </w:r>
  </w:p>
  <w:p w:rsidR="00D33091" w:rsidRDefault="00D33091" w:rsidP="00EB2B90">
    <w:pPr>
      <w:tabs>
        <w:tab w:val="center" w:pos="4680"/>
      </w:tabs>
    </w:pPr>
    <w:r>
      <w:tab/>
      <w:t xml:space="preserve">- </w:t>
    </w:r>
    <w:r w:rsidR="004E770A">
      <w:fldChar w:fldCharType="begin"/>
    </w:r>
    <w:r w:rsidR="004E770A">
      <w:instrText xml:space="preserve"> PAGE   \* MERGEFORMAT </w:instrText>
    </w:r>
    <w:r w:rsidR="004E770A">
      <w:fldChar w:fldCharType="separate"/>
    </w:r>
    <w:r w:rsidR="00417673">
      <w:rPr>
        <w:noProof/>
      </w:rPr>
      <w:t>740</w:t>
    </w:r>
    <w:r w:rsidR="004E770A">
      <w:rPr>
        <w:noProof/>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91" w:rsidRDefault="00D330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33091" w:rsidRDefault="00D330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33091" w:rsidRDefault="00D33091">
    <w:pPr>
      <w:tabs>
        <w:tab w:val="center" w:pos="4740"/>
      </w:tabs>
    </w:pPr>
    <w:r>
      <w:tab/>
      <w:t xml:space="preserve">- </w:t>
    </w:r>
    <w:r>
      <w:pgNum/>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91" w:rsidRDefault="00D33091">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91" w:rsidRDefault="00417673" w:rsidP="00732DB7">
    <w:r>
      <w:pict>
        <v:rect id="_x0000_i1097" style="width:480.95pt;height:1pt" o:hralign="center" o:hrstd="t" o:hrnoshade="t" o:hr="t" fillcolor="black" stroked="f"/>
      </w:pict>
    </w:r>
  </w:p>
  <w:p w:rsidR="00D33091" w:rsidRDefault="00D33091">
    <w:pPr>
      <w:tabs>
        <w:tab w:val="center" w:pos="4740"/>
      </w:tabs>
      <w:spacing w:line="0" w:lineRule="atLeast"/>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91" w:rsidRDefault="00417673">
    <w:pPr>
      <w:pStyle w:val="Footer"/>
    </w:pPr>
    <w:r>
      <w:pict>
        <v:rect id="_x0000_i1098" style="width:480.95pt;height:1pt" o:hralign="center" o:hrstd="t" o:hrnoshade="t" o:hr="t" fillcolor="black" stroked="f"/>
      </w:pict>
    </w:r>
  </w:p>
  <w:p w:rsidR="00D33091" w:rsidRPr="00283C52" w:rsidRDefault="00D33091">
    <w:pPr>
      <w:pStyle w:val="Footer"/>
    </w:pPr>
    <w:r>
      <w:tab/>
    </w:r>
    <w:r w:rsidRPr="00283C52">
      <w:t xml:space="preserve">- </w:t>
    </w:r>
    <w:r w:rsidRPr="00283C52">
      <w:pgNum/>
    </w:r>
    <w:r w:rsidRPr="00283C52">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91" w:rsidRDefault="00D330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33091" w:rsidRDefault="00D330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33091" w:rsidRDefault="00D33091">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91" w:rsidRDefault="00417673" w:rsidP="00732DB7">
    <w:r>
      <w:pict>
        <v:rect id="_x0000_i1100" style="width:480.95pt;height:1pt" o:hralign="center" o:hrstd="t" o:hrnoshade="t" o:hr="t" fillcolor="black" stroked="f"/>
      </w:pict>
    </w:r>
  </w:p>
  <w:p w:rsidR="00D33091" w:rsidRDefault="00D33091">
    <w:pPr>
      <w:tabs>
        <w:tab w:val="center" w:pos="4740"/>
      </w:tabs>
      <w:spacing w:line="0" w:lineRule="atLeast"/>
    </w:pPr>
    <w:r>
      <w:tab/>
      <w:t xml:space="preserve">- </w:t>
    </w:r>
    <w:r>
      <w:pgNum/>
    </w: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91" w:rsidRDefault="00417673">
    <w:pPr>
      <w:pStyle w:val="Footer"/>
    </w:pPr>
    <w:r>
      <w:pict>
        <v:rect id="_x0000_i1101" style="width:480.95pt;height:1pt" o:hralign="center" o:hrstd="t" o:hrnoshade="t" o:hr="t" fillcolor="black [3213]" stroked="f"/>
      </w:pict>
    </w:r>
  </w:p>
  <w:p w:rsidR="00D33091" w:rsidRPr="003C2C0F" w:rsidRDefault="00D33091" w:rsidP="00697C62">
    <w:pPr>
      <w:tabs>
        <w:tab w:val="center" w:pos="4680"/>
      </w:tabs>
    </w:pPr>
    <w:r>
      <w:tab/>
      <w:t xml:space="preserve">- </w:t>
    </w:r>
    <w:r w:rsidR="004E770A">
      <w:fldChar w:fldCharType="begin"/>
    </w:r>
    <w:r w:rsidR="004E770A">
      <w:instrText xml:space="preserve"> PAGE   \* MERGEFORMAT </w:instrText>
    </w:r>
    <w:r w:rsidR="004E770A">
      <w:fldChar w:fldCharType="separate"/>
    </w:r>
    <w:r w:rsidR="00417673">
      <w:rPr>
        <w:noProof/>
      </w:rPr>
      <w:t>744</w:t>
    </w:r>
    <w:r w:rsidR="004E770A">
      <w:rPr>
        <w:noProof/>
      </w:rPr>
      <w:fldChar w:fldCharType="end"/>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91" w:rsidRDefault="00D330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33091" w:rsidRDefault="00D330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33091" w:rsidRDefault="00D33091">
    <w:pPr>
      <w:tabs>
        <w:tab w:val="center" w:pos="4740"/>
      </w:tabs>
    </w:pPr>
    <w:r>
      <w:tab/>
      <w:t xml:space="preserve">- </w:t>
    </w:r>
    <w:r>
      <w:pgNum/>
    </w:r>
    <w: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91" w:rsidRDefault="00D330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33091" w:rsidRDefault="004176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04" style="width:480.95pt;height:1pt" o:hralign="center" o:hrstd="t" o:hrnoshade="t" o:hr="t" fillcolor="black [3213]" stroked="f"/>
      </w:pict>
    </w:r>
  </w:p>
  <w:p w:rsidR="00D33091" w:rsidRDefault="00D33091" w:rsidP="00782AE4">
    <w:pPr>
      <w:tabs>
        <w:tab w:val="center" w:pos="4680"/>
      </w:tabs>
    </w:pPr>
    <w:r>
      <w:tab/>
      <w:t xml:space="preserve">- </w:t>
    </w:r>
    <w:r w:rsidR="00A26E00" w:rsidRPr="001775C1">
      <w:rPr>
        <w:szCs w:val="24"/>
      </w:rPr>
      <w:fldChar w:fldCharType="begin"/>
    </w:r>
    <w:r w:rsidRPr="001775C1">
      <w:rPr>
        <w:szCs w:val="24"/>
      </w:rPr>
      <w:instrText xml:space="preserve"> PAGE   \* MERGEFORMAT </w:instrText>
    </w:r>
    <w:r w:rsidR="00A26E00" w:rsidRPr="001775C1">
      <w:rPr>
        <w:szCs w:val="24"/>
      </w:rPr>
      <w:fldChar w:fldCharType="separate"/>
    </w:r>
    <w:r w:rsidR="00417673">
      <w:rPr>
        <w:noProof/>
        <w:szCs w:val="24"/>
      </w:rPr>
      <w:t>751</w:t>
    </w:r>
    <w:r w:rsidR="00A26E00" w:rsidRPr="001775C1">
      <w:rPr>
        <w:szCs w:val="24"/>
      </w:rPr>
      <w:fldChar w:fldCharType="end"/>
    </w:r>
    <w: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91" w:rsidRDefault="00417673" w:rsidP="00782AE4">
    <w:pPr>
      <w:tabs>
        <w:tab w:val="center" w:pos="4680"/>
      </w:tabs>
    </w:pPr>
    <w:r>
      <w:pict>
        <v:rect id="_x0000_i1105" style="width:480.95pt;height:1pt" o:hralign="center" o:hrstd="t" o:hrnoshade="t" o:hr="t" fillcolor="black [3213]" stroked="f"/>
      </w:pict>
    </w:r>
  </w:p>
  <w:p w:rsidR="00D33091" w:rsidRDefault="00D33091" w:rsidP="00782AE4">
    <w:pPr>
      <w:tabs>
        <w:tab w:val="center" w:pos="4680"/>
      </w:tabs>
    </w:pPr>
    <w:r>
      <w:tab/>
      <w:t xml:space="preserve">- </w:t>
    </w:r>
    <w:r w:rsidR="00A26E00" w:rsidRPr="001775C1">
      <w:rPr>
        <w:szCs w:val="24"/>
      </w:rPr>
      <w:fldChar w:fldCharType="begin"/>
    </w:r>
    <w:r w:rsidRPr="001775C1">
      <w:rPr>
        <w:szCs w:val="24"/>
      </w:rPr>
      <w:instrText xml:space="preserve"> PAGE   \* MERGEFORMAT </w:instrText>
    </w:r>
    <w:r w:rsidR="00A26E00" w:rsidRPr="001775C1">
      <w:rPr>
        <w:szCs w:val="24"/>
      </w:rPr>
      <w:fldChar w:fldCharType="separate"/>
    </w:r>
    <w:r w:rsidR="00417673">
      <w:rPr>
        <w:noProof/>
        <w:szCs w:val="24"/>
      </w:rPr>
      <w:t>745</w:t>
    </w:r>
    <w:r w:rsidR="00A26E00" w:rsidRPr="001775C1">
      <w:rPr>
        <w:szCs w:val="24"/>
      </w:rPr>
      <w:fldChar w:fldCharType="end"/>
    </w:r>
    <w:r>
      <w:t xml:space="preserve">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91" w:rsidRPr="00924065" w:rsidRDefault="00D33091"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91" w:rsidRDefault="00D3309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91" w:rsidRDefault="00417673" w:rsidP="00A87207">
    <w:pPr>
      <w:pStyle w:val="Footer"/>
    </w:pPr>
    <w:r>
      <w:pict>
        <v:rect id="_x0000_i1037" style="width:480.95pt;height:1pt" o:hralign="center" o:hrstd="t" o:hrnoshade="t" o:hr="t" fillcolor="black [3213]" stroked="f"/>
      </w:pict>
    </w:r>
  </w:p>
  <w:p w:rsidR="00D33091" w:rsidRPr="00B7374B" w:rsidRDefault="00D33091" w:rsidP="00B7374B">
    <w:pPr>
      <w:tabs>
        <w:tab w:val="center" w:pos="4680"/>
      </w:tabs>
      <w:rPr>
        <w:szCs w:val="24"/>
      </w:rPr>
    </w:pPr>
    <w:r w:rsidRPr="00954D22">
      <w:rPr>
        <w:szCs w:val="24"/>
      </w:rPr>
      <w:tab/>
      <w:t xml:space="preserve">- </w:t>
    </w:r>
    <w:r w:rsidR="00A26E00" w:rsidRPr="00954D22">
      <w:rPr>
        <w:szCs w:val="24"/>
      </w:rPr>
      <w:fldChar w:fldCharType="begin"/>
    </w:r>
    <w:r w:rsidRPr="00954D22">
      <w:rPr>
        <w:szCs w:val="24"/>
      </w:rPr>
      <w:instrText xml:space="preserve"> PAGE   \* MERGEFORMAT </w:instrText>
    </w:r>
    <w:r w:rsidR="00A26E00" w:rsidRPr="00954D22">
      <w:rPr>
        <w:szCs w:val="24"/>
      </w:rPr>
      <w:fldChar w:fldCharType="separate"/>
    </w:r>
    <w:r w:rsidR="00417673">
      <w:rPr>
        <w:noProof/>
        <w:szCs w:val="24"/>
      </w:rPr>
      <w:t>697</w:t>
    </w:r>
    <w:r w:rsidR="00A26E00"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91" w:rsidRDefault="00417673" w:rsidP="00755F22">
    <w:pPr>
      <w:tabs>
        <w:tab w:val="left" w:pos="-1440"/>
        <w:tab w:val="left" w:pos="-720"/>
      </w:tabs>
    </w:pPr>
    <w:r>
      <w:pict>
        <v:rect id="_x0000_i1038" style="width:480.95pt;height:1pt" o:hralign="center" o:hrstd="t" o:hrnoshade="t" o:hr="t" fillcolor="black [3213]" stroked="f"/>
      </w:pict>
    </w:r>
  </w:p>
  <w:p w:rsidR="00D33091" w:rsidRPr="00954D22" w:rsidRDefault="00D33091" w:rsidP="00B7374B">
    <w:pPr>
      <w:tabs>
        <w:tab w:val="center" w:pos="4680"/>
      </w:tabs>
      <w:rPr>
        <w:szCs w:val="24"/>
      </w:rPr>
    </w:pPr>
    <w:r w:rsidRPr="00954D22">
      <w:rPr>
        <w:szCs w:val="24"/>
      </w:rPr>
      <w:tab/>
      <w:t xml:space="preserve">- </w:t>
    </w:r>
    <w:r w:rsidR="00A26E00">
      <w:rPr>
        <w:szCs w:val="24"/>
      </w:rPr>
      <w:fldChar w:fldCharType="begin"/>
    </w:r>
    <w:r>
      <w:rPr>
        <w:szCs w:val="24"/>
      </w:rPr>
      <w:instrText xml:space="preserve"> PAGE   \* MERGEFORMAT </w:instrText>
    </w:r>
    <w:r w:rsidR="00A26E00">
      <w:rPr>
        <w:szCs w:val="24"/>
      </w:rPr>
      <w:fldChar w:fldCharType="separate"/>
    </w:r>
    <w:r w:rsidR="00417673">
      <w:rPr>
        <w:noProof/>
        <w:szCs w:val="24"/>
      </w:rPr>
      <w:t>696</w:t>
    </w:r>
    <w:r w:rsidR="00A26E00">
      <w:rPr>
        <w:szCs w:val="24"/>
      </w:rPr>
      <w:fldChar w:fldCharType="end"/>
    </w:r>
    <w:r w:rsidRPr="00954D22">
      <w:rPr>
        <w:szCs w:val="24"/>
      </w:rPr>
      <w:t xml:space="preserve"> -</w:t>
    </w:r>
  </w:p>
  <w:p w:rsidR="00D33091" w:rsidRDefault="00D3309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91" w:rsidRDefault="00417673" w:rsidP="00A87207">
    <w:pPr>
      <w:pStyle w:val="Footer"/>
    </w:pPr>
    <w:r>
      <w:pict>
        <v:rect id="_x0000_i1040" style="width:480.95pt;height:1pt" o:hralign="center" o:hrstd="t" o:hrnoshade="t" o:hr="t" fillcolor="black [3213]" stroked="f"/>
      </w:pict>
    </w:r>
  </w:p>
  <w:p w:rsidR="00D33091" w:rsidRPr="00B7374B" w:rsidRDefault="00D33091" w:rsidP="00B7374B">
    <w:pPr>
      <w:tabs>
        <w:tab w:val="center" w:pos="4680"/>
      </w:tabs>
      <w:rPr>
        <w:szCs w:val="24"/>
      </w:rPr>
    </w:pPr>
    <w:r w:rsidRPr="00954D22">
      <w:rPr>
        <w:szCs w:val="24"/>
      </w:rPr>
      <w:tab/>
      <w:t xml:space="preserve">- </w:t>
    </w:r>
    <w:r w:rsidR="00A26E00" w:rsidRPr="00954D22">
      <w:rPr>
        <w:szCs w:val="24"/>
      </w:rPr>
      <w:fldChar w:fldCharType="begin"/>
    </w:r>
    <w:r w:rsidRPr="00954D22">
      <w:rPr>
        <w:szCs w:val="24"/>
      </w:rPr>
      <w:instrText xml:space="preserve"> PAGE   \* MERGEFORMAT </w:instrText>
    </w:r>
    <w:r w:rsidR="00A26E00" w:rsidRPr="00954D22">
      <w:rPr>
        <w:szCs w:val="24"/>
      </w:rPr>
      <w:fldChar w:fldCharType="separate"/>
    </w:r>
    <w:r>
      <w:rPr>
        <w:noProof/>
        <w:szCs w:val="24"/>
      </w:rPr>
      <w:t>699</w:t>
    </w:r>
    <w:r w:rsidR="00A26E00"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91" w:rsidRDefault="00417673"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1" style="width:480.95pt;height:1pt" o:hralign="center" o:hrstd="t" o:hrnoshade="t" o:hr="t" fillcolor="black [3213]" stroked="f"/>
      </w:pict>
    </w:r>
  </w:p>
  <w:p w:rsidR="00D33091" w:rsidRPr="00954D22" w:rsidRDefault="00D33091" w:rsidP="00B7374B">
    <w:pPr>
      <w:tabs>
        <w:tab w:val="center" w:pos="4680"/>
      </w:tabs>
      <w:rPr>
        <w:szCs w:val="24"/>
      </w:rPr>
    </w:pPr>
    <w:r w:rsidRPr="00954D22">
      <w:rPr>
        <w:szCs w:val="24"/>
      </w:rPr>
      <w:tab/>
      <w:t xml:space="preserve">- </w:t>
    </w:r>
    <w:r w:rsidR="00A26E00" w:rsidRPr="00954D22">
      <w:rPr>
        <w:szCs w:val="24"/>
      </w:rPr>
      <w:fldChar w:fldCharType="begin"/>
    </w:r>
    <w:r w:rsidRPr="00954D22">
      <w:rPr>
        <w:szCs w:val="24"/>
      </w:rPr>
      <w:instrText xml:space="preserve"> PAGE   \* MERGEFORMAT </w:instrText>
    </w:r>
    <w:r w:rsidR="00A26E00" w:rsidRPr="00954D22">
      <w:rPr>
        <w:szCs w:val="24"/>
      </w:rPr>
      <w:fldChar w:fldCharType="separate"/>
    </w:r>
    <w:r w:rsidR="00417673">
      <w:rPr>
        <w:noProof/>
        <w:szCs w:val="24"/>
      </w:rPr>
      <w:t>698</w:t>
    </w:r>
    <w:r w:rsidR="00A26E00"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91" w:rsidRDefault="00417673" w:rsidP="00A87207">
    <w:pPr>
      <w:pStyle w:val="Footer"/>
    </w:pPr>
    <w:r>
      <w:pict>
        <v:rect id="_x0000_i1044" style="width:480.95pt;height:1pt" o:hralign="center" o:hrstd="t" o:hrnoshade="t" o:hr="t" fillcolor="black [3213]" stroked="f"/>
      </w:pict>
    </w:r>
  </w:p>
  <w:p w:rsidR="00D33091" w:rsidRPr="00B7374B" w:rsidRDefault="00D33091" w:rsidP="00B7374B">
    <w:pPr>
      <w:tabs>
        <w:tab w:val="center" w:pos="4680"/>
      </w:tabs>
      <w:rPr>
        <w:szCs w:val="24"/>
      </w:rPr>
    </w:pPr>
    <w:r w:rsidRPr="00954D22">
      <w:rPr>
        <w:szCs w:val="24"/>
      </w:rPr>
      <w:tab/>
      <w:t xml:space="preserve">- </w:t>
    </w:r>
    <w:r w:rsidR="00A26E00" w:rsidRPr="00954D22">
      <w:rPr>
        <w:szCs w:val="24"/>
      </w:rPr>
      <w:fldChar w:fldCharType="begin"/>
    </w:r>
    <w:r w:rsidRPr="00954D22">
      <w:rPr>
        <w:szCs w:val="24"/>
      </w:rPr>
      <w:instrText xml:space="preserve"> PAGE   \* MERGEFORMAT </w:instrText>
    </w:r>
    <w:r w:rsidR="00A26E00" w:rsidRPr="00954D22">
      <w:rPr>
        <w:szCs w:val="24"/>
      </w:rPr>
      <w:fldChar w:fldCharType="separate"/>
    </w:r>
    <w:r w:rsidR="00417673">
      <w:rPr>
        <w:noProof/>
        <w:szCs w:val="24"/>
      </w:rPr>
      <w:t>700</w:t>
    </w:r>
    <w:r w:rsidR="00A26E00" w:rsidRPr="00954D22">
      <w:rPr>
        <w:szCs w:val="24"/>
      </w:rPr>
      <w:fldChar w:fldCharType="end"/>
    </w:r>
    <w:r>
      <w:rPr>
        <w:szCs w:val="24"/>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91" w:rsidRDefault="00417673" w:rsidP="0044776A">
    <w:pPr>
      <w:tabs>
        <w:tab w:val="left" w:pos="-1440"/>
        <w:tab w:val="left" w:pos="-720"/>
      </w:tabs>
    </w:pPr>
    <w:r>
      <w:pict>
        <v:rect id="_x0000_i1045" style="width:480.95pt;height:1pt" o:hralign="center" o:hrstd="t" o:hrnoshade="t" o:hr="t" fillcolor="black [3213]" stroked="f"/>
      </w:pict>
    </w:r>
  </w:p>
  <w:p w:rsidR="00D33091" w:rsidRPr="00954D22" w:rsidRDefault="00D33091" w:rsidP="00B7374B">
    <w:pPr>
      <w:tabs>
        <w:tab w:val="center" w:pos="4680"/>
      </w:tabs>
      <w:rPr>
        <w:szCs w:val="24"/>
      </w:rPr>
    </w:pPr>
    <w:r w:rsidRPr="00954D22">
      <w:rPr>
        <w:szCs w:val="24"/>
      </w:rPr>
      <w:tab/>
      <w:t xml:space="preserve">- </w:t>
    </w:r>
    <w:r w:rsidR="00A26E00" w:rsidRPr="00954D22">
      <w:rPr>
        <w:szCs w:val="24"/>
      </w:rPr>
      <w:fldChar w:fldCharType="begin"/>
    </w:r>
    <w:r w:rsidRPr="00954D22">
      <w:rPr>
        <w:szCs w:val="24"/>
      </w:rPr>
      <w:instrText xml:space="preserve"> PAGE   \* MERGEFORMAT </w:instrText>
    </w:r>
    <w:r w:rsidR="00A26E00" w:rsidRPr="00954D22">
      <w:rPr>
        <w:szCs w:val="24"/>
      </w:rPr>
      <w:fldChar w:fldCharType="separate"/>
    </w:r>
    <w:r w:rsidR="00417673">
      <w:rPr>
        <w:noProof/>
        <w:szCs w:val="24"/>
      </w:rPr>
      <w:t>699</w:t>
    </w:r>
    <w:r w:rsidR="00A26E00" w:rsidRPr="00954D22">
      <w:rPr>
        <w:szCs w:val="24"/>
      </w:rPr>
      <w:fldChar w:fldCharType="end"/>
    </w:r>
    <w:r w:rsidRPr="00954D22">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091" w:rsidRDefault="00D33091" w:rsidP="00A87207">
      <w:r>
        <w:separator/>
      </w:r>
    </w:p>
  </w:footnote>
  <w:footnote w:type="continuationSeparator" w:id="0">
    <w:p w:rsidR="00D33091" w:rsidRDefault="00D33091"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91" w:rsidRDefault="00D3309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D33091" w:rsidRPr="001763F8">
      <w:tc>
        <w:tcPr>
          <w:tcW w:w="4200" w:type="dxa"/>
          <w:tcMar>
            <w:left w:w="0" w:type="dxa"/>
            <w:right w:w="0" w:type="dxa"/>
          </w:tcMar>
        </w:tcPr>
        <w:p w:rsidR="00D33091" w:rsidRDefault="00D3309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D33091" w:rsidRDefault="00D3309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D33091" w:rsidRDefault="00D3309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33091" w:rsidRPr="00FF6BA5" w:rsidRDefault="00D3309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D33091" w:rsidRPr="00FF6BA5" w:rsidRDefault="00D330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D33091" w:rsidRPr="00FF6BA5" w:rsidRDefault="00D330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D33091" w:rsidRPr="00FF6BA5" w:rsidRDefault="00D330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D33091" w:rsidRPr="001763F8" w:rsidTr="00245129">
      <w:tc>
        <w:tcPr>
          <w:tcW w:w="4200" w:type="dxa"/>
          <w:tcMar>
            <w:left w:w="0" w:type="dxa"/>
            <w:right w:w="0" w:type="dxa"/>
          </w:tcMar>
        </w:tcPr>
        <w:p w:rsidR="00D33091" w:rsidRPr="00755F22" w:rsidRDefault="00D3309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D33091" w:rsidRPr="00755F22" w:rsidRDefault="00D3309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D33091" w:rsidRPr="00755F22" w:rsidRDefault="00D3309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D33091" w:rsidRPr="00755F22" w:rsidRDefault="00D3309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D33091" w:rsidRPr="00755F22" w:rsidRDefault="00D3309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D33091" w:rsidRPr="00755F22" w:rsidRDefault="00D3309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D33091" w:rsidRPr="00FF6BA5" w:rsidRDefault="00D33091" w:rsidP="00755F22">
    <w:pPr>
      <w:tabs>
        <w:tab w:val="left" w:pos="-1440"/>
        <w:tab w:val="left" w:pos="-720"/>
      </w:tabs>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91" w:rsidRDefault="00D3309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D33091">
      <w:tc>
        <w:tcPr>
          <w:tcW w:w="4230" w:type="dxa"/>
          <w:tcMar>
            <w:left w:w="0" w:type="dxa"/>
            <w:right w:w="0" w:type="dxa"/>
          </w:tcMar>
        </w:tcPr>
        <w:p w:rsidR="00D33091" w:rsidRDefault="00D3309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D33091" w:rsidRDefault="00D3309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33091" w:rsidRDefault="00D3309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D33091">
      <w:trPr>
        <w:gridAfter w:val="2"/>
        <w:wAfter w:w="5250" w:type="dxa"/>
      </w:trPr>
      <w:tc>
        <w:tcPr>
          <w:tcW w:w="4230" w:type="dxa"/>
          <w:tcMar>
            <w:left w:w="0" w:type="dxa"/>
            <w:right w:w="0" w:type="dxa"/>
          </w:tcMar>
        </w:tcPr>
        <w:p w:rsidR="00D33091" w:rsidRDefault="00D330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D33091" w:rsidRDefault="00D330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D33091" w:rsidRPr="00755F22" w:rsidTr="00245129">
      <w:tc>
        <w:tcPr>
          <w:tcW w:w="4230" w:type="dxa"/>
          <w:tcMar>
            <w:left w:w="0" w:type="dxa"/>
            <w:right w:w="0" w:type="dxa"/>
          </w:tcMar>
        </w:tcPr>
        <w:p w:rsidR="00D33091" w:rsidRPr="00755F22" w:rsidRDefault="00D33091" w:rsidP="00831CA9">
          <w:pPr>
            <w:keepNext/>
            <w:keepLines/>
            <w:rPr>
              <w:sz w:val="20"/>
              <w:szCs w:val="20"/>
            </w:rPr>
          </w:pPr>
          <w:r w:rsidRPr="00755F22">
            <w:rPr>
              <w:sz w:val="20"/>
              <w:szCs w:val="20"/>
            </w:rPr>
            <w:t>MOTIONS</w:t>
          </w:r>
        </w:p>
      </w:tc>
      <w:tc>
        <w:tcPr>
          <w:tcW w:w="1170" w:type="dxa"/>
          <w:tcMar>
            <w:left w:w="0" w:type="dxa"/>
            <w:right w:w="0" w:type="dxa"/>
          </w:tcMar>
        </w:tcPr>
        <w:p w:rsidR="00D33091" w:rsidRPr="00755F22" w:rsidRDefault="00D33091" w:rsidP="00831CA9">
          <w:pPr>
            <w:keepLines/>
            <w:jc w:val="center"/>
            <w:rPr>
              <w:sz w:val="20"/>
              <w:szCs w:val="20"/>
            </w:rPr>
          </w:pPr>
        </w:p>
        <w:p w:rsidR="00D33091" w:rsidRPr="00755F22" w:rsidRDefault="00D33091" w:rsidP="00831CA9">
          <w:pPr>
            <w:keepLines/>
            <w:tabs>
              <w:tab w:val="left" w:pos="-1440"/>
              <w:tab w:val="left" w:pos="-720"/>
            </w:tabs>
            <w:jc w:val="center"/>
            <w:rPr>
              <w:sz w:val="20"/>
              <w:szCs w:val="20"/>
            </w:rPr>
          </w:pPr>
        </w:p>
      </w:tc>
      <w:tc>
        <w:tcPr>
          <w:tcW w:w="4080" w:type="dxa"/>
          <w:tcMar>
            <w:left w:w="0" w:type="dxa"/>
            <w:right w:w="0" w:type="dxa"/>
          </w:tcMar>
        </w:tcPr>
        <w:p w:rsidR="00D33091" w:rsidRPr="00BA6468" w:rsidRDefault="00D33091" w:rsidP="00BA6468">
          <w:pPr>
            <w:keepLines/>
            <w:rPr>
              <w:sz w:val="20"/>
              <w:szCs w:val="20"/>
              <w:lang w:val="fr-CA"/>
            </w:rPr>
          </w:pPr>
          <w:r w:rsidRPr="00BA6468">
            <w:rPr>
              <w:sz w:val="20"/>
              <w:szCs w:val="20"/>
              <w:lang w:val="fr-CA"/>
            </w:rPr>
            <w:t>REQUÊTES</w:t>
          </w:r>
        </w:p>
      </w:tc>
    </w:tr>
  </w:tbl>
  <w:p w:rsidR="00D33091" w:rsidRDefault="00D33091" w:rsidP="00831CA9">
    <w:pPr>
      <w:jc w:val="both"/>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91" w:rsidRDefault="00D3309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D33091" w:rsidRPr="001763F8">
      <w:tc>
        <w:tcPr>
          <w:tcW w:w="4200" w:type="dxa"/>
          <w:tcMar>
            <w:left w:w="0" w:type="dxa"/>
            <w:right w:w="0" w:type="dxa"/>
          </w:tcMar>
        </w:tcPr>
        <w:p w:rsidR="00D33091" w:rsidRDefault="00D3309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D33091" w:rsidRDefault="00D3309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33091" w:rsidRPr="00B01A03" w:rsidRDefault="00D3309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D33091" w:rsidRPr="00B01A03" w:rsidRDefault="00D330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D33091" w:rsidRPr="00B01A03" w:rsidRDefault="00D330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D33091" w:rsidRPr="001763F8" w:rsidTr="00245129">
      <w:tc>
        <w:tcPr>
          <w:tcW w:w="4200" w:type="dxa"/>
          <w:tcMar>
            <w:left w:w="0" w:type="dxa"/>
            <w:right w:w="0" w:type="dxa"/>
          </w:tcMar>
        </w:tcPr>
        <w:p w:rsidR="00D33091" w:rsidRPr="00F40249" w:rsidRDefault="00D33091"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D33091" w:rsidRDefault="00D33091" w:rsidP="00102926">
          <w:pPr>
            <w:keepNext/>
            <w:keepLines/>
            <w:tabs>
              <w:tab w:val="left" w:pos="-1440"/>
              <w:tab w:val="left" w:pos="-720"/>
            </w:tabs>
            <w:jc w:val="center"/>
            <w:rPr>
              <w:sz w:val="20"/>
              <w:szCs w:val="20"/>
            </w:rPr>
          </w:pPr>
        </w:p>
        <w:p w:rsidR="00D33091" w:rsidRDefault="00D33091" w:rsidP="00102926">
          <w:pPr>
            <w:keepNext/>
            <w:keepLines/>
            <w:tabs>
              <w:tab w:val="left" w:pos="-1440"/>
              <w:tab w:val="left" w:pos="-720"/>
            </w:tabs>
            <w:jc w:val="center"/>
            <w:rPr>
              <w:sz w:val="20"/>
              <w:szCs w:val="20"/>
            </w:rPr>
          </w:pPr>
        </w:p>
        <w:p w:rsidR="00D33091" w:rsidRPr="00F40249" w:rsidRDefault="00D33091" w:rsidP="00102926">
          <w:pPr>
            <w:keepNext/>
            <w:keepLines/>
            <w:tabs>
              <w:tab w:val="left" w:pos="-1440"/>
              <w:tab w:val="left" w:pos="-720"/>
            </w:tabs>
            <w:jc w:val="center"/>
            <w:rPr>
              <w:sz w:val="20"/>
              <w:szCs w:val="20"/>
            </w:rPr>
          </w:pPr>
        </w:p>
      </w:tc>
      <w:tc>
        <w:tcPr>
          <w:tcW w:w="4230" w:type="dxa"/>
          <w:tcMar>
            <w:left w:w="0" w:type="dxa"/>
            <w:right w:w="0" w:type="dxa"/>
          </w:tcMar>
        </w:tcPr>
        <w:p w:rsidR="00D33091" w:rsidRPr="00F40249" w:rsidRDefault="00D33091"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D33091" w:rsidRPr="00B01A03" w:rsidRDefault="00D33091"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91" w:rsidRDefault="00D33091">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D33091" w:rsidRPr="001763F8">
      <w:tc>
        <w:tcPr>
          <w:tcW w:w="4200" w:type="dxa"/>
          <w:tcMar>
            <w:left w:w="0" w:type="dxa"/>
            <w:right w:w="0" w:type="dxa"/>
          </w:tcMar>
        </w:tcPr>
        <w:p w:rsidR="00D33091" w:rsidRDefault="00D3309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D33091" w:rsidRDefault="00D3309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33091" w:rsidRPr="00283C52" w:rsidRDefault="00D3309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D33091" w:rsidRPr="00283C52" w:rsidRDefault="00D330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D33091" w:rsidRPr="00283C52" w:rsidRDefault="00D330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91" w:rsidRDefault="00D3309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D33091" w:rsidRPr="001763F8" w:rsidTr="00245129">
      <w:tc>
        <w:tcPr>
          <w:tcW w:w="4200" w:type="dxa"/>
          <w:tcMar>
            <w:left w:w="0" w:type="dxa"/>
            <w:right w:w="0" w:type="dxa"/>
          </w:tcMar>
        </w:tcPr>
        <w:p w:rsidR="00D33091" w:rsidRPr="00732DB7" w:rsidRDefault="00D33091"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D33091" w:rsidRPr="00732DB7" w:rsidRDefault="00D33091" w:rsidP="00732DB7">
          <w:pPr>
            <w:keepNext/>
            <w:keepLines/>
            <w:tabs>
              <w:tab w:val="left" w:pos="-1440"/>
              <w:tab w:val="left" w:pos="-720"/>
            </w:tabs>
            <w:jc w:val="center"/>
            <w:rPr>
              <w:sz w:val="20"/>
              <w:szCs w:val="20"/>
            </w:rPr>
          </w:pPr>
        </w:p>
        <w:p w:rsidR="00D33091" w:rsidRPr="00732DB7" w:rsidRDefault="00D33091" w:rsidP="00732DB7">
          <w:pPr>
            <w:keepNext/>
            <w:keepLines/>
            <w:tabs>
              <w:tab w:val="left" w:pos="-1440"/>
              <w:tab w:val="left" w:pos="-720"/>
            </w:tabs>
            <w:jc w:val="center"/>
            <w:rPr>
              <w:sz w:val="20"/>
              <w:szCs w:val="20"/>
            </w:rPr>
          </w:pPr>
        </w:p>
        <w:p w:rsidR="00D33091" w:rsidRPr="00732DB7" w:rsidRDefault="00D33091" w:rsidP="00732DB7">
          <w:pPr>
            <w:keepNext/>
            <w:keepLines/>
            <w:tabs>
              <w:tab w:val="left" w:pos="-1440"/>
              <w:tab w:val="left" w:pos="-720"/>
            </w:tabs>
            <w:jc w:val="center"/>
            <w:rPr>
              <w:sz w:val="20"/>
              <w:szCs w:val="20"/>
            </w:rPr>
          </w:pPr>
        </w:p>
      </w:tc>
      <w:tc>
        <w:tcPr>
          <w:tcW w:w="4080" w:type="dxa"/>
          <w:tcMar>
            <w:left w:w="0" w:type="dxa"/>
            <w:right w:w="0" w:type="dxa"/>
          </w:tcMar>
        </w:tcPr>
        <w:p w:rsidR="00D33091" w:rsidRPr="00732DB7" w:rsidRDefault="00D33091"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D33091" w:rsidRPr="00283C52" w:rsidRDefault="00D33091"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91" w:rsidRDefault="00D33091">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D33091" w:rsidRPr="001763F8">
      <w:tc>
        <w:tcPr>
          <w:tcW w:w="4200" w:type="dxa"/>
          <w:tcMar>
            <w:left w:w="0" w:type="dxa"/>
            <w:right w:w="0" w:type="dxa"/>
          </w:tcMar>
        </w:tcPr>
        <w:p w:rsidR="00D33091" w:rsidRDefault="00D3309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D33091" w:rsidRDefault="00D3309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D33091" w:rsidRDefault="00D3309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D33091" w:rsidRPr="003C2C0F" w:rsidRDefault="00D3309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D33091" w:rsidRPr="003C2C0F" w:rsidRDefault="00D330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D33091" w:rsidRPr="003C2C0F" w:rsidRDefault="00D330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D33091" w:rsidRPr="001763F8" w:rsidTr="00245129">
      <w:tc>
        <w:tcPr>
          <w:tcW w:w="4200" w:type="dxa"/>
          <w:tcMar>
            <w:left w:w="0" w:type="dxa"/>
            <w:right w:w="0" w:type="dxa"/>
          </w:tcMar>
        </w:tcPr>
        <w:p w:rsidR="00D33091" w:rsidRPr="00FF6EEC" w:rsidRDefault="00D33091" w:rsidP="00FF6EEC">
          <w:pPr>
            <w:rPr>
              <w:sz w:val="20"/>
              <w:szCs w:val="20"/>
            </w:rPr>
          </w:pPr>
          <w:r w:rsidRPr="00FF6EEC">
            <w:rPr>
              <w:sz w:val="20"/>
              <w:szCs w:val="20"/>
            </w:rPr>
            <w:t>PRONOUNCEMENTS OF APPEALS RESERVED</w:t>
          </w:r>
        </w:p>
      </w:tc>
      <w:tc>
        <w:tcPr>
          <w:tcW w:w="1200" w:type="dxa"/>
          <w:tcMar>
            <w:left w:w="0" w:type="dxa"/>
            <w:right w:w="0" w:type="dxa"/>
          </w:tcMar>
        </w:tcPr>
        <w:p w:rsidR="00D33091" w:rsidRPr="00FF6EEC" w:rsidRDefault="00D33091" w:rsidP="00FF6EEC">
          <w:pPr>
            <w:jc w:val="center"/>
            <w:rPr>
              <w:sz w:val="20"/>
              <w:szCs w:val="20"/>
            </w:rPr>
          </w:pPr>
        </w:p>
        <w:p w:rsidR="00D33091" w:rsidRPr="00FF6EEC" w:rsidRDefault="00D33091" w:rsidP="00FF6EEC">
          <w:pPr>
            <w:jc w:val="center"/>
            <w:rPr>
              <w:sz w:val="20"/>
              <w:szCs w:val="20"/>
            </w:rPr>
          </w:pPr>
        </w:p>
        <w:p w:rsidR="00D33091" w:rsidRPr="00FF6EEC" w:rsidRDefault="00D33091" w:rsidP="00FF6EEC">
          <w:pPr>
            <w:jc w:val="center"/>
            <w:rPr>
              <w:sz w:val="20"/>
              <w:szCs w:val="20"/>
            </w:rPr>
          </w:pPr>
        </w:p>
      </w:tc>
      <w:tc>
        <w:tcPr>
          <w:tcW w:w="4080" w:type="dxa"/>
          <w:tcMar>
            <w:left w:w="0" w:type="dxa"/>
            <w:right w:w="0" w:type="dxa"/>
          </w:tcMar>
        </w:tcPr>
        <w:p w:rsidR="00D33091" w:rsidRPr="00FF6EEC" w:rsidRDefault="00D33091" w:rsidP="00FF6EEC">
          <w:pPr>
            <w:rPr>
              <w:sz w:val="20"/>
              <w:szCs w:val="20"/>
              <w:lang w:val="fr-CA"/>
            </w:rPr>
          </w:pPr>
          <w:r w:rsidRPr="00FF6EEC">
            <w:rPr>
              <w:sz w:val="20"/>
              <w:szCs w:val="20"/>
              <w:lang w:val="fr-CA"/>
            </w:rPr>
            <w:t>JUGEMENTS RENDUS SUR LES APPELS EN DÉLIBÉRÉ</w:t>
          </w:r>
        </w:p>
      </w:tc>
    </w:tr>
  </w:tbl>
  <w:p w:rsidR="00D33091" w:rsidRPr="003C2C0F" w:rsidRDefault="00D33091"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91" w:rsidRDefault="00D33091">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D33091">
      <w:tc>
        <w:tcPr>
          <w:tcW w:w="4230" w:type="dxa"/>
          <w:tcMar>
            <w:left w:w="0" w:type="dxa"/>
            <w:right w:w="0" w:type="dxa"/>
          </w:tcMar>
        </w:tcPr>
        <w:p w:rsidR="00D33091" w:rsidRDefault="00D3309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D33091" w:rsidRDefault="00D3309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D33091" w:rsidRDefault="00D3309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D33091" w:rsidRDefault="00D3309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33091" w:rsidRDefault="00D3309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D33091" w:rsidRDefault="00D3309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D33091" w:rsidRDefault="00D330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D33091" w:rsidRDefault="00D330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D33091" w:rsidRPr="00782AE4" w:rsidTr="00245129">
      <w:tc>
        <w:tcPr>
          <w:tcW w:w="4230" w:type="dxa"/>
          <w:tcMar>
            <w:left w:w="0" w:type="dxa"/>
            <w:right w:w="0" w:type="dxa"/>
          </w:tcMar>
        </w:tcPr>
        <w:p w:rsidR="00D33091" w:rsidRPr="00782AE4" w:rsidRDefault="00D33091" w:rsidP="00102926">
          <w:pPr>
            <w:keepNext/>
            <w:keepLines/>
            <w:tabs>
              <w:tab w:val="left" w:pos="-1440"/>
              <w:tab w:val="left" w:pos="-720"/>
            </w:tabs>
            <w:rPr>
              <w:sz w:val="20"/>
              <w:szCs w:val="20"/>
            </w:rPr>
          </w:pPr>
          <w:r w:rsidRPr="00782AE4">
            <w:rPr>
              <w:sz w:val="20"/>
              <w:szCs w:val="20"/>
            </w:rPr>
            <w:t xml:space="preserve">HEADNOTES OF RECENT </w:t>
          </w:r>
        </w:p>
        <w:p w:rsidR="00D33091" w:rsidRPr="00782AE4" w:rsidRDefault="00D3309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D33091" w:rsidRDefault="00D33091" w:rsidP="00102926">
          <w:pPr>
            <w:keepNext/>
            <w:keepLines/>
            <w:tabs>
              <w:tab w:val="left" w:pos="-1440"/>
              <w:tab w:val="left" w:pos="-720"/>
            </w:tabs>
            <w:jc w:val="center"/>
            <w:rPr>
              <w:sz w:val="20"/>
              <w:szCs w:val="20"/>
            </w:rPr>
          </w:pPr>
        </w:p>
        <w:p w:rsidR="00D33091" w:rsidRDefault="00D33091" w:rsidP="00102926">
          <w:pPr>
            <w:keepNext/>
            <w:keepLines/>
            <w:tabs>
              <w:tab w:val="left" w:pos="-1440"/>
              <w:tab w:val="left" w:pos="-720"/>
            </w:tabs>
            <w:jc w:val="center"/>
            <w:rPr>
              <w:sz w:val="20"/>
              <w:szCs w:val="20"/>
            </w:rPr>
          </w:pPr>
        </w:p>
        <w:p w:rsidR="00D33091" w:rsidRPr="00782AE4" w:rsidRDefault="00D33091" w:rsidP="00102926">
          <w:pPr>
            <w:keepNext/>
            <w:keepLines/>
            <w:tabs>
              <w:tab w:val="left" w:pos="-1440"/>
              <w:tab w:val="left" w:pos="-720"/>
            </w:tabs>
            <w:jc w:val="center"/>
            <w:rPr>
              <w:sz w:val="20"/>
              <w:szCs w:val="20"/>
            </w:rPr>
          </w:pPr>
        </w:p>
      </w:tc>
      <w:tc>
        <w:tcPr>
          <w:tcW w:w="4080" w:type="dxa"/>
          <w:tcMar>
            <w:left w:w="0" w:type="dxa"/>
            <w:right w:w="0" w:type="dxa"/>
          </w:tcMar>
        </w:tcPr>
        <w:p w:rsidR="00D33091" w:rsidRPr="00102926" w:rsidRDefault="00D3309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D33091" w:rsidRPr="00782AE4" w:rsidRDefault="00D33091" w:rsidP="00102926">
          <w:pPr>
            <w:keepLines/>
            <w:tabs>
              <w:tab w:val="left" w:pos="-1440"/>
              <w:tab w:val="left" w:pos="-720"/>
            </w:tabs>
            <w:rPr>
              <w:sz w:val="20"/>
              <w:szCs w:val="20"/>
            </w:rPr>
          </w:pPr>
          <w:r w:rsidRPr="00102926">
            <w:rPr>
              <w:sz w:val="20"/>
              <w:szCs w:val="20"/>
              <w:lang w:val="fr-CA"/>
            </w:rPr>
            <w:t>RÉCENTS</w:t>
          </w:r>
        </w:p>
      </w:tc>
    </w:tr>
  </w:tbl>
  <w:p w:rsidR="00D33091" w:rsidRDefault="00D33091"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91" w:rsidRDefault="00D33091">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91" w:rsidRDefault="00D330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91" w:rsidRDefault="00D3309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D33091" w:rsidRPr="0044776A" w:rsidTr="00245129">
      <w:tc>
        <w:tcPr>
          <w:tcW w:w="4290" w:type="dxa"/>
          <w:tcMar>
            <w:left w:w="0" w:type="dxa"/>
            <w:right w:w="0" w:type="dxa"/>
          </w:tcMar>
        </w:tcPr>
        <w:p w:rsidR="00D33091" w:rsidRPr="0044776A" w:rsidRDefault="00D33091"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D33091" w:rsidRPr="0044776A" w:rsidRDefault="00D33091" w:rsidP="002E2327">
          <w:pPr>
            <w:keepNext/>
            <w:keepLines/>
            <w:tabs>
              <w:tab w:val="left" w:pos="-1440"/>
              <w:tab w:val="left" w:pos="-720"/>
            </w:tabs>
            <w:jc w:val="center"/>
            <w:rPr>
              <w:sz w:val="20"/>
              <w:szCs w:val="20"/>
            </w:rPr>
          </w:pPr>
        </w:p>
        <w:p w:rsidR="00D33091" w:rsidRPr="0044776A" w:rsidRDefault="00D33091" w:rsidP="002E2327">
          <w:pPr>
            <w:keepNext/>
            <w:keepLines/>
            <w:tabs>
              <w:tab w:val="left" w:pos="-1440"/>
              <w:tab w:val="left" w:pos="-720"/>
            </w:tabs>
            <w:jc w:val="center"/>
            <w:rPr>
              <w:sz w:val="20"/>
              <w:szCs w:val="20"/>
            </w:rPr>
          </w:pPr>
        </w:p>
        <w:p w:rsidR="00D33091" w:rsidRPr="0044776A" w:rsidRDefault="00D33091" w:rsidP="002E2327">
          <w:pPr>
            <w:keepNext/>
            <w:keepLines/>
            <w:tabs>
              <w:tab w:val="left" w:pos="-1440"/>
              <w:tab w:val="left" w:pos="-720"/>
            </w:tabs>
            <w:jc w:val="center"/>
            <w:rPr>
              <w:sz w:val="20"/>
              <w:szCs w:val="20"/>
            </w:rPr>
          </w:pPr>
        </w:p>
      </w:tc>
      <w:tc>
        <w:tcPr>
          <w:tcW w:w="4320" w:type="dxa"/>
          <w:tcMar>
            <w:left w:w="0" w:type="dxa"/>
            <w:right w:w="0" w:type="dxa"/>
          </w:tcMar>
        </w:tcPr>
        <w:p w:rsidR="00D33091" w:rsidRPr="0044776A" w:rsidRDefault="00D33091" w:rsidP="002E2327">
          <w:pPr>
            <w:keepLines/>
            <w:rPr>
              <w:sz w:val="20"/>
              <w:szCs w:val="20"/>
              <w:lang w:val="fr-CA"/>
            </w:rPr>
          </w:pPr>
          <w:r w:rsidRPr="0044776A">
            <w:rPr>
              <w:sz w:val="20"/>
              <w:szCs w:val="20"/>
              <w:lang w:val="fr-CA"/>
            </w:rPr>
            <w:t>DEMANDES D'AUTORISATION D'APPEL DÉPOSÉES</w:t>
          </w:r>
        </w:p>
      </w:tc>
    </w:tr>
  </w:tbl>
  <w:p w:rsidR="00D33091" w:rsidRDefault="00D3309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91" w:rsidRDefault="00D3309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D33091" w:rsidRPr="001763F8" w:rsidTr="00245129">
      <w:tc>
        <w:tcPr>
          <w:tcW w:w="4200" w:type="dxa"/>
          <w:tcMar>
            <w:left w:w="0" w:type="dxa"/>
            <w:right w:w="0" w:type="dxa"/>
          </w:tcMar>
        </w:tcPr>
        <w:p w:rsidR="00D33091" w:rsidRPr="0044776A" w:rsidRDefault="00D33091" w:rsidP="0044776A">
          <w:pPr>
            <w:keepNext/>
            <w:keepLines/>
            <w:widowControl w:val="0"/>
            <w:rPr>
              <w:sz w:val="20"/>
              <w:szCs w:val="20"/>
            </w:rPr>
          </w:pPr>
          <w:r>
            <w:rPr>
              <w:sz w:val="20"/>
              <w:szCs w:val="20"/>
            </w:rPr>
            <w:t>APPLICATIONS FOR LEAVE</w:t>
          </w:r>
        </w:p>
        <w:p w:rsidR="00D33091" w:rsidRPr="0044776A" w:rsidRDefault="00D33091"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D33091" w:rsidRPr="0044776A" w:rsidRDefault="00D33091" w:rsidP="0044776A">
          <w:pPr>
            <w:keepNext/>
            <w:keepLines/>
            <w:widowControl w:val="0"/>
            <w:jc w:val="center"/>
            <w:rPr>
              <w:sz w:val="20"/>
              <w:szCs w:val="20"/>
            </w:rPr>
          </w:pPr>
        </w:p>
        <w:p w:rsidR="00D33091" w:rsidRPr="0044776A" w:rsidRDefault="00D33091" w:rsidP="0044776A">
          <w:pPr>
            <w:keepNext/>
            <w:keepLines/>
            <w:widowControl w:val="0"/>
            <w:jc w:val="center"/>
            <w:rPr>
              <w:sz w:val="20"/>
              <w:szCs w:val="20"/>
            </w:rPr>
          </w:pPr>
        </w:p>
        <w:p w:rsidR="00D33091" w:rsidRPr="0044776A" w:rsidRDefault="00D33091" w:rsidP="0044776A">
          <w:pPr>
            <w:keepNext/>
            <w:keepLines/>
            <w:widowControl w:val="0"/>
            <w:jc w:val="center"/>
            <w:rPr>
              <w:sz w:val="20"/>
              <w:szCs w:val="20"/>
            </w:rPr>
          </w:pPr>
        </w:p>
      </w:tc>
      <w:tc>
        <w:tcPr>
          <w:tcW w:w="4080" w:type="dxa"/>
          <w:tcMar>
            <w:left w:w="0" w:type="dxa"/>
            <w:right w:w="0" w:type="dxa"/>
          </w:tcMar>
        </w:tcPr>
        <w:p w:rsidR="00D33091" w:rsidRPr="0044776A" w:rsidRDefault="00D33091" w:rsidP="0044776A">
          <w:pPr>
            <w:keepLines/>
            <w:widowControl w:val="0"/>
            <w:rPr>
              <w:sz w:val="20"/>
              <w:szCs w:val="20"/>
              <w:lang w:val="fr-CA"/>
            </w:rPr>
          </w:pPr>
          <w:r w:rsidRPr="0044776A">
            <w:rPr>
              <w:sz w:val="20"/>
              <w:szCs w:val="20"/>
              <w:lang w:val="fr-CA"/>
            </w:rPr>
            <w:t>DEMANDES SOUMISES À LA COUR DEPUIS LA DERNIÈRE PARUTION</w:t>
          </w:r>
        </w:p>
        <w:p w:rsidR="00D33091" w:rsidRPr="0044776A" w:rsidRDefault="00D33091" w:rsidP="0044776A">
          <w:pPr>
            <w:widowControl w:val="0"/>
            <w:rPr>
              <w:sz w:val="20"/>
              <w:szCs w:val="20"/>
              <w:lang w:val="fr-CA"/>
            </w:rPr>
          </w:pPr>
        </w:p>
      </w:tc>
    </w:tr>
  </w:tbl>
  <w:p w:rsidR="00D33091" w:rsidRPr="002E2327" w:rsidRDefault="00D33091">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91" w:rsidRDefault="00D3309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D33091" w:rsidRPr="0044776A" w:rsidTr="00245129">
      <w:tc>
        <w:tcPr>
          <w:tcW w:w="4200" w:type="dxa"/>
          <w:tcMar>
            <w:left w:w="0" w:type="dxa"/>
            <w:right w:w="0" w:type="dxa"/>
          </w:tcMar>
        </w:tcPr>
        <w:p w:rsidR="00D33091" w:rsidRPr="0044776A" w:rsidRDefault="00D33091" w:rsidP="0044776A">
          <w:pPr>
            <w:rPr>
              <w:sz w:val="20"/>
              <w:szCs w:val="20"/>
            </w:rPr>
          </w:pPr>
          <w:r w:rsidRPr="0044776A">
            <w:rPr>
              <w:sz w:val="20"/>
              <w:szCs w:val="20"/>
            </w:rPr>
            <w:t>ORAL HEARING ORDERED</w:t>
          </w:r>
        </w:p>
      </w:tc>
      <w:tc>
        <w:tcPr>
          <w:tcW w:w="1200" w:type="dxa"/>
          <w:tcMar>
            <w:left w:w="0" w:type="dxa"/>
            <w:right w:w="0" w:type="dxa"/>
          </w:tcMar>
        </w:tcPr>
        <w:p w:rsidR="00D33091" w:rsidRPr="0044776A" w:rsidRDefault="00D33091" w:rsidP="0044776A">
          <w:pPr>
            <w:keepLines/>
            <w:jc w:val="center"/>
            <w:rPr>
              <w:rFonts w:ascii="Times New" w:hAnsi="Times New"/>
              <w:sz w:val="20"/>
              <w:szCs w:val="20"/>
            </w:rPr>
          </w:pPr>
        </w:p>
        <w:p w:rsidR="00D33091" w:rsidRPr="0044776A" w:rsidRDefault="00D33091" w:rsidP="0044776A">
          <w:pPr>
            <w:keepLines/>
            <w:jc w:val="center"/>
            <w:rPr>
              <w:rFonts w:ascii="Times New" w:hAnsi="Times New"/>
              <w:sz w:val="20"/>
              <w:szCs w:val="20"/>
            </w:rPr>
          </w:pPr>
        </w:p>
      </w:tc>
      <w:tc>
        <w:tcPr>
          <w:tcW w:w="4230" w:type="dxa"/>
          <w:tcMar>
            <w:left w:w="0" w:type="dxa"/>
            <w:right w:w="0" w:type="dxa"/>
          </w:tcMar>
        </w:tcPr>
        <w:p w:rsidR="00D33091" w:rsidRPr="0044776A" w:rsidRDefault="00D33091" w:rsidP="0044776A">
          <w:pPr>
            <w:rPr>
              <w:sz w:val="20"/>
              <w:szCs w:val="20"/>
              <w:lang w:val="fr-CA"/>
            </w:rPr>
          </w:pPr>
          <w:r w:rsidRPr="0044776A">
            <w:rPr>
              <w:sz w:val="20"/>
              <w:szCs w:val="20"/>
              <w:lang w:val="fr-CA"/>
            </w:rPr>
            <w:t>AUDIENCE ORDONNÉE</w:t>
          </w:r>
        </w:p>
      </w:tc>
    </w:tr>
  </w:tbl>
  <w:p w:rsidR="00D33091" w:rsidRPr="002E2327" w:rsidRDefault="00D33091">
    <w:pPr>
      <w:pStyle w:val="Header"/>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91" w:rsidRDefault="00D330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5793"/>
    <w:multiLevelType w:val="hybridMultilevel"/>
    <w:tmpl w:val="DFC2B522"/>
    <w:lvl w:ilvl="0" w:tplc="36A60876">
      <w:start w:val="3"/>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 w15:restartNumberingAfterBreak="0">
    <w:nsid w:val="198F26BE"/>
    <w:multiLevelType w:val="hybridMultilevel"/>
    <w:tmpl w:val="8BEA1A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F2B643E"/>
    <w:multiLevelType w:val="hybridMultilevel"/>
    <w:tmpl w:val="E1D8A0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CF18E7"/>
    <w:multiLevelType w:val="hybridMultilevel"/>
    <w:tmpl w:val="309AF5B6"/>
    <w:lvl w:ilvl="0" w:tplc="063EDCF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A46AA"/>
    <w:multiLevelType w:val="hybridMultilevel"/>
    <w:tmpl w:val="331E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A7C04"/>
    <w:multiLevelType w:val="hybridMultilevel"/>
    <w:tmpl w:val="4A1EEF14"/>
    <w:lvl w:ilvl="0" w:tplc="85DCB2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A71713"/>
    <w:multiLevelType w:val="hybridMultilevel"/>
    <w:tmpl w:val="309E858E"/>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7"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8834196"/>
    <w:multiLevelType w:val="hybridMultilevel"/>
    <w:tmpl w:val="ABDC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BC4C01"/>
    <w:multiLevelType w:val="hybridMultilevel"/>
    <w:tmpl w:val="FBA23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EC0E6C"/>
    <w:multiLevelType w:val="hybridMultilevel"/>
    <w:tmpl w:val="9BF209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1D84E16"/>
    <w:multiLevelType w:val="hybridMultilevel"/>
    <w:tmpl w:val="CE74C9E6"/>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2" w15:restartNumberingAfterBreak="0">
    <w:nsid w:val="4ABF3F06"/>
    <w:multiLevelType w:val="hybridMultilevel"/>
    <w:tmpl w:val="072A1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7F777B0"/>
    <w:multiLevelType w:val="hybridMultilevel"/>
    <w:tmpl w:val="FB28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0A23CC"/>
    <w:multiLevelType w:val="hybridMultilevel"/>
    <w:tmpl w:val="22DE2B74"/>
    <w:lvl w:ilvl="0" w:tplc="733E7A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930DDA"/>
    <w:multiLevelType w:val="hybridMultilevel"/>
    <w:tmpl w:val="47B43E54"/>
    <w:lvl w:ilvl="0" w:tplc="B1A44F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0"/>
  </w:num>
  <w:num w:numId="9">
    <w:abstractNumId w:val="1"/>
  </w:num>
  <w:num w:numId="10">
    <w:abstractNumId w:val="2"/>
  </w:num>
  <w:num w:numId="11">
    <w:abstractNumId w:val="1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5"/>
  </w:num>
  <w:num w:numId="16">
    <w:abstractNumId w:val="14"/>
  </w:num>
  <w:num w:numId="17">
    <w:abstractNumId w:val="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4"/>
  </w:num>
  <w:num w:numId="23">
    <w:abstractNumId w:val="3"/>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drawingGridHorizontalSpacing w:val="120"/>
  <w:displayHorizontalDrawingGridEvery w:val="2"/>
  <w:characterSpacingControl w:val="doNotCompress"/>
  <w:hdrShapeDefaults>
    <o:shapedefaults v:ext="edit" spidmax="103443"/>
  </w:hdrShapeDefaults>
  <w:footnotePr>
    <w:footnote w:id="-1"/>
    <w:footnote w:id="0"/>
  </w:footnotePr>
  <w:endnotePr>
    <w:endnote w:id="-1"/>
    <w:endnote w:id="0"/>
  </w:endnotePr>
  <w:compat>
    <w:compatSetting w:name="compatibilityMode" w:uri="http://schemas.microsoft.com/office/word" w:val="12"/>
  </w:compat>
  <w:rsids>
    <w:rsidRoot w:val="00FC545F"/>
    <w:rsid w:val="00017F43"/>
    <w:rsid w:val="00020DC3"/>
    <w:rsid w:val="0003223B"/>
    <w:rsid w:val="000327B2"/>
    <w:rsid w:val="0004012C"/>
    <w:rsid w:val="000430A7"/>
    <w:rsid w:val="0004528B"/>
    <w:rsid w:val="00050EFE"/>
    <w:rsid w:val="00064FBA"/>
    <w:rsid w:val="00087492"/>
    <w:rsid w:val="00091FA6"/>
    <w:rsid w:val="00096BD9"/>
    <w:rsid w:val="000A136B"/>
    <w:rsid w:val="000B3C9A"/>
    <w:rsid w:val="000B40A2"/>
    <w:rsid w:val="000B4624"/>
    <w:rsid w:val="000C0ACD"/>
    <w:rsid w:val="000C0C5C"/>
    <w:rsid w:val="000C0D2A"/>
    <w:rsid w:val="000C5CE8"/>
    <w:rsid w:val="000E24CB"/>
    <w:rsid w:val="000E2959"/>
    <w:rsid w:val="000F0B60"/>
    <w:rsid w:val="00102926"/>
    <w:rsid w:val="00102938"/>
    <w:rsid w:val="00105697"/>
    <w:rsid w:val="0010587F"/>
    <w:rsid w:val="00111C6B"/>
    <w:rsid w:val="0012102B"/>
    <w:rsid w:val="001269AD"/>
    <w:rsid w:val="0013369E"/>
    <w:rsid w:val="00164E6D"/>
    <w:rsid w:val="0017118B"/>
    <w:rsid w:val="001763F8"/>
    <w:rsid w:val="00183454"/>
    <w:rsid w:val="00186C6A"/>
    <w:rsid w:val="001B157C"/>
    <w:rsid w:val="001B4006"/>
    <w:rsid w:val="001B5C23"/>
    <w:rsid w:val="001D0D5F"/>
    <w:rsid w:val="001D3E4B"/>
    <w:rsid w:val="001D6B8C"/>
    <w:rsid w:val="001F1F83"/>
    <w:rsid w:val="001F40DF"/>
    <w:rsid w:val="001F684D"/>
    <w:rsid w:val="001F6B2D"/>
    <w:rsid w:val="002021A9"/>
    <w:rsid w:val="0020281A"/>
    <w:rsid w:val="00204D62"/>
    <w:rsid w:val="002139A7"/>
    <w:rsid w:val="002146FA"/>
    <w:rsid w:val="00215F7C"/>
    <w:rsid w:val="0022323B"/>
    <w:rsid w:val="002410B8"/>
    <w:rsid w:val="00242AEE"/>
    <w:rsid w:val="0024433E"/>
    <w:rsid w:val="00245129"/>
    <w:rsid w:val="00245879"/>
    <w:rsid w:val="0025127B"/>
    <w:rsid w:val="00265F92"/>
    <w:rsid w:val="00267FD5"/>
    <w:rsid w:val="00274D34"/>
    <w:rsid w:val="002809F4"/>
    <w:rsid w:val="00282DEB"/>
    <w:rsid w:val="00283ED8"/>
    <w:rsid w:val="002868D0"/>
    <w:rsid w:val="00297967"/>
    <w:rsid w:val="002A008C"/>
    <w:rsid w:val="002A27D1"/>
    <w:rsid w:val="002A4AFA"/>
    <w:rsid w:val="002A7EB0"/>
    <w:rsid w:val="002B516C"/>
    <w:rsid w:val="002D1AA9"/>
    <w:rsid w:val="002D29B0"/>
    <w:rsid w:val="002D72EB"/>
    <w:rsid w:val="002E2327"/>
    <w:rsid w:val="002E3583"/>
    <w:rsid w:val="002E4EA1"/>
    <w:rsid w:val="002E5576"/>
    <w:rsid w:val="003015AF"/>
    <w:rsid w:val="003077B4"/>
    <w:rsid w:val="00312B94"/>
    <w:rsid w:val="00331B52"/>
    <w:rsid w:val="003359D3"/>
    <w:rsid w:val="00355967"/>
    <w:rsid w:val="00367911"/>
    <w:rsid w:val="00382C47"/>
    <w:rsid w:val="00384384"/>
    <w:rsid w:val="003866AE"/>
    <w:rsid w:val="003B3977"/>
    <w:rsid w:val="003C0761"/>
    <w:rsid w:val="003E1D4C"/>
    <w:rsid w:val="00404D32"/>
    <w:rsid w:val="004137A0"/>
    <w:rsid w:val="00417673"/>
    <w:rsid w:val="00422D9A"/>
    <w:rsid w:val="00432989"/>
    <w:rsid w:val="00434755"/>
    <w:rsid w:val="00434B9D"/>
    <w:rsid w:val="00440E24"/>
    <w:rsid w:val="0044776A"/>
    <w:rsid w:val="00452784"/>
    <w:rsid w:val="00460AFC"/>
    <w:rsid w:val="00463ECB"/>
    <w:rsid w:val="0047471F"/>
    <w:rsid w:val="004A4754"/>
    <w:rsid w:val="004B195E"/>
    <w:rsid w:val="004B66B4"/>
    <w:rsid w:val="004B7F60"/>
    <w:rsid w:val="004C1AAC"/>
    <w:rsid w:val="004D7FA2"/>
    <w:rsid w:val="004E1E0A"/>
    <w:rsid w:val="004E770A"/>
    <w:rsid w:val="004F090E"/>
    <w:rsid w:val="004F2E0E"/>
    <w:rsid w:val="004F311B"/>
    <w:rsid w:val="00501F3C"/>
    <w:rsid w:val="0052229C"/>
    <w:rsid w:val="00527CC7"/>
    <w:rsid w:val="0053088A"/>
    <w:rsid w:val="00556701"/>
    <w:rsid w:val="00571CA4"/>
    <w:rsid w:val="00577386"/>
    <w:rsid w:val="00582136"/>
    <w:rsid w:val="00584913"/>
    <w:rsid w:val="005B3C71"/>
    <w:rsid w:val="005C6840"/>
    <w:rsid w:val="005D13F2"/>
    <w:rsid w:val="005D60F7"/>
    <w:rsid w:val="005F1ED8"/>
    <w:rsid w:val="005F263E"/>
    <w:rsid w:val="00600252"/>
    <w:rsid w:val="00610477"/>
    <w:rsid w:val="00612A40"/>
    <w:rsid w:val="0062714A"/>
    <w:rsid w:val="006448CA"/>
    <w:rsid w:val="00656188"/>
    <w:rsid w:val="00662FAD"/>
    <w:rsid w:val="00675479"/>
    <w:rsid w:val="006765BA"/>
    <w:rsid w:val="00680709"/>
    <w:rsid w:val="00681F61"/>
    <w:rsid w:val="00696BF9"/>
    <w:rsid w:val="006970DF"/>
    <w:rsid w:val="00697C62"/>
    <w:rsid w:val="006A329B"/>
    <w:rsid w:val="006A7EB8"/>
    <w:rsid w:val="006B6926"/>
    <w:rsid w:val="006B6C71"/>
    <w:rsid w:val="006C3F47"/>
    <w:rsid w:val="006C5F7A"/>
    <w:rsid w:val="006E06AF"/>
    <w:rsid w:val="006F350F"/>
    <w:rsid w:val="006F6D33"/>
    <w:rsid w:val="007065AB"/>
    <w:rsid w:val="0072344A"/>
    <w:rsid w:val="0072632D"/>
    <w:rsid w:val="00731C9F"/>
    <w:rsid w:val="00732DB7"/>
    <w:rsid w:val="00733D7C"/>
    <w:rsid w:val="0074238B"/>
    <w:rsid w:val="00745EF7"/>
    <w:rsid w:val="00755F22"/>
    <w:rsid w:val="00766E4A"/>
    <w:rsid w:val="00770DE8"/>
    <w:rsid w:val="007820CE"/>
    <w:rsid w:val="0078217E"/>
    <w:rsid w:val="00782AE4"/>
    <w:rsid w:val="00794763"/>
    <w:rsid w:val="0079724F"/>
    <w:rsid w:val="007A07AA"/>
    <w:rsid w:val="007A3EAE"/>
    <w:rsid w:val="007B68D8"/>
    <w:rsid w:val="007C04FC"/>
    <w:rsid w:val="007C3DB0"/>
    <w:rsid w:val="007C47C2"/>
    <w:rsid w:val="007C4D6E"/>
    <w:rsid w:val="007D3E0F"/>
    <w:rsid w:val="007D569A"/>
    <w:rsid w:val="007E4282"/>
    <w:rsid w:val="007F0DF3"/>
    <w:rsid w:val="007F387B"/>
    <w:rsid w:val="00802863"/>
    <w:rsid w:val="00807184"/>
    <w:rsid w:val="008112A9"/>
    <w:rsid w:val="00814E43"/>
    <w:rsid w:val="00815B3C"/>
    <w:rsid w:val="0081610A"/>
    <w:rsid w:val="0082783A"/>
    <w:rsid w:val="00831CA9"/>
    <w:rsid w:val="00832D97"/>
    <w:rsid w:val="0084179B"/>
    <w:rsid w:val="00841E19"/>
    <w:rsid w:val="00850E1F"/>
    <w:rsid w:val="0085476B"/>
    <w:rsid w:val="0086340B"/>
    <w:rsid w:val="00890FEB"/>
    <w:rsid w:val="00895E7E"/>
    <w:rsid w:val="008A1E7C"/>
    <w:rsid w:val="008A5C1A"/>
    <w:rsid w:val="008D292F"/>
    <w:rsid w:val="008D3487"/>
    <w:rsid w:val="008E03DC"/>
    <w:rsid w:val="00902E51"/>
    <w:rsid w:val="0090714C"/>
    <w:rsid w:val="00924065"/>
    <w:rsid w:val="00926859"/>
    <w:rsid w:val="00930D68"/>
    <w:rsid w:val="00932DB4"/>
    <w:rsid w:val="00941A4B"/>
    <w:rsid w:val="00946242"/>
    <w:rsid w:val="0095096B"/>
    <w:rsid w:val="00965342"/>
    <w:rsid w:val="00966B78"/>
    <w:rsid w:val="00970CD3"/>
    <w:rsid w:val="009723FA"/>
    <w:rsid w:val="00980356"/>
    <w:rsid w:val="00984546"/>
    <w:rsid w:val="00996510"/>
    <w:rsid w:val="009B3333"/>
    <w:rsid w:val="009D1F15"/>
    <w:rsid w:val="009D555E"/>
    <w:rsid w:val="009D7C35"/>
    <w:rsid w:val="009E3CD1"/>
    <w:rsid w:val="009F3024"/>
    <w:rsid w:val="009F39BA"/>
    <w:rsid w:val="00A0355E"/>
    <w:rsid w:val="00A10A18"/>
    <w:rsid w:val="00A1636E"/>
    <w:rsid w:val="00A26E00"/>
    <w:rsid w:val="00A375D1"/>
    <w:rsid w:val="00A51D10"/>
    <w:rsid w:val="00A52A83"/>
    <w:rsid w:val="00A6552C"/>
    <w:rsid w:val="00A75FA9"/>
    <w:rsid w:val="00A87207"/>
    <w:rsid w:val="00A87EEA"/>
    <w:rsid w:val="00A935AA"/>
    <w:rsid w:val="00A93DE5"/>
    <w:rsid w:val="00A956D3"/>
    <w:rsid w:val="00AB2201"/>
    <w:rsid w:val="00AC646D"/>
    <w:rsid w:val="00AD16D1"/>
    <w:rsid w:val="00AD1D34"/>
    <w:rsid w:val="00AD3259"/>
    <w:rsid w:val="00AF1715"/>
    <w:rsid w:val="00AF3904"/>
    <w:rsid w:val="00AF65DA"/>
    <w:rsid w:val="00B010C0"/>
    <w:rsid w:val="00B017E6"/>
    <w:rsid w:val="00B11B07"/>
    <w:rsid w:val="00B42FA5"/>
    <w:rsid w:val="00B44A7E"/>
    <w:rsid w:val="00B4740D"/>
    <w:rsid w:val="00B61629"/>
    <w:rsid w:val="00B7374B"/>
    <w:rsid w:val="00B774DA"/>
    <w:rsid w:val="00B90DC0"/>
    <w:rsid w:val="00BA116A"/>
    <w:rsid w:val="00BA5582"/>
    <w:rsid w:val="00BA6468"/>
    <w:rsid w:val="00BB1D44"/>
    <w:rsid w:val="00BB5EA6"/>
    <w:rsid w:val="00BD06DA"/>
    <w:rsid w:val="00BD4217"/>
    <w:rsid w:val="00BF25F3"/>
    <w:rsid w:val="00C060D7"/>
    <w:rsid w:val="00C127FB"/>
    <w:rsid w:val="00C1697B"/>
    <w:rsid w:val="00C21644"/>
    <w:rsid w:val="00C21CB5"/>
    <w:rsid w:val="00C22021"/>
    <w:rsid w:val="00C46376"/>
    <w:rsid w:val="00C50A5C"/>
    <w:rsid w:val="00C50FDF"/>
    <w:rsid w:val="00C56336"/>
    <w:rsid w:val="00C63381"/>
    <w:rsid w:val="00C73D06"/>
    <w:rsid w:val="00C73E1B"/>
    <w:rsid w:val="00C759B4"/>
    <w:rsid w:val="00C77713"/>
    <w:rsid w:val="00C85BB7"/>
    <w:rsid w:val="00C92608"/>
    <w:rsid w:val="00C93AE6"/>
    <w:rsid w:val="00CA2DEA"/>
    <w:rsid w:val="00CA66CD"/>
    <w:rsid w:val="00CB3520"/>
    <w:rsid w:val="00CB43D5"/>
    <w:rsid w:val="00CC4BCE"/>
    <w:rsid w:val="00CC4D84"/>
    <w:rsid w:val="00CE198A"/>
    <w:rsid w:val="00CE1B88"/>
    <w:rsid w:val="00CF08C8"/>
    <w:rsid w:val="00CF36B8"/>
    <w:rsid w:val="00D004FC"/>
    <w:rsid w:val="00D33091"/>
    <w:rsid w:val="00D35B09"/>
    <w:rsid w:val="00D53702"/>
    <w:rsid w:val="00D64901"/>
    <w:rsid w:val="00D76BDF"/>
    <w:rsid w:val="00D818B6"/>
    <w:rsid w:val="00D862C1"/>
    <w:rsid w:val="00D866A3"/>
    <w:rsid w:val="00D93B50"/>
    <w:rsid w:val="00D94028"/>
    <w:rsid w:val="00D94670"/>
    <w:rsid w:val="00D96177"/>
    <w:rsid w:val="00DA46F6"/>
    <w:rsid w:val="00DD0B49"/>
    <w:rsid w:val="00DE0502"/>
    <w:rsid w:val="00DE349D"/>
    <w:rsid w:val="00DF0216"/>
    <w:rsid w:val="00DF729A"/>
    <w:rsid w:val="00E06DFA"/>
    <w:rsid w:val="00E20A0A"/>
    <w:rsid w:val="00E240C2"/>
    <w:rsid w:val="00E318FE"/>
    <w:rsid w:val="00E327E7"/>
    <w:rsid w:val="00E356C7"/>
    <w:rsid w:val="00E36DCC"/>
    <w:rsid w:val="00E41A5A"/>
    <w:rsid w:val="00E45FE4"/>
    <w:rsid w:val="00E52E9E"/>
    <w:rsid w:val="00E64FA7"/>
    <w:rsid w:val="00E770CB"/>
    <w:rsid w:val="00E903A1"/>
    <w:rsid w:val="00E940EB"/>
    <w:rsid w:val="00E9703F"/>
    <w:rsid w:val="00EA4C19"/>
    <w:rsid w:val="00EB2B90"/>
    <w:rsid w:val="00EB36C9"/>
    <w:rsid w:val="00EB4B05"/>
    <w:rsid w:val="00ED7E83"/>
    <w:rsid w:val="00EE091F"/>
    <w:rsid w:val="00EF485B"/>
    <w:rsid w:val="00EF4B63"/>
    <w:rsid w:val="00F0068D"/>
    <w:rsid w:val="00F053D7"/>
    <w:rsid w:val="00F0576D"/>
    <w:rsid w:val="00F1436A"/>
    <w:rsid w:val="00F14E6D"/>
    <w:rsid w:val="00F15EA8"/>
    <w:rsid w:val="00F16C8D"/>
    <w:rsid w:val="00F26C61"/>
    <w:rsid w:val="00F33CCE"/>
    <w:rsid w:val="00F40249"/>
    <w:rsid w:val="00F45568"/>
    <w:rsid w:val="00F526C8"/>
    <w:rsid w:val="00F761A3"/>
    <w:rsid w:val="00F76692"/>
    <w:rsid w:val="00F9272D"/>
    <w:rsid w:val="00F9518C"/>
    <w:rsid w:val="00FA0DB6"/>
    <w:rsid w:val="00FA316E"/>
    <w:rsid w:val="00FA3373"/>
    <w:rsid w:val="00FA4DDC"/>
    <w:rsid w:val="00FA59EF"/>
    <w:rsid w:val="00FB19A2"/>
    <w:rsid w:val="00FC545F"/>
    <w:rsid w:val="00FD6B0E"/>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4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uiPriority w:val="99"/>
    <w:rsid w:val="001B157C"/>
    <w:pPr>
      <w:jc w:val="both"/>
    </w:pPr>
    <w:rPr>
      <w:rFonts w:eastAsia="Calibri" w:cs="Times New Roman"/>
      <w:b/>
    </w:rPr>
  </w:style>
  <w:style w:type="character" w:customStyle="1" w:styleId="SCCFileNumberChar">
    <w:name w:val="SCC.FileNumber Char"/>
    <w:basedOn w:val="DefaultParagraphFont"/>
    <w:link w:val="SCCFileNumber"/>
    <w:uiPriority w:val="99"/>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table" w:customStyle="1" w:styleId="TableGrid2">
    <w:name w:val="Table Grid2"/>
    <w:basedOn w:val="TableNormal"/>
    <w:next w:val="TableGrid"/>
    <w:uiPriority w:val="59"/>
    <w:rsid w:val="00926859"/>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
    <w:name w:val="No List1"/>
    <w:next w:val="NoList"/>
    <w:uiPriority w:val="99"/>
    <w:semiHidden/>
    <w:unhideWhenUsed/>
    <w:rsid w:val="00841E19"/>
  </w:style>
  <w:style w:type="paragraph" w:customStyle="1" w:styleId="SCCLsocParty">
    <w:name w:val="SCC.Lsoc.Party"/>
    <w:basedOn w:val="Normal"/>
    <w:next w:val="Normal"/>
    <w:link w:val="SCCLsocPartyChar"/>
    <w:rsid w:val="00841E19"/>
    <w:pPr>
      <w:jc w:val="center"/>
    </w:pPr>
    <w:rPr>
      <w:rFonts w:eastAsia="Calibri" w:cs="Times New Roman"/>
      <w:lang w:val="fr-CA"/>
    </w:rPr>
  </w:style>
  <w:style w:type="character" w:customStyle="1" w:styleId="SCCLsocPartyChar">
    <w:name w:val="SCC.Lsoc.Party Char"/>
    <w:basedOn w:val="DefaultParagraphFont"/>
    <w:link w:val="SCCLsocParty"/>
    <w:rsid w:val="00841E19"/>
    <w:rPr>
      <w:rFonts w:eastAsia="Calibri" w:cs="Times New Roman"/>
      <w:lang w:val="fr-CA"/>
    </w:rPr>
  </w:style>
  <w:style w:type="character" w:styleId="FollowedHyperlink">
    <w:name w:val="FollowedHyperlink"/>
    <w:basedOn w:val="DefaultParagraphFont"/>
    <w:uiPriority w:val="99"/>
    <w:semiHidden/>
    <w:unhideWhenUsed/>
    <w:rsid w:val="00841E19"/>
    <w:rPr>
      <w:color w:val="800080"/>
      <w:u w:val="single"/>
    </w:rPr>
  </w:style>
  <w:style w:type="paragraph" w:customStyle="1" w:styleId="SCCBanSummary">
    <w:name w:val="SCC.BanSummary"/>
    <w:basedOn w:val="Normal"/>
    <w:next w:val="Normal"/>
    <w:link w:val="SCCBanSummaryChar"/>
    <w:uiPriority w:val="99"/>
    <w:rsid w:val="00841E19"/>
    <w:pPr>
      <w:jc w:val="both"/>
    </w:pPr>
    <w:rPr>
      <w:rFonts w:eastAsia="Calibri" w:cs="Times New Roman"/>
      <w:smallCaps/>
    </w:rPr>
  </w:style>
  <w:style w:type="character" w:customStyle="1" w:styleId="SCCBanSummaryChar">
    <w:name w:val="SCC.BanSummary Char"/>
    <w:basedOn w:val="DefaultParagraphFont"/>
    <w:link w:val="SCCBanSummary"/>
    <w:uiPriority w:val="99"/>
    <w:rsid w:val="00841E19"/>
    <w:rPr>
      <w:rFonts w:eastAsia="Calibri" w:cs="Times New Roman"/>
      <w:smallCaps/>
      <w:lang w:val="en-CA"/>
    </w:rPr>
  </w:style>
  <w:style w:type="paragraph" w:styleId="NoSpacing">
    <w:name w:val="No Spacing"/>
    <w:uiPriority w:val="1"/>
    <w:qFormat/>
    <w:rsid w:val="00841E19"/>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841E19"/>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841E19"/>
    <w:rPr>
      <w:rFonts w:eastAsia="Calibri" w:cs="Times New Roman"/>
      <w:szCs w:val="24"/>
      <w:lang w:val="en-CA"/>
    </w:rPr>
  </w:style>
  <w:style w:type="paragraph" w:styleId="DocumentMap">
    <w:name w:val="Document Map"/>
    <w:basedOn w:val="Normal"/>
    <w:link w:val="DocumentMapChar"/>
    <w:uiPriority w:val="99"/>
    <w:semiHidden/>
    <w:unhideWhenUsed/>
    <w:rsid w:val="00841E19"/>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841E19"/>
    <w:rPr>
      <w:rFonts w:ascii="Tahoma" w:eastAsia="Times New Roman" w:hAnsi="Tahoma" w:cs="Tahoma"/>
      <w:sz w:val="16"/>
      <w:szCs w:val="16"/>
    </w:rPr>
  </w:style>
  <w:style w:type="paragraph" w:customStyle="1" w:styleId="Style268435469">
    <w:name w:val="Style268435469"/>
    <w:rsid w:val="00841E19"/>
    <w:pPr>
      <w:autoSpaceDE w:val="0"/>
      <w:autoSpaceDN w:val="0"/>
      <w:adjustRightInd w:val="0"/>
    </w:pPr>
    <w:rPr>
      <w:rFonts w:ascii="Arial" w:eastAsia="Calibri" w:hAnsi="Arial" w:cs="Arial"/>
      <w:szCs w:val="24"/>
      <w:lang w:val="en-CA"/>
    </w:rPr>
  </w:style>
  <w:style w:type="paragraph" w:styleId="BalloonText">
    <w:name w:val="Balloon Text"/>
    <w:basedOn w:val="Normal"/>
    <w:link w:val="BalloonTextChar"/>
    <w:uiPriority w:val="99"/>
    <w:semiHidden/>
    <w:unhideWhenUsed/>
    <w:rsid w:val="00841E19"/>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841E19"/>
    <w:rPr>
      <w:rFonts w:ascii="Tahoma" w:eastAsia="Times New Roman" w:hAnsi="Tahoma" w:cs="Tahoma"/>
      <w:sz w:val="16"/>
      <w:szCs w:val="16"/>
    </w:rPr>
  </w:style>
  <w:style w:type="paragraph" w:styleId="PlainText">
    <w:name w:val="Plain Text"/>
    <w:basedOn w:val="Normal"/>
    <w:link w:val="PlainTextChar"/>
    <w:uiPriority w:val="99"/>
    <w:semiHidden/>
    <w:unhideWhenUsed/>
    <w:rsid w:val="00841E19"/>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841E19"/>
    <w:rPr>
      <w:rFonts w:ascii="Consolas" w:eastAsia="Times New Roman" w:hAnsi="Consolas" w:cs="Times New Roman"/>
      <w:sz w:val="21"/>
      <w:szCs w:val="21"/>
    </w:rPr>
  </w:style>
  <w:style w:type="table" w:customStyle="1" w:styleId="TableGrid3">
    <w:name w:val="Table Grid3"/>
    <w:basedOn w:val="TableNormal"/>
    <w:next w:val="TableGrid"/>
    <w:uiPriority w:val="59"/>
    <w:rsid w:val="00E318FE"/>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E318FE"/>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E318FE"/>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E318FE"/>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E318FE"/>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D96177"/>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D96177"/>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D96177"/>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017F43"/>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017F43"/>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017F43"/>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5D60F7"/>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
    <w:name w:val="Table Grid15"/>
    <w:basedOn w:val="TableNormal"/>
    <w:next w:val="TableGrid"/>
    <w:uiPriority w:val="59"/>
    <w:rsid w:val="00EF485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117" Type="http://schemas.openxmlformats.org/officeDocument/2006/relationships/header" Target="header22.xml"/><Relationship Id="rId21" Type="http://schemas.openxmlformats.org/officeDocument/2006/relationships/header" Target="header6.xml"/><Relationship Id="rId42" Type="http://schemas.openxmlformats.org/officeDocument/2006/relationships/hyperlink" Target="http://www.canlii.org/fr/qc/qcca/doc/2014/2014qcca1886/2014qcca1886.html?resultIndex=1" TargetMode="External"/><Relationship Id="rId47" Type="http://schemas.openxmlformats.org/officeDocument/2006/relationships/hyperlink" Target="http://www.canlii.org/en/index.php" TargetMode="External"/><Relationship Id="rId63" Type="http://schemas.openxmlformats.org/officeDocument/2006/relationships/hyperlink" Target="http://canlii.ca/t/gfvhs" TargetMode="External"/><Relationship Id="rId68" Type="http://schemas.openxmlformats.org/officeDocument/2006/relationships/hyperlink" Target="http://www.canlii.org/fr/qc/qcca/doc/2014/2014qcca1817/2014qcca1817.html?resultIndex=1" TargetMode="External"/><Relationship Id="rId84" Type="http://schemas.openxmlformats.org/officeDocument/2006/relationships/hyperlink" Target="http://www.canlii.org/en/bc/bcca/doc/2014/2014bcca468/2014bcca468.html" TargetMode="External"/><Relationship Id="rId89" Type="http://schemas.openxmlformats.org/officeDocument/2006/relationships/header" Target="header10.xml"/><Relationship Id="rId112" Type="http://schemas.openxmlformats.org/officeDocument/2006/relationships/header" Target="header20.xml"/><Relationship Id="rId133" Type="http://schemas.openxmlformats.org/officeDocument/2006/relationships/theme" Target="theme/theme1.xml"/><Relationship Id="rId16" Type="http://schemas.openxmlformats.org/officeDocument/2006/relationships/footer" Target="footer3.xml"/><Relationship Id="rId107" Type="http://schemas.openxmlformats.org/officeDocument/2006/relationships/hyperlink" Target="http://www.scc-csc.ca/case-dossier/info/sum-som-eng.aspx?cas=36002" TargetMode="External"/><Relationship Id="rId11" Type="http://schemas.openxmlformats.org/officeDocument/2006/relationships/header" Target="header1.xml"/><Relationship Id="rId32" Type="http://schemas.openxmlformats.org/officeDocument/2006/relationships/hyperlink" Target="http://www.canlii.org/en/bc/bcca/doc/2012/2012bcca353/2012bcca353.html" TargetMode="External"/><Relationship Id="rId37" Type="http://schemas.openxmlformats.org/officeDocument/2006/relationships/hyperlink" Target="http://canlii.ca/t/fqvvs" TargetMode="External"/><Relationship Id="rId53" Type="http://schemas.openxmlformats.org/officeDocument/2006/relationships/hyperlink" Target="http://canlii.ca/t/g6lmc" TargetMode="External"/><Relationship Id="rId58" Type="http://schemas.openxmlformats.org/officeDocument/2006/relationships/hyperlink" Target="http://canlii.ca/t/gf4vd" TargetMode="External"/><Relationship Id="rId74" Type="http://schemas.openxmlformats.org/officeDocument/2006/relationships/hyperlink" Target="http://www.canlii.org/en/ca/fca/doc/2014/2014fca262/2014fca262.html" TargetMode="External"/><Relationship Id="rId79" Type="http://schemas.openxmlformats.org/officeDocument/2006/relationships/hyperlink" Target="http://www.canlii.org/en/ab/abqb/doc/2013/2013abqb339/2013abqb339.html" TargetMode="External"/><Relationship Id="rId102" Type="http://schemas.openxmlformats.org/officeDocument/2006/relationships/header" Target="header17.xml"/><Relationship Id="rId123" Type="http://schemas.openxmlformats.org/officeDocument/2006/relationships/hyperlink" Target="http://www.scc-csc.ca/case-dossier/info/sum-som-fra.aspx?cas=35619" TargetMode="External"/><Relationship Id="rId128" Type="http://schemas.openxmlformats.org/officeDocument/2006/relationships/header" Target="header27.xml"/><Relationship Id="rId5" Type="http://schemas.openxmlformats.org/officeDocument/2006/relationships/webSettings" Target="webSettings.xml"/><Relationship Id="rId90" Type="http://schemas.openxmlformats.org/officeDocument/2006/relationships/header" Target="header11.xml"/><Relationship Id="rId95" Type="http://schemas.openxmlformats.org/officeDocument/2006/relationships/header" Target="header13.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yperlink" Target="http://www.canlii.org/en/bc/bcca/doc/2012/2012bcca353/2012bcca353.html" TargetMode="External"/><Relationship Id="rId35" Type="http://schemas.openxmlformats.org/officeDocument/2006/relationships/hyperlink" Target="http://canlii.ca/t/fx3bd" TargetMode="External"/><Relationship Id="rId43" Type="http://schemas.openxmlformats.org/officeDocument/2006/relationships/hyperlink" Target="http://www.canlii.org/fr/qc/qccs/doc/2012/2012qccs284/2012qccs284.html?resultIndex=1" TargetMode="External"/><Relationship Id="rId48" Type="http://schemas.openxmlformats.org/officeDocument/2006/relationships/hyperlink" Target="http://www.canlii.org/en/index.php" TargetMode="External"/><Relationship Id="rId56" Type="http://schemas.openxmlformats.org/officeDocument/2006/relationships/hyperlink" Target="http://canlii.ca/t/gf4vd" TargetMode="External"/><Relationship Id="rId64" Type="http://schemas.openxmlformats.org/officeDocument/2006/relationships/hyperlink" Target="http://canlii.ca/t/gfvhs" TargetMode="External"/><Relationship Id="rId69" Type="http://schemas.openxmlformats.org/officeDocument/2006/relationships/hyperlink" Target="http://www.canlii.org/fr/qc/qccs/doc/2014/2014qccs1891/2014qccs1891.html?resultIndex=1" TargetMode="External"/><Relationship Id="rId77" Type="http://schemas.openxmlformats.org/officeDocument/2006/relationships/hyperlink" Target="http://www.canlii.org/en/ab/abca/doc/2014/2014abca363/2014abca363.html?resultIndex=1" TargetMode="External"/><Relationship Id="rId100" Type="http://schemas.openxmlformats.org/officeDocument/2006/relationships/footer" Target="footer15.xml"/><Relationship Id="rId105" Type="http://schemas.openxmlformats.org/officeDocument/2006/relationships/header" Target="header18.xml"/><Relationship Id="rId113" Type="http://schemas.openxmlformats.org/officeDocument/2006/relationships/footer" Target="footer19.xml"/><Relationship Id="rId118" Type="http://schemas.openxmlformats.org/officeDocument/2006/relationships/header" Target="header23.xml"/><Relationship Id="rId126" Type="http://schemas.openxmlformats.org/officeDocument/2006/relationships/footer" Target="footer25.xml"/><Relationship Id="rId8" Type="http://schemas.openxmlformats.org/officeDocument/2006/relationships/image" Target="media/image1.wmf"/><Relationship Id="rId51" Type="http://schemas.openxmlformats.org/officeDocument/2006/relationships/hyperlink" Target="http://canlii.ca/t/g6lmc" TargetMode="External"/><Relationship Id="rId72" Type="http://schemas.openxmlformats.org/officeDocument/2006/relationships/hyperlink" Target="http://www.canlii.org/fr/qc/qcca/doc/2014/2014qcca2052/2014qcca2052.html?resultIndex=1" TargetMode="External"/><Relationship Id="rId80" Type="http://schemas.openxmlformats.org/officeDocument/2006/relationships/hyperlink" Target="http://www.canlii.org/en/ab/abca/doc/2014/2014abca363/2014abca363.html?resultIndex=1" TargetMode="External"/><Relationship Id="rId85" Type="http://schemas.openxmlformats.org/officeDocument/2006/relationships/hyperlink" Target="http://www.canlii.org/en/ca/fca/doc/2014/2014fca251/2014fca251.html" TargetMode="External"/><Relationship Id="rId93" Type="http://schemas.openxmlformats.org/officeDocument/2006/relationships/header" Target="header12.xml"/><Relationship Id="rId98" Type="http://schemas.openxmlformats.org/officeDocument/2006/relationships/footer" Target="footer14.xml"/><Relationship Id="rId121" Type="http://schemas.openxmlformats.org/officeDocument/2006/relationships/header" Target="header24.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canlii.ca/t/fx3bd" TargetMode="External"/><Relationship Id="rId38" Type="http://schemas.openxmlformats.org/officeDocument/2006/relationships/hyperlink" Target="http://canlii.ca/t/gdzmm" TargetMode="External"/><Relationship Id="rId46" Type="http://schemas.openxmlformats.org/officeDocument/2006/relationships/hyperlink" Target="http://www.canlii.org/fr/qc/qcca/doc/2014/2014qcca1891/2014qcca1891.html?resultIndex=1" TargetMode="External"/><Relationship Id="rId59" Type="http://schemas.openxmlformats.org/officeDocument/2006/relationships/hyperlink" Target="http://www.canlii.org/en/bc/bcsc/doc/2013/2013bcsc1827/2013bcsc1827.html" TargetMode="External"/><Relationship Id="rId67" Type="http://schemas.openxmlformats.org/officeDocument/2006/relationships/hyperlink" Target="http://www.canlii.org/fr/qc/qccs/doc/2013/2013qccs1539/2013qccs1539.html?resultIndex=1" TargetMode="External"/><Relationship Id="rId103" Type="http://schemas.openxmlformats.org/officeDocument/2006/relationships/footer" Target="footer16.xml"/><Relationship Id="rId108" Type="http://schemas.openxmlformats.org/officeDocument/2006/relationships/hyperlink" Target="http://www.scc-csc.ca/case-dossier/info/sum-som-eng.aspx?cas=35886" TargetMode="External"/><Relationship Id="rId116" Type="http://schemas.openxmlformats.org/officeDocument/2006/relationships/footer" Target="footer21.xml"/><Relationship Id="rId124" Type="http://schemas.openxmlformats.org/officeDocument/2006/relationships/header" Target="header25.xml"/><Relationship Id="rId129" Type="http://schemas.openxmlformats.org/officeDocument/2006/relationships/footer" Target="footer27.xml"/><Relationship Id="rId20" Type="http://schemas.openxmlformats.org/officeDocument/2006/relationships/footer" Target="footer5.xml"/><Relationship Id="rId41" Type="http://schemas.openxmlformats.org/officeDocument/2006/relationships/hyperlink" Target="http://www.canlii.org/fr/qc/qccs/doc/2012/2012qccs284/2012qccs284.html?resultIndex=1" TargetMode="External"/><Relationship Id="rId54" Type="http://schemas.openxmlformats.org/officeDocument/2006/relationships/hyperlink" Target="http://canlii.ca/t/gf4vd" TargetMode="External"/><Relationship Id="rId62" Type="http://schemas.openxmlformats.org/officeDocument/2006/relationships/hyperlink" Target="http://www.canlii.org/en/bc/bcca/doc/2014/2014bcca409/2014bcca409.html" TargetMode="External"/><Relationship Id="rId70" Type="http://schemas.openxmlformats.org/officeDocument/2006/relationships/hyperlink" Target="http://www.canlii.org/fr/qc/qcca/doc/2014/2014qcca2052/2014qcca2052.html?resultIndex=1" TargetMode="External"/><Relationship Id="rId75" Type="http://schemas.openxmlformats.org/officeDocument/2006/relationships/hyperlink" Target="http://www.canlii.org/en/ab/laws/stat/rsa-2000-c-f-24/latest/rsa-2000-c-f-24.html" TargetMode="External"/><Relationship Id="rId83" Type="http://schemas.openxmlformats.org/officeDocument/2006/relationships/hyperlink" Target="http://www.canlii.org/en/bc/bcca/doc/2014/2014bcca468/2014bcca468.html" TargetMode="External"/><Relationship Id="rId88" Type="http://schemas.openxmlformats.org/officeDocument/2006/relationships/hyperlink" Target="http://www.canlii.org/en/mb/mbca/doc/2014/2014canlii56995/2014canlii56995.html" TargetMode="External"/><Relationship Id="rId91" Type="http://schemas.openxmlformats.org/officeDocument/2006/relationships/footer" Target="footer10.xml"/><Relationship Id="rId96" Type="http://schemas.openxmlformats.org/officeDocument/2006/relationships/header" Target="header14.xml"/><Relationship Id="rId111" Type="http://schemas.openxmlformats.org/officeDocument/2006/relationships/header" Target="header19.xm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yperlink" Target="http://canlii.ca/t/g8zmp" TargetMode="External"/><Relationship Id="rId49" Type="http://schemas.openxmlformats.org/officeDocument/2006/relationships/hyperlink" Target="http://www.canlii.org/en/index.php" TargetMode="External"/><Relationship Id="rId57" Type="http://schemas.openxmlformats.org/officeDocument/2006/relationships/hyperlink" Target="http://canlii.ca/t/g6lmc" TargetMode="External"/><Relationship Id="rId106" Type="http://schemas.openxmlformats.org/officeDocument/2006/relationships/footer" Target="footer18.xml"/><Relationship Id="rId114" Type="http://schemas.openxmlformats.org/officeDocument/2006/relationships/footer" Target="footer20.xml"/><Relationship Id="rId119" Type="http://schemas.openxmlformats.org/officeDocument/2006/relationships/footer" Target="footer22.xml"/><Relationship Id="rId127" Type="http://schemas.openxmlformats.org/officeDocument/2006/relationships/footer" Target="footer26.xml"/><Relationship Id="rId10" Type="http://schemas.openxmlformats.org/officeDocument/2006/relationships/hyperlink" Target="http://www.scc-csc.ca" TargetMode="External"/><Relationship Id="rId31" Type="http://schemas.openxmlformats.org/officeDocument/2006/relationships/hyperlink" Target="http://www.canlii.org/en/bc/bcpc/doc/2008/2008bcpc31/2008bcpc31.html" TargetMode="External"/><Relationship Id="rId44" Type="http://schemas.openxmlformats.org/officeDocument/2006/relationships/hyperlink" Target="http://www.canlii.org/fr/qc/qcca/doc/2014/2014qcca1886/2014qcca1886.html?resultIndex=1" TargetMode="External"/><Relationship Id="rId52" Type="http://schemas.openxmlformats.org/officeDocument/2006/relationships/hyperlink" Target="http://canlii.ca/t/gf4vd" TargetMode="External"/><Relationship Id="rId60" Type="http://schemas.openxmlformats.org/officeDocument/2006/relationships/hyperlink" Target="http://www.canlii.org/en/bc/bcca/doc/2014/2014bcca409/2014bcca409.html" TargetMode="External"/><Relationship Id="rId65" Type="http://schemas.openxmlformats.org/officeDocument/2006/relationships/hyperlink" Target="http://www.canlii.org/fr/qc/qccs/doc/2013/2013qccs1539/2013qccs1539.html?resultIndex=1" TargetMode="External"/><Relationship Id="rId73" Type="http://schemas.openxmlformats.org/officeDocument/2006/relationships/hyperlink" Target="http://www.canlii.org/en/ca/fca/doc/2014/2014fca262/2014fca262.html" TargetMode="External"/><Relationship Id="rId78" Type="http://schemas.openxmlformats.org/officeDocument/2006/relationships/hyperlink" Target="http://www.canlii.org/en/ab/laws/stat/rsa-2000-c-f-24/latest/rsa-2000-c-f-24.html" TargetMode="External"/><Relationship Id="rId81" Type="http://schemas.openxmlformats.org/officeDocument/2006/relationships/hyperlink" Target="http://www.canlii.org/en/ca/fca/doc/2014/2014fca265/2014fca265.html" TargetMode="External"/><Relationship Id="rId86" Type="http://schemas.openxmlformats.org/officeDocument/2006/relationships/hyperlink" Target="http://www.canlii.org/en/ca/fca/doc/2014/2014fca251/2014fca251.html" TargetMode="External"/><Relationship Id="rId94" Type="http://schemas.openxmlformats.org/officeDocument/2006/relationships/footer" Target="footer12.xml"/><Relationship Id="rId99" Type="http://schemas.openxmlformats.org/officeDocument/2006/relationships/header" Target="header15.xml"/><Relationship Id="rId101" Type="http://schemas.openxmlformats.org/officeDocument/2006/relationships/header" Target="header16.xml"/><Relationship Id="rId122" Type="http://schemas.openxmlformats.org/officeDocument/2006/relationships/footer" Target="footer24.xml"/><Relationship Id="rId130" Type="http://schemas.openxmlformats.org/officeDocument/2006/relationships/header" Target="header28.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yperlink" Target="http://canlii.ca/t/fqvvs" TargetMode="External"/><Relationship Id="rId109" Type="http://schemas.openxmlformats.org/officeDocument/2006/relationships/hyperlink" Target="http://www.scc-csc.ca/case-dossier/info/sum-som-fra.aspx?cas=35527" TargetMode="External"/><Relationship Id="rId34" Type="http://schemas.openxmlformats.org/officeDocument/2006/relationships/hyperlink" Target="http://canlii.ca/t/g8zmp" TargetMode="External"/><Relationship Id="rId50" Type="http://schemas.openxmlformats.org/officeDocument/2006/relationships/hyperlink" Target="http://www.canlii.org/en/index.php" TargetMode="External"/><Relationship Id="rId55" Type="http://schemas.openxmlformats.org/officeDocument/2006/relationships/hyperlink" Target="http://canlii.ca/t/g2zkm" TargetMode="External"/><Relationship Id="rId76" Type="http://schemas.openxmlformats.org/officeDocument/2006/relationships/hyperlink" Target="http://www.canlii.org/en/ab/abqb/doc/2013/2013abqb339/2013abqb339.html" TargetMode="External"/><Relationship Id="rId97" Type="http://schemas.openxmlformats.org/officeDocument/2006/relationships/footer" Target="footer13.xml"/><Relationship Id="rId104" Type="http://schemas.openxmlformats.org/officeDocument/2006/relationships/footer" Target="footer17.xml"/><Relationship Id="rId120" Type="http://schemas.openxmlformats.org/officeDocument/2006/relationships/footer" Target="footer23.xml"/><Relationship Id="rId125" Type="http://schemas.openxmlformats.org/officeDocument/2006/relationships/header" Target="header26.xml"/><Relationship Id="rId7" Type="http://schemas.openxmlformats.org/officeDocument/2006/relationships/endnotes" Target="endnotes.xml"/><Relationship Id="rId71" Type="http://schemas.openxmlformats.org/officeDocument/2006/relationships/hyperlink" Target="http://www.canlii.org/fr/qc/qccs/doc/2014/2014qccs1891/2014qccs1891.html?resultIndex=1" TargetMode="External"/><Relationship Id="rId92" Type="http://schemas.openxmlformats.org/officeDocument/2006/relationships/footer" Target="footer11.xml"/><Relationship Id="rId2" Type="http://schemas.openxmlformats.org/officeDocument/2006/relationships/numbering" Target="numbering.xml"/><Relationship Id="rId29" Type="http://schemas.openxmlformats.org/officeDocument/2006/relationships/hyperlink" Target="http://www.canlii.org/en/bc/bcpc/doc/2008/2008bcpc31/2008bcpc31.html" TargetMode="External"/><Relationship Id="rId24" Type="http://schemas.openxmlformats.org/officeDocument/2006/relationships/footer" Target="footer7.xml"/><Relationship Id="rId40" Type="http://schemas.openxmlformats.org/officeDocument/2006/relationships/hyperlink" Target="http://canlii.ca/t/gdzmm" TargetMode="External"/><Relationship Id="rId45" Type="http://schemas.openxmlformats.org/officeDocument/2006/relationships/hyperlink" Target="http://www.canlii.org/fr/qc/qcca/doc/2014/2014qcca1891/2014qcca1891.html?resultIndex=1" TargetMode="External"/><Relationship Id="rId66" Type="http://schemas.openxmlformats.org/officeDocument/2006/relationships/hyperlink" Target="http://www.canlii.org/fr/qc/qcca/doc/2014/2014qcca1817/2014qcca1817.html?resultIndex=1" TargetMode="External"/><Relationship Id="rId87" Type="http://schemas.openxmlformats.org/officeDocument/2006/relationships/hyperlink" Target="http://www.canlii.org/en/mb/mbca/doc/2014/2014canlii56995/2014canlii56995.html" TargetMode="External"/><Relationship Id="rId110" Type="http://schemas.openxmlformats.org/officeDocument/2006/relationships/hyperlink" Target="http://www.scc-csc.ca/case-dossier/info/sum-som-eng.aspx?cas=35548" TargetMode="External"/><Relationship Id="rId115" Type="http://schemas.openxmlformats.org/officeDocument/2006/relationships/header" Target="header21.xml"/><Relationship Id="rId131" Type="http://schemas.openxmlformats.org/officeDocument/2006/relationships/footer" Target="footer28.xml"/><Relationship Id="rId61" Type="http://schemas.openxmlformats.org/officeDocument/2006/relationships/hyperlink" Target="http://www.canlii.org/en/bc/bcsc/doc/2013/2013bcsc1827/2013bcsc1827.html" TargetMode="External"/><Relationship Id="rId82" Type="http://schemas.openxmlformats.org/officeDocument/2006/relationships/hyperlink" Target="http://www.canlii.org/en/ca/fca/doc/2014/2014fca265/2014fca265.html" TargetMode="External"/><Relationship Id="rId1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2635A-28B4-4C8C-9212-1DD1FA3A3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25010</Words>
  <Characters>142559</Characters>
  <Application>Microsoft Office Word</Application>
  <DocSecurity>0</DocSecurity>
  <Lines>1187</Lines>
  <Paragraphs>334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2015-05-05T13:20:00Z</dcterms:created>
  <dcterms:modified xsi:type="dcterms:W3CDTF">2015-11-26T21:51:00Z</dcterms:modified>
</cp:coreProperties>
</file>