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bookmarkEnd w:id="0"/>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D229C1"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D229C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229C1"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D229C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229C1" w:rsidTr="002E5576">
        <w:tc>
          <w:tcPr>
            <w:tcW w:w="4518" w:type="dxa"/>
          </w:tcPr>
          <w:p w:rsidR="00BF25F3" w:rsidRPr="002E2327" w:rsidRDefault="00B158EB"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158EB"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D229C1"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D229C1"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5B3B50">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5B3B50">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9152FB" w:rsidP="00F0068D">
      <w:pPr>
        <w:pBdr>
          <w:bottom w:val="single" w:sz="6" w:space="1" w:color="auto"/>
        </w:pBdr>
        <w:tabs>
          <w:tab w:val="center" w:pos="4680"/>
          <w:tab w:val="right" w:pos="9360"/>
        </w:tabs>
        <w:rPr>
          <w:lang w:val="fr-CA"/>
        </w:rPr>
      </w:pPr>
      <w:r>
        <w:rPr>
          <w:lang w:val="fr-CA"/>
        </w:rPr>
        <w:t>M</w:t>
      </w:r>
      <w:r w:rsidR="00C73D06">
        <w:rPr>
          <w:lang w:val="fr-CA"/>
        </w:rPr>
        <w:t>ay</w:t>
      </w:r>
      <w:r w:rsidR="00440E24" w:rsidRPr="00675479">
        <w:rPr>
          <w:lang w:val="fr-CA"/>
        </w:rPr>
        <w:t xml:space="preserve"> </w:t>
      </w:r>
      <w:r>
        <w:rPr>
          <w:lang w:val="fr-CA"/>
        </w:rPr>
        <w:t>15</w:t>
      </w:r>
      <w:r w:rsidR="00440E24" w:rsidRPr="00675479">
        <w:rPr>
          <w:lang w:val="fr-CA"/>
        </w:rPr>
        <w:t>, 201</w:t>
      </w:r>
      <w:r w:rsidR="00020DC3">
        <w:rPr>
          <w:lang w:val="fr-CA"/>
        </w:rPr>
        <w:t>5</w:t>
      </w:r>
      <w:r w:rsidR="00F0068D" w:rsidRPr="00675479">
        <w:rPr>
          <w:lang w:val="fr-CA"/>
        </w:rPr>
        <w:tab/>
      </w:r>
      <w:r>
        <w:rPr>
          <w:lang w:val="fr-CA"/>
        </w:rPr>
        <w:t>847</w:t>
      </w:r>
      <w:r w:rsidR="00F0068D" w:rsidRPr="00675479">
        <w:rPr>
          <w:lang w:val="fr-CA"/>
        </w:rPr>
        <w:t xml:space="preserve"> - </w:t>
      </w:r>
      <w:r w:rsidR="00700535">
        <w:rPr>
          <w:lang w:val="fr-CA"/>
        </w:rPr>
        <w:t>89</w:t>
      </w:r>
      <w:r w:rsidR="00264949">
        <w:rPr>
          <w:lang w:val="fr-CA"/>
        </w:rPr>
        <w:t>5</w:t>
      </w:r>
      <w:r w:rsidR="00440E24" w:rsidRPr="00675479">
        <w:rPr>
          <w:lang w:val="fr-CA"/>
        </w:rPr>
        <w:tab/>
      </w:r>
      <w:r w:rsidR="00440E24" w:rsidRPr="002E2327">
        <w:rPr>
          <w:lang w:val="fr-CA"/>
        </w:rPr>
        <w:t>Le</w:t>
      </w:r>
      <w:r w:rsidR="00C73D06">
        <w:rPr>
          <w:lang w:val="fr-CA"/>
        </w:rPr>
        <w:t xml:space="preserve"> </w:t>
      </w:r>
      <w:r>
        <w:rPr>
          <w:lang w:val="fr-CA"/>
        </w:rPr>
        <w:t>15 m</w:t>
      </w:r>
      <w:r w:rsidR="00440E24" w:rsidRPr="002E2327">
        <w:rPr>
          <w:lang w:val="fr-CA"/>
        </w:rPr>
        <w:t>ai 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9152FB" w:rsidRDefault="00440E24" w:rsidP="00440E24">
      <w:pPr>
        <w:pBdr>
          <w:bottom w:val="single" w:sz="6" w:space="1" w:color="auto"/>
        </w:pBdr>
        <w:tabs>
          <w:tab w:val="right" w:pos="9360"/>
        </w:tabs>
        <w:rPr>
          <w:sz w:val="18"/>
          <w:szCs w:val="18"/>
          <w:lang w:val="fr-CA"/>
        </w:rPr>
      </w:pPr>
      <w:r w:rsidRPr="009152FB">
        <w:rPr>
          <w:sz w:val="18"/>
          <w:szCs w:val="18"/>
          <w:lang w:val="fr-CA"/>
        </w:rPr>
        <w:t>© Supreme Court of Canada (201</w:t>
      </w:r>
      <w:r w:rsidR="00020DC3" w:rsidRPr="009152FB">
        <w:rPr>
          <w:sz w:val="18"/>
          <w:szCs w:val="18"/>
          <w:lang w:val="fr-CA"/>
        </w:rPr>
        <w:t>5</w:t>
      </w:r>
      <w:r w:rsidRPr="009152FB">
        <w:rPr>
          <w:sz w:val="18"/>
          <w:szCs w:val="18"/>
          <w:lang w:val="fr-CA"/>
        </w:rPr>
        <w:t>)</w:t>
      </w:r>
      <w:r w:rsidRPr="009152FB">
        <w:rPr>
          <w:sz w:val="18"/>
          <w:szCs w:val="18"/>
          <w:lang w:val="fr-CA"/>
        </w:rPr>
        <w:tab/>
        <w:t>© Cour suprême du Canada (201</w:t>
      </w:r>
      <w:r w:rsidR="00020DC3" w:rsidRPr="009152FB">
        <w:rPr>
          <w:sz w:val="18"/>
          <w:szCs w:val="18"/>
          <w:lang w:val="fr-CA"/>
        </w:rPr>
        <w:t>5</w:t>
      </w:r>
      <w:r w:rsidRPr="009152F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073F96"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Oral hearing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leave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C6299D">
            <w:pPr>
              <w:tabs>
                <w:tab w:val="right" w:pos="9360"/>
              </w:tabs>
              <w:rPr>
                <w:rFonts w:cs="Times New Roman"/>
                <w:sz w:val="20"/>
                <w:szCs w:val="20"/>
              </w:rPr>
            </w:pPr>
          </w:p>
        </w:tc>
        <w:tc>
          <w:tcPr>
            <w:tcW w:w="1980" w:type="dxa"/>
          </w:tcPr>
          <w:p w:rsidR="0095096B" w:rsidRPr="002E2327" w:rsidRDefault="009152FB" w:rsidP="0095096B">
            <w:pPr>
              <w:jc w:val="center"/>
              <w:rPr>
                <w:rFonts w:cs="Times New Roman"/>
                <w:sz w:val="20"/>
                <w:szCs w:val="20"/>
              </w:rPr>
            </w:pPr>
            <w:r>
              <w:rPr>
                <w:rFonts w:cs="Times New Roman"/>
                <w:sz w:val="20"/>
                <w:szCs w:val="20"/>
              </w:rPr>
              <w:t xml:space="preserve">847 </w:t>
            </w:r>
            <w:r w:rsidR="00B158EB" w:rsidRPr="002E2327">
              <w:rPr>
                <w:rFonts w:cs="Times New Roman"/>
                <w:sz w:val="20"/>
                <w:szCs w:val="20"/>
              </w:rPr>
              <w:fldChar w:fldCharType="begin"/>
            </w:r>
            <w:r w:rsidR="0095096B" w:rsidRPr="002E2327">
              <w:rPr>
                <w:rFonts w:cs="Times New Roman"/>
                <w:sz w:val="20"/>
                <w:szCs w:val="20"/>
              </w:rPr>
              <w:instrText xml:space="preserve"> SEQ CHAPTER \h \r 1</w:instrText>
            </w:r>
            <w:r w:rsidR="00B158EB" w:rsidRPr="002E2327">
              <w:rPr>
                <w:rFonts w:cs="Times New Roman"/>
                <w:sz w:val="20"/>
                <w:szCs w:val="20"/>
              </w:rPr>
              <w:fldChar w:fldCharType="end"/>
            </w:r>
            <w:r w:rsidR="0095096B" w:rsidRPr="002E2327">
              <w:rPr>
                <w:rFonts w:cs="Times New Roman"/>
                <w:sz w:val="20"/>
                <w:szCs w:val="20"/>
              </w:rPr>
              <w:t>-</w:t>
            </w:r>
            <w:r w:rsidR="00047D64">
              <w:rPr>
                <w:rFonts w:cs="Times New Roman"/>
                <w:sz w:val="20"/>
                <w:szCs w:val="20"/>
              </w:rPr>
              <w:t xml:space="preserve"> 848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47D64" w:rsidP="0095096B">
            <w:pPr>
              <w:jc w:val="center"/>
              <w:rPr>
                <w:rFonts w:cs="Times New Roman"/>
                <w:sz w:val="20"/>
                <w:szCs w:val="20"/>
              </w:rPr>
            </w:pPr>
            <w:r>
              <w:rPr>
                <w:rFonts w:cs="Times New Roman"/>
                <w:sz w:val="20"/>
                <w:szCs w:val="20"/>
              </w:rPr>
              <w:t>849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47D64" w:rsidP="0095096B">
            <w:pPr>
              <w:jc w:val="center"/>
              <w:rPr>
                <w:rFonts w:cs="Times New Roman"/>
                <w:sz w:val="20"/>
                <w:szCs w:val="20"/>
              </w:rPr>
            </w:pPr>
            <w:r>
              <w:rPr>
                <w:rFonts w:cs="Times New Roman"/>
                <w:sz w:val="20"/>
                <w:szCs w:val="20"/>
              </w:rPr>
              <w:t>850</w:t>
            </w:r>
          </w:p>
          <w:p w:rsidR="0095096B" w:rsidRDefault="0095096B" w:rsidP="0095096B">
            <w:pPr>
              <w:jc w:val="center"/>
              <w:rPr>
                <w:rFonts w:cs="Times New Roman"/>
                <w:sz w:val="20"/>
                <w:szCs w:val="20"/>
              </w:rPr>
            </w:pPr>
          </w:p>
          <w:p w:rsidR="00047D64" w:rsidRPr="002E2327" w:rsidRDefault="00047D64" w:rsidP="0095096B">
            <w:pPr>
              <w:jc w:val="center"/>
              <w:rPr>
                <w:rFonts w:cs="Times New Roman"/>
                <w:sz w:val="20"/>
                <w:szCs w:val="20"/>
              </w:rPr>
            </w:pPr>
          </w:p>
          <w:p w:rsidR="0095096B" w:rsidRPr="002E2327" w:rsidRDefault="00AF3CE8" w:rsidP="0095096B">
            <w:pPr>
              <w:jc w:val="center"/>
              <w:rPr>
                <w:rFonts w:cs="Times New Roman"/>
                <w:sz w:val="20"/>
                <w:szCs w:val="20"/>
              </w:rPr>
            </w:pPr>
            <w:r>
              <w:rPr>
                <w:rFonts w:cs="Times New Roman"/>
                <w:sz w:val="20"/>
                <w:szCs w:val="20"/>
              </w:rPr>
              <w:t xml:space="preserve">851 </w:t>
            </w:r>
            <w:r w:rsidR="0095096B" w:rsidRPr="002E2327">
              <w:rPr>
                <w:rFonts w:cs="Times New Roman"/>
                <w:sz w:val="20"/>
                <w:szCs w:val="20"/>
              </w:rPr>
              <w:t>-</w:t>
            </w:r>
            <w:r>
              <w:rPr>
                <w:rFonts w:cs="Times New Roman"/>
                <w:sz w:val="20"/>
                <w:szCs w:val="20"/>
              </w:rPr>
              <w:t xml:space="preserve"> </w:t>
            </w:r>
            <w:r w:rsidR="000B0443">
              <w:rPr>
                <w:rFonts w:cs="Times New Roman"/>
                <w:sz w:val="20"/>
                <w:szCs w:val="20"/>
              </w:rPr>
              <w:t>873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B0443" w:rsidP="0095096B">
            <w:pPr>
              <w:jc w:val="center"/>
              <w:rPr>
                <w:rFonts w:cs="Times New Roman"/>
                <w:sz w:val="20"/>
                <w:szCs w:val="20"/>
              </w:rPr>
            </w:pPr>
            <w:r>
              <w:rPr>
                <w:rFonts w:cs="Times New Roman"/>
                <w:sz w:val="20"/>
                <w:szCs w:val="20"/>
              </w:rPr>
              <w:t xml:space="preserve">874 </w:t>
            </w:r>
            <w:r w:rsidR="0095096B" w:rsidRPr="002E2327">
              <w:rPr>
                <w:rFonts w:cs="Times New Roman"/>
                <w:sz w:val="20"/>
                <w:szCs w:val="20"/>
              </w:rPr>
              <w:t>-</w:t>
            </w:r>
            <w:r w:rsidR="00CB6715">
              <w:rPr>
                <w:rFonts w:cs="Times New Roman"/>
                <w:sz w:val="20"/>
                <w:szCs w:val="20"/>
              </w:rPr>
              <w:t xml:space="preserve"> 877</w:t>
            </w:r>
          </w:p>
          <w:p w:rsidR="0095096B" w:rsidRPr="002E2327" w:rsidRDefault="0095096B" w:rsidP="0095096B">
            <w:pPr>
              <w:jc w:val="center"/>
              <w:rPr>
                <w:rFonts w:cs="Times New Roman"/>
                <w:sz w:val="20"/>
                <w:szCs w:val="20"/>
              </w:rPr>
            </w:pPr>
          </w:p>
          <w:p w:rsidR="0095096B" w:rsidRPr="002E2327" w:rsidRDefault="00CB6715" w:rsidP="0095096B">
            <w:pPr>
              <w:jc w:val="center"/>
              <w:rPr>
                <w:rFonts w:cs="Times New Roman"/>
                <w:sz w:val="20"/>
                <w:szCs w:val="20"/>
              </w:rPr>
            </w:pPr>
            <w:r>
              <w:rPr>
                <w:rFonts w:cs="Times New Roman"/>
                <w:sz w:val="20"/>
                <w:szCs w:val="20"/>
              </w:rPr>
              <w:t xml:space="preserve">878 </w:t>
            </w:r>
            <w:r w:rsidR="0095096B" w:rsidRPr="002E2327">
              <w:rPr>
                <w:rFonts w:cs="Times New Roman"/>
                <w:sz w:val="20"/>
                <w:szCs w:val="20"/>
              </w:rPr>
              <w:t>-</w:t>
            </w:r>
            <w:r>
              <w:rPr>
                <w:rFonts w:cs="Times New Roman"/>
                <w:sz w:val="20"/>
                <w:szCs w:val="20"/>
              </w:rPr>
              <w:t xml:space="preserve"> </w:t>
            </w:r>
            <w:r w:rsidR="003D4661">
              <w:rPr>
                <w:rFonts w:cs="Times New Roman"/>
                <w:sz w:val="20"/>
                <w:szCs w:val="20"/>
              </w:rPr>
              <w:t>881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D4661" w:rsidP="0095096B">
            <w:pPr>
              <w:jc w:val="center"/>
              <w:rPr>
                <w:rFonts w:cs="Times New Roman"/>
                <w:sz w:val="20"/>
                <w:szCs w:val="20"/>
              </w:rPr>
            </w:pPr>
            <w:r>
              <w:rPr>
                <w:rFonts w:cs="Times New Roman"/>
                <w:sz w:val="20"/>
                <w:szCs w:val="20"/>
              </w:rPr>
              <w:t>882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00535" w:rsidP="0095096B">
            <w:pPr>
              <w:jc w:val="center"/>
              <w:rPr>
                <w:rFonts w:cs="Times New Roman"/>
                <w:sz w:val="20"/>
                <w:szCs w:val="20"/>
              </w:rPr>
            </w:pPr>
            <w:r>
              <w:rPr>
                <w:rFonts w:cs="Times New Roman"/>
                <w:sz w:val="20"/>
                <w:szCs w:val="20"/>
              </w:rPr>
              <w:t xml:space="preserve">883 </w:t>
            </w:r>
            <w:r w:rsidR="0095096B" w:rsidRPr="002E2327">
              <w:rPr>
                <w:rFonts w:cs="Times New Roman"/>
                <w:sz w:val="20"/>
                <w:szCs w:val="20"/>
              </w:rPr>
              <w:t>-</w:t>
            </w:r>
            <w:r>
              <w:rPr>
                <w:rFonts w:cs="Times New Roman"/>
                <w:sz w:val="20"/>
                <w:szCs w:val="20"/>
              </w:rPr>
              <w:t xml:space="preserve"> 89</w:t>
            </w:r>
            <w:r w:rsidR="00264949">
              <w:rPr>
                <w:rFonts w:cs="Times New Roman"/>
                <w:sz w:val="20"/>
                <w:szCs w:val="20"/>
              </w:rPr>
              <w:t>5</w:t>
            </w:r>
          </w:p>
          <w:p w:rsidR="00A87207" w:rsidRPr="002E2327" w:rsidRDefault="00A87207" w:rsidP="00047D64">
            <w:pPr>
              <w:jc w:val="center"/>
              <w:rPr>
                <w:rFonts w:cs="Times New Roman"/>
                <w:sz w:val="20"/>
                <w:szCs w:val="20"/>
              </w:rPr>
            </w:pPr>
          </w:p>
        </w:tc>
        <w:tc>
          <w:tcPr>
            <w:tcW w:w="3888" w:type="dxa"/>
          </w:tcPr>
          <w:p w:rsidR="0095096B" w:rsidRPr="002E2327" w:rsidRDefault="00B158EB"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Audience sur les demandes d</w:t>
            </w:r>
            <w:r w:rsidR="004137A0">
              <w:rPr>
                <w:rFonts w:cs="Times New Roman"/>
                <w:sz w:val="20"/>
                <w:szCs w:val="20"/>
                <w:lang w:val="fr-CA"/>
              </w:rPr>
              <w:t>’</w:t>
            </w:r>
            <w:r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C6299D">
            <w:pPr>
              <w:rPr>
                <w:rFonts w:cs="Times New Roman"/>
                <w:sz w:val="20"/>
                <w:szCs w:val="20"/>
                <w:lang w:val="fr-CA"/>
              </w:rPr>
            </w:pPr>
          </w:p>
        </w:tc>
      </w:tr>
    </w:tbl>
    <w:p w:rsidR="0095096B" w:rsidRDefault="0095096B" w:rsidP="0095096B">
      <w:pPr>
        <w:tabs>
          <w:tab w:val="right" w:pos="9360"/>
        </w:tabs>
        <w:rPr>
          <w:sz w:val="20"/>
          <w:szCs w:val="20"/>
          <w:lang w:val="fr-CA"/>
        </w:rPr>
      </w:pPr>
    </w:p>
    <w:p w:rsidR="00E67534" w:rsidRDefault="00E67534" w:rsidP="0095096B">
      <w:pPr>
        <w:tabs>
          <w:tab w:val="right" w:pos="9360"/>
        </w:tabs>
        <w:rPr>
          <w:sz w:val="20"/>
          <w:szCs w:val="20"/>
          <w:lang w:val="fr-CA"/>
        </w:rPr>
      </w:pPr>
    </w:p>
    <w:p w:rsidR="00E67534" w:rsidRDefault="00E67534" w:rsidP="0095096B">
      <w:pPr>
        <w:tabs>
          <w:tab w:val="right" w:pos="9360"/>
        </w:tabs>
        <w:rPr>
          <w:sz w:val="20"/>
          <w:szCs w:val="20"/>
          <w:lang w:val="fr-CA"/>
        </w:rPr>
      </w:pPr>
    </w:p>
    <w:p w:rsidR="00E67534" w:rsidRDefault="00E67534" w:rsidP="0095096B">
      <w:pPr>
        <w:tabs>
          <w:tab w:val="right" w:pos="9360"/>
        </w:tabs>
        <w:rPr>
          <w:sz w:val="20"/>
          <w:szCs w:val="20"/>
          <w:lang w:val="fr-CA"/>
        </w:rPr>
      </w:pPr>
    </w:p>
    <w:p w:rsidR="00E67534" w:rsidRPr="00047D64" w:rsidRDefault="00E67534" w:rsidP="0095096B">
      <w:pPr>
        <w:tabs>
          <w:tab w:val="right" w:pos="9360"/>
        </w:tabs>
        <w:rPr>
          <w:sz w:val="20"/>
          <w:szCs w:val="20"/>
          <w:lang w:val="fr-CA"/>
        </w:rPr>
      </w:pPr>
    </w:p>
    <w:tbl>
      <w:tblPr>
        <w:tblStyle w:val="TableGrid"/>
        <w:tblW w:w="0" w:type="auto"/>
        <w:tblLook w:val="04A0" w:firstRow="1" w:lastRow="0" w:firstColumn="1" w:lastColumn="0" w:noHBand="0" w:noVBand="1"/>
      </w:tblPr>
      <w:tblGrid>
        <w:gridCol w:w="9576"/>
      </w:tblGrid>
      <w:tr w:rsidR="0079724F" w:rsidRPr="00D229C1"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0B7AE2" w:rsidRPr="00C21644" w:rsidTr="003B3977">
        <w:tc>
          <w:tcPr>
            <w:tcW w:w="4320" w:type="dxa"/>
            <w:shd w:val="clear" w:color="auto" w:fill="auto"/>
          </w:tcPr>
          <w:p w:rsidR="000B7AE2" w:rsidRPr="00A935AA" w:rsidRDefault="000B7AE2" w:rsidP="005F1ED8">
            <w:pPr>
              <w:rPr>
                <w:b/>
                <w:sz w:val="20"/>
                <w:szCs w:val="20"/>
              </w:rPr>
            </w:pPr>
            <w:r>
              <w:rPr>
                <w:b/>
                <w:sz w:val="20"/>
                <w:szCs w:val="20"/>
              </w:rPr>
              <w:t>Sanofi Pasteur Limited</w:t>
            </w:r>
          </w:p>
          <w:p w:rsidR="000B7AE2" w:rsidRPr="00A935AA" w:rsidRDefault="000B7AE2" w:rsidP="005F1ED8">
            <w:pPr>
              <w:tabs>
                <w:tab w:val="left" w:pos="-1440"/>
                <w:tab w:val="left" w:pos="-720"/>
              </w:tabs>
              <w:rPr>
                <w:sz w:val="20"/>
                <w:szCs w:val="20"/>
              </w:rPr>
            </w:pPr>
            <w:r w:rsidRPr="00A935AA">
              <w:rPr>
                <w:sz w:val="20"/>
                <w:szCs w:val="20"/>
              </w:rPr>
              <w:tab/>
            </w:r>
            <w:r>
              <w:rPr>
                <w:sz w:val="20"/>
                <w:szCs w:val="20"/>
              </w:rPr>
              <w:t xml:space="preserve">Shawn K. Faguy </w:t>
            </w:r>
          </w:p>
          <w:p w:rsidR="000B7AE2" w:rsidRPr="009D73E2" w:rsidRDefault="000B7AE2" w:rsidP="005F1ED8">
            <w:pPr>
              <w:tabs>
                <w:tab w:val="left" w:pos="-1440"/>
                <w:tab w:val="left" w:pos="-720"/>
              </w:tabs>
              <w:rPr>
                <w:sz w:val="20"/>
                <w:szCs w:val="20"/>
              </w:rPr>
            </w:pPr>
            <w:r w:rsidRPr="00A935AA">
              <w:rPr>
                <w:sz w:val="20"/>
                <w:szCs w:val="20"/>
              </w:rPr>
              <w:tab/>
            </w:r>
            <w:r>
              <w:rPr>
                <w:sz w:val="20"/>
                <w:szCs w:val="20"/>
              </w:rPr>
              <w:t>Faguy &amp; Co.</w:t>
            </w:r>
          </w:p>
          <w:p w:rsidR="000B7AE2" w:rsidRPr="009D73E2" w:rsidRDefault="000B7AE2" w:rsidP="005F1ED8">
            <w:pPr>
              <w:tabs>
                <w:tab w:val="left" w:pos="-1440"/>
                <w:tab w:val="left" w:pos="-720"/>
              </w:tabs>
              <w:rPr>
                <w:sz w:val="20"/>
                <w:szCs w:val="20"/>
              </w:rPr>
            </w:pPr>
          </w:p>
          <w:p w:rsidR="000B7AE2" w:rsidRPr="00E95CE4" w:rsidRDefault="000B7AE2" w:rsidP="005F1ED8">
            <w:pPr>
              <w:tabs>
                <w:tab w:val="left" w:pos="-1440"/>
                <w:tab w:val="left" w:pos="-720"/>
              </w:tabs>
              <w:rPr>
                <w:sz w:val="20"/>
                <w:szCs w:val="20"/>
                <w:lang w:val="fr-CA"/>
              </w:rPr>
            </w:pPr>
            <w:r w:rsidRPr="009D73E2">
              <w:rPr>
                <w:sz w:val="20"/>
                <w:szCs w:val="20"/>
              </w:rPr>
              <w:tab/>
            </w:r>
            <w:r w:rsidRPr="00E95CE4">
              <w:rPr>
                <w:sz w:val="20"/>
                <w:szCs w:val="20"/>
                <w:lang w:val="fr-CA"/>
              </w:rPr>
              <w:t>v. (36</w:t>
            </w:r>
            <w:r>
              <w:rPr>
                <w:sz w:val="20"/>
                <w:szCs w:val="20"/>
                <w:lang w:val="fr-CA"/>
              </w:rPr>
              <w:t>3</w:t>
            </w:r>
            <w:r w:rsidRPr="00E95CE4">
              <w:rPr>
                <w:sz w:val="20"/>
                <w:szCs w:val="20"/>
                <w:lang w:val="fr-CA"/>
              </w:rPr>
              <w:t>8</w:t>
            </w:r>
            <w:r>
              <w:rPr>
                <w:sz w:val="20"/>
                <w:szCs w:val="20"/>
                <w:lang w:val="fr-CA"/>
              </w:rPr>
              <w:t>6</w:t>
            </w:r>
            <w:r w:rsidRPr="00E95CE4">
              <w:rPr>
                <w:sz w:val="20"/>
                <w:szCs w:val="20"/>
                <w:lang w:val="fr-CA"/>
              </w:rPr>
              <w:t>)</w:t>
            </w:r>
          </w:p>
          <w:p w:rsidR="000B7AE2" w:rsidRPr="00E95CE4" w:rsidRDefault="000B7AE2" w:rsidP="005F1ED8">
            <w:pPr>
              <w:tabs>
                <w:tab w:val="left" w:pos="-1440"/>
                <w:tab w:val="left" w:pos="-720"/>
              </w:tabs>
              <w:rPr>
                <w:sz w:val="20"/>
                <w:szCs w:val="20"/>
                <w:lang w:val="fr-CA"/>
              </w:rPr>
            </w:pPr>
          </w:p>
          <w:p w:rsidR="000B7AE2" w:rsidRPr="00A935AA" w:rsidRDefault="000B7AE2" w:rsidP="005F1ED8">
            <w:pPr>
              <w:tabs>
                <w:tab w:val="left" w:pos="-1440"/>
                <w:tab w:val="left" w:pos="-720"/>
              </w:tabs>
              <w:rPr>
                <w:b/>
                <w:sz w:val="20"/>
                <w:szCs w:val="20"/>
              </w:rPr>
            </w:pPr>
            <w:r>
              <w:rPr>
                <w:b/>
                <w:sz w:val="20"/>
                <w:szCs w:val="20"/>
                <w:lang w:val="fr-CA"/>
              </w:rPr>
              <w:t>UPS SCS, I</w:t>
            </w:r>
            <w:r w:rsidRPr="00E95CE4">
              <w:rPr>
                <w:b/>
                <w:sz w:val="20"/>
                <w:szCs w:val="20"/>
                <w:lang w:val="fr-CA"/>
              </w:rPr>
              <w:t>nc. et al.</w:t>
            </w:r>
            <w:r w:rsidRPr="00E95CE4">
              <w:rPr>
                <w:sz w:val="20"/>
                <w:szCs w:val="20"/>
                <w:lang w:val="fr-CA"/>
              </w:rPr>
              <w:t xml:space="preserve"> </w:t>
            </w:r>
            <w:r w:rsidRPr="00A935AA">
              <w:rPr>
                <w:b/>
                <w:sz w:val="20"/>
                <w:szCs w:val="20"/>
              </w:rPr>
              <w:t>(</w:t>
            </w:r>
            <w:r>
              <w:rPr>
                <w:b/>
                <w:sz w:val="20"/>
                <w:szCs w:val="20"/>
              </w:rPr>
              <w:t>Ont</w:t>
            </w:r>
            <w:r w:rsidRPr="00A935AA">
              <w:rPr>
                <w:b/>
                <w:sz w:val="20"/>
                <w:szCs w:val="20"/>
              </w:rPr>
              <w:t>.)</w:t>
            </w:r>
          </w:p>
          <w:p w:rsidR="000B7AE2" w:rsidRPr="009D73E2" w:rsidRDefault="000B7AE2" w:rsidP="005F1ED8">
            <w:pPr>
              <w:tabs>
                <w:tab w:val="left" w:pos="-1440"/>
                <w:tab w:val="left" w:pos="-720"/>
              </w:tabs>
              <w:rPr>
                <w:sz w:val="20"/>
                <w:szCs w:val="20"/>
                <w:lang w:val="fr-CA"/>
              </w:rPr>
            </w:pPr>
            <w:r w:rsidRPr="00A935AA">
              <w:rPr>
                <w:sz w:val="20"/>
                <w:szCs w:val="20"/>
              </w:rPr>
              <w:tab/>
            </w:r>
            <w:r w:rsidRPr="009D73E2">
              <w:rPr>
                <w:sz w:val="20"/>
                <w:szCs w:val="20"/>
                <w:lang w:val="fr-CA"/>
              </w:rPr>
              <w:t>Kathryn Podrebarac</w:t>
            </w:r>
          </w:p>
          <w:p w:rsidR="000B7AE2" w:rsidRPr="009D73E2" w:rsidRDefault="000B7AE2" w:rsidP="005F1ED8">
            <w:pPr>
              <w:tabs>
                <w:tab w:val="left" w:pos="-1440"/>
                <w:tab w:val="left" w:pos="-720"/>
              </w:tabs>
              <w:rPr>
                <w:sz w:val="20"/>
                <w:szCs w:val="20"/>
                <w:lang w:val="fr-CA"/>
              </w:rPr>
            </w:pPr>
            <w:r w:rsidRPr="009D73E2">
              <w:rPr>
                <w:sz w:val="20"/>
                <w:szCs w:val="20"/>
                <w:lang w:val="fr-CA"/>
              </w:rPr>
              <w:tab/>
              <w:t xml:space="preserve">Podrebarac Barristers Professional </w:t>
            </w:r>
            <w:r w:rsidRPr="009D73E2">
              <w:rPr>
                <w:sz w:val="20"/>
                <w:szCs w:val="20"/>
                <w:lang w:val="fr-CA"/>
              </w:rPr>
              <w:tab/>
              <w:t>Corporation</w:t>
            </w:r>
          </w:p>
          <w:p w:rsidR="000B7AE2" w:rsidRPr="009D73E2" w:rsidRDefault="000B7AE2" w:rsidP="005F1ED8">
            <w:pPr>
              <w:tabs>
                <w:tab w:val="left" w:pos="-1440"/>
                <w:tab w:val="left" w:pos="-720"/>
              </w:tabs>
              <w:rPr>
                <w:sz w:val="20"/>
                <w:szCs w:val="20"/>
                <w:lang w:val="fr-CA"/>
              </w:rPr>
            </w:pPr>
          </w:p>
          <w:p w:rsidR="000B7AE2" w:rsidRPr="009D73E2" w:rsidRDefault="000B7AE2" w:rsidP="009D73E2">
            <w:pPr>
              <w:rPr>
                <w:sz w:val="20"/>
                <w:szCs w:val="20"/>
                <w:lang w:val="fr-CA"/>
              </w:rPr>
            </w:pPr>
            <w:r w:rsidRPr="009D73E2">
              <w:rPr>
                <w:sz w:val="20"/>
                <w:szCs w:val="20"/>
                <w:lang w:val="fr-CA"/>
              </w:rPr>
              <w:t xml:space="preserve">FILING DATE: </w:t>
            </w:r>
            <w:r>
              <w:rPr>
                <w:sz w:val="20"/>
                <w:szCs w:val="20"/>
                <w:lang w:val="fr-CA"/>
              </w:rPr>
              <w:t>1</w:t>
            </w:r>
            <w:r w:rsidRPr="009D73E2">
              <w:rPr>
                <w:sz w:val="20"/>
                <w:szCs w:val="20"/>
                <w:lang w:val="fr-CA"/>
              </w:rPr>
              <w:t>0.</w:t>
            </w:r>
            <w:r>
              <w:rPr>
                <w:sz w:val="20"/>
                <w:szCs w:val="20"/>
                <w:lang w:val="fr-CA"/>
              </w:rPr>
              <w:t>04</w:t>
            </w:r>
            <w:r w:rsidRPr="009D73E2">
              <w:rPr>
                <w:sz w:val="20"/>
                <w:szCs w:val="20"/>
                <w:lang w:val="fr-CA"/>
              </w:rPr>
              <w:t>.201</w:t>
            </w:r>
            <w:r>
              <w:rPr>
                <w:sz w:val="20"/>
                <w:szCs w:val="20"/>
                <w:lang w:val="fr-CA"/>
              </w:rPr>
              <w:t>5</w:t>
            </w:r>
            <w:r w:rsidR="005B3B50">
              <w:rPr>
                <w:sz w:val="20"/>
                <w:szCs w:val="20"/>
                <w:lang w:val="fr-CA"/>
              </w:rPr>
              <w:pict>
                <v:rect id="_x0000_i1025" style="width:108pt;height:1pt" o:hrpct="0" o:hralign="center" o:hrstd="t" o:hrnoshade="t" o:hr="t" fillcolor="black [3213]" stroked="f"/>
              </w:pict>
            </w:r>
          </w:p>
        </w:tc>
        <w:tc>
          <w:tcPr>
            <w:tcW w:w="1181" w:type="dxa"/>
            <w:shd w:val="clear" w:color="auto" w:fill="auto"/>
          </w:tcPr>
          <w:p w:rsidR="000B7AE2" w:rsidRPr="009D73E2" w:rsidRDefault="000B7AE2" w:rsidP="00242AEE">
            <w:pPr>
              <w:jc w:val="center"/>
              <w:rPr>
                <w:sz w:val="20"/>
                <w:szCs w:val="20"/>
                <w:lang w:val="fr-CA"/>
              </w:rPr>
            </w:pPr>
          </w:p>
          <w:p w:rsidR="000B7AE2" w:rsidRPr="009D73E2" w:rsidRDefault="000B7AE2" w:rsidP="00242AEE">
            <w:pPr>
              <w:jc w:val="center"/>
              <w:rPr>
                <w:sz w:val="20"/>
                <w:szCs w:val="20"/>
                <w:lang w:val="fr-CA"/>
              </w:rPr>
            </w:pPr>
          </w:p>
          <w:p w:rsidR="000B7AE2" w:rsidRPr="009D73E2" w:rsidRDefault="000B7AE2" w:rsidP="00242AEE">
            <w:pPr>
              <w:jc w:val="center"/>
              <w:rPr>
                <w:sz w:val="20"/>
                <w:szCs w:val="20"/>
                <w:lang w:val="fr-CA"/>
              </w:rPr>
            </w:pPr>
          </w:p>
          <w:p w:rsidR="000B7AE2" w:rsidRPr="009D73E2" w:rsidRDefault="000B7AE2" w:rsidP="00242AEE">
            <w:pPr>
              <w:jc w:val="center"/>
              <w:rPr>
                <w:sz w:val="20"/>
                <w:szCs w:val="20"/>
                <w:lang w:val="fr-CA"/>
              </w:rPr>
            </w:pPr>
          </w:p>
          <w:p w:rsidR="000B7AE2" w:rsidRPr="009D73E2" w:rsidRDefault="000B7AE2" w:rsidP="00242AEE">
            <w:pPr>
              <w:jc w:val="center"/>
              <w:rPr>
                <w:sz w:val="20"/>
                <w:szCs w:val="20"/>
                <w:lang w:val="fr-CA"/>
              </w:rPr>
            </w:pPr>
          </w:p>
          <w:p w:rsidR="000B7AE2" w:rsidRPr="009D73E2" w:rsidRDefault="000B7AE2" w:rsidP="00242AEE">
            <w:pPr>
              <w:jc w:val="center"/>
              <w:rPr>
                <w:sz w:val="20"/>
                <w:szCs w:val="20"/>
                <w:lang w:val="fr-CA"/>
              </w:rPr>
            </w:pPr>
          </w:p>
          <w:p w:rsidR="000B7AE2" w:rsidRPr="009D73E2" w:rsidRDefault="000B7AE2" w:rsidP="00242AEE">
            <w:pPr>
              <w:jc w:val="center"/>
              <w:rPr>
                <w:sz w:val="20"/>
                <w:szCs w:val="20"/>
                <w:lang w:val="fr-CA"/>
              </w:rPr>
            </w:pPr>
          </w:p>
          <w:p w:rsidR="000B7AE2" w:rsidRPr="009D73E2" w:rsidRDefault="000B7AE2" w:rsidP="00242AEE">
            <w:pPr>
              <w:jc w:val="center"/>
              <w:rPr>
                <w:sz w:val="20"/>
                <w:szCs w:val="20"/>
                <w:lang w:val="fr-CA"/>
              </w:rPr>
            </w:pPr>
          </w:p>
          <w:p w:rsidR="000B7AE2" w:rsidRPr="009D73E2" w:rsidRDefault="000B7AE2" w:rsidP="00242AEE">
            <w:pPr>
              <w:jc w:val="center"/>
              <w:rPr>
                <w:sz w:val="20"/>
                <w:szCs w:val="20"/>
                <w:lang w:val="fr-CA"/>
              </w:rPr>
            </w:pPr>
          </w:p>
          <w:p w:rsidR="000B7AE2" w:rsidRPr="009D73E2" w:rsidRDefault="000B7AE2" w:rsidP="00242AEE">
            <w:pPr>
              <w:jc w:val="center"/>
              <w:rPr>
                <w:sz w:val="20"/>
                <w:szCs w:val="20"/>
                <w:lang w:val="fr-CA"/>
              </w:rPr>
            </w:pPr>
          </w:p>
          <w:p w:rsidR="000B7AE2" w:rsidRPr="009D73E2" w:rsidRDefault="000B7AE2" w:rsidP="00242AEE">
            <w:pPr>
              <w:jc w:val="center"/>
              <w:rPr>
                <w:sz w:val="20"/>
                <w:szCs w:val="20"/>
                <w:lang w:val="fr-CA"/>
              </w:rPr>
            </w:pPr>
          </w:p>
          <w:p w:rsidR="000B7AE2" w:rsidRPr="009D73E2" w:rsidRDefault="000B7AE2" w:rsidP="00242AEE">
            <w:pPr>
              <w:jc w:val="center"/>
              <w:rPr>
                <w:sz w:val="20"/>
                <w:szCs w:val="20"/>
                <w:lang w:val="fr-CA"/>
              </w:rPr>
            </w:pPr>
          </w:p>
          <w:p w:rsidR="000B7AE2" w:rsidRPr="009D73E2" w:rsidRDefault="000B7AE2" w:rsidP="00242AEE">
            <w:pPr>
              <w:jc w:val="center"/>
              <w:rPr>
                <w:sz w:val="20"/>
                <w:szCs w:val="20"/>
                <w:lang w:val="fr-CA"/>
              </w:rPr>
            </w:pPr>
          </w:p>
        </w:tc>
        <w:tc>
          <w:tcPr>
            <w:tcW w:w="4320" w:type="dxa"/>
            <w:shd w:val="clear" w:color="auto" w:fill="auto"/>
          </w:tcPr>
          <w:p w:rsidR="000B7AE2" w:rsidRPr="00A935AA" w:rsidRDefault="000B7AE2" w:rsidP="000B7AE2">
            <w:pPr>
              <w:rPr>
                <w:b/>
                <w:sz w:val="20"/>
                <w:szCs w:val="20"/>
              </w:rPr>
            </w:pPr>
            <w:r>
              <w:rPr>
                <w:b/>
                <w:sz w:val="20"/>
                <w:szCs w:val="20"/>
              </w:rPr>
              <w:t>Peter Waskowec</w:t>
            </w:r>
          </w:p>
          <w:p w:rsidR="000B7AE2" w:rsidRPr="00A935AA" w:rsidRDefault="000B7AE2" w:rsidP="000B7AE2">
            <w:pPr>
              <w:tabs>
                <w:tab w:val="left" w:pos="-1440"/>
                <w:tab w:val="left" w:pos="-720"/>
              </w:tabs>
              <w:rPr>
                <w:sz w:val="20"/>
                <w:szCs w:val="20"/>
              </w:rPr>
            </w:pPr>
            <w:r w:rsidRPr="00A935AA">
              <w:rPr>
                <w:sz w:val="20"/>
                <w:szCs w:val="20"/>
              </w:rPr>
              <w:tab/>
            </w:r>
            <w:r>
              <w:rPr>
                <w:sz w:val="20"/>
                <w:szCs w:val="20"/>
              </w:rPr>
              <w:t>Peter Waskowec</w:t>
            </w:r>
          </w:p>
          <w:p w:rsidR="000B7AE2" w:rsidRPr="00A935AA" w:rsidRDefault="000B7AE2" w:rsidP="000B7AE2">
            <w:pPr>
              <w:tabs>
                <w:tab w:val="left" w:pos="-1440"/>
                <w:tab w:val="left" w:pos="-720"/>
              </w:tabs>
              <w:rPr>
                <w:sz w:val="20"/>
                <w:szCs w:val="20"/>
              </w:rPr>
            </w:pPr>
          </w:p>
          <w:p w:rsidR="000B7AE2" w:rsidRPr="00A935AA" w:rsidRDefault="000B7AE2" w:rsidP="000B7AE2">
            <w:pPr>
              <w:tabs>
                <w:tab w:val="left" w:pos="-1440"/>
                <w:tab w:val="left" w:pos="-720"/>
              </w:tabs>
              <w:rPr>
                <w:sz w:val="20"/>
                <w:szCs w:val="20"/>
              </w:rPr>
            </w:pPr>
            <w:r w:rsidRPr="00A935AA">
              <w:rPr>
                <w:sz w:val="20"/>
                <w:szCs w:val="20"/>
              </w:rPr>
              <w:tab/>
              <w:t>v. (3</w:t>
            </w:r>
            <w:r>
              <w:rPr>
                <w:sz w:val="20"/>
                <w:szCs w:val="20"/>
              </w:rPr>
              <w:t>6416</w:t>
            </w:r>
            <w:r w:rsidRPr="00A935AA">
              <w:rPr>
                <w:sz w:val="20"/>
                <w:szCs w:val="20"/>
              </w:rPr>
              <w:t>)</w:t>
            </w:r>
          </w:p>
          <w:p w:rsidR="000B7AE2" w:rsidRPr="00A935AA" w:rsidRDefault="000B7AE2" w:rsidP="000B7AE2">
            <w:pPr>
              <w:tabs>
                <w:tab w:val="left" w:pos="-1440"/>
                <w:tab w:val="left" w:pos="-720"/>
              </w:tabs>
              <w:rPr>
                <w:sz w:val="20"/>
                <w:szCs w:val="20"/>
              </w:rPr>
            </w:pPr>
          </w:p>
          <w:p w:rsidR="000B7AE2" w:rsidRPr="00A935AA" w:rsidRDefault="000B7AE2" w:rsidP="000B7AE2">
            <w:pPr>
              <w:keepNext/>
              <w:keepLines/>
              <w:tabs>
                <w:tab w:val="left" w:pos="-1440"/>
                <w:tab w:val="left" w:pos="-720"/>
              </w:tabs>
              <w:rPr>
                <w:b/>
                <w:sz w:val="20"/>
                <w:szCs w:val="20"/>
              </w:rPr>
            </w:pPr>
            <w:r w:rsidRPr="000B7AE2">
              <w:rPr>
                <w:b/>
                <w:sz w:val="20"/>
                <w:szCs w:val="20"/>
              </w:rPr>
              <w:t>Her Majesty the Queen</w:t>
            </w:r>
            <w:r>
              <w:rPr>
                <w:b/>
                <w:sz w:val="20"/>
                <w:szCs w:val="20"/>
              </w:rPr>
              <w:t xml:space="preserve"> in Right of Ontario</w:t>
            </w:r>
            <w:r w:rsidRPr="00A935AA">
              <w:rPr>
                <w:b/>
                <w:sz w:val="20"/>
                <w:szCs w:val="20"/>
              </w:rPr>
              <w:t xml:space="preserve"> (</w:t>
            </w:r>
            <w:r>
              <w:rPr>
                <w:b/>
                <w:sz w:val="20"/>
                <w:szCs w:val="20"/>
              </w:rPr>
              <w:t>Ont</w:t>
            </w:r>
            <w:r w:rsidRPr="00A935AA">
              <w:rPr>
                <w:b/>
                <w:sz w:val="20"/>
                <w:szCs w:val="20"/>
              </w:rPr>
              <w:t>.)</w:t>
            </w:r>
          </w:p>
          <w:p w:rsidR="000B7AE2" w:rsidRPr="00A935AA" w:rsidRDefault="000B7AE2" w:rsidP="000B7AE2">
            <w:pPr>
              <w:tabs>
                <w:tab w:val="left" w:pos="-1440"/>
                <w:tab w:val="left" w:pos="-720"/>
              </w:tabs>
              <w:rPr>
                <w:sz w:val="20"/>
                <w:szCs w:val="20"/>
              </w:rPr>
            </w:pPr>
            <w:r w:rsidRPr="00A935AA">
              <w:rPr>
                <w:sz w:val="20"/>
                <w:szCs w:val="20"/>
              </w:rPr>
              <w:tab/>
            </w:r>
            <w:r>
              <w:rPr>
                <w:sz w:val="20"/>
                <w:szCs w:val="20"/>
              </w:rPr>
              <w:t>Mary-Ellen Hurman</w:t>
            </w:r>
          </w:p>
          <w:p w:rsidR="000B7AE2" w:rsidRPr="00A935AA" w:rsidRDefault="000B7AE2" w:rsidP="000B7AE2">
            <w:pPr>
              <w:tabs>
                <w:tab w:val="left" w:pos="-1440"/>
                <w:tab w:val="left" w:pos="-720"/>
              </w:tabs>
              <w:rPr>
                <w:sz w:val="20"/>
                <w:szCs w:val="20"/>
              </w:rPr>
            </w:pPr>
            <w:r w:rsidRPr="00A935AA">
              <w:rPr>
                <w:sz w:val="20"/>
                <w:szCs w:val="20"/>
              </w:rPr>
              <w:tab/>
            </w:r>
            <w:r>
              <w:rPr>
                <w:sz w:val="20"/>
                <w:szCs w:val="20"/>
              </w:rPr>
              <w:t xml:space="preserve">A.G. of </w:t>
            </w:r>
            <w:r w:rsidR="00003113">
              <w:rPr>
                <w:sz w:val="20"/>
                <w:szCs w:val="20"/>
              </w:rPr>
              <w:t>O</w:t>
            </w:r>
            <w:r>
              <w:rPr>
                <w:sz w:val="20"/>
                <w:szCs w:val="20"/>
              </w:rPr>
              <w:t>nta</w:t>
            </w:r>
            <w:r w:rsidR="00003113">
              <w:rPr>
                <w:sz w:val="20"/>
                <w:szCs w:val="20"/>
              </w:rPr>
              <w:t>rio</w:t>
            </w:r>
          </w:p>
          <w:p w:rsidR="000B7AE2" w:rsidRDefault="000B7AE2" w:rsidP="000B7AE2">
            <w:pPr>
              <w:rPr>
                <w:sz w:val="20"/>
                <w:szCs w:val="20"/>
              </w:rPr>
            </w:pPr>
          </w:p>
          <w:p w:rsidR="000B7AE2" w:rsidRPr="00A935AA" w:rsidRDefault="000B7AE2" w:rsidP="000B7AE2">
            <w:pPr>
              <w:rPr>
                <w:sz w:val="20"/>
                <w:szCs w:val="20"/>
              </w:rPr>
            </w:pPr>
            <w:r w:rsidRPr="00A935AA">
              <w:rPr>
                <w:sz w:val="20"/>
                <w:szCs w:val="20"/>
              </w:rPr>
              <w:t xml:space="preserve">FILING DATE: </w:t>
            </w:r>
            <w:r>
              <w:rPr>
                <w:sz w:val="20"/>
                <w:szCs w:val="20"/>
              </w:rPr>
              <w:t>14</w:t>
            </w:r>
            <w:r w:rsidRPr="00A935AA">
              <w:rPr>
                <w:sz w:val="20"/>
                <w:szCs w:val="20"/>
              </w:rPr>
              <w:t>.0</w:t>
            </w:r>
            <w:r>
              <w:rPr>
                <w:sz w:val="20"/>
                <w:szCs w:val="20"/>
              </w:rPr>
              <w:t>4</w:t>
            </w:r>
            <w:r w:rsidRPr="00A935AA">
              <w:rPr>
                <w:sz w:val="20"/>
                <w:szCs w:val="20"/>
              </w:rPr>
              <w:t>.201</w:t>
            </w:r>
            <w:r>
              <w:rPr>
                <w:sz w:val="20"/>
                <w:szCs w:val="20"/>
              </w:rPr>
              <w:t>5</w:t>
            </w:r>
            <w:r w:rsidR="005B3B50">
              <w:rPr>
                <w:sz w:val="20"/>
                <w:szCs w:val="20"/>
                <w:lang w:val="fr-CA"/>
              </w:rPr>
              <w:pict>
                <v:rect id="_x0000_i1026" style="width:108pt;height:1pt" o:hrpct="0" o:hralign="center" o:hrstd="t" o:hrnoshade="t" o:hr="t" fillcolor="black [3213]" stroked="f"/>
              </w:pict>
            </w:r>
          </w:p>
        </w:tc>
      </w:tr>
      <w:tr w:rsidR="000B7AE2" w:rsidRPr="00A935AA" w:rsidTr="003B3977">
        <w:tc>
          <w:tcPr>
            <w:tcW w:w="4320" w:type="dxa"/>
            <w:shd w:val="clear" w:color="auto" w:fill="auto"/>
          </w:tcPr>
          <w:p w:rsidR="000B7AE2" w:rsidRPr="00971EF1" w:rsidRDefault="000B7AE2" w:rsidP="003B3977">
            <w:pPr>
              <w:rPr>
                <w:b/>
                <w:sz w:val="20"/>
                <w:szCs w:val="20"/>
                <w:lang w:val="fr-CA"/>
              </w:rPr>
            </w:pPr>
          </w:p>
          <w:p w:rsidR="000B7AE2" w:rsidRPr="00C21644" w:rsidRDefault="000B7AE2" w:rsidP="003B3977">
            <w:pPr>
              <w:rPr>
                <w:b/>
                <w:sz w:val="20"/>
                <w:szCs w:val="20"/>
                <w:lang w:val="fr-CA"/>
              </w:rPr>
            </w:pPr>
            <w:r>
              <w:rPr>
                <w:b/>
                <w:sz w:val="20"/>
                <w:szCs w:val="20"/>
                <w:lang w:val="fr-CA"/>
              </w:rPr>
              <w:t>Roch G</w:t>
            </w:r>
            <w:r w:rsidRPr="00806A5B">
              <w:rPr>
                <w:b/>
                <w:sz w:val="20"/>
                <w:szCs w:val="20"/>
                <w:lang w:val="fr-CA"/>
              </w:rPr>
              <w:t>u</w:t>
            </w:r>
            <w:r>
              <w:rPr>
                <w:b/>
                <w:sz w:val="20"/>
                <w:szCs w:val="20"/>
                <w:lang w:val="fr-CA"/>
              </w:rPr>
              <w:t>im</w:t>
            </w:r>
            <w:r w:rsidRPr="00806A5B">
              <w:rPr>
                <w:b/>
                <w:sz w:val="20"/>
                <w:szCs w:val="20"/>
                <w:lang w:val="fr-CA"/>
              </w:rPr>
              <w:t>o</w:t>
            </w:r>
            <w:r>
              <w:rPr>
                <w:b/>
                <w:sz w:val="20"/>
                <w:szCs w:val="20"/>
                <w:lang w:val="fr-CA"/>
              </w:rPr>
              <w:t>n</w:t>
            </w:r>
            <w:r w:rsidRPr="00806A5B">
              <w:rPr>
                <w:b/>
                <w:sz w:val="20"/>
                <w:szCs w:val="20"/>
                <w:lang w:val="fr-CA"/>
              </w:rPr>
              <w:t>t</w:t>
            </w:r>
            <w:r>
              <w:rPr>
                <w:b/>
                <w:sz w:val="20"/>
                <w:szCs w:val="20"/>
                <w:lang w:val="fr-CA"/>
              </w:rPr>
              <w:t xml:space="preserve"> et autre</w:t>
            </w:r>
          </w:p>
          <w:p w:rsidR="000B7AE2" w:rsidRPr="00806A5B" w:rsidRDefault="000B7AE2" w:rsidP="009D73E2">
            <w:pPr>
              <w:keepNext/>
              <w:keepLines/>
              <w:tabs>
                <w:tab w:val="left" w:pos="-1440"/>
                <w:tab w:val="left" w:pos="-720"/>
              </w:tabs>
              <w:rPr>
                <w:sz w:val="20"/>
                <w:szCs w:val="20"/>
                <w:lang w:val="fr-CA"/>
              </w:rPr>
            </w:pPr>
            <w:r w:rsidRPr="00C21644">
              <w:rPr>
                <w:sz w:val="20"/>
                <w:szCs w:val="20"/>
                <w:lang w:val="fr-CA"/>
              </w:rPr>
              <w:tab/>
            </w:r>
            <w:r>
              <w:rPr>
                <w:sz w:val="20"/>
                <w:szCs w:val="20"/>
                <w:lang w:val="fr-CA"/>
              </w:rPr>
              <w:t>R</w:t>
            </w:r>
            <w:r w:rsidRPr="00806A5B">
              <w:rPr>
                <w:sz w:val="20"/>
                <w:szCs w:val="20"/>
                <w:lang w:val="fr-CA"/>
              </w:rPr>
              <w:t>o</w:t>
            </w:r>
            <w:r>
              <w:rPr>
                <w:sz w:val="20"/>
                <w:szCs w:val="20"/>
                <w:lang w:val="fr-CA"/>
              </w:rPr>
              <w:t>ch G</w:t>
            </w:r>
            <w:r w:rsidRPr="00806A5B">
              <w:rPr>
                <w:sz w:val="20"/>
                <w:szCs w:val="20"/>
                <w:lang w:val="fr-CA"/>
              </w:rPr>
              <w:t>u</w:t>
            </w:r>
            <w:r>
              <w:rPr>
                <w:sz w:val="20"/>
                <w:szCs w:val="20"/>
                <w:lang w:val="fr-CA"/>
              </w:rPr>
              <w:t>imont</w:t>
            </w:r>
          </w:p>
          <w:p w:rsidR="000B7AE2" w:rsidRPr="00806A5B" w:rsidRDefault="000B7AE2" w:rsidP="009D73E2">
            <w:pPr>
              <w:keepNext/>
              <w:keepLines/>
              <w:tabs>
                <w:tab w:val="left" w:pos="-1440"/>
                <w:tab w:val="left" w:pos="-720"/>
              </w:tabs>
              <w:rPr>
                <w:sz w:val="20"/>
                <w:szCs w:val="20"/>
                <w:lang w:val="fr-CA"/>
              </w:rPr>
            </w:pPr>
          </w:p>
          <w:p w:rsidR="000B7AE2" w:rsidRPr="00806A5B" w:rsidRDefault="000B7AE2" w:rsidP="009D73E2">
            <w:pPr>
              <w:keepNext/>
              <w:keepLines/>
              <w:tabs>
                <w:tab w:val="left" w:pos="-1440"/>
                <w:tab w:val="left" w:pos="-720"/>
              </w:tabs>
              <w:rPr>
                <w:sz w:val="20"/>
                <w:szCs w:val="20"/>
                <w:lang w:val="fr-CA"/>
              </w:rPr>
            </w:pPr>
            <w:r w:rsidRPr="00806A5B">
              <w:rPr>
                <w:sz w:val="20"/>
                <w:szCs w:val="20"/>
                <w:lang w:val="fr-CA"/>
              </w:rPr>
              <w:tab/>
              <w:t>c. (36</w:t>
            </w:r>
            <w:r>
              <w:rPr>
                <w:sz w:val="20"/>
                <w:szCs w:val="20"/>
                <w:lang w:val="fr-CA"/>
              </w:rPr>
              <w:t>391</w:t>
            </w:r>
            <w:r w:rsidRPr="00806A5B">
              <w:rPr>
                <w:sz w:val="20"/>
                <w:szCs w:val="20"/>
                <w:lang w:val="fr-CA"/>
              </w:rPr>
              <w:t>)</w:t>
            </w:r>
          </w:p>
          <w:p w:rsidR="000B7AE2" w:rsidRPr="00806A5B" w:rsidRDefault="000B7AE2" w:rsidP="009D73E2">
            <w:pPr>
              <w:keepNext/>
              <w:keepLines/>
              <w:tabs>
                <w:tab w:val="left" w:pos="-1440"/>
                <w:tab w:val="left" w:pos="-720"/>
              </w:tabs>
              <w:rPr>
                <w:sz w:val="20"/>
                <w:szCs w:val="20"/>
                <w:lang w:val="fr-CA"/>
              </w:rPr>
            </w:pPr>
          </w:p>
          <w:p w:rsidR="000B7AE2" w:rsidRPr="00806A5B" w:rsidRDefault="000B7AE2" w:rsidP="009D73E2">
            <w:pPr>
              <w:keepNext/>
              <w:keepLines/>
              <w:tabs>
                <w:tab w:val="left" w:pos="-1440"/>
                <w:tab w:val="left" w:pos="-720"/>
              </w:tabs>
              <w:rPr>
                <w:b/>
                <w:sz w:val="20"/>
                <w:szCs w:val="20"/>
                <w:lang w:val="fr-CA"/>
              </w:rPr>
            </w:pPr>
            <w:r w:rsidRPr="00806A5B">
              <w:rPr>
                <w:b/>
                <w:sz w:val="20"/>
                <w:szCs w:val="20"/>
                <w:lang w:val="fr-CA"/>
              </w:rPr>
              <w:t>Sa Majesté la Reine (Qc)</w:t>
            </w:r>
          </w:p>
          <w:p w:rsidR="000B7AE2" w:rsidRPr="00073F96" w:rsidRDefault="000B7AE2" w:rsidP="009D73E2">
            <w:pPr>
              <w:keepNext/>
              <w:keepLines/>
              <w:tabs>
                <w:tab w:val="left" w:pos="-1440"/>
                <w:tab w:val="left" w:pos="-720"/>
              </w:tabs>
              <w:rPr>
                <w:sz w:val="20"/>
                <w:szCs w:val="20"/>
                <w:lang w:val="fr-CA"/>
              </w:rPr>
            </w:pPr>
            <w:r w:rsidRPr="00806A5B">
              <w:rPr>
                <w:sz w:val="20"/>
                <w:szCs w:val="20"/>
                <w:lang w:val="fr-CA"/>
              </w:rPr>
              <w:tab/>
            </w:r>
            <w:r w:rsidRPr="00073F96">
              <w:rPr>
                <w:sz w:val="20"/>
                <w:szCs w:val="20"/>
                <w:lang w:val="fr-CA"/>
              </w:rPr>
              <w:t>J.M. Denis Lavoie</w:t>
            </w:r>
          </w:p>
          <w:p w:rsidR="000B7AE2" w:rsidRPr="00003113" w:rsidRDefault="000B7AE2" w:rsidP="009D73E2">
            <w:pPr>
              <w:keepNext/>
              <w:keepLines/>
              <w:tabs>
                <w:tab w:val="left" w:pos="-1440"/>
                <w:tab w:val="left" w:pos="-720"/>
              </w:tabs>
              <w:rPr>
                <w:sz w:val="20"/>
                <w:szCs w:val="20"/>
                <w:lang w:val="fr-CA"/>
              </w:rPr>
            </w:pPr>
            <w:r w:rsidRPr="00073F96">
              <w:rPr>
                <w:sz w:val="20"/>
                <w:szCs w:val="20"/>
                <w:lang w:val="fr-CA"/>
              </w:rPr>
              <w:tab/>
            </w:r>
            <w:r w:rsidRPr="00003113">
              <w:rPr>
                <w:sz w:val="20"/>
                <w:szCs w:val="20"/>
                <w:lang w:val="fr-CA"/>
              </w:rPr>
              <w:t xml:space="preserve">Service </w:t>
            </w:r>
            <w:r w:rsidR="00003113" w:rsidRPr="00003113">
              <w:rPr>
                <w:sz w:val="20"/>
                <w:szCs w:val="20"/>
                <w:lang w:val="fr-CA"/>
              </w:rPr>
              <w:t>des poursuites pénales du</w:t>
            </w:r>
            <w:r w:rsidRPr="00003113">
              <w:rPr>
                <w:sz w:val="20"/>
                <w:szCs w:val="20"/>
                <w:lang w:val="fr-CA"/>
              </w:rPr>
              <w:t xml:space="preserve"> Canada</w:t>
            </w:r>
          </w:p>
          <w:p w:rsidR="000B7AE2" w:rsidRPr="00003113" w:rsidRDefault="000B7AE2" w:rsidP="009D73E2">
            <w:pPr>
              <w:keepNext/>
              <w:keepLines/>
              <w:tabs>
                <w:tab w:val="left" w:pos="-1440"/>
                <w:tab w:val="left" w:pos="-720"/>
              </w:tabs>
              <w:rPr>
                <w:sz w:val="20"/>
                <w:szCs w:val="20"/>
                <w:lang w:val="fr-CA"/>
              </w:rPr>
            </w:pPr>
          </w:p>
          <w:p w:rsidR="000B7AE2" w:rsidRPr="009D73E2" w:rsidRDefault="000B7AE2" w:rsidP="009D73E2">
            <w:pPr>
              <w:rPr>
                <w:sz w:val="20"/>
                <w:szCs w:val="20"/>
                <w:lang w:val="fr-CA"/>
              </w:rPr>
            </w:pPr>
            <w:r w:rsidRPr="00806A5B">
              <w:rPr>
                <w:sz w:val="20"/>
                <w:szCs w:val="20"/>
                <w:lang w:val="fr-CA"/>
              </w:rPr>
              <w:t>DATE DE PRODUCTION: 1</w:t>
            </w:r>
            <w:r>
              <w:rPr>
                <w:sz w:val="20"/>
                <w:szCs w:val="20"/>
                <w:lang w:val="fr-CA"/>
              </w:rPr>
              <w:t>3</w:t>
            </w:r>
            <w:r w:rsidRPr="00806A5B">
              <w:rPr>
                <w:sz w:val="20"/>
                <w:szCs w:val="20"/>
                <w:lang w:val="fr-CA"/>
              </w:rPr>
              <w:t>.0</w:t>
            </w:r>
            <w:r>
              <w:rPr>
                <w:sz w:val="20"/>
                <w:szCs w:val="20"/>
                <w:lang w:val="fr-CA"/>
              </w:rPr>
              <w:t>4</w:t>
            </w:r>
            <w:r w:rsidRPr="00806A5B">
              <w:rPr>
                <w:sz w:val="20"/>
                <w:szCs w:val="20"/>
                <w:lang w:val="fr-CA"/>
              </w:rPr>
              <w:t>.201</w:t>
            </w:r>
            <w:r>
              <w:rPr>
                <w:sz w:val="20"/>
                <w:szCs w:val="20"/>
                <w:lang w:val="fr-CA"/>
              </w:rPr>
              <w:t>5</w:t>
            </w:r>
            <w:r w:rsidR="005B3B50">
              <w:rPr>
                <w:sz w:val="20"/>
                <w:szCs w:val="20"/>
                <w:lang w:val="fr-CA"/>
              </w:rPr>
              <w:pict>
                <v:rect id="_x0000_i1027" style="width:108pt;height:1pt" o:hrpct="0" o:hralign="center" o:hrstd="t" o:hrnoshade="t" o:hr="t" fillcolor="black [3213]" stroked="f"/>
              </w:pict>
            </w:r>
          </w:p>
        </w:tc>
        <w:tc>
          <w:tcPr>
            <w:tcW w:w="1181" w:type="dxa"/>
            <w:shd w:val="clear" w:color="auto" w:fill="auto"/>
          </w:tcPr>
          <w:p w:rsidR="000B7AE2" w:rsidRPr="009D73E2" w:rsidRDefault="000B7AE2" w:rsidP="00242AEE">
            <w:pPr>
              <w:jc w:val="center"/>
              <w:rPr>
                <w:sz w:val="20"/>
                <w:szCs w:val="20"/>
                <w:lang w:val="fr-CA"/>
              </w:rPr>
            </w:pPr>
          </w:p>
          <w:p w:rsidR="000B7AE2" w:rsidRPr="009D73E2" w:rsidRDefault="000B7AE2" w:rsidP="00242AEE">
            <w:pPr>
              <w:jc w:val="center"/>
              <w:rPr>
                <w:sz w:val="20"/>
                <w:szCs w:val="20"/>
                <w:lang w:val="fr-CA"/>
              </w:rPr>
            </w:pPr>
          </w:p>
          <w:p w:rsidR="000B7AE2" w:rsidRPr="009D73E2" w:rsidRDefault="000B7AE2" w:rsidP="00242AEE">
            <w:pPr>
              <w:jc w:val="center"/>
              <w:rPr>
                <w:sz w:val="20"/>
                <w:szCs w:val="20"/>
                <w:lang w:val="fr-CA"/>
              </w:rPr>
            </w:pPr>
          </w:p>
          <w:p w:rsidR="000B7AE2" w:rsidRPr="009D73E2" w:rsidRDefault="000B7AE2" w:rsidP="00242AEE">
            <w:pPr>
              <w:jc w:val="center"/>
              <w:rPr>
                <w:sz w:val="20"/>
                <w:szCs w:val="20"/>
                <w:lang w:val="fr-CA"/>
              </w:rPr>
            </w:pPr>
          </w:p>
          <w:p w:rsidR="000B7AE2" w:rsidRPr="009D73E2" w:rsidRDefault="000B7AE2" w:rsidP="00242AEE">
            <w:pPr>
              <w:jc w:val="center"/>
              <w:rPr>
                <w:sz w:val="20"/>
                <w:szCs w:val="20"/>
                <w:lang w:val="fr-CA"/>
              </w:rPr>
            </w:pPr>
          </w:p>
          <w:p w:rsidR="000B7AE2" w:rsidRPr="009D73E2" w:rsidRDefault="000B7AE2" w:rsidP="00242AEE">
            <w:pPr>
              <w:jc w:val="center"/>
              <w:rPr>
                <w:sz w:val="20"/>
                <w:szCs w:val="20"/>
                <w:lang w:val="fr-CA"/>
              </w:rPr>
            </w:pPr>
          </w:p>
          <w:p w:rsidR="000B7AE2" w:rsidRPr="009D73E2" w:rsidRDefault="000B7AE2" w:rsidP="00242AEE">
            <w:pPr>
              <w:jc w:val="center"/>
              <w:rPr>
                <w:sz w:val="20"/>
                <w:szCs w:val="20"/>
                <w:lang w:val="fr-CA"/>
              </w:rPr>
            </w:pPr>
          </w:p>
          <w:p w:rsidR="000B7AE2" w:rsidRPr="009D73E2" w:rsidRDefault="000B7AE2" w:rsidP="00242AEE">
            <w:pPr>
              <w:jc w:val="center"/>
              <w:rPr>
                <w:sz w:val="20"/>
                <w:szCs w:val="20"/>
                <w:lang w:val="fr-CA"/>
              </w:rPr>
            </w:pPr>
          </w:p>
          <w:p w:rsidR="000B7AE2" w:rsidRPr="009D73E2" w:rsidRDefault="000B7AE2" w:rsidP="00242AEE">
            <w:pPr>
              <w:jc w:val="center"/>
              <w:rPr>
                <w:sz w:val="20"/>
                <w:szCs w:val="20"/>
                <w:lang w:val="fr-CA"/>
              </w:rPr>
            </w:pPr>
          </w:p>
          <w:p w:rsidR="000B7AE2" w:rsidRPr="009D73E2" w:rsidRDefault="000B7AE2" w:rsidP="00242AEE">
            <w:pPr>
              <w:jc w:val="center"/>
              <w:rPr>
                <w:sz w:val="20"/>
                <w:szCs w:val="20"/>
                <w:lang w:val="fr-CA"/>
              </w:rPr>
            </w:pPr>
          </w:p>
          <w:p w:rsidR="000B7AE2" w:rsidRPr="009D73E2" w:rsidRDefault="000B7AE2" w:rsidP="00242AEE">
            <w:pPr>
              <w:jc w:val="center"/>
              <w:rPr>
                <w:sz w:val="20"/>
                <w:szCs w:val="20"/>
                <w:lang w:val="fr-CA"/>
              </w:rPr>
            </w:pPr>
          </w:p>
          <w:p w:rsidR="000B7AE2" w:rsidRPr="009D73E2" w:rsidRDefault="000B7AE2" w:rsidP="00242AEE">
            <w:pPr>
              <w:jc w:val="center"/>
              <w:rPr>
                <w:sz w:val="20"/>
                <w:szCs w:val="20"/>
                <w:lang w:val="fr-CA"/>
              </w:rPr>
            </w:pPr>
          </w:p>
        </w:tc>
        <w:tc>
          <w:tcPr>
            <w:tcW w:w="4320" w:type="dxa"/>
            <w:shd w:val="clear" w:color="auto" w:fill="auto"/>
          </w:tcPr>
          <w:p w:rsidR="000B7AE2" w:rsidRPr="000B7AE2" w:rsidRDefault="000B7AE2" w:rsidP="000B7AE2">
            <w:pPr>
              <w:keepNext/>
              <w:keepLines/>
              <w:tabs>
                <w:tab w:val="left" w:pos="-1440"/>
                <w:tab w:val="left" w:pos="-720"/>
              </w:tabs>
              <w:rPr>
                <w:b/>
                <w:sz w:val="20"/>
                <w:szCs w:val="20"/>
              </w:rPr>
            </w:pPr>
            <w:r w:rsidRPr="000B7AE2">
              <w:rPr>
                <w:b/>
                <w:sz w:val="20"/>
                <w:szCs w:val="20"/>
              </w:rPr>
              <w:t>Her Majesty the Queen</w:t>
            </w:r>
          </w:p>
          <w:p w:rsidR="000B7AE2" w:rsidRPr="000B7AE2" w:rsidRDefault="000B7AE2" w:rsidP="000B7AE2">
            <w:pPr>
              <w:keepNext/>
              <w:keepLines/>
              <w:tabs>
                <w:tab w:val="left" w:pos="-1440"/>
                <w:tab w:val="left" w:pos="-720"/>
              </w:tabs>
              <w:rPr>
                <w:sz w:val="20"/>
                <w:szCs w:val="20"/>
              </w:rPr>
            </w:pPr>
            <w:r w:rsidRPr="000B7AE2">
              <w:rPr>
                <w:sz w:val="20"/>
                <w:szCs w:val="20"/>
              </w:rPr>
              <w:tab/>
              <w:t>Michael Bernstein</w:t>
            </w:r>
          </w:p>
          <w:p w:rsidR="000B7AE2" w:rsidRPr="000B7AE2" w:rsidRDefault="000B7AE2" w:rsidP="000B7AE2">
            <w:pPr>
              <w:keepNext/>
              <w:keepLines/>
              <w:tabs>
                <w:tab w:val="left" w:pos="-1440"/>
                <w:tab w:val="left" w:pos="-720"/>
              </w:tabs>
              <w:rPr>
                <w:sz w:val="20"/>
                <w:szCs w:val="20"/>
              </w:rPr>
            </w:pPr>
            <w:r w:rsidRPr="000B7AE2">
              <w:rPr>
                <w:sz w:val="20"/>
                <w:szCs w:val="20"/>
              </w:rPr>
              <w:tab/>
            </w:r>
            <w:r>
              <w:rPr>
                <w:sz w:val="20"/>
                <w:szCs w:val="20"/>
              </w:rPr>
              <w:t>A.G. of Ontario</w:t>
            </w:r>
          </w:p>
          <w:p w:rsidR="000B7AE2" w:rsidRPr="000B7AE2" w:rsidRDefault="000B7AE2" w:rsidP="000B7AE2">
            <w:pPr>
              <w:keepNext/>
              <w:keepLines/>
              <w:tabs>
                <w:tab w:val="left" w:pos="-1440"/>
                <w:tab w:val="left" w:pos="-720"/>
              </w:tabs>
              <w:rPr>
                <w:sz w:val="20"/>
                <w:szCs w:val="20"/>
              </w:rPr>
            </w:pPr>
          </w:p>
          <w:p w:rsidR="000B7AE2" w:rsidRPr="000B7AE2" w:rsidRDefault="000B7AE2" w:rsidP="000B7AE2">
            <w:pPr>
              <w:keepNext/>
              <w:keepLines/>
              <w:tabs>
                <w:tab w:val="left" w:pos="-1440"/>
                <w:tab w:val="left" w:pos="-720"/>
              </w:tabs>
              <w:rPr>
                <w:sz w:val="20"/>
                <w:szCs w:val="20"/>
              </w:rPr>
            </w:pPr>
            <w:r w:rsidRPr="000B7AE2">
              <w:rPr>
                <w:sz w:val="20"/>
                <w:szCs w:val="20"/>
              </w:rPr>
              <w:tab/>
              <w:t>v. (36390)</w:t>
            </w:r>
          </w:p>
          <w:p w:rsidR="000B7AE2" w:rsidRPr="000B7AE2" w:rsidRDefault="000B7AE2" w:rsidP="000B7AE2">
            <w:pPr>
              <w:keepNext/>
              <w:keepLines/>
              <w:tabs>
                <w:tab w:val="left" w:pos="-1440"/>
                <w:tab w:val="left" w:pos="-720"/>
              </w:tabs>
              <w:rPr>
                <w:sz w:val="20"/>
                <w:szCs w:val="20"/>
              </w:rPr>
            </w:pPr>
          </w:p>
          <w:p w:rsidR="000B7AE2" w:rsidRPr="000B7AE2" w:rsidRDefault="000B7AE2" w:rsidP="000B7AE2">
            <w:pPr>
              <w:keepNext/>
              <w:keepLines/>
              <w:tabs>
                <w:tab w:val="left" w:pos="-1440"/>
                <w:tab w:val="left" w:pos="-720"/>
              </w:tabs>
              <w:rPr>
                <w:b/>
                <w:sz w:val="20"/>
                <w:szCs w:val="20"/>
              </w:rPr>
            </w:pPr>
            <w:r w:rsidRPr="000B7AE2">
              <w:rPr>
                <w:b/>
                <w:sz w:val="20"/>
                <w:szCs w:val="20"/>
              </w:rPr>
              <w:t>A.C. (Ont.)</w:t>
            </w:r>
          </w:p>
          <w:p w:rsidR="000B7AE2" w:rsidRPr="000B7AE2" w:rsidRDefault="000B7AE2" w:rsidP="000B7AE2">
            <w:pPr>
              <w:keepNext/>
              <w:keepLines/>
              <w:tabs>
                <w:tab w:val="left" w:pos="-1440"/>
                <w:tab w:val="left" w:pos="-720"/>
              </w:tabs>
              <w:rPr>
                <w:sz w:val="20"/>
                <w:szCs w:val="20"/>
              </w:rPr>
            </w:pPr>
            <w:r w:rsidRPr="000B7AE2">
              <w:rPr>
                <w:sz w:val="20"/>
                <w:szCs w:val="20"/>
              </w:rPr>
              <w:tab/>
              <w:t>Robert C. She</w:t>
            </w:r>
            <w:r>
              <w:rPr>
                <w:sz w:val="20"/>
                <w:szCs w:val="20"/>
              </w:rPr>
              <w:t>pp</w:t>
            </w:r>
            <w:r w:rsidRPr="000B7AE2">
              <w:rPr>
                <w:sz w:val="20"/>
                <w:szCs w:val="20"/>
              </w:rPr>
              <w:t>a</w:t>
            </w:r>
            <w:r>
              <w:rPr>
                <w:sz w:val="20"/>
                <w:szCs w:val="20"/>
              </w:rPr>
              <w:t>rd</w:t>
            </w:r>
          </w:p>
          <w:p w:rsidR="000B7AE2" w:rsidRPr="009D73E2" w:rsidRDefault="000B7AE2" w:rsidP="000B7AE2">
            <w:pPr>
              <w:keepNext/>
              <w:keepLines/>
              <w:tabs>
                <w:tab w:val="left" w:pos="-1440"/>
                <w:tab w:val="left" w:pos="-720"/>
              </w:tabs>
              <w:rPr>
                <w:sz w:val="20"/>
                <w:szCs w:val="20"/>
              </w:rPr>
            </w:pPr>
          </w:p>
          <w:p w:rsidR="000B7AE2" w:rsidRPr="000B7AE2" w:rsidRDefault="000B7AE2" w:rsidP="00151DAD">
            <w:pPr>
              <w:rPr>
                <w:sz w:val="20"/>
                <w:szCs w:val="20"/>
              </w:rPr>
            </w:pPr>
            <w:r w:rsidRPr="00A935AA">
              <w:rPr>
                <w:sz w:val="20"/>
                <w:szCs w:val="20"/>
              </w:rPr>
              <w:t>FILING DATE</w:t>
            </w:r>
            <w:r>
              <w:rPr>
                <w:sz w:val="20"/>
                <w:szCs w:val="20"/>
              </w:rPr>
              <w:t xml:space="preserve"> </w:t>
            </w:r>
            <w:r w:rsidRPr="000B7AE2">
              <w:rPr>
                <w:sz w:val="20"/>
                <w:szCs w:val="20"/>
              </w:rPr>
              <w:t>: 1</w:t>
            </w:r>
            <w:r w:rsidR="00151DAD">
              <w:rPr>
                <w:sz w:val="20"/>
                <w:szCs w:val="20"/>
              </w:rPr>
              <w:t>4</w:t>
            </w:r>
            <w:r w:rsidRPr="000B7AE2">
              <w:rPr>
                <w:sz w:val="20"/>
                <w:szCs w:val="20"/>
              </w:rPr>
              <w:t>.04.2015</w:t>
            </w:r>
            <w:r w:rsidR="005B3B50">
              <w:rPr>
                <w:sz w:val="20"/>
                <w:szCs w:val="20"/>
                <w:lang w:val="fr-CA"/>
              </w:rPr>
              <w:pict>
                <v:rect id="_x0000_i1028" style="width:108pt;height:1pt" o:hrpct="0" o:hralign="center" o:hrstd="t" o:hrnoshade="t" o:hr="t" fillcolor="black [3213]" stroked="f"/>
              </w:pict>
            </w:r>
          </w:p>
        </w:tc>
      </w:tr>
      <w:tr w:rsidR="00C21644" w:rsidRPr="00A935AA" w:rsidTr="003B3977">
        <w:tc>
          <w:tcPr>
            <w:tcW w:w="4320" w:type="dxa"/>
            <w:shd w:val="clear" w:color="auto" w:fill="auto"/>
          </w:tcPr>
          <w:p w:rsidR="00C21644" w:rsidRDefault="00C21644" w:rsidP="005F1ED8">
            <w:pPr>
              <w:rPr>
                <w:b/>
                <w:sz w:val="20"/>
                <w:szCs w:val="20"/>
              </w:rPr>
            </w:pPr>
          </w:p>
          <w:p w:rsidR="000B7AE2" w:rsidRPr="00A935AA" w:rsidRDefault="000B7AE2" w:rsidP="005F1ED8">
            <w:pPr>
              <w:rPr>
                <w:b/>
                <w:sz w:val="20"/>
                <w:szCs w:val="20"/>
              </w:rPr>
            </w:pPr>
            <w:r>
              <w:rPr>
                <w:b/>
                <w:sz w:val="20"/>
                <w:szCs w:val="20"/>
              </w:rPr>
              <w:t>Frederic Ntibarimungu</w:t>
            </w:r>
          </w:p>
          <w:p w:rsidR="00C21644" w:rsidRPr="00A935AA" w:rsidRDefault="00C21644" w:rsidP="005F1ED8">
            <w:pPr>
              <w:tabs>
                <w:tab w:val="left" w:pos="-1440"/>
                <w:tab w:val="left" w:pos="-720"/>
              </w:tabs>
              <w:rPr>
                <w:sz w:val="20"/>
                <w:szCs w:val="20"/>
              </w:rPr>
            </w:pPr>
            <w:r w:rsidRPr="00A935AA">
              <w:rPr>
                <w:sz w:val="20"/>
                <w:szCs w:val="20"/>
              </w:rPr>
              <w:tab/>
            </w:r>
            <w:r w:rsidR="000B7AE2">
              <w:rPr>
                <w:sz w:val="20"/>
                <w:szCs w:val="20"/>
              </w:rPr>
              <w:t>Frederic Ntibarimungu</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0B7AE2">
              <w:rPr>
                <w:sz w:val="20"/>
                <w:szCs w:val="20"/>
              </w:rPr>
              <w:t>6423</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0B7AE2" w:rsidP="005F1ED8">
            <w:pPr>
              <w:tabs>
                <w:tab w:val="left" w:pos="-1440"/>
                <w:tab w:val="left" w:pos="-720"/>
              </w:tabs>
              <w:rPr>
                <w:b/>
                <w:sz w:val="20"/>
                <w:szCs w:val="20"/>
              </w:rPr>
            </w:pPr>
            <w:r>
              <w:rPr>
                <w:b/>
                <w:sz w:val="20"/>
                <w:szCs w:val="20"/>
              </w:rPr>
              <w:t xml:space="preserve">Insurance Corporation of British Columbia </w:t>
            </w:r>
            <w:r w:rsidR="00C21644" w:rsidRPr="00A935AA">
              <w:rPr>
                <w:b/>
                <w:sz w:val="20"/>
                <w:szCs w:val="20"/>
              </w:rPr>
              <w:t>(</w:t>
            </w:r>
            <w:r>
              <w:rPr>
                <w:b/>
                <w:sz w:val="20"/>
                <w:szCs w:val="20"/>
              </w:rPr>
              <w:t>B.C</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0B7AE2">
              <w:rPr>
                <w:sz w:val="20"/>
                <w:szCs w:val="20"/>
              </w:rPr>
              <w:t>Paul M.J. Arvisais</w:t>
            </w:r>
          </w:p>
          <w:p w:rsidR="00C21644" w:rsidRPr="00A935AA" w:rsidRDefault="00C21644" w:rsidP="005F1ED8">
            <w:pPr>
              <w:tabs>
                <w:tab w:val="left" w:pos="-1440"/>
                <w:tab w:val="left" w:pos="-720"/>
              </w:tabs>
              <w:rPr>
                <w:sz w:val="20"/>
                <w:szCs w:val="20"/>
              </w:rPr>
            </w:pPr>
            <w:r w:rsidRPr="00A935AA">
              <w:rPr>
                <w:sz w:val="20"/>
                <w:szCs w:val="20"/>
              </w:rPr>
              <w:tab/>
            </w:r>
            <w:r w:rsidR="000B7AE2">
              <w:rPr>
                <w:sz w:val="20"/>
                <w:szCs w:val="20"/>
              </w:rPr>
              <w:t>Webster Hudson &amp; Coombe LLP</w:t>
            </w:r>
          </w:p>
          <w:p w:rsidR="00C21644" w:rsidRPr="00A935AA" w:rsidRDefault="00C21644" w:rsidP="005F1ED8">
            <w:pPr>
              <w:tabs>
                <w:tab w:val="left" w:pos="-1440"/>
                <w:tab w:val="left" w:pos="-720"/>
              </w:tabs>
              <w:rPr>
                <w:sz w:val="20"/>
                <w:szCs w:val="20"/>
              </w:rPr>
            </w:pPr>
          </w:p>
          <w:p w:rsidR="00C21644" w:rsidRPr="00A935AA" w:rsidRDefault="00C21644" w:rsidP="000B7AE2">
            <w:pPr>
              <w:rPr>
                <w:sz w:val="20"/>
                <w:szCs w:val="20"/>
              </w:rPr>
            </w:pPr>
            <w:r w:rsidRPr="00A935AA">
              <w:rPr>
                <w:sz w:val="20"/>
                <w:szCs w:val="20"/>
              </w:rPr>
              <w:t>FILING DATE:</w:t>
            </w:r>
            <w:r w:rsidR="000B7AE2">
              <w:rPr>
                <w:sz w:val="20"/>
                <w:szCs w:val="20"/>
              </w:rPr>
              <w:t xml:space="preserve"> 15</w:t>
            </w:r>
            <w:r w:rsidRPr="00A935AA">
              <w:rPr>
                <w:sz w:val="20"/>
                <w:szCs w:val="20"/>
              </w:rPr>
              <w:t>.0</w:t>
            </w:r>
            <w:r w:rsidR="000B7AE2">
              <w:rPr>
                <w:sz w:val="20"/>
                <w:szCs w:val="20"/>
              </w:rPr>
              <w:t>4</w:t>
            </w:r>
            <w:r w:rsidRPr="00A935AA">
              <w:rPr>
                <w:sz w:val="20"/>
                <w:szCs w:val="20"/>
              </w:rPr>
              <w:t>.201</w:t>
            </w:r>
            <w:r w:rsidR="009D73E2">
              <w:rPr>
                <w:sz w:val="20"/>
                <w:szCs w:val="20"/>
              </w:rPr>
              <w:t>5</w:t>
            </w:r>
            <w:r w:rsidR="005B3B50">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C21644" w:rsidRDefault="00C21644" w:rsidP="00242AEE">
            <w:pPr>
              <w:jc w:val="center"/>
              <w:rPr>
                <w:sz w:val="20"/>
                <w:szCs w:val="20"/>
              </w:rPr>
            </w:pPr>
          </w:p>
          <w:p w:rsidR="000B753B" w:rsidRDefault="000B753B"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935AA" w:rsidRDefault="000B753B" w:rsidP="005F1ED8">
            <w:pPr>
              <w:rPr>
                <w:b/>
                <w:sz w:val="20"/>
                <w:szCs w:val="20"/>
              </w:rPr>
            </w:pPr>
            <w:r>
              <w:rPr>
                <w:b/>
                <w:sz w:val="20"/>
                <w:szCs w:val="20"/>
              </w:rPr>
              <w:t>Peterborough Regional Health Centre</w:t>
            </w:r>
          </w:p>
          <w:p w:rsidR="00C21644" w:rsidRPr="00A935AA" w:rsidRDefault="00C21644" w:rsidP="005F1ED8">
            <w:pPr>
              <w:tabs>
                <w:tab w:val="left" w:pos="-1440"/>
                <w:tab w:val="left" w:pos="-720"/>
              </w:tabs>
              <w:rPr>
                <w:sz w:val="20"/>
                <w:szCs w:val="20"/>
              </w:rPr>
            </w:pPr>
            <w:r w:rsidRPr="00A935AA">
              <w:rPr>
                <w:sz w:val="20"/>
                <w:szCs w:val="20"/>
              </w:rPr>
              <w:tab/>
            </w:r>
            <w:r w:rsidR="000B753B">
              <w:rPr>
                <w:sz w:val="20"/>
                <w:szCs w:val="20"/>
              </w:rPr>
              <w:t>Guy Pratte</w:t>
            </w:r>
          </w:p>
          <w:p w:rsidR="00C21644" w:rsidRPr="00A935AA" w:rsidRDefault="00C21644" w:rsidP="005F1ED8">
            <w:pPr>
              <w:tabs>
                <w:tab w:val="left" w:pos="-1440"/>
                <w:tab w:val="left" w:pos="-720"/>
              </w:tabs>
              <w:rPr>
                <w:sz w:val="20"/>
                <w:szCs w:val="20"/>
              </w:rPr>
            </w:pPr>
            <w:r w:rsidRPr="00A935AA">
              <w:rPr>
                <w:sz w:val="20"/>
                <w:szCs w:val="20"/>
              </w:rPr>
              <w:tab/>
            </w:r>
            <w:r w:rsidR="000B753B">
              <w:rPr>
                <w:sz w:val="20"/>
                <w:szCs w:val="20"/>
              </w:rPr>
              <w:t>Borden Ladner Gervais LLP</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0B753B">
              <w:rPr>
                <w:sz w:val="20"/>
                <w:szCs w:val="20"/>
              </w:rPr>
              <w:t>6393</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0B753B" w:rsidP="005F1ED8">
            <w:pPr>
              <w:tabs>
                <w:tab w:val="left" w:pos="-1440"/>
                <w:tab w:val="left" w:pos="-720"/>
              </w:tabs>
              <w:rPr>
                <w:b/>
                <w:sz w:val="20"/>
                <w:szCs w:val="20"/>
              </w:rPr>
            </w:pPr>
            <w:r>
              <w:rPr>
                <w:b/>
                <w:sz w:val="20"/>
                <w:szCs w:val="20"/>
              </w:rPr>
              <w:t>Heike Hesse, Erkenraadje Wens</w:t>
            </w:r>
            <w:r w:rsidR="00151DAD">
              <w:rPr>
                <w:b/>
                <w:sz w:val="20"/>
                <w:szCs w:val="20"/>
              </w:rPr>
              <w:t>v</w:t>
            </w:r>
            <w:r>
              <w:rPr>
                <w:b/>
                <w:sz w:val="20"/>
                <w:szCs w:val="20"/>
              </w:rPr>
              <w:t xml:space="preserve">oort on behalf of themselves and all others similary situated et al.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0B753B">
              <w:rPr>
                <w:sz w:val="20"/>
                <w:szCs w:val="20"/>
              </w:rPr>
              <w:t>J. Arthur Cogan, Q.C.</w:t>
            </w:r>
          </w:p>
          <w:p w:rsidR="00C21644" w:rsidRPr="00A935AA" w:rsidRDefault="00C21644" w:rsidP="005F1ED8">
            <w:pPr>
              <w:tabs>
                <w:tab w:val="left" w:pos="-1440"/>
                <w:tab w:val="left" w:pos="-720"/>
              </w:tabs>
              <w:rPr>
                <w:sz w:val="20"/>
                <w:szCs w:val="20"/>
              </w:rPr>
            </w:pPr>
            <w:r w:rsidRPr="00A935AA">
              <w:rPr>
                <w:sz w:val="20"/>
                <w:szCs w:val="20"/>
              </w:rPr>
              <w:tab/>
            </w:r>
            <w:r w:rsidR="000B753B">
              <w:rPr>
                <w:sz w:val="20"/>
                <w:szCs w:val="20"/>
              </w:rPr>
              <w:t>J. Arthur Cogan, Law Office</w:t>
            </w:r>
          </w:p>
          <w:p w:rsidR="009D73E2" w:rsidRDefault="009D73E2" w:rsidP="005F1ED8">
            <w:pPr>
              <w:rPr>
                <w:sz w:val="20"/>
                <w:szCs w:val="20"/>
              </w:rPr>
            </w:pPr>
          </w:p>
          <w:p w:rsidR="00C21644" w:rsidRDefault="000B753B" w:rsidP="000B753B">
            <w:pPr>
              <w:rPr>
                <w:sz w:val="20"/>
                <w:szCs w:val="20"/>
                <w:lang w:val="fr-CA"/>
              </w:rPr>
            </w:pPr>
            <w:r>
              <w:rPr>
                <w:sz w:val="20"/>
                <w:szCs w:val="20"/>
              </w:rPr>
              <w:t>and between</w:t>
            </w:r>
          </w:p>
          <w:p w:rsidR="000B753B" w:rsidRPr="00A935AA" w:rsidRDefault="000B753B" w:rsidP="000B753B">
            <w:pPr>
              <w:rPr>
                <w:sz w:val="20"/>
                <w:szCs w:val="20"/>
              </w:rPr>
            </w:pPr>
          </w:p>
        </w:tc>
      </w:tr>
      <w:tr w:rsidR="009D73E2" w:rsidRPr="000B753B" w:rsidTr="003B3977">
        <w:trPr>
          <w:cantSplit/>
        </w:trPr>
        <w:tc>
          <w:tcPr>
            <w:tcW w:w="4320" w:type="dxa"/>
            <w:shd w:val="clear" w:color="auto" w:fill="auto"/>
          </w:tcPr>
          <w:p w:rsidR="009D73E2" w:rsidRPr="00A935AA" w:rsidRDefault="000B753B" w:rsidP="005F1ED8">
            <w:pPr>
              <w:rPr>
                <w:b/>
                <w:sz w:val="20"/>
                <w:szCs w:val="20"/>
              </w:rPr>
            </w:pPr>
            <w:r>
              <w:rPr>
                <w:b/>
                <w:sz w:val="20"/>
                <w:szCs w:val="20"/>
              </w:rPr>
              <w:t>Canadian National Railway Company</w:t>
            </w:r>
          </w:p>
          <w:p w:rsidR="009D73E2" w:rsidRPr="00A935AA" w:rsidRDefault="009D73E2" w:rsidP="005F1ED8">
            <w:pPr>
              <w:tabs>
                <w:tab w:val="left" w:pos="-1440"/>
                <w:tab w:val="left" w:pos="-720"/>
              </w:tabs>
              <w:rPr>
                <w:sz w:val="20"/>
                <w:szCs w:val="20"/>
              </w:rPr>
            </w:pPr>
            <w:r w:rsidRPr="00A935AA">
              <w:rPr>
                <w:sz w:val="20"/>
                <w:szCs w:val="20"/>
              </w:rPr>
              <w:tab/>
            </w:r>
            <w:r w:rsidR="000B753B">
              <w:rPr>
                <w:sz w:val="20"/>
                <w:szCs w:val="20"/>
              </w:rPr>
              <w:t>Jeremy Devereux</w:t>
            </w:r>
          </w:p>
          <w:p w:rsidR="009D73E2" w:rsidRPr="00A935AA" w:rsidRDefault="009D73E2" w:rsidP="005F1ED8">
            <w:pPr>
              <w:tabs>
                <w:tab w:val="left" w:pos="-1440"/>
                <w:tab w:val="left" w:pos="-720"/>
              </w:tabs>
              <w:rPr>
                <w:sz w:val="20"/>
                <w:szCs w:val="20"/>
              </w:rPr>
            </w:pPr>
            <w:r w:rsidRPr="00A935AA">
              <w:rPr>
                <w:sz w:val="20"/>
                <w:szCs w:val="20"/>
              </w:rPr>
              <w:tab/>
            </w:r>
            <w:r w:rsidR="000B753B">
              <w:rPr>
                <w:sz w:val="20"/>
                <w:szCs w:val="20"/>
              </w:rPr>
              <w:t>Norton Rose Fulbright Canada LLP</w:t>
            </w:r>
          </w:p>
          <w:p w:rsidR="009D73E2" w:rsidRPr="00A935AA" w:rsidRDefault="009D73E2" w:rsidP="005F1ED8">
            <w:pPr>
              <w:tabs>
                <w:tab w:val="left" w:pos="-1440"/>
                <w:tab w:val="left" w:pos="-720"/>
              </w:tabs>
              <w:rPr>
                <w:sz w:val="20"/>
                <w:szCs w:val="20"/>
              </w:rPr>
            </w:pPr>
          </w:p>
          <w:p w:rsidR="009D73E2" w:rsidRPr="00A935AA" w:rsidRDefault="009D73E2" w:rsidP="005F1ED8">
            <w:pPr>
              <w:tabs>
                <w:tab w:val="left" w:pos="-1440"/>
                <w:tab w:val="left" w:pos="-720"/>
              </w:tabs>
              <w:rPr>
                <w:sz w:val="20"/>
                <w:szCs w:val="20"/>
              </w:rPr>
            </w:pPr>
            <w:r w:rsidRPr="00A935AA">
              <w:rPr>
                <w:sz w:val="20"/>
                <w:szCs w:val="20"/>
              </w:rPr>
              <w:tab/>
              <w:t>v. (3</w:t>
            </w:r>
            <w:r w:rsidR="000B753B">
              <w:rPr>
                <w:sz w:val="20"/>
                <w:szCs w:val="20"/>
              </w:rPr>
              <w:t>6398</w:t>
            </w:r>
            <w:r w:rsidRPr="00A935AA">
              <w:rPr>
                <w:sz w:val="20"/>
                <w:szCs w:val="20"/>
              </w:rPr>
              <w:t>)</w:t>
            </w:r>
          </w:p>
          <w:p w:rsidR="009D73E2" w:rsidRPr="00A935AA" w:rsidRDefault="009D73E2" w:rsidP="005F1ED8">
            <w:pPr>
              <w:tabs>
                <w:tab w:val="left" w:pos="-1440"/>
                <w:tab w:val="left" w:pos="-720"/>
              </w:tabs>
              <w:rPr>
                <w:sz w:val="20"/>
                <w:szCs w:val="20"/>
              </w:rPr>
            </w:pPr>
          </w:p>
          <w:p w:rsidR="009D73E2" w:rsidRPr="00A935AA" w:rsidRDefault="000B753B" w:rsidP="005F1ED8">
            <w:pPr>
              <w:tabs>
                <w:tab w:val="left" w:pos="-1440"/>
                <w:tab w:val="left" w:pos="-720"/>
              </w:tabs>
              <w:rPr>
                <w:b/>
                <w:sz w:val="20"/>
                <w:szCs w:val="20"/>
              </w:rPr>
            </w:pPr>
            <w:r>
              <w:rPr>
                <w:b/>
                <w:sz w:val="20"/>
                <w:szCs w:val="20"/>
              </w:rPr>
              <w:t xml:space="preserve">Corporation of the City of Kitchener et al. </w:t>
            </w:r>
            <w:r w:rsidR="009D73E2" w:rsidRPr="00A935AA">
              <w:rPr>
                <w:b/>
                <w:sz w:val="20"/>
                <w:szCs w:val="20"/>
              </w:rPr>
              <w:t>(</w:t>
            </w:r>
            <w:r w:rsidR="009D73E2">
              <w:rPr>
                <w:b/>
                <w:sz w:val="20"/>
                <w:szCs w:val="20"/>
              </w:rPr>
              <w:t>Ont</w:t>
            </w:r>
            <w:r w:rsidR="009D73E2" w:rsidRPr="00A935AA">
              <w:rPr>
                <w:b/>
                <w:sz w:val="20"/>
                <w:szCs w:val="20"/>
              </w:rPr>
              <w:t>.)</w:t>
            </w:r>
          </w:p>
          <w:p w:rsidR="009D73E2" w:rsidRPr="00A935AA" w:rsidRDefault="009D73E2" w:rsidP="005F1ED8">
            <w:pPr>
              <w:tabs>
                <w:tab w:val="left" w:pos="-1440"/>
                <w:tab w:val="left" w:pos="-720"/>
              </w:tabs>
              <w:rPr>
                <w:sz w:val="20"/>
                <w:szCs w:val="20"/>
              </w:rPr>
            </w:pPr>
            <w:r w:rsidRPr="00A935AA">
              <w:rPr>
                <w:sz w:val="20"/>
                <w:szCs w:val="20"/>
              </w:rPr>
              <w:tab/>
            </w:r>
            <w:r w:rsidR="000B753B">
              <w:rPr>
                <w:sz w:val="20"/>
                <w:szCs w:val="20"/>
              </w:rPr>
              <w:t>J. Bruce Carr-Harris</w:t>
            </w:r>
          </w:p>
          <w:p w:rsidR="009D73E2" w:rsidRPr="00A935AA" w:rsidRDefault="009D73E2" w:rsidP="005F1ED8">
            <w:pPr>
              <w:tabs>
                <w:tab w:val="left" w:pos="-1440"/>
                <w:tab w:val="left" w:pos="-720"/>
              </w:tabs>
              <w:rPr>
                <w:sz w:val="20"/>
                <w:szCs w:val="20"/>
              </w:rPr>
            </w:pPr>
            <w:r w:rsidRPr="00A935AA">
              <w:rPr>
                <w:sz w:val="20"/>
                <w:szCs w:val="20"/>
              </w:rPr>
              <w:tab/>
            </w:r>
            <w:r w:rsidR="000B753B">
              <w:rPr>
                <w:sz w:val="20"/>
                <w:szCs w:val="20"/>
              </w:rPr>
              <w:t>Borden Ladner Gervais LLP</w:t>
            </w:r>
          </w:p>
          <w:p w:rsidR="009D73E2" w:rsidRPr="00A935AA" w:rsidRDefault="009D73E2" w:rsidP="005F1ED8">
            <w:pPr>
              <w:tabs>
                <w:tab w:val="left" w:pos="-1440"/>
                <w:tab w:val="left" w:pos="-720"/>
              </w:tabs>
              <w:rPr>
                <w:sz w:val="20"/>
                <w:szCs w:val="20"/>
              </w:rPr>
            </w:pPr>
          </w:p>
          <w:p w:rsidR="009D73E2" w:rsidRPr="00A935AA" w:rsidRDefault="009D73E2" w:rsidP="000B753B">
            <w:pPr>
              <w:rPr>
                <w:sz w:val="20"/>
                <w:szCs w:val="20"/>
              </w:rPr>
            </w:pPr>
            <w:r w:rsidRPr="00A935AA">
              <w:rPr>
                <w:sz w:val="20"/>
                <w:szCs w:val="20"/>
              </w:rPr>
              <w:t>FILING DATE: 2</w:t>
            </w:r>
            <w:r w:rsidR="000B753B">
              <w:rPr>
                <w:sz w:val="20"/>
                <w:szCs w:val="20"/>
              </w:rPr>
              <w:t>3</w:t>
            </w:r>
            <w:r w:rsidRPr="00A935AA">
              <w:rPr>
                <w:sz w:val="20"/>
                <w:szCs w:val="20"/>
              </w:rPr>
              <w:t>.0</w:t>
            </w:r>
            <w:r w:rsidR="000B753B">
              <w:rPr>
                <w:sz w:val="20"/>
                <w:szCs w:val="20"/>
              </w:rPr>
              <w:t>4</w:t>
            </w:r>
            <w:r w:rsidRPr="00A935AA">
              <w:rPr>
                <w:sz w:val="20"/>
                <w:szCs w:val="20"/>
              </w:rPr>
              <w:t>.201</w:t>
            </w:r>
            <w:r>
              <w:rPr>
                <w:sz w:val="20"/>
                <w:szCs w:val="20"/>
              </w:rPr>
              <w:t>5</w:t>
            </w:r>
            <w:r w:rsidR="005B3B50">
              <w:rPr>
                <w:sz w:val="20"/>
                <w:szCs w:val="20"/>
                <w:lang w:val="fr-CA"/>
              </w:rPr>
              <w:pict>
                <v:rect id="_x0000_i1030" style="width:108pt;height:1pt" o:hrpct="0" o:hralign="center" o:hrstd="t" o:hrnoshade="t" o:hr="t" fillcolor="black [3213]" stroked="f"/>
              </w:pict>
            </w:r>
          </w:p>
        </w:tc>
        <w:tc>
          <w:tcPr>
            <w:tcW w:w="1181" w:type="dxa"/>
            <w:shd w:val="clear" w:color="auto" w:fill="auto"/>
          </w:tcPr>
          <w:p w:rsidR="009D73E2" w:rsidRPr="00A935AA" w:rsidRDefault="009D73E2" w:rsidP="00242AEE">
            <w:pPr>
              <w:jc w:val="center"/>
              <w:rPr>
                <w:sz w:val="20"/>
                <w:szCs w:val="20"/>
              </w:rPr>
            </w:pPr>
          </w:p>
          <w:p w:rsidR="009D73E2" w:rsidRPr="00A935AA" w:rsidRDefault="009D73E2" w:rsidP="00242AEE">
            <w:pPr>
              <w:jc w:val="center"/>
              <w:rPr>
                <w:sz w:val="20"/>
                <w:szCs w:val="20"/>
              </w:rPr>
            </w:pPr>
          </w:p>
          <w:p w:rsidR="009D73E2" w:rsidRPr="00A935AA" w:rsidRDefault="009D73E2" w:rsidP="00242AEE">
            <w:pPr>
              <w:jc w:val="center"/>
              <w:rPr>
                <w:sz w:val="20"/>
                <w:szCs w:val="20"/>
              </w:rPr>
            </w:pPr>
          </w:p>
          <w:p w:rsidR="009D73E2" w:rsidRPr="00A935AA" w:rsidRDefault="009D73E2" w:rsidP="00242AEE">
            <w:pPr>
              <w:jc w:val="center"/>
              <w:rPr>
                <w:sz w:val="20"/>
                <w:szCs w:val="20"/>
              </w:rPr>
            </w:pPr>
          </w:p>
          <w:p w:rsidR="009D73E2" w:rsidRPr="00A935AA" w:rsidRDefault="009D73E2" w:rsidP="00242AEE">
            <w:pPr>
              <w:jc w:val="center"/>
              <w:rPr>
                <w:sz w:val="20"/>
                <w:szCs w:val="20"/>
              </w:rPr>
            </w:pPr>
          </w:p>
          <w:p w:rsidR="009D73E2" w:rsidRPr="00A935AA" w:rsidRDefault="009D73E2" w:rsidP="00242AEE">
            <w:pPr>
              <w:jc w:val="center"/>
              <w:rPr>
                <w:sz w:val="20"/>
                <w:szCs w:val="20"/>
              </w:rPr>
            </w:pPr>
          </w:p>
          <w:p w:rsidR="009D73E2" w:rsidRPr="00A935AA" w:rsidRDefault="009D73E2" w:rsidP="00242AEE">
            <w:pPr>
              <w:jc w:val="center"/>
              <w:rPr>
                <w:sz w:val="20"/>
                <w:szCs w:val="20"/>
              </w:rPr>
            </w:pPr>
          </w:p>
          <w:p w:rsidR="009D73E2" w:rsidRPr="00A935AA" w:rsidRDefault="009D73E2" w:rsidP="00242AEE">
            <w:pPr>
              <w:jc w:val="center"/>
              <w:rPr>
                <w:sz w:val="20"/>
                <w:szCs w:val="20"/>
              </w:rPr>
            </w:pPr>
          </w:p>
          <w:p w:rsidR="009D73E2" w:rsidRPr="00A935AA" w:rsidRDefault="009D73E2" w:rsidP="00242AEE">
            <w:pPr>
              <w:jc w:val="center"/>
              <w:rPr>
                <w:sz w:val="20"/>
                <w:szCs w:val="20"/>
              </w:rPr>
            </w:pPr>
          </w:p>
          <w:p w:rsidR="009D73E2" w:rsidRPr="00A935AA" w:rsidRDefault="009D73E2" w:rsidP="00242AEE">
            <w:pPr>
              <w:jc w:val="center"/>
              <w:rPr>
                <w:sz w:val="20"/>
                <w:szCs w:val="20"/>
              </w:rPr>
            </w:pPr>
          </w:p>
          <w:p w:rsidR="009D73E2" w:rsidRPr="00A935AA" w:rsidRDefault="009D73E2" w:rsidP="00242AEE">
            <w:pPr>
              <w:jc w:val="center"/>
              <w:rPr>
                <w:sz w:val="20"/>
                <w:szCs w:val="20"/>
              </w:rPr>
            </w:pPr>
          </w:p>
          <w:p w:rsidR="009D73E2" w:rsidRDefault="009D73E2" w:rsidP="00242AEE">
            <w:pPr>
              <w:jc w:val="center"/>
              <w:rPr>
                <w:sz w:val="20"/>
                <w:szCs w:val="20"/>
              </w:rPr>
            </w:pPr>
          </w:p>
          <w:p w:rsidR="00003113" w:rsidRPr="00A935AA" w:rsidRDefault="00003113" w:rsidP="00242AEE">
            <w:pPr>
              <w:jc w:val="center"/>
              <w:rPr>
                <w:sz w:val="20"/>
                <w:szCs w:val="20"/>
              </w:rPr>
            </w:pPr>
          </w:p>
          <w:p w:rsidR="009D73E2" w:rsidRPr="00A935AA" w:rsidRDefault="009D73E2" w:rsidP="00242AEE">
            <w:pPr>
              <w:jc w:val="center"/>
              <w:rPr>
                <w:sz w:val="20"/>
                <w:szCs w:val="20"/>
              </w:rPr>
            </w:pPr>
          </w:p>
        </w:tc>
        <w:tc>
          <w:tcPr>
            <w:tcW w:w="4320" w:type="dxa"/>
            <w:shd w:val="clear" w:color="auto" w:fill="auto"/>
          </w:tcPr>
          <w:p w:rsidR="009D73E2" w:rsidRPr="000B753B" w:rsidRDefault="000B753B" w:rsidP="009D73E2">
            <w:pPr>
              <w:keepNext/>
              <w:keepLines/>
              <w:tabs>
                <w:tab w:val="left" w:pos="-1440"/>
                <w:tab w:val="left" w:pos="-720"/>
              </w:tabs>
              <w:rPr>
                <w:b/>
                <w:sz w:val="20"/>
                <w:szCs w:val="20"/>
              </w:rPr>
            </w:pPr>
            <w:r w:rsidRPr="000B753B">
              <w:rPr>
                <w:b/>
                <w:sz w:val="20"/>
                <w:szCs w:val="20"/>
              </w:rPr>
              <w:t>Mandy Edgerton-Reid</w:t>
            </w:r>
          </w:p>
          <w:p w:rsidR="009D73E2" w:rsidRPr="000B753B" w:rsidRDefault="009D73E2" w:rsidP="009D73E2">
            <w:pPr>
              <w:keepNext/>
              <w:keepLines/>
              <w:tabs>
                <w:tab w:val="left" w:pos="-1440"/>
                <w:tab w:val="left" w:pos="-720"/>
              </w:tabs>
              <w:rPr>
                <w:sz w:val="20"/>
                <w:szCs w:val="20"/>
              </w:rPr>
            </w:pPr>
            <w:r w:rsidRPr="000B753B">
              <w:rPr>
                <w:sz w:val="20"/>
                <w:szCs w:val="20"/>
              </w:rPr>
              <w:tab/>
            </w:r>
            <w:r w:rsidR="000B753B" w:rsidRPr="000B753B">
              <w:rPr>
                <w:sz w:val="20"/>
                <w:szCs w:val="20"/>
              </w:rPr>
              <w:t>Jonathan C. Lisus</w:t>
            </w:r>
          </w:p>
          <w:p w:rsidR="009D73E2" w:rsidRPr="000B753B" w:rsidRDefault="009D73E2" w:rsidP="009D73E2">
            <w:pPr>
              <w:keepNext/>
              <w:keepLines/>
              <w:tabs>
                <w:tab w:val="left" w:pos="-1440"/>
                <w:tab w:val="left" w:pos="-720"/>
              </w:tabs>
              <w:rPr>
                <w:sz w:val="20"/>
                <w:szCs w:val="20"/>
              </w:rPr>
            </w:pPr>
            <w:r w:rsidRPr="000B753B">
              <w:rPr>
                <w:sz w:val="20"/>
                <w:szCs w:val="20"/>
              </w:rPr>
              <w:tab/>
            </w:r>
            <w:r w:rsidR="000B753B" w:rsidRPr="000B753B">
              <w:rPr>
                <w:sz w:val="20"/>
                <w:szCs w:val="20"/>
              </w:rPr>
              <w:t>Lax O’S</w:t>
            </w:r>
            <w:r w:rsidRPr="000B753B">
              <w:rPr>
                <w:sz w:val="20"/>
                <w:szCs w:val="20"/>
              </w:rPr>
              <w:t>u</w:t>
            </w:r>
            <w:r w:rsidR="000B753B" w:rsidRPr="000B753B">
              <w:rPr>
                <w:sz w:val="20"/>
                <w:szCs w:val="20"/>
              </w:rPr>
              <w:t>llivan Sc</w:t>
            </w:r>
            <w:r w:rsidRPr="000B753B">
              <w:rPr>
                <w:sz w:val="20"/>
                <w:szCs w:val="20"/>
              </w:rPr>
              <w:t>o</w:t>
            </w:r>
            <w:r w:rsidR="000B753B" w:rsidRPr="000B753B">
              <w:rPr>
                <w:sz w:val="20"/>
                <w:szCs w:val="20"/>
              </w:rPr>
              <w:t>t</w:t>
            </w:r>
            <w:r w:rsidR="000B753B">
              <w:rPr>
                <w:sz w:val="20"/>
                <w:szCs w:val="20"/>
              </w:rPr>
              <w:t>t Lisus LLP</w:t>
            </w:r>
          </w:p>
          <w:p w:rsidR="009D73E2" w:rsidRPr="000B753B" w:rsidRDefault="009D73E2" w:rsidP="009D73E2">
            <w:pPr>
              <w:keepNext/>
              <w:keepLines/>
              <w:tabs>
                <w:tab w:val="left" w:pos="-1440"/>
                <w:tab w:val="left" w:pos="-720"/>
              </w:tabs>
              <w:rPr>
                <w:sz w:val="20"/>
                <w:szCs w:val="20"/>
              </w:rPr>
            </w:pPr>
          </w:p>
          <w:p w:rsidR="009D73E2" w:rsidRPr="000B753B" w:rsidRDefault="009D73E2" w:rsidP="009D73E2">
            <w:pPr>
              <w:keepNext/>
              <w:keepLines/>
              <w:tabs>
                <w:tab w:val="left" w:pos="-1440"/>
                <w:tab w:val="left" w:pos="-720"/>
              </w:tabs>
              <w:rPr>
                <w:sz w:val="20"/>
                <w:szCs w:val="20"/>
              </w:rPr>
            </w:pPr>
            <w:r w:rsidRPr="000B753B">
              <w:rPr>
                <w:sz w:val="20"/>
                <w:szCs w:val="20"/>
              </w:rPr>
              <w:tab/>
              <w:t>c. (36</w:t>
            </w:r>
            <w:r w:rsidR="000B753B" w:rsidRPr="000B753B">
              <w:rPr>
                <w:sz w:val="20"/>
                <w:szCs w:val="20"/>
              </w:rPr>
              <w:t>393</w:t>
            </w:r>
            <w:r w:rsidRPr="000B753B">
              <w:rPr>
                <w:sz w:val="20"/>
                <w:szCs w:val="20"/>
              </w:rPr>
              <w:t>)</w:t>
            </w:r>
          </w:p>
          <w:p w:rsidR="009D73E2" w:rsidRPr="000B753B" w:rsidRDefault="009D73E2" w:rsidP="009D73E2">
            <w:pPr>
              <w:keepNext/>
              <w:keepLines/>
              <w:tabs>
                <w:tab w:val="left" w:pos="-1440"/>
                <w:tab w:val="left" w:pos="-720"/>
              </w:tabs>
              <w:rPr>
                <w:sz w:val="20"/>
                <w:szCs w:val="20"/>
              </w:rPr>
            </w:pPr>
          </w:p>
          <w:p w:rsidR="00003113" w:rsidRPr="00A935AA" w:rsidRDefault="00003113" w:rsidP="00003113">
            <w:pPr>
              <w:tabs>
                <w:tab w:val="left" w:pos="-1440"/>
                <w:tab w:val="left" w:pos="-720"/>
              </w:tabs>
              <w:rPr>
                <w:b/>
                <w:sz w:val="20"/>
                <w:szCs w:val="20"/>
              </w:rPr>
            </w:pPr>
            <w:r>
              <w:rPr>
                <w:b/>
                <w:sz w:val="20"/>
                <w:szCs w:val="20"/>
              </w:rPr>
              <w:t xml:space="preserve">Heike Hesse, Erkenraadje Wensvoort on behalf of themselves and all others similary situated et al. </w:t>
            </w:r>
            <w:r w:rsidRPr="00A935AA">
              <w:rPr>
                <w:b/>
                <w:sz w:val="20"/>
                <w:szCs w:val="20"/>
              </w:rPr>
              <w:t>(</w:t>
            </w:r>
            <w:r>
              <w:rPr>
                <w:b/>
                <w:sz w:val="20"/>
                <w:szCs w:val="20"/>
              </w:rPr>
              <w:t>Ont</w:t>
            </w:r>
            <w:r w:rsidRPr="00A935AA">
              <w:rPr>
                <w:b/>
                <w:sz w:val="20"/>
                <w:szCs w:val="20"/>
              </w:rPr>
              <w:t>.)</w:t>
            </w:r>
          </w:p>
          <w:p w:rsidR="000B753B" w:rsidRPr="00A935AA" w:rsidRDefault="000B753B" w:rsidP="000B753B">
            <w:pPr>
              <w:tabs>
                <w:tab w:val="left" w:pos="-1440"/>
                <w:tab w:val="left" w:pos="-720"/>
              </w:tabs>
              <w:rPr>
                <w:sz w:val="20"/>
                <w:szCs w:val="20"/>
              </w:rPr>
            </w:pPr>
            <w:r w:rsidRPr="00073F96">
              <w:rPr>
                <w:sz w:val="20"/>
                <w:szCs w:val="20"/>
              </w:rPr>
              <w:tab/>
            </w:r>
            <w:r>
              <w:rPr>
                <w:sz w:val="20"/>
                <w:szCs w:val="20"/>
              </w:rPr>
              <w:t>J. Arthur Cogan, Q.C.</w:t>
            </w:r>
          </w:p>
          <w:p w:rsidR="000B753B" w:rsidRPr="00A935AA" w:rsidRDefault="000B753B" w:rsidP="000B753B">
            <w:pPr>
              <w:tabs>
                <w:tab w:val="left" w:pos="-1440"/>
                <w:tab w:val="left" w:pos="-720"/>
              </w:tabs>
              <w:rPr>
                <w:sz w:val="20"/>
                <w:szCs w:val="20"/>
              </w:rPr>
            </w:pPr>
            <w:r w:rsidRPr="00A935AA">
              <w:rPr>
                <w:sz w:val="20"/>
                <w:szCs w:val="20"/>
              </w:rPr>
              <w:tab/>
            </w:r>
            <w:r>
              <w:rPr>
                <w:sz w:val="20"/>
                <w:szCs w:val="20"/>
              </w:rPr>
              <w:t>J. Arthur Cogan, Law Office</w:t>
            </w:r>
          </w:p>
          <w:p w:rsidR="009D73E2" w:rsidRPr="00073F96" w:rsidRDefault="009D73E2" w:rsidP="009D73E2">
            <w:pPr>
              <w:keepNext/>
              <w:keepLines/>
              <w:tabs>
                <w:tab w:val="left" w:pos="-1440"/>
                <w:tab w:val="left" w:pos="-720"/>
              </w:tabs>
              <w:rPr>
                <w:sz w:val="20"/>
                <w:szCs w:val="20"/>
              </w:rPr>
            </w:pPr>
          </w:p>
          <w:p w:rsidR="009D73E2" w:rsidRPr="00806A5B" w:rsidRDefault="009D73E2" w:rsidP="000B753B">
            <w:pPr>
              <w:rPr>
                <w:sz w:val="20"/>
                <w:szCs w:val="20"/>
                <w:lang w:val="fr-CA"/>
              </w:rPr>
            </w:pPr>
            <w:r w:rsidRPr="00806A5B">
              <w:rPr>
                <w:sz w:val="20"/>
                <w:szCs w:val="20"/>
                <w:lang w:val="fr-CA"/>
              </w:rPr>
              <w:t xml:space="preserve">DATE DE PRODUCTION: </w:t>
            </w:r>
            <w:r w:rsidR="000B753B">
              <w:rPr>
                <w:sz w:val="20"/>
                <w:szCs w:val="20"/>
                <w:lang w:val="fr-CA"/>
              </w:rPr>
              <w:t>2</w:t>
            </w:r>
            <w:r>
              <w:rPr>
                <w:sz w:val="20"/>
                <w:szCs w:val="20"/>
                <w:lang w:val="fr-CA"/>
              </w:rPr>
              <w:t>0</w:t>
            </w:r>
            <w:r w:rsidRPr="00806A5B">
              <w:rPr>
                <w:sz w:val="20"/>
                <w:szCs w:val="20"/>
                <w:lang w:val="fr-CA"/>
              </w:rPr>
              <w:t>.0</w:t>
            </w:r>
            <w:r w:rsidR="000B753B">
              <w:rPr>
                <w:sz w:val="20"/>
                <w:szCs w:val="20"/>
                <w:lang w:val="fr-CA"/>
              </w:rPr>
              <w:t>4</w:t>
            </w:r>
            <w:r w:rsidRPr="00806A5B">
              <w:rPr>
                <w:sz w:val="20"/>
                <w:szCs w:val="20"/>
                <w:lang w:val="fr-CA"/>
              </w:rPr>
              <w:t>.201</w:t>
            </w:r>
            <w:r>
              <w:rPr>
                <w:sz w:val="20"/>
                <w:szCs w:val="20"/>
                <w:lang w:val="fr-CA"/>
              </w:rPr>
              <w:t>5</w:t>
            </w:r>
            <w:r w:rsidR="005B3B50">
              <w:rPr>
                <w:sz w:val="20"/>
                <w:szCs w:val="20"/>
                <w:lang w:val="fr-CA"/>
              </w:rPr>
              <w:pict>
                <v:rect id="_x0000_i1031" style="width:108pt;height:1pt" o:hrpct="0" o:hralign="center" o:hrstd="t" o:hrnoshade="t" o:hr="t" fillcolor="black [3213]" stroked="f"/>
              </w:pict>
            </w:r>
          </w:p>
        </w:tc>
      </w:tr>
      <w:tr w:rsidR="0005354B" w:rsidRPr="00A935AA" w:rsidTr="003B3977">
        <w:trPr>
          <w:cantSplit/>
        </w:trPr>
        <w:tc>
          <w:tcPr>
            <w:tcW w:w="4320" w:type="dxa"/>
            <w:shd w:val="clear" w:color="auto" w:fill="auto"/>
          </w:tcPr>
          <w:p w:rsidR="0005354B" w:rsidRPr="000B753B" w:rsidRDefault="0005354B" w:rsidP="005F1ED8">
            <w:pPr>
              <w:rPr>
                <w:b/>
                <w:sz w:val="20"/>
                <w:szCs w:val="20"/>
                <w:lang w:val="fr-CA"/>
              </w:rPr>
            </w:pPr>
            <w:r>
              <w:rPr>
                <w:b/>
                <w:sz w:val="20"/>
                <w:szCs w:val="20"/>
                <w:lang w:val="fr-CA"/>
              </w:rPr>
              <w:lastRenderedPageBreak/>
              <w:t>Véronique Dion et autres</w:t>
            </w:r>
          </w:p>
          <w:p w:rsidR="0005354B" w:rsidRPr="000B753B" w:rsidRDefault="0005354B" w:rsidP="005F1ED8">
            <w:pPr>
              <w:tabs>
                <w:tab w:val="left" w:pos="-1440"/>
                <w:tab w:val="left" w:pos="-720"/>
              </w:tabs>
              <w:rPr>
                <w:sz w:val="20"/>
                <w:szCs w:val="20"/>
                <w:lang w:val="fr-CA"/>
              </w:rPr>
            </w:pPr>
            <w:r w:rsidRPr="000B753B">
              <w:rPr>
                <w:sz w:val="20"/>
                <w:szCs w:val="20"/>
                <w:lang w:val="fr-CA"/>
              </w:rPr>
              <w:tab/>
            </w:r>
            <w:r>
              <w:rPr>
                <w:sz w:val="20"/>
                <w:szCs w:val="20"/>
                <w:lang w:val="fr-CA"/>
              </w:rPr>
              <w:t>Fredy Adams</w:t>
            </w:r>
          </w:p>
          <w:p w:rsidR="0005354B" w:rsidRPr="000B753B" w:rsidRDefault="0005354B" w:rsidP="005F1ED8">
            <w:pPr>
              <w:tabs>
                <w:tab w:val="left" w:pos="-1440"/>
                <w:tab w:val="left" w:pos="-720"/>
              </w:tabs>
              <w:rPr>
                <w:sz w:val="20"/>
                <w:szCs w:val="20"/>
                <w:lang w:val="fr-CA"/>
              </w:rPr>
            </w:pPr>
            <w:r w:rsidRPr="000B753B">
              <w:rPr>
                <w:sz w:val="20"/>
                <w:szCs w:val="20"/>
                <w:lang w:val="fr-CA"/>
              </w:rPr>
              <w:tab/>
            </w:r>
            <w:r>
              <w:rPr>
                <w:sz w:val="20"/>
                <w:szCs w:val="20"/>
                <w:lang w:val="fr-CA"/>
              </w:rPr>
              <w:t>Adams Gareau</w:t>
            </w:r>
          </w:p>
          <w:p w:rsidR="0005354B" w:rsidRPr="000B753B" w:rsidRDefault="0005354B" w:rsidP="005F1ED8">
            <w:pPr>
              <w:tabs>
                <w:tab w:val="left" w:pos="-1440"/>
                <w:tab w:val="left" w:pos="-720"/>
              </w:tabs>
              <w:rPr>
                <w:sz w:val="20"/>
                <w:szCs w:val="20"/>
                <w:lang w:val="fr-CA"/>
              </w:rPr>
            </w:pPr>
          </w:p>
          <w:p w:rsidR="0005354B" w:rsidRPr="000B753B" w:rsidRDefault="0005354B" w:rsidP="005F1ED8">
            <w:pPr>
              <w:tabs>
                <w:tab w:val="left" w:pos="-1440"/>
                <w:tab w:val="left" w:pos="-720"/>
              </w:tabs>
              <w:rPr>
                <w:sz w:val="20"/>
                <w:szCs w:val="20"/>
                <w:lang w:val="fr-CA"/>
              </w:rPr>
            </w:pPr>
            <w:r w:rsidRPr="000B753B">
              <w:rPr>
                <w:sz w:val="20"/>
                <w:szCs w:val="20"/>
                <w:lang w:val="fr-CA"/>
              </w:rPr>
              <w:tab/>
            </w:r>
            <w:r>
              <w:rPr>
                <w:sz w:val="20"/>
                <w:szCs w:val="20"/>
                <w:lang w:val="fr-CA"/>
              </w:rPr>
              <w:t>c</w:t>
            </w:r>
            <w:r w:rsidRPr="000B753B">
              <w:rPr>
                <w:sz w:val="20"/>
                <w:szCs w:val="20"/>
                <w:lang w:val="fr-CA"/>
              </w:rPr>
              <w:t>. (3</w:t>
            </w:r>
            <w:r>
              <w:rPr>
                <w:sz w:val="20"/>
                <w:szCs w:val="20"/>
                <w:lang w:val="fr-CA"/>
              </w:rPr>
              <w:t>6392</w:t>
            </w:r>
            <w:r w:rsidRPr="000B753B">
              <w:rPr>
                <w:sz w:val="20"/>
                <w:szCs w:val="20"/>
                <w:lang w:val="fr-CA"/>
              </w:rPr>
              <w:t>)</w:t>
            </w:r>
          </w:p>
          <w:p w:rsidR="0005354B" w:rsidRPr="000B753B" w:rsidRDefault="0005354B" w:rsidP="005F1ED8">
            <w:pPr>
              <w:tabs>
                <w:tab w:val="left" w:pos="-1440"/>
                <w:tab w:val="left" w:pos="-720"/>
              </w:tabs>
              <w:rPr>
                <w:sz w:val="20"/>
                <w:szCs w:val="20"/>
                <w:lang w:val="fr-CA"/>
              </w:rPr>
            </w:pPr>
          </w:p>
          <w:p w:rsidR="0005354B" w:rsidRPr="000B753B" w:rsidRDefault="0005354B" w:rsidP="005F1ED8">
            <w:pPr>
              <w:tabs>
                <w:tab w:val="left" w:pos="-1440"/>
                <w:tab w:val="left" w:pos="-720"/>
              </w:tabs>
              <w:rPr>
                <w:b/>
                <w:sz w:val="20"/>
                <w:szCs w:val="20"/>
                <w:lang w:val="fr-CA"/>
              </w:rPr>
            </w:pPr>
            <w:r>
              <w:rPr>
                <w:b/>
                <w:sz w:val="20"/>
                <w:szCs w:val="20"/>
                <w:lang w:val="fr-CA"/>
              </w:rPr>
              <w:t xml:space="preserve">Compagnie de services de financement Automobile Primus Canada et autres </w:t>
            </w:r>
            <w:r w:rsidRPr="000B753B">
              <w:rPr>
                <w:b/>
                <w:sz w:val="20"/>
                <w:szCs w:val="20"/>
                <w:lang w:val="fr-CA"/>
              </w:rPr>
              <w:t>(</w:t>
            </w:r>
            <w:r>
              <w:rPr>
                <w:b/>
                <w:sz w:val="20"/>
                <w:szCs w:val="20"/>
                <w:lang w:val="fr-CA"/>
              </w:rPr>
              <w:t>Qc</w:t>
            </w:r>
            <w:r w:rsidRPr="000B753B">
              <w:rPr>
                <w:b/>
                <w:sz w:val="20"/>
                <w:szCs w:val="20"/>
                <w:lang w:val="fr-CA"/>
              </w:rPr>
              <w:t>)</w:t>
            </w:r>
          </w:p>
          <w:p w:rsidR="0005354B" w:rsidRPr="00073F96" w:rsidRDefault="0005354B" w:rsidP="005F1ED8">
            <w:pPr>
              <w:tabs>
                <w:tab w:val="left" w:pos="-1440"/>
                <w:tab w:val="left" w:pos="-720"/>
              </w:tabs>
              <w:rPr>
                <w:sz w:val="20"/>
                <w:szCs w:val="20"/>
                <w:lang w:val="fr-CA"/>
              </w:rPr>
            </w:pPr>
            <w:r w:rsidRPr="000B753B">
              <w:rPr>
                <w:sz w:val="20"/>
                <w:szCs w:val="20"/>
                <w:lang w:val="fr-CA"/>
              </w:rPr>
              <w:tab/>
            </w:r>
            <w:r w:rsidRPr="00073F96">
              <w:rPr>
                <w:sz w:val="20"/>
                <w:szCs w:val="20"/>
                <w:lang w:val="fr-CA"/>
              </w:rPr>
              <w:t>Laurent Nahmiash</w:t>
            </w:r>
          </w:p>
          <w:p w:rsidR="0005354B" w:rsidRPr="00073F96" w:rsidRDefault="0005354B" w:rsidP="005F1ED8">
            <w:pPr>
              <w:tabs>
                <w:tab w:val="left" w:pos="-1440"/>
                <w:tab w:val="left" w:pos="-720"/>
              </w:tabs>
              <w:rPr>
                <w:sz w:val="20"/>
                <w:szCs w:val="20"/>
                <w:lang w:val="fr-CA"/>
              </w:rPr>
            </w:pPr>
            <w:r w:rsidRPr="00073F96">
              <w:rPr>
                <w:sz w:val="20"/>
                <w:szCs w:val="20"/>
                <w:lang w:val="fr-CA"/>
              </w:rPr>
              <w:tab/>
              <w:t>Dentons Canada, s.e.n.c.r.l.</w:t>
            </w:r>
          </w:p>
          <w:p w:rsidR="0005354B" w:rsidRPr="00073F96" w:rsidRDefault="0005354B" w:rsidP="005F1ED8">
            <w:pPr>
              <w:tabs>
                <w:tab w:val="left" w:pos="-1440"/>
                <w:tab w:val="left" w:pos="-720"/>
              </w:tabs>
              <w:rPr>
                <w:sz w:val="20"/>
                <w:szCs w:val="20"/>
                <w:lang w:val="fr-CA"/>
              </w:rPr>
            </w:pPr>
          </w:p>
          <w:p w:rsidR="0005354B" w:rsidRPr="00073F96" w:rsidRDefault="0005354B" w:rsidP="002E784B">
            <w:pPr>
              <w:tabs>
                <w:tab w:val="left" w:pos="-1440"/>
                <w:tab w:val="left" w:pos="-720"/>
              </w:tabs>
              <w:rPr>
                <w:sz w:val="20"/>
                <w:szCs w:val="20"/>
                <w:lang w:val="fr-CA"/>
              </w:rPr>
            </w:pPr>
            <w:r w:rsidRPr="00073F96">
              <w:rPr>
                <w:sz w:val="20"/>
                <w:szCs w:val="20"/>
                <w:lang w:val="fr-CA"/>
              </w:rPr>
              <w:t>DATE</w:t>
            </w:r>
            <w:r w:rsidR="00151DAD" w:rsidRPr="00073F96">
              <w:rPr>
                <w:sz w:val="20"/>
                <w:szCs w:val="20"/>
                <w:lang w:val="fr-CA"/>
              </w:rPr>
              <w:t xml:space="preserve"> DE PRODUCTION </w:t>
            </w:r>
            <w:r w:rsidRPr="00073F96">
              <w:rPr>
                <w:sz w:val="20"/>
                <w:szCs w:val="20"/>
                <w:lang w:val="fr-CA"/>
              </w:rPr>
              <w:t>: 20.04.2015</w:t>
            </w:r>
          </w:p>
        </w:tc>
        <w:tc>
          <w:tcPr>
            <w:tcW w:w="1181" w:type="dxa"/>
            <w:shd w:val="clear" w:color="auto" w:fill="auto"/>
          </w:tcPr>
          <w:p w:rsidR="0005354B" w:rsidRPr="00073F96" w:rsidRDefault="0005354B" w:rsidP="00242AEE">
            <w:pPr>
              <w:jc w:val="center"/>
              <w:rPr>
                <w:sz w:val="20"/>
                <w:szCs w:val="20"/>
                <w:lang w:val="fr-CA"/>
              </w:rPr>
            </w:pPr>
          </w:p>
          <w:p w:rsidR="0005354B" w:rsidRPr="00073F96" w:rsidRDefault="0005354B" w:rsidP="00242AEE">
            <w:pPr>
              <w:jc w:val="center"/>
              <w:rPr>
                <w:sz w:val="20"/>
                <w:szCs w:val="20"/>
                <w:lang w:val="fr-CA"/>
              </w:rPr>
            </w:pPr>
          </w:p>
          <w:p w:rsidR="0005354B" w:rsidRPr="00073F96" w:rsidRDefault="0005354B" w:rsidP="00242AEE">
            <w:pPr>
              <w:jc w:val="center"/>
              <w:rPr>
                <w:sz w:val="20"/>
                <w:szCs w:val="20"/>
                <w:lang w:val="fr-CA"/>
              </w:rPr>
            </w:pPr>
          </w:p>
          <w:p w:rsidR="0005354B" w:rsidRPr="00073F96" w:rsidRDefault="0005354B" w:rsidP="00242AEE">
            <w:pPr>
              <w:jc w:val="center"/>
              <w:rPr>
                <w:sz w:val="20"/>
                <w:szCs w:val="20"/>
                <w:lang w:val="fr-CA"/>
              </w:rPr>
            </w:pPr>
          </w:p>
          <w:p w:rsidR="0005354B" w:rsidRPr="00073F96" w:rsidRDefault="0005354B" w:rsidP="00242AEE">
            <w:pPr>
              <w:jc w:val="center"/>
              <w:rPr>
                <w:sz w:val="20"/>
                <w:szCs w:val="20"/>
                <w:lang w:val="fr-CA"/>
              </w:rPr>
            </w:pPr>
          </w:p>
          <w:p w:rsidR="0005354B" w:rsidRPr="00073F96" w:rsidRDefault="0005354B" w:rsidP="00242AEE">
            <w:pPr>
              <w:jc w:val="center"/>
              <w:rPr>
                <w:sz w:val="20"/>
                <w:szCs w:val="20"/>
                <w:lang w:val="fr-CA"/>
              </w:rPr>
            </w:pPr>
          </w:p>
          <w:p w:rsidR="0005354B" w:rsidRPr="00073F96" w:rsidRDefault="0005354B" w:rsidP="00242AEE">
            <w:pPr>
              <w:jc w:val="center"/>
              <w:rPr>
                <w:sz w:val="20"/>
                <w:szCs w:val="20"/>
                <w:lang w:val="fr-CA"/>
              </w:rPr>
            </w:pPr>
          </w:p>
          <w:p w:rsidR="0005354B" w:rsidRPr="00073F96" w:rsidRDefault="0005354B" w:rsidP="00242AEE">
            <w:pPr>
              <w:jc w:val="center"/>
              <w:rPr>
                <w:sz w:val="20"/>
                <w:szCs w:val="20"/>
                <w:lang w:val="fr-CA"/>
              </w:rPr>
            </w:pPr>
          </w:p>
          <w:p w:rsidR="0005354B" w:rsidRPr="00073F96" w:rsidRDefault="0005354B" w:rsidP="00242AEE">
            <w:pPr>
              <w:jc w:val="center"/>
              <w:rPr>
                <w:sz w:val="20"/>
                <w:szCs w:val="20"/>
                <w:lang w:val="fr-CA"/>
              </w:rPr>
            </w:pPr>
          </w:p>
          <w:p w:rsidR="0005354B" w:rsidRPr="00073F96" w:rsidRDefault="0005354B" w:rsidP="00242AEE">
            <w:pPr>
              <w:jc w:val="center"/>
              <w:rPr>
                <w:sz w:val="20"/>
                <w:szCs w:val="20"/>
                <w:lang w:val="fr-CA"/>
              </w:rPr>
            </w:pPr>
          </w:p>
          <w:p w:rsidR="0005354B" w:rsidRPr="00073F96" w:rsidRDefault="0005354B" w:rsidP="00242AEE">
            <w:pPr>
              <w:jc w:val="center"/>
              <w:rPr>
                <w:sz w:val="20"/>
                <w:szCs w:val="20"/>
                <w:lang w:val="fr-CA"/>
              </w:rPr>
            </w:pPr>
          </w:p>
          <w:p w:rsidR="0005354B" w:rsidRPr="00073F96" w:rsidRDefault="0005354B" w:rsidP="00242AEE">
            <w:pPr>
              <w:jc w:val="center"/>
              <w:rPr>
                <w:sz w:val="20"/>
                <w:szCs w:val="20"/>
                <w:lang w:val="fr-CA"/>
              </w:rPr>
            </w:pPr>
          </w:p>
          <w:p w:rsidR="0005354B" w:rsidRPr="00073F96" w:rsidRDefault="0005354B" w:rsidP="00242AEE">
            <w:pPr>
              <w:jc w:val="center"/>
              <w:rPr>
                <w:sz w:val="20"/>
                <w:szCs w:val="20"/>
                <w:lang w:val="fr-CA"/>
              </w:rPr>
            </w:pPr>
          </w:p>
        </w:tc>
        <w:tc>
          <w:tcPr>
            <w:tcW w:w="4320" w:type="dxa"/>
            <w:shd w:val="clear" w:color="auto" w:fill="auto"/>
          </w:tcPr>
          <w:p w:rsidR="0005354B" w:rsidRPr="002E784B" w:rsidRDefault="0005354B" w:rsidP="0005354B">
            <w:pPr>
              <w:rPr>
                <w:b/>
                <w:sz w:val="20"/>
                <w:szCs w:val="20"/>
              </w:rPr>
            </w:pPr>
            <w:r>
              <w:rPr>
                <w:b/>
                <w:sz w:val="20"/>
                <w:szCs w:val="20"/>
              </w:rPr>
              <w:t>Scott Berthold Krieger</w:t>
            </w:r>
          </w:p>
          <w:p w:rsidR="0005354B" w:rsidRPr="002E784B" w:rsidRDefault="0005354B" w:rsidP="0005354B">
            <w:pPr>
              <w:tabs>
                <w:tab w:val="left" w:pos="-1440"/>
                <w:tab w:val="left" w:pos="-720"/>
              </w:tabs>
              <w:rPr>
                <w:sz w:val="20"/>
                <w:szCs w:val="20"/>
              </w:rPr>
            </w:pPr>
            <w:r w:rsidRPr="002E784B">
              <w:rPr>
                <w:sz w:val="20"/>
                <w:szCs w:val="20"/>
              </w:rPr>
              <w:tab/>
            </w:r>
            <w:r>
              <w:rPr>
                <w:sz w:val="20"/>
                <w:szCs w:val="20"/>
              </w:rPr>
              <w:t>Neil L. Cobb</w:t>
            </w:r>
          </w:p>
          <w:p w:rsidR="0005354B" w:rsidRPr="002E784B" w:rsidRDefault="0005354B" w:rsidP="0005354B">
            <w:pPr>
              <w:tabs>
                <w:tab w:val="left" w:pos="-1440"/>
                <w:tab w:val="left" w:pos="-720"/>
              </w:tabs>
              <w:rPr>
                <w:sz w:val="20"/>
                <w:szCs w:val="20"/>
              </w:rPr>
            </w:pPr>
            <w:r w:rsidRPr="002E784B">
              <w:rPr>
                <w:sz w:val="20"/>
                <w:szCs w:val="20"/>
              </w:rPr>
              <w:tab/>
            </w:r>
            <w:r>
              <w:rPr>
                <w:sz w:val="20"/>
                <w:szCs w:val="20"/>
              </w:rPr>
              <w:t>Cobb St-Pierre Lewis</w:t>
            </w:r>
          </w:p>
          <w:p w:rsidR="0005354B" w:rsidRPr="002E784B" w:rsidRDefault="0005354B" w:rsidP="0005354B">
            <w:pPr>
              <w:tabs>
                <w:tab w:val="left" w:pos="-1440"/>
                <w:tab w:val="left" w:pos="-720"/>
              </w:tabs>
              <w:rPr>
                <w:sz w:val="20"/>
                <w:szCs w:val="20"/>
              </w:rPr>
            </w:pPr>
          </w:p>
          <w:p w:rsidR="0005354B" w:rsidRPr="00A935AA" w:rsidRDefault="0005354B" w:rsidP="0005354B">
            <w:pPr>
              <w:tabs>
                <w:tab w:val="left" w:pos="-1440"/>
                <w:tab w:val="left" w:pos="-720"/>
              </w:tabs>
              <w:rPr>
                <w:sz w:val="20"/>
                <w:szCs w:val="20"/>
              </w:rPr>
            </w:pPr>
            <w:r w:rsidRPr="002E784B">
              <w:rPr>
                <w:sz w:val="20"/>
                <w:szCs w:val="20"/>
              </w:rPr>
              <w:tab/>
            </w:r>
            <w:r w:rsidRPr="00A935AA">
              <w:rPr>
                <w:sz w:val="20"/>
                <w:szCs w:val="20"/>
              </w:rPr>
              <w:t>v. (3</w:t>
            </w:r>
            <w:r>
              <w:rPr>
                <w:sz w:val="20"/>
                <w:szCs w:val="20"/>
              </w:rPr>
              <w:t>6323</w:t>
            </w:r>
            <w:r w:rsidRPr="00A935AA">
              <w:rPr>
                <w:sz w:val="20"/>
                <w:szCs w:val="20"/>
              </w:rPr>
              <w:t>)</w:t>
            </w:r>
          </w:p>
          <w:p w:rsidR="0005354B" w:rsidRPr="00A935AA" w:rsidRDefault="0005354B" w:rsidP="0005354B">
            <w:pPr>
              <w:tabs>
                <w:tab w:val="left" w:pos="-1440"/>
                <w:tab w:val="left" w:pos="-720"/>
              </w:tabs>
              <w:rPr>
                <w:sz w:val="20"/>
                <w:szCs w:val="20"/>
              </w:rPr>
            </w:pPr>
          </w:p>
          <w:p w:rsidR="0005354B" w:rsidRPr="00A935AA" w:rsidRDefault="0005354B" w:rsidP="0005354B">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B.C</w:t>
            </w:r>
            <w:r w:rsidRPr="00A935AA">
              <w:rPr>
                <w:b/>
                <w:sz w:val="20"/>
                <w:szCs w:val="20"/>
              </w:rPr>
              <w:t>.)</w:t>
            </w:r>
          </w:p>
          <w:p w:rsidR="0005354B" w:rsidRPr="00A935AA" w:rsidRDefault="0005354B" w:rsidP="0005354B">
            <w:pPr>
              <w:tabs>
                <w:tab w:val="left" w:pos="-1440"/>
                <w:tab w:val="left" w:pos="-720"/>
              </w:tabs>
              <w:rPr>
                <w:sz w:val="20"/>
                <w:szCs w:val="20"/>
              </w:rPr>
            </w:pPr>
            <w:r w:rsidRPr="00A935AA">
              <w:rPr>
                <w:sz w:val="20"/>
                <w:szCs w:val="20"/>
              </w:rPr>
              <w:tab/>
            </w:r>
            <w:r>
              <w:rPr>
                <w:sz w:val="20"/>
                <w:szCs w:val="20"/>
              </w:rPr>
              <w:t>W. Paul Riley</w:t>
            </w:r>
          </w:p>
          <w:p w:rsidR="0005354B" w:rsidRPr="00A935AA" w:rsidRDefault="0005354B" w:rsidP="0005354B">
            <w:pPr>
              <w:tabs>
                <w:tab w:val="left" w:pos="-1440"/>
                <w:tab w:val="left" w:pos="-720"/>
              </w:tabs>
              <w:rPr>
                <w:sz w:val="20"/>
                <w:szCs w:val="20"/>
              </w:rPr>
            </w:pPr>
            <w:r w:rsidRPr="00A935AA">
              <w:rPr>
                <w:sz w:val="20"/>
                <w:szCs w:val="20"/>
              </w:rPr>
              <w:tab/>
            </w:r>
            <w:r>
              <w:rPr>
                <w:sz w:val="20"/>
                <w:szCs w:val="20"/>
              </w:rPr>
              <w:t>Public Prosecution Service of Canada</w:t>
            </w:r>
          </w:p>
          <w:p w:rsidR="0005354B" w:rsidRPr="00A935AA" w:rsidRDefault="0005354B" w:rsidP="0005354B">
            <w:pPr>
              <w:tabs>
                <w:tab w:val="left" w:pos="-1440"/>
                <w:tab w:val="left" w:pos="-720"/>
              </w:tabs>
              <w:rPr>
                <w:sz w:val="20"/>
                <w:szCs w:val="20"/>
              </w:rPr>
            </w:pPr>
          </w:p>
          <w:p w:rsidR="0005354B" w:rsidRPr="00A935AA" w:rsidRDefault="0005354B" w:rsidP="0005354B">
            <w:pPr>
              <w:rPr>
                <w:sz w:val="20"/>
                <w:szCs w:val="20"/>
              </w:rPr>
            </w:pPr>
            <w:r w:rsidRPr="00A935AA">
              <w:rPr>
                <w:sz w:val="20"/>
                <w:szCs w:val="20"/>
              </w:rPr>
              <w:t>FILING DATE: 2</w:t>
            </w:r>
            <w:r>
              <w:rPr>
                <w:sz w:val="20"/>
                <w:szCs w:val="20"/>
              </w:rPr>
              <w:t>4</w:t>
            </w:r>
            <w:r w:rsidRPr="00A935AA">
              <w:rPr>
                <w:sz w:val="20"/>
                <w:szCs w:val="20"/>
              </w:rPr>
              <w:t>.0</w:t>
            </w:r>
            <w:r>
              <w:rPr>
                <w:sz w:val="20"/>
                <w:szCs w:val="20"/>
              </w:rPr>
              <w:t>4</w:t>
            </w:r>
            <w:r w:rsidRPr="00A935AA">
              <w:rPr>
                <w:sz w:val="20"/>
                <w:szCs w:val="20"/>
              </w:rPr>
              <w:t>.201</w:t>
            </w:r>
            <w:r>
              <w:rPr>
                <w:sz w:val="20"/>
                <w:szCs w:val="20"/>
              </w:rPr>
              <w:t>5</w:t>
            </w:r>
            <w:r w:rsidR="005B3B50">
              <w:rPr>
                <w:sz w:val="20"/>
                <w:szCs w:val="20"/>
                <w:lang w:val="fr-CA"/>
              </w:rPr>
              <w:pict>
                <v:rect id="_x0000_i1032" style="width:108pt;height:1pt" o:hrpct="0" o:hralign="center" o:hrstd="t" o:hrnoshade="t" o:hr="t" fillcolor="black [3213]" stroked="f"/>
              </w:pict>
            </w:r>
          </w:p>
        </w:tc>
      </w:tr>
      <w:tr w:rsidR="0005354B" w:rsidRPr="00A935AA" w:rsidTr="003B3977">
        <w:trPr>
          <w:cantSplit/>
        </w:trPr>
        <w:tc>
          <w:tcPr>
            <w:tcW w:w="4320" w:type="dxa"/>
            <w:shd w:val="clear" w:color="auto" w:fill="auto"/>
          </w:tcPr>
          <w:p w:rsidR="0005354B" w:rsidRPr="00073F96" w:rsidRDefault="00003113" w:rsidP="005F1ED8">
            <w:pPr>
              <w:rPr>
                <w:sz w:val="20"/>
                <w:szCs w:val="20"/>
                <w:lang w:val="fr-CA"/>
              </w:rPr>
            </w:pPr>
            <w:r w:rsidRPr="00073F96">
              <w:rPr>
                <w:sz w:val="20"/>
                <w:szCs w:val="20"/>
                <w:lang w:val="fr-CA"/>
              </w:rPr>
              <w:t>et e</w:t>
            </w:r>
            <w:r w:rsidR="0005354B" w:rsidRPr="00073F96">
              <w:rPr>
                <w:sz w:val="20"/>
                <w:szCs w:val="20"/>
                <w:lang w:val="fr-CA"/>
              </w:rPr>
              <w:t>nt</w:t>
            </w:r>
            <w:r w:rsidRPr="00073F96">
              <w:rPr>
                <w:sz w:val="20"/>
                <w:szCs w:val="20"/>
                <w:lang w:val="fr-CA"/>
              </w:rPr>
              <w:t>r</w:t>
            </w:r>
            <w:r w:rsidR="0005354B" w:rsidRPr="00073F96">
              <w:rPr>
                <w:sz w:val="20"/>
                <w:szCs w:val="20"/>
                <w:lang w:val="fr-CA"/>
              </w:rPr>
              <w:t>e</w:t>
            </w:r>
          </w:p>
          <w:p w:rsidR="0005354B" w:rsidRPr="00073F96" w:rsidRDefault="0005354B" w:rsidP="005F1ED8">
            <w:pPr>
              <w:rPr>
                <w:sz w:val="20"/>
                <w:szCs w:val="20"/>
                <w:lang w:val="fr-CA"/>
              </w:rPr>
            </w:pPr>
          </w:p>
          <w:p w:rsidR="0005354B" w:rsidRPr="00073F96" w:rsidRDefault="0005354B" w:rsidP="005F1ED8">
            <w:pPr>
              <w:rPr>
                <w:b/>
                <w:sz w:val="20"/>
                <w:szCs w:val="20"/>
                <w:lang w:val="fr-CA"/>
              </w:rPr>
            </w:pPr>
            <w:r w:rsidRPr="00073F96">
              <w:rPr>
                <w:b/>
                <w:sz w:val="20"/>
                <w:szCs w:val="20"/>
                <w:lang w:val="fr-CA"/>
              </w:rPr>
              <w:t>Nissan Canada Finance, division of Nissan Canada Inc.</w:t>
            </w:r>
          </w:p>
          <w:p w:rsidR="0005354B" w:rsidRPr="002E784B" w:rsidRDefault="0005354B" w:rsidP="005F1ED8">
            <w:pPr>
              <w:tabs>
                <w:tab w:val="left" w:pos="-1440"/>
                <w:tab w:val="left" w:pos="-720"/>
              </w:tabs>
              <w:rPr>
                <w:sz w:val="20"/>
                <w:szCs w:val="20"/>
                <w:lang w:val="fr-CA"/>
              </w:rPr>
            </w:pPr>
            <w:r w:rsidRPr="00073F96">
              <w:rPr>
                <w:sz w:val="20"/>
                <w:szCs w:val="20"/>
                <w:lang w:val="fr-CA"/>
              </w:rPr>
              <w:tab/>
            </w:r>
            <w:r w:rsidRPr="002E784B">
              <w:rPr>
                <w:sz w:val="20"/>
                <w:szCs w:val="20"/>
                <w:lang w:val="fr-CA"/>
              </w:rPr>
              <w:t>Marc-André Landry</w:t>
            </w:r>
          </w:p>
          <w:p w:rsidR="0005354B" w:rsidRPr="002E784B" w:rsidRDefault="0005354B" w:rsidP="005F1ED8">
            <w:pPr>
              <w:tabs>
                <w:tab w:val="left" w:pos="-1440"/>
                <w:tab w:val="left" w:pos="-720"/>
              </w:tabs>
              <w:rPr>
                <w:sz w:val="20"/>
                <w:szCs w:val="20"/>
                <w:lang w:val="fr-CA"/>
              </w:rPr>
            </w:pPr>
            <w:r w:rsidRPr="002E784B">
              <w:rPr>
                <w:sz w:val="20"/>
                <w:szCs w:val="20"/>
                <w:lang w:val="fr-CA"/>
              </w:rPr>
              <w:tab/>
              <w:t>Blake, Cassels &amp; Graydon LLP</w:t>
            </w:r>
          </w:p>
          <w:p w:rsidR="0005354B" w:rsidRPr="002E784B" w:rsidRDefault="0005354B" w:rsidP="005F1ED8">
            <w:pPr>
              <w:tabs>
                <w:tab w:val="left" w:pos="-1440"/>
                <w:tab w:val="left" w:pos="-720"/>
              </w:tabs>
              <w:rPr>
                <w:sz w:val="20"/>
                <w:szCs w:val="20"/>
                <w:lang w:val="fr-CA"/>
              </w:rPr>
            </w:pPr>
          </w:p>
          <w:p w:rsidR="0005354B" w:rsidRPr="002E784B" w:rsidRDefault="0005354B" w:rsidP="005F1ED8">
            <w:pPr>
              <w:tabs>
                <w:tab w:val="left" w:pos="-1440"/>
                <w:tab w:val="left" w:pos="-720"/>
              </w:tabs>
              <w:rPr>
                <w:sz w:val="20"/>
                <w:szCs w:val="20"/>
                <w:lang w:val="fr-CA"/>
              </w:rPr>
            </w:pPr>
            <w:r w:rsidRPr="002E784B">
              <w:rPr>
                <w:sz w:val="20"/>
                <w:szCs w:val="20"/>
                <w:lang w:val="fr-CA"/>
              </w:rPr>
              <w:tab/>
              <w:t>v. (36392)</w:t>
            </w:r>
          </w:p>
          <w:p w:rsidR="0005354B" w:rsidRPr="002E784B" w:rsidRDefault="0005354B" w:rsidP="005F1ED8">
            <w:pPr>
              <w:tabs>
                <w:tab w:val="left" w:pos="-1440"/>
                <w:tab w:val="left" w:pos="-720"/>
              </w:tabs>
              <w:rPr>
                <w:sz w:val="20"/>
                <w:szCs w:val="20"/>
                <w:lang w:val="fr-CA"/>
              </w:rPr>
            </w:pPr>
          </w:p>
          <w:p w:rsidR="0005354B" w:rsidRPr="002E784B" w:rsidRDefault="0005354B" w:rsidP="005F1ED8">
            <w:pPr>
              <w:tabs>
                <w:tab w:val="left" w:pos="-1440"/>
                <w:tab w:val="left" w:pos="-720"/>
              </w:tabs>
              <w:rPr>
                <w:b/>
                <w:sz w:val="20"/>
                <w:szCs w:val="20"/>
                <w:lang w:val="fr-CA"/>
              </w:rPr>
            </w:pPr>
            <w:r w:rsidRPr="002E784B">
              <w:rPr>
                <w:b/>
                <w:sz w:val="20"/>
                <w:szCs w:val="20"/>
                <w:lang w:val="fr-CA"/>
              </w:rPr>
              <w:t>Rachel Dubé (Que.)</w:t>
            </w:r>
          </w:p>
          <w:p w:rsidR="0005354B" w:rsidRPr="00971EF1" w:rsidRDefault="0005354B" w:rsidP="002E784B">
            <w:pPr>
              <w:tabs>
                <w:tab w:val="left" w:pos="-1440"/>
                <w:tab w:val="left" w:pos="-720"/>
              </w:tabs>
              <w:rPr>
                <w:sz w:val="20"/>
                <w:szCs w:val="20"/>
                <w:lang w:val="fr-CA"/>
              </w:rPr>
            </w:pPr>
            <w:r w:rsidRPr="002E784B">
              <w:rPr>
                <w:sz w:val="20"/>
                <w:szCs w:val="20"/>
                <w:lang w:val="fr-CA"/>
              </w:rPr>
              <w:tab/>
            </w:r>
            <w:r w:rsidRPr="00971EF1">
              <w:rPr>
                <w:sz w:val="20"/>
                <w:szCs w:val="20"/>
                <w:lang w:val="fr-CA"/>
              </w:rPr>
              <w:t>Fredy Adams</w:t>
            </w:r>
          </w:p>
          <w:p w:rsidR="0005354B" w:rsidRPr="002E784B" w:rsidRDefault="0005354B" w:rsidP="002E784B">
            <w:pPr>
              <w:tabs>
                <w:tab w:val="left" w:pos="-1440"/>
                <w:tab w:val="left" w:pos="-720"/>
              </w:tabs>
              <w:rPr>
                <w:sz w:val="20"/>
                <w:szCs w:val="20"/>
              </w:rPr>
            </w:pPr>
            <w:r w:rsidRPr="00971EF1">
              <w:rPr>
                <w:sz w:val="20"/>
                <w:szCs w:val="20"/>
                <w:lang w:val="fr-CA"/>
              </w:rPr>
              <w:tab/>
            </w:r>
            <w:r w:rsidRPr="002E784B">
              <w:rPr>
                <w:sz w:val="20"/>
                <w:szCs w:val="20"/>
              </w:rPr>
              <w:t>Adams Gareau</w:t>
            </w:r>
          </w:p>
          <w:p w:rsidR="0005354B" w:rsidRPr="002E784B" w:rsidRDefault="0005354B" w:rsidP="005F1ED8">
            <w:pPr>
              <w:tabs>
                <w:tab w:val="left" w:pos="-1440"/>
                <w:tab w:val="left" w:pos="-720"/>
              </w:tabs>
              <w:rPr>
                <w:sz w:val="20"/>
                <w:szCs w:val="20"/>
              </w:rPr>
            </w:pPr>
          </w:p>
          <w:p w:rsidR="0005354B" w:rsidRPr="002E784B" w:rsidRDefault="0005354B" w:rsidP="002E784B">
            <w:pPr>
              <w:rPr>
                <w:sz w:val="20"/>
                <w:szCs w:val="20"/>
              </w:rPr>
            </w:pPr>
            <w:r w:rsidRPr="002E784B">
              <w:rPr>
                <w:sz w:val="20"/>
                <w:szCs w:val="20"/>
              </w:rPr>
              <w:t>FILING DATE: 21.04.2015</w:t>
            </w:r>
            <w:r w:rsidR="005B3B50">
              <w:rPr>
                <w:sz w:val="20"/>
                <w:szCs w:val="20"/>
                <w:lang w:val="fr-CA"/>
              </w:rPr>
              <w:pict>
                <v:rect id="_x0000_i1033" style="width:108pt;height:1pt" o:hrpct="0" o:hralign="center" o:hrstd="t" o:hrnoshade="t" o:hr="t" fillcolor="black [3213]" stroked="f"/>
              </w:pict>
            </w:r>
          </w:p>
        </w:tc>
        <w:tc>
          <w:tcPr>
            <w:tcW w:w="1181" w:type="dxa"/>
            <w:shd w:val="clear" w:color="auto" w:fill="auto"/>
          </w:tcPr>
          <w:p w:rsidR="0005354B" w:rsidRPr="002E784B" w:rsidRDefault="0005354B" w:rsidP="00242AEE">
            <w:pPr>
              <w:jc w:val="center"/>
              <w:rPr>
                <w:sz w:val="20"/>
                <w:szCs w:val="20"/>
              </w:rPr>
            </w:pPr>
          </w:p>
          <w:p w:rsidR="0005354B" w:rsidRPr="002E784B" w:rsidRDefault="0005354B" w:rsidP="00242AEE">
            <w:pPr>
              <w:jc w:val="center"/>
              <w:rPr>
                <w:sz w:val="20"/>
                <w:szCs w:val="20"/>
              </w:rPr>
            </w:pPr>
          </w:p>
          <w:p w:rsidR="0005354B" w:rsidRPr="002E784B" w:rsidRDefault="0005354B" w:rsidP="00242AEE">
            <w:pPr>
              <w:jc w:val="center"/>
              <w:rPr>
                <w:sz w:val="20"/>
                <w:szCs w:val="20"/>
              </w:rPr>
            </w:pPr>
          </w:p>
          <w:p w:rsidR="0005354B" w:rsidRPr="002E784B" w:rsidRDefault="0005354B" w:rsidP="00242AEE">
            <w:pPr>
              <w:jc w:val="center"/>
              <w:rPr>
                <w:sz w:val="20"/>
                <w:szCs w:val="20"/>
              </w:rPr>
            </w:pPr>
          </w:p>
          <w:p w:rsidR="0005354B" w:rsidRPr="002E784B" w:rsidRDefault="0005354B" w:rsidP="00242AEE">
            <w:pPr>
              <w:jc w:val="center"/>
              <w:rPr>
                <w:sz w:val="20"/>
                <w:szCs w:val="20"/>
              </w:rPr>
            </w:pPr>
          </w:p>
          <w:p w:rsidR="0005354B" w:rsidRPr="002E784B" w:rsidRDefault="0005354B" w:rsidP="00242AEE">
            <w:pPr>
              <w:jc w:val="center"/>
              <w:rPr>
                <w:sz w:val="20"/>
                <w:szCs w:val="20"/>
              </w:rPr>
            </w:pPr>
          </w:p>
          <w:p w:rsidR="0005354B" w:rsidRPr="002E784B" w:rsidRDefault="0005354B" w:rsidP="00242AEE">
            <w:pPr>
              <w:jc w:val="center"/>
              <w:rPr>
                <w:sz w:val="20"/>
                <w:szCs w:val="20"/>
              </w:rPr>
            </w:pPr>
          </w:p>
          <w:p w:rsidR="0005354B" w:rsidRPr="002E784B" w:rsidRDefault="0005354B" w:rsidP="00242AEE">
            <w:pPr>
              <w:jc w:val="center"/>
              <w:rPr>
                <w:sz w:val="20"/>
                <w:szCs w:val="20"/>
              </w:rPr>
            </w:pPr>
          </w:p>
          <w:p w:rsidR="0005354B" w:rsidRPr="002E784B" w:rsidRDefault="0005354B" w:rsidP="00242AEE">
            <w:pPr>
              <w:jc w:val="center"/>
              <w:rPr>
                <w:sz w:val="20"/>
                <w:szCs w:val="20"/>
              </w:rPr>
            </w:pPr>
          </w:p>
          <w:p w:rsidR="0005354B" w:rsidRPr="002E784B" w:rsidRDefault="0005354B" w:rsidP="00242AEE">
            <w:pPr>
              <w:jc w:val="center"/>
              <w:rPr>
                <w:sz w:val="20"/>
                <w:szCs w:val="20"/>
              </w:rPr>
            </w:pPr>
          </w:p>
          <w:p w:rsidR="0005354B" w:rsidRPr="002E784B" w:rsidRDefault="0005354B" w:rsidP="00242AEE">
            <w:pPr>
              <w:jc w:val="center"/>
              <w:rPr>
                <w:sz w:val="20"/>
                <w:szCs w:val="20"/>
              </w:rPr>
            </w:pPr>
          </w:p>
          <w:p w:rsidR="0005354B" w:rsidRDefault="0005354B" w:rsidP="00242AEE">
            <w:pPr>
              <w:jc w:val="center"/>
              <w:rPr>
                <w:sz w:val="20"/>
                <w:szCs w:val="20"/>
              </w:rPr>
            </w:pPr>
          </w:p>
          <w:p w:rsidR="0005354B" w:rsidRDefault="0005354B" w:rsidP="00242AEE">
            <w:pPr>
              <w:jc w:val="center"/>
              <w:rPr>
                <w:sz w:val="20"/>
                <w:szCs w:val="20"/>
              </w:rPr>
            </w:pPr>
          </w:p>
          <w:p w:rsidR="0005354B" w:rsidRPr="002E784B" w:rsidRDefault="0005354B" w:rsidP="00242AEE">
            <w:pPr>
              <w:jc w:val="center"/>
              <w:rPr>
                <w:sz w:val="20"/>
                <w:szCs w:val="20"/>
              </w:rPr>
            </w:pPr>
          </w:p>
          <w:p w:rsidR="0005354B" w:rsidRPr="002E784B" w:rsidRDefault="0005354B" w:rsidP="00242AEE">
            <w:pPr>
              <w:jc w:val="center"/>
              <w:rPr>
                <w:sz w:val="20"/>
                <w:szCs w:val="20"/>
              </w:rPr>
            </w:pPr>
          </w:p>
        </w:tc>
        <w:tc>
          <w:tcPr>
            <w:tcW w:w="4320" w:type="dxa"/>
            <w:shd w:val="clear" w:color="auto" w:fill="auto"/>
          </w:tcPr>
          <w:p w:rsidR="0005354B" w:rsidRDefault="0005354B" w:rsidP="0005354B">
            <w:pPr>
              <w:rPr>
                <w:b/>
                <w:sz w:val="20"/>
                <w:szCs w:val="20"/>
              </w:rPr>
            </w:pPr>
            <w:r>
              <w:rPr>
                <w:b/>
                <w:sz w:val="20"/>
                <w:szCs w:val="20"/>
              </w:rPr>
              <w:t>City of Edmonton</w:t>
            </w:r>
          </w:p>
          <w:p w:rsidR="0005354B" w:rsidRDefault="0005354B" w:rsidP="0005354B">
            <w:pPr>
              <w:rPr>
                <w:sz w:val="20"/>
                <w:szCs w:val="20"/>
              </w:rPr>
            </w:pPr>
            <w:r>
              <w:rPr>
                <w:b/>
                <w:sz w:val="20"/>
                <w:szCs w:val="20"/>
              </w:rPr>
              <w:tab/>
            </w:r>
            <w:r>
              <w:rPr>
                <w:sz w:val="20"/>
                <w:szCs w:val="20"/>
              </w:rPr>
              <w:t>Cameron J. Ashmore</w:t>
            </w:r>
          </w:p>
          <w:p w:rsidR="0005354B" w:rsidRDefault="0005354B" w:rsidP="0005354B">
            <w:pPr>
              <w:rPr>
                <w:sz w:val="20"/>
                <w:szCs w:val="20"/>
              </w:rPr>
            </w:pPr>
            <w:r>
              <w:rPr>
                <w:sz w:val="20"/>
                <w:szCs w:val="20"/>
              </w:rPr>
              <w:tab/>
            </w:r>
            <w:r w:rsidR="005451CC">
              <w:rPr>
                <w:sz w:val="20"/>
                <w:szCs w:val="20"/>
              </w:rPr>
              <w:t>City of Edmonton</w:t>
            </w:r>
          </w:p>
          <w:p w:rsidR="0005354B" w:rsidRDefault="0005354B" w:rsidP="0005354B">
            <w:pPr>
              <w:rPr>
                <w:sz w:val="20"/>
                <w:szCs w:val="20"/>
              </w:rPr>
            </w:pPr>
          </w:p>
          <w:p w:rsidR="0005354B" w:rsidRDefault="005451CC" w:rsidP="0005354B">
            <w:pPr>
              <w:rPr>
                <w:sz w:val="20"/>
                <w:szCs w:val="20"/>
              </w:rPr>
            </w:pPr>
            <w:r>
              <w:rPr>
                <w:sz w:val="20"/>
                <w:szCs w:val="20"/>
              </w:rPr>
              <w:tab/>
              <w:t>v. (36403)</w:t>
            </w:r>
          </w:p>
          <w:p w:rsidR="005451CC" w:rsidRDefault="005451CC" w:rsidP="0005354B">
            <w:pPr>
              <w:rPr>
                <w:sz w:val="20"/>
                <w:szCs w:val="20"/>
              </w:rPr>
            </w:pPr>
          </w:p>
          <w:p w:rsidR="005451CC" w:rsidRDefault="005451CC" w:rsidP="0005354B">
            <w:pPr>
              <w:rPr>
                <w:b/>
                <w:sz w:val="20"/>
                <w:szCs w:val="20"/>
              </w:rPr>
            </w:pPr>
            <w:r>
              <w:rPr>
                <w:b/>
                <w:sz w:val="20"/>
                <w:szCs w:val="20"/>
              </w:rPr>
              <w:t xml:space="preserve">Edmonton East (Capilano) Shopping Centres Limited (as represented by AEC International Inc.) et al. </w:t>
            </w:r>
            <w:r w:rsidR="00003113">
              <w:rPr>
                <w:b/>
                <w:sz w:val="20"/>
                <w:szCs w:val="20"/>
              </w:rPr>
              <w:t>(Alta.)</w:t>
            </w:r>
          </w:p>
          <w:p w:rsidR="005451CC" w:rsidRDefault="005451CC" w:rsidP="0005354B">
            <w:pPr>
              <w:rPr>
                <w:sz w:val="20"/>
                <w:szCs w:val="20"/>
              </w:rPr>
            </w:pPr>
            <w:r>
              <w:rPr>
                <w:sz w:val="20"/>
                <w:szCs w:val="20"/>
              </w:rPr>
              <w:tab/>
              <w:t>Gilbert J. Ludwig, Q.C.</w:t>
            </w:r>
          </w:p>
          <w:p w:rsidR="005451CC" w:rsidRDefault="005451CC" w:rsidP="0005354B">
            <w:pPr>
              <w:rPr>
                <w:sz w:val="20"/>
                <w:szCs w:val="20"/>
              </w:rPr>
            </w:pPr>
            <w:r>
              <w:rPr>
                <w:sz w:val="20"/>
                <w:szCs w:val="20"/>
              </w:rPr>
              <w:tab/>
              <w:t>Wilson Laycraft</w:t>
            </w:r>
          </w:p>
          <w:p w:rsidR="005451CC" w:rsidRDefault="005451CC" w:rsidP="0005354B">
            <w:pPr>
              <w:rPr>
                <w:sz w:val="20"/>
                <w:szCs w:val="20"/>
              </w:rPr>
            </w:pPr>
          </w:p>
          <w:p w:rsidR="005451CC" w:rsidRPr="005451CC" w:rsidRDefault="005451CC" w:rsidP="005451CC">
            <w:pPr>
              <w:rPr>
                <w:sz w:val="20"/>
                <w:szCs w:val="20"/>
              </w:rPr>
            </w:pPr>
            <w:r w:rsidRPr="00A935AA">
              <w:rPr>
                <w:sz w:val="20"/>
                <w:szCs w:val="20"/>
              </w:rPr>
              <w:t>FILING DATE: 2</w:t>
            </w:r>
            <w:r>
              <w:rPr>
                <w:sz w:val="20"/>
                <w:szCs w:val="20"/>
              </w:rPr>
              <w:t>7</w:t>
            </w:r>
            <w:r w:rsidRPr="00A935AA">
              <w:rPr>
                <w:sz w:val="20"/>
                <w:szCs w:val="20"/>
              </w:rPr>
              <w:t>.0</w:t>
            </w:r>
            <w:r>
              <w:rPr>
                <w:sz w:val="20"/>
                <w:szCs w:val="20"/>
              </w:rPr>
              <w:t>4</w:t>
            </w:r>
            <w:r w:rsidRPr="00A935AA">
              <w:rPr>
                <w:sz w:val="20"/>
                <w:szCs w:val="20"/>
              </w:rPr>
              <w:t>.201</w:t>
            </w:r>
            <w:r>
              <w:rPr>
                <w:sz w:val="20"/>
                <w:szCs w:val="20"/>
              </w:rPr>
              <w:t>5</w:t>
            </w:r>
            <w:r w:rsidR="005B3B50">
              <w:rPr>
                <w:sz w:val="20"/>
                <w:szCs w:val="20"/>
                <w:lang w:val="fr-CA"/>
              </w:rPr>
              <w:pict>
                <v:rect id="_x0000_i1034" style="width:108pt;height:1pt" o:hrpct="0" o:hralign="center" o:hrstd="t" o:hrnoshade="t" o:hr="t" fillcolor="black [3213]" stroked="f"/>
              </w:pict>
            </w:r>
          </w:p>
        </w:tc>
      </w:tr>
      <w:tr w:rsidR="0005354B" w:rsidRPr="00A935AA" w:rsidTr="003B3977">
        <w:trPr>
          <w:cantSplit/>
        </w:trPr>
        <w:tc>
          <w:tcPr>
            <w:tcW w:w="4320" w:type="dxa"/>
            <w:shd w:val="clear" w:color="auto" w:fill="auto"/>
          </w:tcPr>
          <w:p w:rsidR="0005354B" w:rsidRDefault="0005354B" w:rsidP="002E784B">
            <w:pPr>
              <w:rPr>
                <w:b/>
                <w:sz w:val="20"/>
                <w:szCs w:val="20"/>
              </w:rPr>
            </w:pPr>
          </w:p>
          <w:p w:rsidR="0005354B" w:rsidRPr="002E784B" w:rsidRDefault="0005354B" w:rsidP="002E784B">
            <w:pPr>
              <w:rPr>
                <w:b/>
                <w:sz w:val="20"/>
                <w:szCs w:val="20"/>
              </w:rPr>
            </w:pPr>
            <w:r>
              <w:rPr>
                <w:b/>
                <w:sz w:val="20"/>
                <w:szCs w:val="20"/>
              </w:rPr>
              <w:t>Lingying Li and Xijiang Yang</w:t>
            </w:r>
          </w:p>
          <w:p w:rsidR="0005354B" w:rsidRPr="002E784B" w:rsidRDefault="0005354B" w:rsidP="002E784B">
            <w:pPr>
              <w:tabs>
                <w:tab w:val="left" w:pos="-1440"/>
                <w:tab w:val="left" w:pos="-720"/>
              </w:tabs>
              <w:rPr>
                <w:sz w:val="20"/>
                <w:szCs w:val="20"/>
              </w:rPr>
            </w:pPr>
            <w:r w:rsidRPr="00A935AA">
              <w:rPr>
                <w:sz w:val="20"/>
                <w:szCs w:val="20"/>
              </w:rPr>
              <w:tab/>
            </w:r>
            <w:r>
              <w:rPr>
                <w:sz w:val="20"/>
                <w:szCs w:val="20"/>
              </w:rPr>
              <w:t>Lingying Li and Xijiang Yang</w:t>
            </w:r>
          </w:p>
          <w:p w:rsidR="0005354B" w:rsidRPr="002E784B" w:rsidRDefault="0005354B" w:rsidP="002E784B">
            <w:pPr>
              <w:tabs>
                <w:tab w:val="left" w:pos="-1440"/>
                <w:tab w:val="left" w:pos="-720"/>
              </w:tabs>
              <w:rPr>
                <w:sz w:val="20"/>
                <w:szCs w:val="20"/>
              </w:rPr>
            </w:pPr>
          </w:p>
          <w:p w:rsidR="0005354B" w:rsidRPr="00A935AA" w:rsidRDefault="0005354B" w:rsidP="002E784B">
            <w:pPr>
              <w:tabs>
                <w:tab w:val="left" w:pos="-1440"/>
                <w:tab w:val="left" w:pos="-720"/>
              </w:tabs>
              <w:rPr>
                <w:sz w:val="20"/>
                <w:szCs w:val="20"/>
              </w:rPr>
            </w:pPr>
            <w:r w:rsidRPr="002E784B">
              <w:rPr>
                <w:sz w:val="20"/>
                <w:szCs w:val="20"/>
              </w:rPr>
              <w:tab/>
            </w:r>
            <w:r w:rsidRPr="00A935AA">
              <w:rPr>
                <w:sz w:val="20"/>
                <w:szCs w:val="20"/>
              </w:rPr>
              <w:t>v. (3</w:t>
            </w:r>
            <w:r>
              <w:rPr>
                <w:sz w:val="20"/>
                <w:szCs w:val="20"/>
              </w:rPr>
              <w:t>6404</w:t>
            </w:r>
            <w:r w:rsidRPr="00A935AA">
              <w:rPr>
                <w:sz w:val="20"/>
                <w:szCs w:val="20"/>
              </w:rPr>
              <w:t>)</w:t>
            </w:r>
          </w:p>
          <w:p w:rsidR="0005354B" w:rsidRPr="00A935AA" w:rsidRDefault="0005354B" w:rsidP="002E784B">
            <w:pPr>
              <w:tabs>
                <w:tab w:val="left" w:pos="-1440"/>
                <w:tab w:val="left" w:pos="-720"/>
              </w:tabs>
              <w:rPr>
                <w:sz w:val="20"/>
                <w:szCs w:val="20"/>
              </w:rPr>
            </w:pPr>
          </w:p>
          <w:p w:rsidR="0005354B" w:rsidRPr="00A935AA" w:rsidRDefault="0005354B" w:rsidP="002E784B">
            <w:pPr>
              <w:tabs>
                <w:tab w:val="left" w:pos="-1440"/>
                <w:tab w:val="left" w:pos="-720"/>
              </w:tabs>
              <w:rPr>
                <w:b/>
                <w:sz w:val="20"/>
                <w:szCs w:val="20"/>
              </w:rPr>
            </w:pPr>
            <w:r>
              <w:rPr>
                <w:b/>
                <w:sz w:val="20"/>
                <w:szCs w:val="20"/>
              </w:rPr>
              <w:t xml:space="preserve">Minister of Citizenship and Immigration </w:t>
            </w:r>
            <w:r w:rsidRPr="00A935AA">
              <w:rPr>
                <w:b/>
                <w:sz w:val="20"/>
                <w:szCs w:val="20"/>
              </w:rPr>
              <w:t>(</w:t>
            </w:r>
            <w:r>
              <w:rPr>
                <w:b/>
                <w:sz w:val="20"/>
                <w:szCs w:val="20"/>
              </w:rPr>
              <w:t>F</w:t>
            </w:r>
            <w:r w:rsidRPr="00A935AA">
              <w:rPr>
                <w:b/>
                <w:sz w:val="20"/>
                <w:szCs w:val="20"/>
              </w:rPr>
              <w:t>.</w:t>
            </w:r>
            <w:r>
              <w:rPr>
                <w:b/>
                <w:sz w:val="20"/>
                <w:szCs w:val="20"/>
              </w:rPr>
              <w:t>C.</w:t>
            </w:r>
            <w:r w:rsidRPr="00A935AA">
              <w:rPr>
                <w:b/>
                <w:sz w:val="20"/>
                <w:szCs w:val="20"/>
              </w:rPr>
              <w:t>)</w:t>
            </w:r>
          </w:p>
          <w:p w:rsidR="0005354B" w:rsidRPr="00A935AA" w:rsidRDefault="0005354B" w:rsidP="002E784B">
            <w:pPr>
              <w:tabs>
                <w:tab w:val="left" w:pos="-1440"/>
                <w:tab w:val="left" w:pos="-720"/>
              </w:tabs>
              <w:rPr>
                <w:sz w:val="20"/>
                <w:szCs w:val="20"/>
              </w:rPr>
            </w:pPr>
            <w:r w:rsidRPr="00A935AA">
              <w:rPr>
                <w:sz w:val="20"/>
                <w:szCs w:val="20"/>
              </w:rPr>
              <w:tab/>
            </w:r>
            <w:r>
              <w:rPr>
                <w:sz w:val="20"/>
                <w:szCs w:val="20"/>
              </w:rPr>
              <w:t>Helen Park</w:t>
            </w:r>
          </w:p>
          <w:p w:rsidR="0005354B" w:rsidRPr="00A935AA" w:rsidRDefault="0005354B" w:rsidP="002E784B">
            <w:pPr>
              <w:tabs>
                <w:tab w:val="left" w:pos="-1440"/>
                <w:tab w:val="left" w:pos="-720"/>
              </w:tabs>
              <w:rPr>
                <w:sz w:val="20"/>
                <w:szCs w:val="20"/>
              </w:rPr>
            </w:pPr>
            <w:r w:rsidRPr="00A935AA">
              <w:rPr>
                <w:sz w:val="20"/>
                <w:szCs w:val="20"/>
              </w:rPr>
              <w:tab/>
            </w:r>
            <w:r>
              <w:rPr>
                <w:sz w:val="20"/>
                <w:szCs w:val="20"/>
              </w:rPr>
              <w:t>A.G. of Canada</w:t>
            </w:r>
          </w:p>
          <w:p w:rsidR="0005354B" w:rsidRPr="00A935AA" w:rsidRDefault="0005354B" w:rsidP="002E784B">
            <w:pPr>
              <w:tabs>
                <w:tab w:val="left" w:pos="-1440"/>
                <w:tab w:val="left" w:pos="-720"/>
              </w:tabs>
              <w:rPr>
                <w:sz w:val="20"/>
                <w:szCs w:val="20"/>
              </w:rPr>
            </w:pPr>
          </w:p>
          <w:p w:rsidR="0005354B" w:rsidRPr="00A935AA" w:rsidRDefault="0005354B" w:rsidP="002E784B">
            <w:pPr>
              <w:tabs>
                <w:tab w:val="left" w:pos="-1440"/>
                <w:tab w:val="left" w:pos="-720"/>
              </w:tabs>
              <w:rPr>
                <w:sz w:val="20"/>
                <w:szCs w:val="20"/>
              </w:rPr>
            </w:pPr>
            <w:r w:rsidRPr="00A935AA">
              <w:rPr>
                <w:sz w:val="20"/>
                <w:szCs w:val="20"/>
              </w:rPr>
              <w:t>FILING DATE: 2</w:t>
            </w:r>
            <w:r>
              <w:rPr>
                <w:sz w:val="20"/>
                <w:szCs w:val="20"/>
              </w:rPr>
              <w:t>3</w:t>
            </w:r>
            <w:r w:rsidRPr="00A935AA">
              <w:rPr>
                <w:sz w:val="20"/>
                <w:szCs w:val="20"/>
              </w:rPr>
              <w:t>.0</w:t>
            </w:r>
            <w:r>
              <w:rPr>
                <w:sz w:val="20"/>
                <w:szCs w:val="20"/>
              </w:rPr>
              <w:t>4</w:t>
            </w:r>
            <w:r w:rsidRPr="00A935AA">
              <w:rPr>
                <w:sz w:val="20"/>
                <w:szCs w:val="20"/>
              </w:rPr>
              <w:t>.201</w:t>
            </w:r>
            <w:r>
              <w:rPr>
                <w:sz w:val="20"/>
                <w:szCs w:val="20"/>
              </w:rPr>
              <w:t>5</w:t>
            </w:r>
          </w:p>
          <w:p w:rsidR="0005354B" w:rsidRPr="00A935AA" w:rsidRDefault="005B3B50" w:rsidP="009D73E2">
            <w:pPr>
              <w:rPr>
                <w:sz w:val="20"/>
                <w:szCs w:val="20"/>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05354B" w:rsidRDefault="0005354B" w:rsidP="00242AEE">
            <w:pPr>
              <w:jc w:val="center"/>
              <w:rPr>
                <w:sz w:val="20"/>
                <w:szCs w:val="20"/>
              </w:rPr>
            </w:pPr>
          </w:p>
          <w:p w:rsidR="0005354B" w:rsidRDefault="0005354B" w:rsidP="00242AEE">
            <w:pPr>
              <w:jc w:val="center"/>
              <w:rPr>
                <w:sz w:val="20"/>
                <w:szCs w:val="20"/>
              </w:rPr>
            </w:pPr>
          </w:p>
          <w:p w:rsidR="0005354B" w:rsidRDefault="0005354B" w:rsidP="00242AEE">
            <w:pPr>
              <w:jc w:val="center"/>
              <w:rPr>
                <w:sz w:val="20"/>
                <w:szCs w:val="20"/>
              </w:rPr>
            </w:pPr>
          </w:p>
          <w:p w:rsidR="0005354B" w:rsidRDefault="0005354B" w:rsidP="00242AEE">
            <w:pPr>
              <w:jc w:val="center"/>
              <w:rPr>
                <w:sz w:val="20"/>
                <w:szCs w:val="20"/>
              </w:rPr>
            </w:pPr>
          </w:p>
          <w:p w:rsidR="0005354B" w:rsidRDefault="0005354B" w:rsidP="00242AEE">
            <w:pPr>
              <w:jc w:val="center"/>
              <w:rPr>
                <w:sz w:val="20"/>
                <w:szCs w:val="20"/>
              </w:rPr>
            </w:pPr>
          </w:p>
          <w:p w:rsidR="0005354B" w:rsidRDefault="0005354B" w:rsidP="00242AEE">
            <w:pPr>
              <w:jc w:val="center"/>
              <w:rPr>
                <w:sz w:val="20"/>
                <w:szCs w:val="20"/>
              </w:rPr>
            </w:pPr>
          </w:p>
          <w:p w:rsidR="0005354B" w:rsidRDefault="0005354B" w:rsidP="00242AEE">
            <w:pPr>
              <w:jc w:val="center"/>
              <w:rPr>
                <w:sz w:val="20"/>
                <w:szCs w:val="20"/>
              </w:rPr>
            </w:pPr>
          </w:p>
          <w:p w:rsidR="0005354B" w:rsidRDefault="0005354B" w:rsidP="00242AEE">
            <w:pPr>
              <w:jc w:val="center"/>
              <w:rPr>
                <w:sz w:val="20"/>
                <w:szCs w:val="20"/>
              </w:rPr>
            </w:pPr>
          </w:p>
          <w:p w:rsidR="0005354B" w:rsidRDefault="0005354B" w:rsidP="00242AEE">
            <w:pPr>
              <w:jc w:val="center"/>
              <w:rPr>
                <w:sz w:val="20"/>
                <w:szCs w:val="20"/>
              </w:rPr>
            </w:pPr>
          </w:p>
          <w:p w:rsidR="0005354B" w:rsidRDefault="0005354B" w:rsidP="00242AEE">
            <w:pPr>
              <w:jc w:val="center"/>
              <w:rPr>
                <w:sz w:val="20"/>
                <w:szCs w:val="20"/>
              </w:rPr>
            </w:pPr>
          </w:p>
          <w:p w:rsidR="0005354B" w:rsidRDefault="0005354B" w:rsidP="00242AEE">
            <w:pPr>
              <w:jc w:val="center"/>
              <w:rPr>
                <w:sz w:val="20"/>
                <w:szCs w:val="20"/>
              </w:rPr>
            </w:pPr>
          </w:p>
          <w:p w:rsidR="0005354B" w:rsidRDefault="0005354B" w:rsidP="00242AEE">
            <w:pPr>
              <w:jc w:val="center"/>
              <w:rPr>
                <w:sz w:val="20"/>
                <w:szCs w:val="20"/>
              </w:rPr>
            </w:pPr>
          </w:p>
          <w:p w:rsidR="0005354B" w:rsidRPr="00A935AA" w:rsidRDefault="0005354B" w:rsidP="00242AEE">
            <w:pPr>
              <w:jc w:val="center"/>
              <w:rPr>
                <w:sz w:val="20"/>
                <w:szCs w:val="20"/>
              </w:rPr>
            </w:pPr>
          </w:p>
        </w:tc>
        <w:tc>
          <w:tcPr>
            <w:tcW w:w="4320" w:type="dxa"/>
            <w:shd w:val="clear" w:color="auto" w:fill="auto"/>
          </w:tcPr>
          <w:p w:rsidR="0005354B" w:rsidRPr="002E784B" w:rsidRDefault="0005354B" w:rsidP="0005354B">
            <w:pPr>
              <w:rPr>
                <w:b/>
                <w:sz w:val="20"/>
                <w:szCs w:val="20"/>
              </w:rPr>
            </w:pPr>
            <w:r>
              <w:rPr>
                <w:b/>
                <w:sz w:val="20"/>
                <w:szCs w:val="20"/>
              </w:rPr>
              <w:t>Moulton Contracting Ltd.</w:t>
            </w:r>
          </w:p>
          <w:p w:rsidR="0005354B" w:rsidRPr="002E784B" w:rsidRDefault="0005354B" w:rsidP="0005354B">
            <w:pPr>
              <w:tabs>
                <w:tab w:val="left" w:pos="-1440"/>
                <w:tab w:val="left" w:pos="-720"/>
              </w:tabs>
              <w:rPr>
                <w:sz w:val="20"/>
                <w:szCs w:val="20"/>
              </w:rPr>
            </w:pPr>
            <w:r w:rsidRPr="002E784B">
              <w:rPr>
                <w:sz w:val="20"/>
                <w:szCs w:val="20"/>
              </w:rPr>
              <w:tab/>
            </w:r>
            <w:r>
              <w:rPr>
                <w:sz w:val="20"/>
                <w:szCs w:val="20"/>
              </w:rPr>
              <w:t>Charles F. Willms</w:t>
            </w:r>
          </w:p>
          <w:p w:rsidR="0005354B" w:rsidRPr="002E784B" w:rsidRDefault="0005354B" w:rsidP="0005354B">
            <w:pPr>
              <w:tabs>
                <w:tab w:val="left" w:pos="-1440"/>
                <w:tab w:val="left" w:pos="-720"/>
              </w:tabs>
              <w:rPr>
                <w:sz w:val="20"/>
                <w:szCs w:val="20"/>
              </w:rPr>
            </w:pPr>
            <w:r w:rsidRPr="002E784B">
              <w:rPr>
                <w:sz w:val="20"/>
                <w:szCs w:val="20"/>
              </w:rPr>
              <w:tab/>
            </w:r>
            <w:r>
              <w:rPr>
                <w:sz w:val="20"/>
                <w:szCs w:val="20"/>
              </w:rPr>
              <w:t>Fasken Martineau DuMoulin LLP</w:t>
            </w:r>
          </w:p>
          <w:p w:rsidR="0005354B" w:rsidRPr="002E784B" w:rsidRDefault="0005354B" w:rsidP="0005354B">
            <w:pPr>
              <w:tabs>
                <w:tab w:val="left" w:pos="-1440"/>
                <w:tab w:val="left" w:pos="-720"/>
              </w:tabs>
              <w:rPr>
                <w:sz w:val="20"/>
                <w:szCs w:val="20"/>
              </w:rPr>
            </w:pPr>
          </w:p>
          <w:p w:rsidR="0005354B" w:rsidRPr="00A935AA" w:rsidRDefault="0005354B" w:rsidP="0005354B">
            <w:pPr>
              <w:tabs>
                <w:tab w:val="left" w:pos="-1440"/>
                <w:tab w:val="left" w:pos="-720"/>
              </w:tabs>
              <w:rPr>
                <w:sz w:val="20"/>
                <w:szCs w:val="20"/>
              </w:rPr>
            </w:pPr>
            <w:r w:rsidRPr="002E784B">
              <w:rPr>
                <w:sz w:val="20"/>
                <w:szCs w:val="20"/>
              </w:rPr>
              <w:tab/>
            </w:r>
            <w:r w:rsidRPr="00A935AA">
              <w:rPr>
                <w:sz w:val="20"/>
                <w:szCs w:val="20"/>
              </w:rPr>
              <w:t>v. (3</w:t>
            </w:r>
            <w:r>
              <w:rPr>
                <w:sz w:val="20"/>
                <w:szCs w:val="20"/>
              </w:rPr>
              <w:t>6402</w:t>
            </w:r>
            <w:r w:rsidRPr="00A935AA">
              <w:rPr>
                <w:sz w:val="20"/>
                <w:szCs w:val="20"/>
              </w:rPr>
              <w:t>)</w:t>
            </w:r>
          </w:p>
          <w:p w:rsidR="0005354B" w:rsidRPr="00A935AA" w:rsidRDefault="0005354B" w:rsidP="0005354B">
            <w:pPr>
              <w:tabs>
                <w:tab w:val="left" w:pos="-1440"/>
                <w:tab w:val="left" w:pos="-720"/>
              </w:tabs>
              <w:rPr>
                <w:sz w:val="20"/>
                <w:szCs w:val="20"/>
              </w:rPr>
            </w:pPr>
          </w:p>
          <w:p w:rsidR="0005354B" w:rsidRPr="00A935AA" w:rsidRDefault="0005354B" w:rsidP="0005354B">
            <w:pPr>
              <w:tabs>
                <w:tab w:val="left" w:pos="-1440"/>
                <w:tab w:val="left" w:pos="-720"/>
              </w:tabs>
              <w:rPr>
                <w:b/>
                <w:sz w:val="20"/>
                <w:szCs w:val="20"/>
              </w:rPr>
            </w:pPr>
            <w:r>
              <w:rPr>
                <w:b/>
                <w:sz w:val="20"/>
                <w:szCs w:val="20"/>
              </w:rPr>
              <w:t xml:space="preserve">Her Majesty the Queen in Right of the Province of British Columbia et al. </w:t>
            </w:r>
            <w:r w:rsidRPr="00A935AA">
              <w:rPr>
                <w:b/>
                <w:sz w:val="20"/>
                <w:szCs w:val="20"/>
              </w:rPr>
              <w:t>(</w:t>
            </w:r>
            <w:r>
              <w:rPr>
                <w:b/>
                <w:sz w:val="20"/>
                <w:szCs w:val="20"/>
              </w:rPr>
              <w:t>B.C</w:t>
            </w:r>
            <w:r w:rsidRPr="00A935AA">
              <w:rPr>
                <w:b/>
                <w:sz w:val="20"/>
                <w:szCs w:val="20"/>
              </w:rPr>
              <w:t>.)</w:t>
            </w:r>
          </w:p>
          <w:p w:rsidR="0005354B" w:rsidRPr="00A935AA" w:rsidRDefault="0005354B" w:rsidP="0005354B">
            <w:pPr>
              <w:tabs>
                <w:tab w:val="left" w:pos="-1440"/>
                <w:tab w:val="left" w:pos="-720"/>
              </w:tabs>
              <w:rPr>
                <w:sz w:val="20"/>
                <w:szCs w:val="20"/>
              </w:rPr>
            </w:pPr>
            <w:r w:rsidRPr="00A935AA">
              <w:rPr>
                <w:sz w:val="20"/>
                <w:szCs w:val="20"/>
              </w:rPr>
              <w:tab/>
            </w:r>
            <w:r>
              <w:rPr>
                <w:sz w:val="20"/>
                <w:szCs w:val="20"/>
              </w:rPr>
              <w:t>Karen A. Horsman</w:t>
            </w:r>
          </w:p>
          <w:p w:rsidR="0005354B" w:rsidRPr="00A935AA" w:rsidRDefault="0005354B" w:rsidP="0005354B">
            <w:pPr>
              <w:tabs>
                <w:tab w:val="left" w:pos="-1440"/>
                <w:tab w:val="left" w:pos="-720"/>
              </w:tabs>
              <w:rPr>
                <w:sz w:val="20"/>
                <w:szCs w:val="20"/>
              </w:rPr>
            </w:pPr>
            <w:r w:rsidRPr="00A935AA">
              <w:rPr>
                <w:sz w:val="20"/>
                <w:szCs w:val="20"/>
              </w:rPr>
              <w:tab/>
            </w:r>
            <w:r>
              <w:rPr>
                <w:sz w:val="20"/>
                <w:szCs w:val="20"/>
              </w:rPr>
              <w:t>A.G. of British Columbia</w:t>
            </w:r>
          </w:p>
          <w:p w:rsidR="0005354B" w:rsidRPr="00A935AA" w:rsidRDefault="0005354B" w:rsidP="0005354B">
            <w:pPr>
              <w:tabs>
                <w:tab w:val="left" w:pos="-1440"/>
                <w:tab w:val="left" w:pos="-720"/>
              </w:tabs>
              <w:rPr>
                <w:sz w:val="20"/>
                <w:szCs w:val="20"/>
              </w:rPr>
            </w:pPr>
          </w:p>
          <w:p w:rsidR="0005354B" w:rsidRPr="00A935AA" w:rsidRDefault="0005354B" w:rsidP="0005354B">
            <w:pPr>
              <w:rPr>
                <w:sz w:val="20"/>
                <w:szCs w:val="20"/>
              </w:rPr>
            </w:pPr>
            <w:r w:rsidRPr="00A935AA">
              <w:rPr>
                <w:sz w:val="20"/>
                <w:szCs w:val="20"/>
              </w:rPr>
              <w:t>FILING DATE: 2</w:t>
            </w:r>
            <w:r>
              <w:rPr>
                <w:sz w:val="20"/>
                <w:szCs w:val="20"/>
              </w:rPr>
              <w:t>7</w:t>
            </w:r>
            <w:r w:rsidRPr="00A935AA">
              <w:rPr>
                <w:sz w:val="20"/>
                <w:szCs w:val="20"/>
              </w:rPr>
              <w:t>.0</w:t>
            </w:r>
            <w:r>
              <w:rPr>
                <w:sz w:val="20"/>
                <w:szCs w:val="20"/>
              </w:rPr>
              <w:t>4</w:t>
            </w:r>
            <w:r w:rsidRPr="00A935AA">
              <w:rPr>
                <w:sz w:val="20"/>
                <w:szCs w:val="20"/>
              </w:rPr>
              <w:t>.201</w:t>
            </w:r>
            <w:r>
              <w:rPr>
                <w:sz w:val="20"/>
                <w:szCs w:val="20"/>
              </w:rPr>
              <w:t>5</w:t>
            </w:r>
            <w:r w:rsidR="005B3B50">
              <w:rPr>
                <w:sz w:val="20"/>
                <w:szCs w:val="20"/>
                <w:lang w:val="fr-CA"/>
              </w:rPr>
              <w:pict>
                <v:rect id="_x0000_i1036" style="width:108pt;height:1pt" o:hrpct="0" o:hralign="center" o:hrstd="t" o:hrnoshade="t" o:hr="t" fillcolor="black [3213]" stroked="f"/>
              </w:pict>
            </w:r>
          </w:p>
        </w:tc>
      </w:tr>
      <w:tr w:rsidR="0005354B" w:rsidRPr="00A935AA" w:rsidTr="003B3977">
        <w:trPr>
          <w:cantSplit/>
        </w:trPr>
        <w:tc>
          <w:tcPr>
            <w:tcW w:w="4320" w:type="dxa"/>
            <w:shd w:val="clear" w:color="auto" w:fill="auto"/>
          </w:tcPr>
          <w:p w:rsidR="005451CC" w:rsidRPr="00A935AA" w:rsidRDefault="005451CC" w:rsidP="005451CC">
            <w:pPr>
              <w:rPr>
                <w:b/>
                <w:sz w:val="20"/>
                <w:szCs w:val="20"/>
              </w:rPr>
            </w:pPr>
            <w:r>
              <w:rPr>
                <w:b/>
                <w:sz w:val="20"/>
                <w:szCs w:val="20"/>
              </w:rPr>
              <w:t>Alexander March et al.</w:t>
            </w:r>
          </w:p>
          <w:p w:rsidR="005451CC" w:rsidRPr="00A935AA" w:rsidRDefault="0005354B" w:rsidP="005451CC">
            <w:pPr>
              <w:tabs>
                <w:tab w:val="left" w:pos="-1440"/>
                <w:tab w:val="left" w:pos="-720"/>
              </w:tabs>
              <w:rPr>
                <w:sz w:val="20"/>
                <w:szCs w:val="20"/>
              </w:rPr>
            </w:pPr>
            <w:r w:rsidRPr="00A935AA">
              <w:rPr>
                <w:sz w:val="20"/>
                <w:szCs w:val="20"/>
              </w:rPr>
              <w:tab/>
            </w:r>
            <w:r w:rsidR="005451CC">
              <w:rPr>
                <w:sz w:val="20"/>
                <w:szCs w:val="20"/>
              </w:rPr>
              <w:t>Julius H. Grey</w:t>
            </w:r>
          </w:p>
          <w:p w:rsidR="005451CC" w:rsidRPr="00A935AA" w:rsidRDefault="005451CC" w:rsidP="005451CC">
            <w:pPr>
              <w:tabs>
                <w:tab w:val="left" w:pos="-1440"/>
                <w:tab w:val="left" w:pos="-720"/>
              </w:tabs>
              <w:rPr>
                <w:sz w:val="20"/>
                <w:szCs w:val="20"/>
              </w:rPr>
            </w:pPr>
            <w:r w:rsidRPr="00A935AA">
              <w:rPr>
                <w:sz w:val="20"/>
                <w:szCs w:val="20"/>
              </w:rPr>
              <w:tab/>
            </w:r>
            <w:r>
              <w:rPr>
                <w:sz w:val="20"/>
                <w:szCs w:val="20"/>
              </w:rPr>
              <w:t>Grey Casgrain</w:t>
            </w:r>
          </w:p>
          <w:p w:rsidR="005451CC" w:rsidRPr="00A935AA" w:rsidRDefault="005451CC" w:rsidP="005451CC">
            <w:pPr>
              <w:tabs>
                <w:tab w:val="left" w:pos="-1440"/>
                <w:tab w:val="left" w:pos="-720"/>
              </w:tabs>
              <w:rPr>
                <w:sz w:val="20"/>
                <w:szCs w:val="20"/>
              </w:rPr>
            </w:pPr>
          </w:p>
          <w:p w:rsidR="005451CC" w:rsidRPr="00A935AA" w:rsidRDefault="005451CC" w:rsidP="005451CC">
            <w:pPr>
              <w:tabs>
                <w:tab w:val="left" w:pos="-1440"/>
                <w:tab w:val="left" w:pos="-720"/>
              </w:tabs>
              <w:rPr>
                <w:sz w:val="20"/>
                <w:szCs w:val="20"/>
              </w:rPr>
            </w:pPr>
            <w:r w:rsidRPr="00A935AA">
              <w:rPr>
                <w:sz w:val="20"/>
                <w:szCs w:val="20"/>
              </w:rPr>
              <w:tab/>
              <w:t>v. (3</w:t>
            </w:r>
            <w:r>
              <w:rPr>
                <w:sz w:val="20"/>
                <w:szCs w:val="20"/>
              </w:rPr>
              <w:t>6215</w:t>
            </w:r>
            <w:r w:rsidRPr="00A935AA">
              <w:rPr>
                <w:sz w:val="20"/>
                <w:szCs w:val="20"/>
              </w:rPr>
              <w:t>)</w:t>
            </w:r>
          </w:p>
          <w:p w:rsidR="005451CC" w:rsidRPr="00A935AA" w:rsidRDefault="005451CC" w:rsidP="005451CC">
            <w:pPr>
              <w:tabs>
                <w:tab w:val="left" w:pos="-1440"/>
                <w:tab w:val="left" w:pos="-720"/>
              </w:tabs>
              <w:rPr>
                <w:sz w:val="20"/>
                <w:szCs w:val="20"/>
              </w:rPr>
            </w:pPr>
          </w:p>
          <w:p w:rsidR="005451CC" w:rsidRPr="00A935AA" w:rsidRDefault="005451CC" w:rsidP="005451CC">
            <w:pPr>
              <w:tabs>
                <w:tab w:val="left" w:pos="-1440"/>
                <w:tab w:val="left" w:pos="-720"/>
              </w:tabs>
              <w:rPr>
                <w:b/>
                <w:sz w:val="20"/>
                <w:szCs w:val="20"/>
              </w:rPr>
            </w:pPr>
            <w:r>
              <w:rPr>
                <w:b/>
                <w:sz w:val="20"/>
                <w:szCs w:val="20"/>
              </w:rPr>
              <w:t xml:space="preserve">Attorney General of Canada, representing the United States of America </w:t>
            </w:r>
            <w:r w:rsidRPr="00A935AA">
              <w:rPr>
                <w:b/>
                <w:sz w:val="20"/>
                <w:szCs w:val="20"/>
              </w:rPr>
              <w:t>(</w:t>
            </w:r>
            <w:r>
              <w:rPr>
                <w:b/>
                <w:sz w:val="20"/>
                <w:szCs w:val="20"/>
              </w:rPr>
              <w:t>Que</w:t>
            </w:r>
            <w:r w:rsidRPr="00A935AA">
              <w:rPr>
                <w:b/>
                <w:sz w:val="20"/>
                <w:szCs w:val="20"/>
              </w:rPr>
              <w:t>.)</w:t>
            </w:r>
          </w:p>
          <w:p w:rsidR="005451CC" w:rsidRPr="00A935AA" w:rsidRDefault="005451CC" w:rsidP="005451CC">
            <w:pPr>
              <w:tabs>
                <w:tab w:val="left" w:pos="-1440"/>
                <w:tab w:val="left" w:pos="-720"/>
              </w:tabs>
              <w:rPr>
                <w:sz w:val="20"/>
                <w:szCs w:val="20"/>
              </w:rPr>
            </w:pPr>
            <w:r w:rsidRPr="00A935AA">
              <w:rPr>
                <w:sz w:val="20"/>
                <w:szCs w:val="20"/>
              </w:rPr>
              <w:tab/>
            </w:r>
            <w:r>
              <w:rPr>
                <w:sz w:val="20"/>
                <w:szCs w:val="20"/>
              </w:rPr>
              <w:t>Toni Abi Nasr</w:t>
            </w:r>
          </w:p>
          <w:p w:rsidR="005451CC" w:rsidRPr="00A935AA" w:rsidRDefault="005451CC" w:rsidP="005451CC">
            <w:pPr>
              <w:tabs>
                <w:tab w:val="left" w:pos="-1440"/>
                <w:tab w:val="left" w:pos="-720"/>
              </w:tabs>
              <w:rPr>
                <w:sz w:val="20"/>
                <w:szCs w:val="20"/>
              </w:rPr>
            </w:pPr>
            <w:r w:rsidRPr="00A935AA">
              <w:rPr>
                <w:sz w:val="20"/>
                <w:szCs w:val="20"/>
              </w:rPr>
              <w:tab/>
            </w:r>
            <w:r w:rsidR="00003113">
              <w:rPr>
                <w:sz w:val="20"/>
                <w:szCs w:val="20"/>
              </w:rPr>
              <w:t>A</w:t>
            </w:r>
            <w:r>
              <w:rPr>
                <w:sz w:val="20"/>
                <w:szCs w:val="20"/>
              </w:rPr>
              <w:t>.G. of Canada</w:t>
            </w:r>
          </w:p>
          <w:p w:rsidR="005451CC" w:rsidRPr="00A935AA" w:rsidRDefault="005451CC" w:rsidP="005451CC">
            <w:pPr>
              <w:tabs>
                <w:tab w:val="left" w:pos="-1440"/>
                <w:tab w:val="left" w:pos="-720"/>
              </w:tabs>
              <w:rPr>
                <w:sz w:val="20"/>
                <w:szCs w:val="20"/>
              </w:rPr>
            </w:pPr>
          </w:p>
          <w:p w:rsidR="0005354B" w:rsidRPr="00A935AA" w:rsidRDefault="005451CC" w:rsidP="005451CC">
            <w:pPr>
              <w:rPr>
                <w:sz w:val="20"/>
                <w:szCs w:val="20"/>
              </w:rPr>
            </w:pPr>
            <w:r w:rsidRPr="00A935AA">
              <w:rPr>
                <w:sz w:val="20"/>
                <w:szCs w:val="20"/>
              </w:rPr>
              <w:t>FILING DATE: 2</w:t>
            </w:r>
            <w:r>
              <w:rPr>
                <w:sz w:val="20"/>
                <w:szCs w:val="20"/>
              </w:rPr>
              <w:t>7</w:t>
            </w:r>
            <w:r w:rsidRPr="00A935AA">
              <w:rPr>
                <w:sz w:val="20"/>
                <w:szCs w:val="20"/>
              </w:rPr>
              <w:t>.0</w:t>
            </w:r>
            <w:r>
              <w:rPr>
                <w:sz w:val="20"/>
                <w:szCs w:val="20"/>
              </w:rPr>
              <w:t>4</w:t>
            </w:r>
            <w:r w:rsidRPr="00A935AA">
              <w:rPr>
                <w:sz w:val="20"/>
                <w:szCs w:val="20"/>
              </w:rPr>
              <w:t>.201</w:t>
            </w:r>
            <w:r>
              <w:rPr>
                <w:sz w:val="20"/>
                <w:szCs w:val="20"/>
              </w:rPr>
              <w:t>5</w:t>
            </w:r>
            <w:r w:rsidR="005B3B50">
              <w:rPr>
                <w:sz w:val="20"/>
                <w:szCs w:val="20"/>
                <w:lang w:val="fr-CA"/>
              </w:rPr>
              <w:pict>
                <v:rect id="_x0000_i1037" style="width:108pt;height:1pt" o:hrpct="0" o:hralign="center" o:hrstd="t" o:hrnoshade="t" o:hr="t" fillcolor="black [3213]" stroked="f"/>
              </w:pict>
            </w:r>
          </w:p>
        </w:tc>
        <w:tc>
          <w:tcPr>
            <w:tcW w:w="1181" w:type="dxa"/>
            <w:shd w:val="clear" w:color="auto" w:fill="auto"/>
          </w:tcPr>
          <w:p w:rsidR="0005354B" w:rsidRDefault="0005354B" w:rsidP="00242AEE">
            <w:pPr>
              <w:jc w:val="center"/>
              <w:rPr>
                <w:sz w:val="20"/>
                <w:szCs w:val="20"/>
              </w:rPr>
            </w:pPr>
          </w:p>
          <w:p w:rsidR="0005354B" w:rsidRDefault="0005354B" w:rsidP="00242AEE">
            <w:pPr>
              <w:jc w:val="center"/>
              <w:rPr>
                <w:sz w:val="20"/>
                <w:szCs w:val="20"/>
              </w:rPr>
            </w:pPr>
          </w:p>
          <w:p w:rsidR="0005354B" w:rsidRDefault="0005354B" w:rsidP="00242AEE">
            <w:pPr>
              <w:jc w:val="center"/>
              <w:rPr>
                <w:sz w:val="20"/>
                <w:szCs w:val="20"/>
              </w:rPr>
            </w:pPr>
          </w:p>
          <w:p w:rsidR="0005354B" w:rsidRDefault="0005354B" w:rsidP="00242AEE">
            <w:pPr>
              <w:jc w:val="center"/>
              <w:rPr>
                <w:sz w:val="20"/>
                <w:szCs w:val="20"/>
              </w:rPr>
            </w:pPr>
          </w:p>
          <w:p w:rsidR="0005354B" w:rsidRDefault="0005354B" w:rsidP="00242AEE">
            <w:pPr>
              <w:jc w:val="center"/>
              <w:rPr>
                <w:sz w:val="20"/>
                <w:szCs w:val="20"/>
              </w:rPr>
            </w:pPr>
          </w:p>
          <w:p w:rsidR="0005354B" w:rsidRDefault="0005354B" w:rsidP="00242AEE">
            <w:pPr>
              <w:jc w:val="center"/>
              <w:rPr>
                <w:sz w:val="20"/>
                <w:szCs w:val="20"/>
              </w:rPr>
            </w:pPr>
          </w:p>
          <w:p w:rsidR="0005354B" w:rsidRDefault="0005354B" w:rsidP="00242AEE">
            <w:pPr>
              <w:jc w:val="center"/>
              <w:rPr>
                <w:sz w:val="20"/>
                <w:szCs w:val="20"/>
              </w:rPr>
            </w:pPr>
          </w:p>
          <w:p w:rsidR="0005354B" w:rsidRDefault="0005354B" w:rsidP="00242AEE">
            <w:pPr>
              <w:jc w:val="center"/>
              <w:rPr>
                <w:sz w:val="20"/>
                <w:szCs w:val="20"/>
              </w:rPr>
            </w:pPr>
          </w:p>
          <w:p w:rsidR="0005354B" w:rsidRDefault="0005354B" w:rsidP="00242AEE">
            <w:pPr>
              <w:jc w:val="center"/>
              <w:rPr>
                <w:sz w:val="20"/>
                <w:szCs w:val="20"/>
              </w:rPr>
            </w:pPr>
          </w:p>
          <w:p w:rsidR="0005354B" w:rsidRDefault="0005354B" w:rsidP="00242AEE">
            <w:pPr>
              <w:jc w:val="center"/>
              <w:rPr>
                <w:sz w:val="20"/>
                <w:szCs w:val="20"/>
              </w:rPr>
            </w:pPr>
          </w:p>
          <w:p w:rsidR="0005354B" w:rsidRDefault="0005354B" w:rsidP="00242AEE">
            <w:pPr>
              <w:jc w:val="center"/>
              <w:rPr>
                <w:sz w:val="20"/>
                <w:szCs w:val="20"/>
              </w:rPr>
            </w:pPr>
          </w:p>
          <w:p w:rsidR="0005354B" w:rsidRDefault="0005354B" w:rsidP="00242AEE">
            <w:pPr>
              <w:jc w:val="center"/>
              <w:rPr>
                <w:sz w:val="20"/>
                <w:szCs w:val="20"/>
              </w:rPr>
            </w:pPr>
          </w:p>
          <w:p w:rsidR="005451CC" w:rsidRDefault="005451CC" w:rsidP="00242AEE">
            <w:pPr>
              <w:jc w:val="center"/>
              <w:rPr>
                <w:sz w:val="20"/>
                <w:szCs w:val="20"/>
              </w:rPr>
            </w:pPr>
          </w:p>
          <w:p w:rsidR="0005354B" w:rsidRPr="00A935AA" w:rsidRDefault="0005354B" w:rsidP="00242AEE">
            <w:pPr>
              <w:jc w:val="center"/>
              <w:rPr>
                <w:sz w:val="20"/>
                <w:szCs w:val="20"/>
              </w:rPr>
            </w:pPr>
          </w:p>
        </w:tc>
        <w:tc>
          <w:tcPr>
            <w:tcW w:w="4320" w:type="dxa"/>
            <w:shd w:val="clear" w:color="auto" w:fill="auto"/>
          </w:tcPr>
          <w:p w:rsidR="0005354B" w:rsidRDefault="0005354B" w:rsidP="0005354B">
            <w:pPr>
              <w:rPr>
                <w:b/>
                <w:sz w:val="20"/>
                <w:szCs w:val="20"/>
              </w:rPr>
            </w:pPr>
          </w:p>
          <w:p w:rsidR="0005354B" w:rsidRPr="00A935AA" w:rsidRDefault="005451CC" w:rsidP="0005354B">
            <w:pPr>
              <w:rPr>
                <w:b/>
                <w:sz w:val="20"/>
                <w:szCs w:val="20"/>
              </w:rPr>
            </w:pPr>
            <w:r>
              <w:rPr>
                <w:b/>
                <w:sz w:val="20"/>
                <w:szCs w:val="20"/>
              </w:rPr>
              <w:t>City of C</w:t>
            </w:r>
            <w:r w:rsidR="0005354B">
              <w:rPr>
                <w:b/>
                <w:sz w:val="20"/>
                <w:szCs w:val="20"/>
              </w:rPr>
              <w:t>a</w:t>
            </w:r>
            <w:r>
              <w:rPr>
                <w:b/>
                <w:sz w:val="20"/>
                <w:szCs w:val="20"/>
              </w:rPr>
              <w:t>lgary</w:t>
            </w:r>
          </w:p>
          <w:p w:rsidR="0005354B" w:rsidRPr="00A935AA" w:rsidRDefault="0005354B" w:rsidP="0005354B">
            <w:pPr>
              <w:tabs>
                <w:tab w:val="left" w:pos="-1440"/>
                <w:tab w:val="left" w:pos="-720"/>
              </w:tabs>
              <w:rPr>
                <w:sz w:val="20"/>
                <w:szCs w:val="20"/>
              </w:rPr>
            </w:pPr>
            <w:r w:rsidRPr="00A935AA">
              <w:rPr>
                <w:sz w:val="20"/>
                <w:szCs w:val="20"/>
              </w:rPr>
              <w:tab/>
            </w:r>
            <w:r w:rsidR="005451CC">
              <w:rPr>
                <w:sz w:val="20"/>
                <w:szCs w:val="20"/>
              </w:rPr>
              <w:t>Lei</w:t>
            </w:r>
            <w:r>
              <w:rPr>
                <w:sz w:val="20"/>
                <w:szCs w:val="20"/>
              </w:rPr>
              <w:t>l</w:t>
            </w:r>
            <w:r w:rsidR="005451CC">
              <w:rPr>
                <w:sz w:val="20"/>
                <w:szCs w:val="20"/>
              </w:rPr>
              <w:t>a J. Goss</w:t>
            </w:r>
            <w:r>
              <w:rPr>
                <w:sz w:val="20"/>
                <w:szCs w:val="20"/>
              </w:rPr>
              <w:t>e</w:t>
            </w:r>
            <w:r w:rsidR="005451CC">
              <w:rPr>
                <w:sz w:val="20"/>
                <w:szCs w:val="20"/>
              </w:rPr>
              <w:t>lin</w:t>
            </w:r>
          </w:p>
          <w:p w:rsidR="0005354B" w:rsidRPr="00A935AA" w:rsidRDefault="0005354B" w:rsidP="0005354B">
            <w:pPr>
              <w:tabs>
                <w:tab w:val="left" w:pos="-1440"/>
                <w:tab w:val="left" w:pos="-720"/>
              </w:tabs>
              <w:rPr>
                <w:sz w:val="20"/>
                <w:szCs w:val="20"/>
              </w:rPr>
            </w:pPr>
            <w:r w:rsidRPr="00A935AA">
              <w:rPr>
                <w:sz w:val="20"/>
                <w:szCs w:val="20"/>
              </w:rPr>
              <w:tab/>
            </w:r>
            <w:r w:rsidR="005451CC">
              <w:rPr>
                <w:sz w:val="20"/>
                <w:szCs w:val="20"/>
              </w:rPr>
              <w:t>Cit</w:t>
            </w:r>
            <w:r>
              <w:rPr>
                <w:sz w:val="20"/>
                <w:szCs w:val="20"/>
              </w:rPr>
              <w:t>y</w:t>
            </w:r>
            <w:r w:rsidR="005451CC">
              <w:rPr>
                <w:sz w:val="20"/>
                <w:szCs w:val="20"/>
              </w:rPr>
              <w:t xml:space="preserve"> of </w:t>
            </w:r>
            <w:r>
              <w:rPr>
                <w:sz w:val="20"/>
                <w:szCs w:val="20"/>
              </w:rPr>
              <w:t>Ca</w:t>
            </w:r>
            <w:r w:rsidR="005451CC">
              <w:rPr>
                <w:sz w:val="20"/>
                <w:szCs w:val="20"/>
              </w:rPr>
              <w:t>l</w:t>
            </w:r>
            <w:r>
              <w:rPr>
                <w:sz w:val="20"/>
                <w:szCs w:val="20"/>
              </w:rPr>
              <w:t>ga</w:t>
            </w:r>
            <w:r w:rsidR="005451CC">
              <w:rPr>
                <w:sz w:val="20"/>
                <w:szCs w:val="20"/>
              </w:rPr>
              <w:t>ry</w:t>
            </w:r>
          </w:p>
          <w:p w:rsidR="0005354B" w:rsidRPr="00A935AA" w:rsidRDefault="0005354B" w:rsidP="0005354B">
            <w:pPr>
              <w:tabs>
                <w:tab w:val="left" w:pos="-1440"/>
                <w:tab w:val="left" w:pos="-720"/>
              </w:tabs>
              <w:rPr>
                <w:sz w:val="20"/>
                <w:szCs w:val="20"/>
              </w:rPr>
            </w:pPr>
          </w:p>
          <w:p w:rsidR="0005354B" w:rsidRPr="00A935AA" w:rsidRDefault="0005354B" w:rsidP="0005354B">
            <w:pPr>
              <w:tabs>
                <w:tab w:val="left" w:pos="-1440"/>
                <w:tab w:val="left" w:pos="-720"/>
              </w:tabs>
              <w:rPr>
                <w:sz w:val="20"/>
                <w:szCs w:val="20"/>
              </w:rPr>
            </w:pPr>
            <w:r w:rsidRPr="00A935AA">
              <w:rPr>
                <w:sz w:val="20"/>
                <w:szCs w:val="20"/>
              </w:rPr>
              <w:tab/>
              <w:t>v. (3</w:t>
            </w:r>
            <w:r>
              <w:rPr>
                <w:sz w:val="20"/>
                <w:szCs w:val="20"/>
              </w:rPr>
              <w:t>6</w:t>
            </w:r>
            <w:r w:rsidR="005451CC">
              <w:rPr>
                <w:sz w:val="20"/>
                <w:szCs w:val="20"/>
              </w:rPr>
              <w:t>407</w:t>
            </w:r>
            <w:r w:rsidRPr="00A935AA">
              <w:rPr>
                <w:sz w:val="20"/>
                <w:szCs w:val="20"/>
              </w:rPr>
              <w:t>)</w:t>
            </w:r>
          </w:p>
          <w:p w:rsidR="0005354B" w:rsidRPr="00A935AA" w:rsidRDefault="0005354B" w:rsidP="0005354B">
            <w:pPr>
              <w:tabs>
                <w:tab w:val="left" w:pos="-1440"/>
                <w:tab w:val="left" w:pos="-720"/>
              </w:tabs>
              <w:rPr>
                <w:sz w:val="20"/>
                <w:szCs w:val="20"/>
              </w:rPr>
            </w:pPr>
          </w:p>
          <w:p w:rsidR="0005354B" w:rsidRPr="00A935AA" w:rsidRDefault="0005354B" w:rsidP="0005354B">
            <w:pPr>
              <w:tabs>
                <w:tab w:val="left" w:pos="-1440"/>
                <w:tab w:val="left" w:pos="-720"/>
              </w:tabs>
              <w:rPr>
                <w:b/>
                <w:sz w:val="20"/>
                <w:szCs w:val="20"/>
              </w:rPr>
            </w:pPr>
            <w:r>
              <w:rPr>
                <w:b/>
                <w:sz w:val="20"/>
                <w:szCs w:val="20"/>
              </w:rPr>
              <w:t>A</w:t>
            </w:r>
            <w:r w:rsidR="005451CC">
              <w:rPr>
                <w:b/>
                <w:sz w:val="20"/>
                <w:szCs w:val="20"/>
              </w:rPr>
              <w:t>l</w:t>
            </w:r>
            <w:r>
              <w:rPr>
                <w:b/>
                <w:sz w:val="20"/>
                <w:szCs w:val="20"/>
              </w:rPr>
              <w:t>t</w:t>
            </w:r>
            <w:r w:rsidR="005451CC">
              <w:rPr>
                <w:b/>
                <w:sz w:val="20"/>
                <w:szCs w:val="20"/>
              </w:rPr>
              <w:t xml:space="preserve">us </w:t>
            </w:r>
            <w:r>
              <w:rPr>
                <w:b/>
                <w:sz w:val="20"/>
                <w:szCs w:val="20"/>
              </w:rPr>
              <w:t>Gr</w:t>
            </w:r>
            <w:r w:rsidR="005451CC">
              <w:rPr>
                <w:b/>
                <w:sz w:val="20"/>
                <w:szCs w:val="20"/>
              </w:rPr>
              <w:t>oup Limited on b</w:t>
            </w:r>
            <w:r>
              <w:rPr>
                <w:b/>
                <w:sz w:val="20"/>
                <w:szCs w:val="20"/>
              </w:rPr>
              <w:t>e</w:t>
            </w:r>
            <w:r w:rsidR="005451CC">
              <w:rPr>
                <w:b/>
                <w:sz w:val="20"/>
                <w:szCs w:val="20"/>
              </w:rPr>
              <w:t>half of V</w:t>
            </w:r>
            <w:r>
              <w:rPr>
                <w:b/>
                <w:sz w:val="20"/>
                <w:szCs w:val="20"/>
              </w:rPr>
              <w:t>a</w:t>
            </w:r>
            <w:r w:rsidR="005451CC">
              <w:rPr>
                <w:b/>
                <w:sz w:val="20"/>
                <w:szCs w:val="20"/>
              </w:rPr>
              <w:t>riou</w:t>
            </w:r>
            <w:r>
              <w:rPr>
                <w:b/>
                <w:sz w:val="20"/>
                <w:szCs w:val="20"/>
              </w:rPr>
              <w:t xml:space="preserve">s </w:t>
            </w:r>
            <w:r w:rsidR="005451CC">
              <w:rPr>
                <w:b/>
                <w:sz w:val="20"/>
                <w:szCs w:val="20"/>
              </w:rPr>
              <w:t>Owners et al.</w:t>
            </w:r>
            <w:r>
              <w:rPr>
                <w:b/>
                <w:sz w:val="20"/>
                <w:szCs w:val="20"/>
              </w:rPr>
              <w:t xml:space="preserve"> </w:t>
            </w:r>
            <w:r w:rsidRPr="00A935AA">
              <w:rPr>
                <w:b/>
                <w:sz w:val="20"/>
                <w:szCs w:val="20"/>
              </w:rPr>
              <w:t>(</w:t>
            </w:r>
            <w:r w:rsidR="005451CC">
              <w:rPr>
                <w:b/>
                <w:sz w:val="20"/>
                <w:szCs w:val="20"/>
              </w:rPr>
              <w:t>Alta</w:t>
            </w:r>
            <w:r w:rsidRPr="00A935AA">
              <w:rPr>
                <w:b/>
                <w:sz w:val="20"/>
                <w:szCs w:val="20"/>
              </w:rPr>
              <w:t>.)</w:t>
            </w:r>
          </w:p>
          <w:p w:rsidR="0005354B" w:rsidRPr="00A935AA" w:rsidRDefault="0005354B" w:rsidP="0005354B">
            <w:pPr>
              <w:tabs>
                <w:tab w:val="left" w:pos="-1440"/>
                <w:tab w:val="left" w:pos="-720"/>
              </w:tabs>
              <w:rPr>
                <w:sz w:val="20"/>
                <w:szCs w:val="20"/>
              </w:rPr>
            </w:pPr>
            <w:r w:rsidRPr="00A935AA">
              <w:rPr>
                <w:sz w:val="20"/>
                <w:szCs w:val="20"/>
              </w:rPr>
              <w:tab/>
            </w:r>
            <w:r w:rsidR="005451CC">
              <w:rPr>
                <w:sz w:val="20"/>
                <w:szCs w:val="20"/>
              </w:rPr>
              <w:t>G</w:t>
            </w:r>
            <w:r>
              <w:rPr>
                <w:sz w:val="20"/>
                <w:szCs w:val="20"/>
              </w:rPr>
              <w:t>i</w:t>
            </w:r>
            <w:r w:rsidR="005451CC">
              <w:rPr>
                <w:sz w:val="20"/>
                <w:szCs w:val="20"/>
              </w:rPr>
              <w:t>lbert J. Ludwig, Q.C.</w:t>
            </w:r>
          </w:p>
          <w:p w:rsidR="0005354B" w:rsidRPr="00A935AA" w:rsidRDefault="0005354B" w:rsidP="0005354B">
            <w:pPr>
              <w:tabs>
                <w:tab w:val="left" w:pos="-1440"/>
                <w:tab w:val="left" w:pos="-720"/>
              </w:tabs>
              <w:rPr>
                <w:sz w:val="20"/>
                <w:szCs w:val="20"/>
              </w:rPr>
            </w:pPr>
            <w:r w:rsidRPr="00A935AA">
              <w:rPr>
                <w:sz w:val="20"/>
                <w:szCs w:val="20"/>
              </w:rPr>
              <w:tab/>
            </w:r>
            <w:r w:rsidR="005451CC">
              <w:rPr>
                <w:sz w:val="20"/>
                <w:szCs w:val="20"/>
              </w:rPr>
              <w:t>Wilson Laycraft</w:t>
            </w:r>
          </w:p>
          <w:p w:rsidR="0005354B" w:rsidRPr="00A935AA" w:rsidRDefault="0005354B" w:rsidP="0005354B">
            <w:pPr>
              <w:tabs>
                <w:tab w:val="left" w:pos="-1440"/>
                <w:tab w:val="left" w:pos="-720"/>
              </w:tabs>
              <w:rPr>
                <w:sz w:val="20"/>
                <w:szCs w:val="20"/>
              </w:rPr>
            </w:pPr>
          </w:p>
          <w:p w:rsidR="0005354B" w:rsidRPr="00A935AA" w:rsidRDefault="0005354B" w:rsidP="005451CC">
            <w:pPr>
              <w:rPr>
                <w:sz w:val="20"/>
                <w:szCs w:val="20"/>
              </w:rPr>
            </w:pPr>
            <w:r w:rsidRPr="00A935AA">
              <w:rPr>
                <w:sz w:val="20"/>
                <w:szCs w:val="20"/>
              </w:rPr>
              <w:t>FILING DATE: 2</w:t>
            </w:r>
            <w:r w:rsidR="005451CC">
              <w:rPr>
                <w:sz w:val="20"/>
                <w:szCs w:val="20"/>
              </w:rPr>
              <w:t>8</w:t>
            </w:r>
            <w:r w:rsidRPr="00A935AA">
              <w:rPr>
                <w:sz w:val="20"/>
                <w:szCs w:val="20"/>
              </w:rPr>
              <w:t>.0</w:t>
            </w:r>
            <w:r>
              <w:rPr>
                <w:sz w:val="20"/>
                <w:szCs w:val="20"/>
              </w:rPr>
              <w:t>4</w:t>
            </w:r>
            <w:r w:rsidRPr="00A935AA">
              <w:rPr>
                <w:sz w:val="20"/>
                <w:szCs w:val="20"/>
              </w:rPr>
              <w:t>.201</w:t>
            </w:r>
            <w:r>
              <w:rPr>
                <w:sz w:val="20"/>
                <w:szCs w:val="20"/>
              </w:rPr>
              <w:t>5</w:t>
            </w:r>
            <w:r w:rsidR="005B3B50">
              <w:rPr>
                <w:sz w:val="20"/>
                <w:szCs w:val="20"/>
                <w:lang w:val="fr-CA"/>
              </w:rPr>
              <w:pict>
                <v:rect id="_x0000_i1038" style="width:108pt;height:1pt" o:hrpct="0" o:hralign="center" o:hrstd="t" o:hrnoshade="t" o:hr="t" fillcolor="black [3213]" stroked="f"/>
              </w:pict>
            </w:r>
          </w:p>
        </w:tc>
      </w:tr>
    </w:tbl>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751979">
          <w:headerReference w:type="default" r:id="rId16"/>
          <w:footerReference w:type="default" r:id="rId17"/>
          <w:headerReference w:type="first" r:id="rId18"/>
          <w:footerReference w:type="first" r:id="rId19"/>
          <w:pgSz w:w="12240" w:h="15840"/>
          <w:pgMar w:top="720" w:right="965" w:bottom="1080" w:left="1656" w:header="706" w:footer="706" w:gutter="0"/>
          <w:pgNumType w:start="847"/>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D229C1"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971EF1">
              <w:rPr>
                <w:b/>
                <w:szCs w:val="24"/>
                <w:lang w:val="fr-CA"/>
              </w:rPr>
              <w:t>DEMANDES SOUMISES À LA COUR DEPUIS LA DERNIÈRE PARUTIO</w:t>
            </w:r>
            <w:r w:rsidRPr="001D0D5F">
              <w:rPr>
                <w:b/>
                <w:szCs w:val="24"/>
                <w:lang w:val="fr-CA"/>
              </w:rPr>
              <w:t>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687AF6" w:rsidP="00CB3520">
      <w:pPr>
        <w:widowControl w:val="0"/>
        <w:rPr>
          <w:b/>
          <w:sz w:val="20"/>
          <w:szCs w:val="20"/>
        </w:rPr>
      </w:pPr>
      <w:r>
        <w:rPr>
          <w:b/>
          <w:sz w:val="20"/>
          <w:szCs w:val="20"/>
        </w:rPr>
        <w:t>M</w:t>
      </w:r>
      <w:r w:rsidR="00CB3520">
        <w:rPr>
          <w:b/>
          <w:sz w:val="20"/>
          <w:szCs w:val="20"/>
        </w:rPr>
        <w:t xml:space="preserve">AY </w:t>
      </w:r>
      <w:r w:rsidR="00020DC3">
        <w:rPr>
          <w:b/>
          <w:sz w:val="20"/>
          <w:szCs w:val="20"/>
        </w:rPr>
        <w:t>1</w:t>
      </w:r>
      <w:r>
        <w:rPr>
          <w:b/>
          <w:sz w:val="20"/>
          <w:szCs w:val="20"/>
        </w:rPr>
        <w:t>1</w:t>
      </w:r>
      <w:r w:rsidR="00CB3520" w:rsidRPr="00C50A5C">
        <w:rPr>
          <w:b/>
          <w:sz w:val="20"/>
          <w:szCs w:val="20"/>
        </w:rPr>
        <w:t>, 201</w:t>
      </w:r>
      <w:r w:rsidR="00020DC3">
        <w:rPr>
          <w:b/>
          <w:sz w:val="20"/>
          <w:szCs w:val="20"/>
        </w:rPr>
        <w:t>5</w:t>
      </w:r>
      <w:r w:rsidR="00CB3520" w:rsidRPr="00C50A5C">
        <w:rPr>
          <w:b/>
          <w:sz w:val="20"/>
          <w:szCs w:val="20"/>
        </w:rPr>
        <w:t xml:space="preserve"> / LE </w:t>
      </w:r>
      <w:r w:rsidR="00020DC3">
        <w:rPr>
          <w:b/>
          <w:sz w:val="20"/>
          <w:szCs w:val="20"/>
        </w:rPr>
        <w:t>1</w:t>
      </w:r>
      <w:r>
        <w:rPr>
          <w:b/>
          <w:sz w:val="20"/>
          <w:szCs w:val="20"/>
        </w:rPr>
        <w:t>1</w:t>
      </w:r>
      <w:r w:rsidR="00CB3520">
        <w:rPr>
          <w:b/>
          <w:sz w:val="20"/>
          <w:szCs w:val="20"/>
        </w:rPr>
        <w:t xml:space="preserve"> </w:t>
      </w:r>
      <w:r>
        <w:rPr>
          <w:b/>
          <w:sz w:val="20"/>
          <w:szCs w:val="20"/>
        </w:rPr>
        <w:t>M</w:t>
      </w:r>
      <w:r w:rsidR="00CB3520">
        <w:rPr>
          <w:b/>
          <w:sz w:val="20"/>
          <w:szCs w:val="20"/>
        </w:rPr>
        <w:t>AI</w:t>
      </w:r>
      <w:r w:rsidR="00CB3520" w:rsidRPr="00C50A5C">
        <w:rPr>
          <w:b/>
          <w:sz w:val="20"/>
          <w:szCs w:val="20"/>
        </w:rPr>
        <w:t xml:space="preserve"> 201</w:t>
      </w:r>
      <w:r w:rsidR="00020DC3">
        <w:rPr>
          <w:b/>
          <w:sz w:val="20"/>
          <w:szCs w:val="20"/>
        </w:rPr>
        <w:t>5</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FA3373">
        <w:rPr>
          <w:b/>
          <w:sz w:val="20"/>
          <w:szCs w:val="20"/>
        </w:rPr>
        <w:t>Wagner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FA3373">
        <w:rPr>
          <w:b/>
          <w:sz w:val="20"/>
          <w:szCs w:val="20"/>
          <w:lang w:val="fr-CA"/>
        </w:rPr>
        <w:t>Wagner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6C2E01" w:rsidRDefault="006C2E01" w:rsidP="00CB3520">
      <w:pPr>
        <w:pStyle w:val="ListParagraph"/>
        <w:widowControl w:val="0"/>
        <w:numPr>
          <w:ilvl w:val="0"/>
          <w:numId w:val="1"/>
        </w:numPr>
        <w:ind w:hanging="720"/>
        <w:jc w:val="both"/>
        <w:rPr>
          <w:sz w:val="20"/>
          <w:szCs w:val="20"/>
          <w:lang w:val="fr-CA"/>
        </w:rPr>
      </w:pPr>
      <w:r w:rsidRPr="006C2E01">
        <w:rPr>
          <w:i/>
          <w:sz w:val="20"/>
          <w:szCs w:val="20"/>
          <w:lang w:val="fr-CA"/>
        </w:rPr>
        <w:t>Sa Majesté la Reine c. A.M.</w:t>
      </w:r>
      <w:r w:rsidRPr="006C2E01">
        <w:rPr>
          <w:sz w:val="20"/>
          <w:szCs w:val="20"/>
          <w:lang w:val="fr-CA"/>
        </w:rPr>
        <w:t xml:space="preserve"> (Qc) (Crim.) (Autorisation) </w:t>
      </w:r>
      <w:r w:rsidR="00CB3520" w:rsidRPr="006C2E01">
        <w:rPr>
          <w:sz w:val="20"/>
          <w:szCs w:val="20"/>
          <w:lang w:val="fr-CA"/>
        </w:rPr>
        <w:t>(3</w:t>
      </w:r>
      <w:r w:rsidRPr="006C2E01">
        <w:rPr>
          <w:sz w:val="20"/>
          <w:szCs w:val="20"/>
          <w:lang w:val="fr-CA"/>
        </w:rPr>
        <w:t>6</w:t>
      </w:r>
      <w:r w:rsidR="00CB3520" w:rsidRPr="006C2E01">
        <w:rPr>
          <w:sz w:val="20"/>
          <w:szCs w:val="20"/>
          <w:lang w:val="fr-CA"/>
        </w:rPr>
        <w:t>26</w:t>
      </w:r>
      <w:r w:rsidRPr="006C2E01">
        <w:rPr>
          <w:sz w:val="20"/>
          <w:szCs w:val="20"/>
          <w:lang w:val="fr-CA"/>
        </w:rPr>
        <w:t>1</w:t>
      </w:r>
      <w:r w:rsidR="00CB3520" w:rsidRPr="006C2E01">
        <w:rPr>
          <w:sz w:val="20"/>
          <w:szCs w:val="20"/>
          <w:lang w:val="fr-CA"/>
        </w:rPr>
        <w:t>)</w:t>
      </w:r>
    </w:p>
    <w:p w:rsidR="00CB3520" w:rsidRPr="006C2E01" w:rsidRDefault="00CB3520" w:rsidP="00CB3520">
      <w:pPr>
        <w:widowControl w:val="0"/>
        <w:jc w:val="both"/>
        <w:rPr>
          <w:sz w:val="20"/>
          <w:szCs w:val="20"/>
          <w:lang w:val="fr-CA"/>
        </w:rPr>
      </w:pPr>
    </w:p>
    <w:p w:rsidR="00CB3520" w:rsidRPr="006C2E01" w:rsidRDefault="006C2E01" w:rsidP="00CB3520">
      <w:pPr>
        <w:pStyle w:val="ListParagraph"/>
        <w:widowControl w:val="0"/>
        <w:numPr>
          <w:ilvl w:val="0"/>
          <w:numId w:val="1"/>
        </w:numPr>
        <w:ind w:hanging="720"/>
        <w:jc w:val="both"/>
        <w:rPr>
          <w:sz w:val="20"/>
          <w:szCs w:val="20"/>
          <w:lang w:val="fr-CA"/>
        </w:rPr>
      </w:pPr>
      <w:r w:rsidRPr="006C2E01">
        <w:rPr>
          <w:i/>
          <w:sz w:val="20"/>
          <w:szCs w:val="20"/>
          <w:lang w:val="fr-CA"/>
        </w:rPr>
        <w:t>9026-2981 Québec Inc. c. Commission des droits de la personne et des droits de la jeunesse et autres</w:t>
      </w:r>
      <w:r w:rsidRPr="006C2E01">
        <w:rPr>
          <w:sz w:val="20"/>
          <w:szCs w:val="20"/>
          <w:lang w:val="fr-CA"/>
        </w:rPr>
        <w:t xml:space="preserve"> (Qc) (Civile) (Autorisation) </w:t>
      </w:r>
      <w:r w:rsidR="00CB3520" w:rsidRPr="006C2E01">
        <w:rPr>
          <w:sz w:val="20"/>
          <w:szCs w:val="20"/>
          <w:lang w:val="fr-CA"/>
        </w:rPr>
        <w:t>(36</w:t>
      </w:r>
      <w:r w:rsidRPr="006C2E01">
        <w:rPr>
          <w:sz w:val="20"/>
          <w:szCs w:val="20"/>
          <w:lang w:val="fr-CA"/>
        </w:rPr>
        <w:t>275</w:t>
      </w:r>
      <w:r w:rsidR="00CB3520" w:rsidRPr="006C2E01">
        <w:rPr>
          <w:sz w:val="20"/>
          <w:szCs w:val="20"/>
          <w:lang w:val="fr-CA"/>
        </w:rPr>
        <w:t>)</w:t>
      </w:r>
    </w:p>
    <w:p w:rsidR="00CB3520" w:rsidRPr="006C2E01" w:rsidRDefault="00CB3520" w:rsidP="00CB3520">
      <w:pPr>
        <w:widowControl w:val="0"/>
        <w:jc w:val="both"/>
        <w:rPr>
          <w:sz w:val="20"/>
          <w:szCs w:val="20"/>
          <w:lang w:val="fr-CA"/>
        </w:rPr>
      </w:pPr>
    </w:p>
    <w:p w:rsidR="006C2E01" w:rsidRPr="006C2E01" w:rsidRDefault="006C2E01" w:rsidP="00CB3520">
      <w:pPr>
        <w:widowControl w:val="0"/>
        <w:jc w:val="both"/>
        <w:rPr>
          <w:sz w:val="20"/>
          <w:szCs w:val="20"/>
          <w:lang w:val="fr-CA"/>
        </w:rPr>
      </w:pPr>
    </w:p>
    <w:p w:rsidR="006C2E01" w:rsidRPr="006C2E01" w:rsidRDefault="006C2E01" w:rsidP="006C2E01">
      <w:pPr>
        <w:widowControl w:val="0"/>
        <w:jc w:val="center"/>
        <w:rPr>
          <w:b/>
          <w:sz w:val="20"/>
          <w:szCs w:val="20"/>
          <w:lang w:val="fr-CA"/>
        </w:rPr>
      </w:pPr>
      <w:r w:rsidRPr="006C2E01">
        <w:rPr>
          <w:b/>
          <w:sz w:val="20"/>
          <w:szCs w:val="20"/>
          <w:lang w:val="fr-CA"/>
        </w:rPr>
        <w:t>CORAM: Abella, Karakatsanis and Côté JJ.</w:t>
      </w:r>
    </w:p>
    <w:p w:rsidR="006C2E01" w:rsidRPr="00C50A5C" w:rsidRDefault="006C2E01" w:rsidP="006C2E01">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Côté</w:t>
      </w:r>
    </w:p>
    <w:p w:rsidR="006C2E01" w:rsidRPr="006C2E01" w:rsidRDefault="006C2E01" w:rsidP="00CB3520">
      <w:pPr>
        <w:widowControl w:val="0"/>
        <w:jc w:val="both"/>
        <w:rPr>
          <w:sz w:val="20"/>
          <w:szCs w:val="20"/>
          <w:lang w:val="fr-CA"/>
        </w:rPr>
      </w:pPr>
    </w:p>
    <w:p w:rsidR="00CB3520" w:rsidRPr="00C50A5C" w:rsidRDefault="006C2E01" w:rsidP="00CB3520">
      <w:pPr>
        <w:pStyle w:val="ListParagraph"/>
        <w:widowControl w:val="0"/>
        <w:numPr>
          <w:ilvl w:val="0"/>
          <w:numId w:val="1"/>
        </w:numPr>
        <w:ind w:hanging="720"/>
        <w:jc w:val="both"/>
        <w:rPr>
          <w:sz w:val="20"/>
          <w:szCs w:val="20"/>
        </w:rPr>
      </w:pPr>
      <w:r w:rsidRPr="006C2E01">
        <w:rPr>
          <w:i/>
          <w:sz w:val="20"/>
          <w:szCs w:val="20"/>
        </w:rPr>
        <w:t>Health Professions Review Board v. Alan Moore et al.</w:t>
      </w:r>
      <w:r w:rsidRPr="006C2E01">
        <w:rPr>
          <w:sz w:val="20"/>
          <w:szCs w:val="20"/>
        </w:rPr>
        <w:t xml:space="preserve"> (B.C.) (Civil) (By Leave)</w:t>
      </w:r>
      <w:r w:rsidRPr="00940CAD">
        <w:rPr>
          <w:sz w:val="20"/>
          <w:szCs w:val="20"/>
        </w:rPr>
        <w:t xml:space="preserve"> </w:t>
      </w:r>
      <w:r w:rsidR="00CB3520" w:rsidRPr="00940CAD">
        <w:rPr>
          <w:sz w:val="20"/>
          <w:szCs w:val="20"/>
        </w:rPr>
        <w:t>(3</w:t>
      </w:r>
      <w:r>
        <w:rPr>
          <w:sz w:val="20"/>
          <w:szCs w:val="20"/>
        </w:rPr>
        <w:t>6272</w:t>
      </w:r>
      <w:r w:rsidR="00CB3520" w:rsidRPr="00940CAD">
        <w:rPr>
          <w:sz w:val="20"/>
          <w:szCs w:val="20"/>
        </w:rPr>
        <w:t>)</w:t>
      </w:r>
    </w:p>
    <w:p w:rsidR="00CB3520" w:rsidRPr="00C50A5C" w:rsidRDefault="00CB3520" w:rsidP="00CB3520">
      <w:pPr>
        <w:widowControl w:val="0"/>
        <w:rPr>
          <w:sz w:val="20"/>
          <w:szCs w:val="20"/>
        </w:rPr>
      </w:pPr>
    </w:p>
    <w:p w:rsidR="00CB3520" w:rsidRPr="00C50A5C" w:rsidRDefault="006C2E01" w:rsidP="00CB3520">
      <w:pPr>
        <w:pStyle w:val="ListParagraph"/>
        <w:widowControl w:val="0"/>
        <w:numPr>
          <w:ilvl w:val="0"/>
          <w:numId w:val="1"/>
        </w:numPr>
        <w:ind w:hanging="720"/>
        <w:jc w:val="both"/>
        <w:rPr>
          <w:sz w:val="20"/>
          <w:szCs w:val="20"/>
        </w:rPr>
      </w:pPr>
      <w:r w:rsidRPr="006C2E01">
        <w:rPr>
          <w:i/>
          <w:sz w:val="20"/>
          <w:szCs w:val="20"/>
        </w:rPr>
        <w:t>Workers</w:t>
      </w:r>
      <w:r w:rsidR="00AD1F32">
        <w:rPr>
          <w:i/>
          <w:sz w:val="20"/>
          <w:szCs w:val="20"/>
        </w:rPr>
        <w:t>’</w:t>
      </w:r>
      <w:r w:rsidRPr="006C2E01">
        <w:rPr>
          <w:i/>
          <w:sz w:val="20"/>
          <w:szCs w:val="20"/>
        </w:rPr>
        <w:t xml:space="preserve"> Compensation Appeal Tribunal et al. v. Fraser Health Authority et al.</w:t>
      </w:r>
      <w:r w:rsidRPr="006C2E01">
        <w:rPr>
          <w:sz w:val="20"/>
          <w:szCs w:val="20"/>
        </w:rPr>
        <w:t xml:space="preserve"> (B.C.) (Civil) (By Leave)</w:t>
      </w:r>
      <w:r w:rsidRPr="00C50A5C">
        <w:rPr>
          <w:sz w:val="20"/>
          <w:szCs w:val="20"/>
        </w:rPr>
        <w:t xml:space="preserve"> </w:t>
      </w:r>
      <w:r w:rsidR="00CB3520" w:rsidRPr="00C50A5C">
        <w:rPr>
          <w:sz w:val="20"/>
          <w:szCs w:val="20"/>
        </w:rPr>
        <w:t>(3</w:t>
      </w:r>
      <w:r w:rsidR="00CB3520">
        <w:rPr>
          <w:sz w:val="20"/>
          <w:szCs w:val="20"/>
        </w:rPr>
        <w:t>6</w:t>
      </w:r>
      <w:r>
        <w:rPr>
          <w:sz w:val="20"/>
          <w:szCs w:val="20"/>
        </w:rPr>
        <w:t>3</w:t>
      </w:r>
      <w:r w:rsidR="00CB3520">
        <w:rPr>
          <w:sz w:val="20"/>
          <w:szCs w:val="20"/>
        </w:rPr>
        <w:t>0</w:t>
      </w:r>
      <w:r>
        <w:rPr>
          <w:sz w:val="20"/>
          <w:szCs w:val="20"/>
        </w:rPr>
        <w:t>0</w:t>
      </w:r>
      <w:r w:rsidR="00CB3520" w:rsidRPr="00C50A5C">
        <w:rPr>
          <w:sz w:val="20"/>
          <w:szCs w:val="20"/>
        </w:rPr>
        <w:t>)</w:t>
      </w:r>
    </w:p>
    <w:p w:rsidR="00CB3520" w:rsidRDefault="00CB3520" w:rsidP="00CB3520">
      <w:pPr>
        <w:widowControl w:val="0"/>
        <w:jc w:val="both"/>
        <w:rPr>
          <w:sz w:val="20"/>
          <w:szCs w:val="20"/>
        </w:rPr>
      </w:pPr>
    </w:p>
    <w:p w:rsidR="006C2E01" w:rsidRDefault="006C2E01" w:rsidP="00CB3520">
      <w:pPr>
        <w:widowControl w:val="0"/>
        <w:jc w:val="both"/>
        <w:rPr>
          <w:sz w:val="20"/>
          <w:szCs w:val="20"/>
        </w:rPr>
      </w:pPr>
    </w:p>
    <w:p w:rsidR="006C2E01" w:rsidRPr="00C50A5C" w:rsidRDefault="006C2E01" w:rsidP="006C2E01">
      <w:pPr>
        <w:widowControl w:val="0"/>
        <w:jc w:val="center"/>
        <w:rPr>
          <w:b/>
          <w:sz w:val="20"/>
          <w:szCs w:val="20"/>
        </w:rPr>
      </w:pPr>
      <w:r w:rsidRPr="00C50A5C">
        <w:rPr>
          <w:b/>
          <w:sz w:val="20"/>
          <w:szCs w:val="20"/>
        </w:rPr>
        <w:t xml:space="preserve">CORAM: </w:t>
      </w:r>
      <w:r>
        <w:rPr>
          <w:b/>
          <w:sz w:val="20"/>
          <w:szCs w:val="20"/>
        </w:rPr>
        <w:t>Rothstein,</w:t>
      </w:r>
      <w:r w:rsidRPr="00C50A5C">
        <w:rPr>
          <w:b/>
          <w:sz w:val="20"/>
          <w:szCs w:val="20"/>
        </w:rPr>
        <w:t xml:space="preserve"> </w:t>
      </w:r>
      <w:r>
        <w:rPr>
          <w:b/>
          <w:sz w:val="20"/>
          <w:szCs w:val="20"/>
        </w:rPr>
        <w:t xml:space="preserve">Cromwell </w:t>
      </w:r>
      <w:r w:rsidRPr="00C50A5C">
        <w:rPr>
          <w:b/>
          <w:sz w:val="20"/>
          <w:szCs w:val="20"/>
        </w:rPr>
        <w:t xml:space="preserve">and </w:t>
      </w:r>
      <w:r>
        <w:rPr>
          <w:b/>
          <w:sz w:val="20"/>
          <w:szCs w:val="20"/>
        </w:rPr>
        <w:t>Moldaver</w:t>
      </w:r>
      <w:r w:rsidRPr="00C50A5C">
        <w:rPr>
          <w:b/>
          <w:sz w:val="20"/>
          <w:szCs w:val="20"/>
        </w:rPr>
        <w:t xml:space="preserve"> JJ.</w:t>
      </w:r>
    </w:p>
    <w:p w:rsidR="006C2E01" w:rsidRPr="00C50A5C" w:rsidRDefault="006C2E01" w:rsidP="006C2E01">
      <w:pPr>
        <w:widowControl w:val="0"/>
        <w:jc w:val="center"/>
        <w:rPr>
          <w:b/>
          <w:sz w:val="20"/>
          <w:szCs w:val="20"/>
          <w:lang w:val="fr-CA"/>
        </w:rPr>
      </w:pPr>
      <w:r w:rsidRPr="00C50A5C">
        <w:rPr>
          <w:b/>
          <w:sz w:val="20"/>
          <w:szCs w:val="20"/>
          <w:lang w:val="fr-CA"/>
        </w:rPr>
        <w:t xml:space="preserve">Les juges </w:t>
      </w:r>
      <w:r>
        <w:rPr>
          <w:b/>
          <w:sz w:val="20"/>
          <w:szCs w:val="20"/>
          <w:lang w:val="fr-CA"/>
        </w:rPr>
        <w:t>Rothstein</w:t>
      </w:r>
      <w:r w:rsidRPr="00C50A5C">
        <w:rPr>
          <w:b/>
          <w:sz w:val="20"/>
          <w:szCs w:val="20"/>
          <w:lang w:val="fr-CA"/>
        </w:rPr>
        <w:t xml:space="preserve">, </w:t>
      </w:r>
      <w:r>
        <w:rPr>
          <w:b/>
          <w:sz w:val="20"/>
          <w:szCs w:val="20"/>
          <w:lang w:val="fr-CA"/>
        </w:rPr>
        <w:t xml:space="preserve">Cromwell </w:t>
      </w:r>
      <w:r w:rsidRPr="00C50A5C">
        <w:rPr>
          <w:b/>
          <w:sz w:val="20"/>
          <w:szCs w:val="20"/>
          <w:lang w:val="fr-CA"/>
        </w:rPr>
        <w:t xml:space="preserve">et </w:t>
      </w:r>
      <w:r>
        <w:rPr>
          <w:b/>
          <w:sz w:val="20"/>
          <w:szCs w:val="20"/>
          <w:lang w:val="fr-CA"/>
        </w:rPr>
        <w:t>Moldaver</w:t>
      </w:r>
    </w:p>
    <w:p w:rsidR="006C2E01" w:rsidRPr="006C2E01" w:rsidRDefault="006C2E01" w:rsidP="00CB3520">
      <w:pPr>
        <w:widowControl w:val="0"/>
        <w:jc w:val="both"/>
        <w:rPr>
          <w:sz w:val="20"/>
          <w:szCs w:val="20"/>
          <w:lang w:val="fr-CA"/>
        </w:rPr>
      </w:pPr>
    </w:p>
    <w:p w:rsidR="00CB3520" w:rsidRPr="009C5D38" w:rsidRDefault="006C2E01" w:rsidP="00CB3520">
      <w:pPr>
        <w:pStyle w:val="ListParagraph"/>
        <w:widowControl w:val="0"/>
        <w:numPr>
          <w:ilvl w:val="0"/>
          <w:numId w:val="1"/>
        </w:numPr>
        <w:ind w:hanging="720"/>
        <w:jc w:val="both"/>
        <w:rPr>
          <w:sz w:val="20"/>
          <w:szCs w:val="20"/>
        </w:rPr>
      </w:pPr>
      <w:r w:rsidRPr="006C2E01">
        <w:rPr>
          <w:i/>
          <w:sz w:val="20"/>
          <w:szCs w:val="20"/>
        </w:rPr>
        <w:t>Brian Leigh Flanagan v. Attorney General of Canada et al.</w:t>
      </w:r>
      <w:r w:rsidRPr="006C2E01">
        <w:rPr>
          <w:sz w:val="20"/>
          <w:szCs w:val="20"/>
        </w:rPr>
        <w:t xml:space="preserve"> (B.C.) (Civil) (By Leave)</w:t>
      </w:r>
      <w:r w:rsidRPr="009C5D38">
        <w:rPr>
          <w:sz w:val="20"/>
          <w:szCs w:val="20"/>
        </w:rPr>
        <w:t xml:space="preserve"> </w:t>
      </w:r>
      <w:r w:rsidR="00CB3520" w:rsidRPr="009C5D38">
        <w:rPr>
          <w:sz w:val="20"/>
          <w:szCs w:val="20"/>
        </w:rPr>
        <w:t>(3631</w:t>
      </w:r>
      <w:r>
        <w:rPr>
          <w:sz w:val="20"/>
          <w:szCs w:val="20"/>
        </w:rPr>
        <w:t>6</w:t>
      </w:r>
      <w:r w:rsidR="00CB3520" w:rsidRPr="009C5D38">
        <w:rPr>
          <w:sz w:val="20"/>
          <w:szCs w:val="20"/>
        </w:rPr>
        <w:t>)</w:t>
      </w:r>
    </w:p>
    <w:p w:rsidR="00CB3520" w:rsidRPr="006C2E01" w:rsidRDefault="00CB3520" w:rsidP="00CB3520">
      <w:pPr>
        <w:widowControl w:val="0"/>
        <w:jc w:val="both"/>
        <w:rPr>
          <w:sz w:val="20"/>
          <w:szCs w:val="20"/>
        </w:rPr>
      </w:pPr>
    </w:p>
    <w:p w:rsidR="00CB3520" w:rsidRPr="006C2E01" w:rsidRDefault="006C2E01" w:rsidP="00CB3520">
      <w:pPr>
        <w:pStyle w:val="ListParagraph"/>
        <w:widowControl w:val="0"/>
        <w:numPr>
          <w:ilvl w:val="0"/>
          <w:numId w:val="1"/>
        </w:numPr>
        <w:ind w:hanging="720"/>
        <w:jc w:val="both"/>
        <w:rPr>
          <w:sz w:val="20"/>
          <w:szCs w:val="20"/>
        </w:rPr>
      </w:pPr>
      <w:r w:rsidRPr="006C2E01">
        <w:rPr>
          <w:i/>
          <w:sz w:val="20"/>
          <w:szCs w:val="20"/>
          <w:lang w:val="fr-CA"/>
        </w:rPr>
        <w:t>Anna Dibiase v. Michele Dibiase</w:t>
      </w:r>
      <w:r w:rsidRPr="006C2E01">
        <w:rPr>
          <w:sz w:val="20"/>
          <w:szCs w:val="20"/>
          <w:lang w:val="fr-CA"/>
        </w:rPr>
        <w:t xml:space="preserve"> (Ont.) </w:t>
      </w:r>
      <w:r w:rsidRPr="006C2E01">
        <w:rPr>
          <w:sz w:val="20"/>
          <w:szCs w:val="20"/>
        </w:rPr>
        <w:t xml:space="preserve">(Civil) (By Leave) </w:t>
      </w:r>
      <w:r w:rsidR="00CB3520" w:rsidRPr="006C2E01">
        <w:rPr>
          <w:sz w:val="20"/>
          <w:szCs w:val="20"/>
        </w:rPr>
        <w:t>(363</w:t>
      </w:r>
      <w:r w:rsidRPr="006C2E01">
        <w:rPr>
          <w:sz w:val="20"/>
          <w:szCs w:val="20"/>
        </w:rPr>
        <w:t>02</w:t>
      </w:r>
      <w:r w:rsidR="00CB3520" w:rsidRPr="006C2E01">
        <w:rPr>
          <w:sz w:val="20"/>
          <w:szCs w:val="20"/>
        </w:rPr>
        <w:t>)</w:t>
      </w:r>
    </w:p>
    <w:p w:rsidR="002E2327" w:rsidRPr="00CB3520" w:rsidRDefault="002E2327" w:rsidP="002E2327">
      <w:pPr>
        <w:widowControl w:val="0"/>
        <w:rPr>
          <w:sz w:val="20"/>
          <w:szCs w:val="20"/>
        </w:rPr>
      </w:pPr>
    </w:p>
    <w:p w:rsidR="002E2327" w:rsidRDefault="005B3B50" w:rsidP="002E2327">
      <w:pPr>
        <w:widowControl w:val="0"/>
        <w:rPr>
          <w:sz w:val="20"/>
          <w:szCs w:val="20"/>
        </w:rPr>
      </w:pPr>
      <w:r>
        <w:rPr>
          <w:sz w:val="20"/>
          <w:szCs w:val="20"/>
        </w:rPr>
        <w:pict>
          <v:rect id="_x0000_i1041" style="width:2in;height:1pt" o:hrpct="0" o:hralign="center" o:hrstd="t" o:hrnoshade="t" o:hr="t" fillcolor="black [3213]" stroked="f"/>
        </w:pict>
      </w: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32989" w:rsidRPr="00D229C1" w:rsidTr="00BA6468">
        <w:tc>
          <w:tcPr>
            <w:tcW w:w="4200" w:type="dxa"/>
            <w:tcMar>
              <w:left w:w="0" w:type="dxa"/>
              <w:right w:w="0" w:type="dxa"/>
            </w:tcMar>
          </w:tcPr>
          <w:p w:rsidR="00432989" w:rsidRPr="001D0D5F" w:rsidRDefault="00432989" w:rsidP="00432989">
            <w:pPr>
              <w:keepNext/>
              <w:keepLines/>
              <w:jc w:val="both"/>
              <w:rPr>
                <w:b/>
                <w:szCs w:val="24"/>
              </w:rPr>
            </w:pPr>
            <w:bookmarkStart w:id="1" w:name="QuickMark_1"/>
            <w:bookmarkEnd w:id="1"/>
            <w:r w:rsidRPr="001D0D5F">
              <w:rPr>
                <w:b/>
                <w:szCs w:val="24"/>
              </w:rPr>
              <w:lastRenderedPageBreak/>
              <w:t>ORAL HEARING ON APPLICATIONS FOR LEAVE</w:t>
            </w:r>
          </w:p>
        </w:tc>
        <w:tc>
          <w:tcPr>
            <w:tcW w:w="1200" w:type="dxa"/>
            <w:tcMar>
              <w:left w:w="0" w:type="dxa"/>
              <w:right w:w="0" w:type="dxa"/>
            </w:tcMar>
          </w:tcPr>
          <w:p w:rsidR="00432989" w:rsidRPr="001D0D5F" w:rsidRDefault="00432989" w:rsidP="00C50A5C">
            <w:pPr>
              <w:keepNext/>
              <w:keepLines/>
              <w:jc w:val="center"/>
              <w:rPr>
                <w:b/>
                <w:szCs w:val="24"/>
              </w:rPr>
            </w:pPr>
          </w:p>
          <w:p w:rsidR="00C50A5C" w:rsidRPr="001D0D5F" w:rsidRDefault="00C50A5C" w:rsidP="00C50A5C">
            <w:pPr>
              <w:keepNext/>
              <w:keepLines/>
              <w:jc w:val="center"/>
              <w:rPr>
                <w:b/>
                <w:szCs w:val="24"/>
              </w:rPr>
            </w:pPr>
          </w:p>
          <w:p w:rsidR="00C50A5C" w:rsidRPr="001D0D5F" w:rsidRDefault="00C50A5C" w:rsidP="00C50A5C">
            <w:pPr>
              <w:keepNext/>
              <w:keepLines/>
              <w:jc w:val="center"/>
              <w:rPr>
                <w:b/>
                <w:szCs w:val="24"/>
              </w:rPr>
            </w:pPr>
          </w:p>
        </w:tc>
        <w:tc>
          <w:tcPr>
            <w:tcW w:w="4080" w:type="dxa"/>
            <w:tcMar>
              <w:left w:w="0" w:type="dxa"/>
              <w:right w:w="0" w:type="dxa"/>
            </w:tcMar>
          </w:tcPr>
          <w:p w:rsidR="00432989" w:rsidRPr="001D0D5F" w:rsidRDefault="00432989" w:rsidP="00432989">
            <w:pPr>
              <w:keepNext/>
              <w:keepLines/>
              <w:jc w:val="both"/>
              <w:rPr>
                <w:b/>
                <w:szCs w:val="24"/>
                <w:lang w:val="fr-CA"/>
              </w:rPr>
            </w:pPr>
            <w:r w:rsidRPr="001D0D5F">
              <w:rPr>
                <w:b/>
                <w:szCs w:val="24"/>
                <w:lang w:val="fr-CA"/>
              </w:rPr>
              <w:t>AUDIENCE SUR LES DEMANDES D’AUTORISATION</w:t>
            </w:r>
          </w:p>
        </w:tc>
      </w:tr>
    </w:tbl>
    <w:p w:rsidR="00432989" w:rsidRPr="00C50A5C" w:rsidRDefault="00432989" w:rsidP="00432989">
      <w:pPr>
        <w:rPr>
          <w:sz w:val="20"/>
          <w:szCs w:val="20"/>
          <w:lang w:val="fr-CA"/>
        </w:rPr>
      </w:pPr>
    </w:p>
    <w:p w:rsidR="00935056" w:rsidRPr="00FA4CDE" w:rsidRDefault="00935056" w:rsidP="00935056">
      <w:pPr>
        <w:widowControl w:val="0"/>
        <w:rPr>
          <w:rFonts w:eastAsia="Times New Roman" w:cs="Times New Roman"/>
          <w:sz w:val="20"/>
          <w:szCs w:val="20"/>
          <w:lang w:val="en-US" w:eastAsia="en-CA"/>
        </w:rPr>
      </w:pPr>
      <w:r w:rsidRPr="00FA4CDE">
        <w:rPr>
          <w:rFonts w:eastAsia="Times New Roman" w:cs="Times New Roman"/>
          <w:sz w:val="20"/>
          <w:szCs w:val="20"/>
          <w:lang w:val="en-US" w:eastAsia="en-CA"/>
        </w:rPr>
        <w:t>1</w:t>
      </w:r>
      <w:r w:rsidR="00A95003">
        <w:rPr>
          <w:rFonts w:eastAsia="Times New Roman" w:cs="Times New Roman"/>
          <w:sz w:val="20"/>
          <w:szCs w:val="20"/>
          <w:lang w:val="en-US" w:eastAsia="en-CA"/>
        </w:rPr>
        <w:t>1</w:t>
      </w:r>
      <w:r w:rsidRPr="00FA4CDE">
        <w:rPr>
          <w:rFonts w:eastAsia="Times New Roman" w:cs="Times New Roman"/>
          <w:sz w:val="20"/>
          <w:szCs w:val="20"/>
          <w:lang w:val="en-US" w:eastAsia="en-CA"/>
        </w:rPr>
        <w:t>.05.201</w:t>
      </w:r>
      <w:r w:rsidR="00A95003">
        <w:rPr>
          <w:rFonts w:eastAsia="Times New Roman" w:cs="Times New Roman"/>
          <w:sz w:val="20"/>
          <w:szCs w:val="20"/>
          <w:lang w:val="en-US" w:eastAsia="en-CA"/>
        </w:rPr>
        <w:t>5</w:t>
      </w:r>
    </w:p>
    <w:p w:rsidR="00935056" w:rsidRDefault="00935056" w:rsidP="00935056">
      <w:pPr>
        <w:widowControl w:val="0"/>
        <w:rPr>
          <w:rFonts w:eastAsia="Times New Roman" w:cs="Times New Roman"/>
          <w:sz w:val="20"/>
          <w:szCs w:val="20"/>
          <w:lang w:val="en-US" w:eastAsia="en-CA"/>
        </w:rPr>
      </w:pPr>
    </w:p>
    <w:p w:rsidR="00935056" w:rsidRPr="0025101E" w:rsidRDefault="00935056" w:rsidP="00935056">
      <w:pPr>
        <w:widowControl w:val="0"/>
        <w:ind w:left="720" w:hanging="720"/>
        <w:rPr>
          <w:rFonts w:eastAsia="Calibri" w:cs="Times New Roman"/>
          <w:sz w:val="20"/>
          <w:szCs w:val="20"/>
          <w:u w:val="single"/>
        </w:rPr>
      </w:pPr>
      <w:r w:rsidRPr="0025101E">
        <w:rPr>
          <w:rFonts w:eastAsia="Calibri" w:cs="Times New Roman"/>
          <w:sz w:val="20"/>
          <w:szCs w:val="20"/>
        </w:rPr>
        <w:t xml:space="preserve">Coram: </w:t>
      </w:r>
      <w:r w:rsidRPr="0025101E">
        <w:rPr>
          <w:rFonts w:eastAsia="Calibri" w:cs="Times New Roman"/>
          <w:sz w:val="20"/>
          <w:szCs w:val="20"/>
        </w:rPr>
        <w:tab/>
      </w:r>
      <w:r w:rsidRPr="0025101E">
        <w:rPr>
          <w:rFonts w:eastAsia="Calibri" w:cs="Times New Roman"/>
          <w:sz w:val="20"/>
          <w:szCs w:val="20"/>
          <w:u w:val="single"/>
        </w:rPr>
        <w:t xml:space="preserve">McLachlin C.J. and </w:t>
      </w:r>
      <w:r>
        <w:rPr>
          <w:rFonts w:eastAsia="Calibri" w:cs="Times New Roman"/>
          <w:sz w:val="20"/>
          <w:szCs w:val="20"/>
          <w:u w:val="single"/>
        </w:rPr>
        <w:t xml:space="preserve">Wagner </w:t>
      </w:r>
      <w:r w:rsidRPr="0025101E">
        <w:rPr>
          <w:rFonts w:eastAsia="Calibri" w:cs="Times New Roman"/>
          <w:sz w:val="20"/>
          <w:szCs w:val="20"/>
          <w:u w:val="single"/>
        </w:rPr>
        <w:t xml:space="preserve">and </w:t>
      </w:r>
      <w:r>
        <w:rPr>
          <w:rFonts w:eastAsia="Calibri" w:cs="Times New Roman"/>
          <w:sz w:val="20"/>
          <w:szCs w:val="20"/>
          <w:u w:val="single"/>
        </w:rPr>
        <w:t>Gast</w:t>
      </w:r>
      <w:r w:rsidRPr="0025101E">
        <w:rPr>
          <w:rFonts w:eastAsia="Calibri" w:cs="Times New Roman"/>
          <w:sz w:val="20"/>
          <w:szCs w:val="20"/>
          <w:u w:val="single"/>
        </w:rPr>
        <w:t>o</w:t>
      </w:r>
      <w:r>
        <w:rPr>
          <w:rFonts w:eastAsia="Calibri" w:cs="Times New Roman"/>
          <w:sz w:val="20"/>
          <w:szCs w:val="20"/>
          <w:u w:val="single"/>
        </w:rPr>
        <w:t>n</w:t>
      </w:r>
      <w:r w:rsidRPr="0025101E">
        <w:rPr>
          <w:rFonts w:eastAsia="Calibri" w:cs="Times New Roman"/>
          <w:sz w:val="20"/>
          <w:szCs w:val="20"/>
          <w:u w:val="single"/>
        </w:rPr>
        <w:t xml:space="preserve"> JJ.</w:t>
      </w:r>
    </w:p>
    <w:p w:rsidR="00935056" w:rsidRPr="001A42A9" w:rsidRDefault="00935056" w:rsidP="00935056">
      <w:pPr>
        <w:widowControl w:val="0"/>
        <w:rPr>
          <w:rFonts w:eastAsia="Times New Roman" w:cs="Times New Roman"/>
          <w:sz w:val="20"/>
          <w:szCs w:val="20"/>
          <w:lang w:eastAsia="en-CA"/>
        </w:rPr>
      </w:pPr>
    </w:p>
    <w:tbl>
      <w:tblPr>
        <w:tblW w:w="0" w:type="auto"/>
        <w:tblLayout w:type="fixed"/>
        <w:tblCellMar>
          <w:left w:w="0" w:type="dxa"/>
          <w:right w:w="0" w:type="dxa"/>
        </w:tblCellMar>
        <w:tblLook w:val="0000" w:firstRow="0" w:lastRow="0" w:firstColumn="0" w:lastColumn="0" w:noHBand="0" w:noVBand="0"/>
      </w:tblPr>
      <w:tblGrid>
        <w:gridCol w:w="4410"/>
        <w:gridCol w:w="720"/>
        <w:gridCol w:w="4350"/>
      </w:tblGrid>
      <w:tr w:rsidR="00935056" w:rsidRPr="00A95003" w:rsidTr="00935056">
        <w:tc>
          <w:tcPr>
            <w:tcW w:w="4410" w:type="dxa"/>
            <w:tcMar>
              <w:left w:w="0" w:type="dxa"/>
              <w:right w:w="0" w:type="dxa"/>
            </w:tcMar>
          </w:tcPr>
          <w:p w:rsidR="00935056" w:rsidRPr="00FA4CDE" w:rsidRDefault="00716FEF" w:rsidP="00716FEF">
            <w:pPr>
              <w:widowControl w:val="0"/>
              <w:jc w:val="both"/>
              <w:rPr>
                <w:rFonts w:eastAsia="Times New Roman" w:cs="Times New Roman"/>
                <w:b/>
                <w:sz w:val="20"/>
                <w:szCs w:val="20"/>
                <w:lang w:val="en-US" w:eastAsia="en-CA"/>
              </w:rPr>
            </w:pPr>
            <w:r>
              <w:rPr>
                <w:rFonts w:eastAsia="Times New Roman" w:cs="Times New Roman"/>
                <w:b/>
                <w:sz w:val="20"/>
                <w:szCs w:val="20"/>
                <w:lang w:val="en-US" w:eastAsia="en-CA"/>
              </w:rPr>
              <w:t>Motion heard</w:t>
            </w:r>
          </w:p>
        </w:tc>
        <w:tc>
          <w:tcPr>
            <w:tcW w:w="720" w:type="dxa"/>
            <w:tcMar>
              <w:left w:w="0" w:type="dxa"/>
              <w:right w:w="0" w:type="dxa"/>
            </w:tcMar>
          </w:tcPr>
          <w:p w:rsidR="00935056" w:rsidRPr="00FA4CDE" w:rsidRDefault="00935056" w:rsidP="00935056">
            <w:pPr>
              <w:widowControl w:val="0"/>
              <w:jc w:val="center"/>
              <w:rPr>
                <w:rFonts w:eastAsia="Times New Roman" w:cs="Times New Roman"/>
                <w:sz w:val="20"/>
                <w:szCs w:val="20"/>
                <w:lang w:val="en-US" w:eastAsia="en-CA"/>
              </w:rPr>
            </w:pPr>
          </w:p>
          <w:p w:rsidR="00935056" w:rsidRPr="00FA4CDE" w:rsidRDefault="00935056" w:rsidP="00935056">
            <w:pPr>
              <w:widowControl w:val="0"/>
              <w:jc w:val="center"/>
              <w:rPr>
                <w:rFonts w:eastAsia="Times New Roman" w:cs="Times New Roman"/>
                <w:sz w:val="20"/>
                <w:szCs w:val="20"/>
                <w:lang w:val="en-US" w:eastAsia="en-CA"/>
              </w:rPr>
            </w:pPr>
          </w:p>
        </w:tc>
        <w:tc>
          <w:tcPr>
            <w:tcW w:w="4350" w:type="dxa"/>
            <w:tcMar>
              <w:left w:w="0" w:type="dxa"/>
              <w:right w:w="0" w:type="dxa"/>
            </w:tcMar>
          </w:tcPr>
          <w:p w:rsidR="00935056" w:rsidRPr="00FA4CDE" w:rsidRDefault="00716FEF" w:rsidP="00716FEF">
            <w:pPr>
              <w:widowControl w:val="0"/>
              <w:jc w:val="both"/>
              <w:rPr>
                <w:rFonts w:eastAsia="Times New Roman" w:cs="Times New Roman"/>
                <w:b/>
                <w:sz w:val="20"/>
                <w:szCs w:val="20"/>
                <w:lang w:val="fr-CA" w:eastAsia="en-CA"/>
              </w:rPr>
            </w:pPr>
            <w:r>
              <w:rPr>
                <w:rFonts w:eastAsia="Times New Roman" w:cs="Times New Roman"/>
                <w:b/>
                <w:sz w:val="20"/>
                <w:szCs w:val="20"/>
                <w:lang w:val="fr-CA" w:eastAsia="en-CA"/>
              </w:rPr>
              <w:t xml:space="preserve">Requête </w:t>
            </w:r>
            <w:r w:rsidR="00935056">
              <w:rPr>
                <w:rFonts w:eastAsia="Times New Roman" w:cs="Times New Roman"/>
                <w:b/>
                <w:sz w:val="20"/>
                <w:szCs w:val="20"/>
                <w:lang w:val="fr-CA" w:eastAsia="en-CA"/>
              </w:rPr>
              <w:t>en</w:t>
            </w:r>
            <w:r>
              <w:rPr>
                <w:rFonts w:eastAsia="Times New Roman" w:cs="Times New Roman"/>
                <w:b/>
                <w:sz w:val="20"/>
                <w:szCs w:val="20"/>
                <w:lang w:val="fr-CA" w:eastAsia="en-CA"/>
              </w:rPr>
              <w:t>tendue</w:t>
            </w:r>
          </w:p>
        </w:tc>
      </w:tr>
      <w:tr w:rsidR="00935056" w:rsidRPr="00FA4CDE" w:rsidTr="00935056">
        <w:tc>
          <w:tcPr>
            <w:tcW w:w="4410" w:type="dxa"/>
            <w:tcMar>
              <w:left w:w="0" w:type="dxa"/>
              <w:right w:w="0" w:type="dxa"/>
            </w:tcMar>
          </w:tcPr>
          <w:p w:rsidR="00935056" w:rsidRPr="00A95003" w:rsidRDefault="00935056" w:rsidP="00935056">
            <w:pPr>
              <w:widowControl w:val="0"/>
              <w:jc w:val="both"/>
              <w:rPr>
                <w:rFonts w:eastAsia="Times New Roman" w:cs="Times New Roman"/>
                <w:sz w:val="20"/>
                <w:szCs w:val="20"/>
                <w:lang w:eastAsia="en-CA"/>
              </w:rPr>
            </w:pPr>
            <w:r w:rsidRPr="00A95003">
              <w:rPr>
                <w:sz w:val="20"/>
                <w:szCs w:val="20"/>
              </w:rPr>
              <w:t xml:space="preserve">Canadian Pacific Railway Company </w:t>
            </w:r>
          </w:p>
          <w:p w:rsidR="00935056" w:rsidRPr="00790D88" w:rsidRDefault="00935056" w:rsidP="00935056">
            <w:pPr>
              <w:widowControl w:val="0"/>
              <w:jc w:val="both"/>
              <w:rPr>
                <w:rFonts w:eastAsia="Times New Roman" w:cs="Times New Roman"/>
                <w:sz w:val="20"/>
                <w:szCs w:val="20"/>
                <w:lang w:eastAsia="en-CA"/>
              </w:rPr>
            </w:pPr>
          </w:p>
          <w:p w:rsidR="00935056" w:rsidRPr="00FA4CDE" w:rsidRDefault="00935056" w:rsidP="00935056">
            <w:pPr>
              <w:widowControl w:val="0"/>
              <w:tabs>
                <w:tab w:val="left" w:pos="736"/>
              </w:tabs>
              <w:jc w:val="both"/>
              <w:rPr>
                <w:rFonts w:eastAsia="Times New Roman" w:cs="Times New Roman"/>
                <w:sz w:val="20"/>
                <w:szCs w:val="20"/>
                <w:lang w:val="en-US" w:eastAsia="en-CA"/>
              </w:rPr>
            </w:pPr>
            <w:r w:rsidRPr="00790D88">
              <w:rPr>
                <w:rFonts w:eastAsia="Times New Roman" w:cs="Times New Roman"/>
                <w:sz w:val="20"/>
                <w:szCs w:val="20"/>
                <w:lang w:eastAsia="en-CA"/>
              </w:rPr>
              <w:tab/>
            </w:r>
            <w:r w:rsidRPr="00A95003">
              <w:rPr>
                <w:rFonts w:eastAsia="Times New Roman" w:cs="Times New Roman"/>
                <w:sz w:val="20"/>
                <w:szCs w:val="20"/>
                <w:lang w:val="en-US" w:eastAsia="en-CA"/>
              </w:rPr>
              <w:t>v.</w:t>
            </w:r>
            <w:r w:rsidRPr="00FA4CDE">
              <w:rPr>
                <w:rFonts w:eastAsia="Times New Roman" w:cs="Times New Roman"/>
                <w:sz w:val="20"/>
                <w:szCs w:val="20"/>
                <w:lang w:val="en-US" w:eastAsia="en-CA"/>
              </w:rPr>
              <w:t xml:space="preserve"> </w:t>
            </w:r>
            <w:r w:rsidR="00A95003" w:rsidRPr="00FA0B85">
              <w:rPr>
                <w:sz w:val="20"/>
                <w:szCs w:val="20"/>
              </w:rPr>
              <w:t>(</w:t>
            </w:r>
            <w:hyperlink r:id="rId24" w:history="1">
              <w:r w:rsidR="00A95003" w:rsidRPr="00FA0B85">
                <w:rPr>
                  <w:rStyle w:val="Hyperlink"/>
                  <w:sz w:val="20"/>
                  <w:szCs w:val="20"/>
                </w:rPr>
                <w:t>36223</w:t>
              </w:r>
            </w:hyperlink>
            <w:r w:rsidR="00A95003" w:rsidRPr="00FA0B85">
              <w:rPr>
                <w:sz w:val="20"/>
                <w:szCs w:val="20"/>
              </w:rPr>
              <w:t>)</w:t>
            </w:r>
          </w:p>
          <w:p w:rsidR="00935056" w:rsidRPr="00FA4CDE" w:rsidRDefault="00935056" w:rsidP="00935056">
            <w:pPr>
              <w:widowControl w:val="0"/>
              <w:jc w:val="both"/>
              <w:rPr>
                <w:rFonts w:eastAsia="Times New Roman" w:cs="Times New Roman"/>
                <w:sz w:val="20"/>
                <w:szCs w:val="20"/>
                <w:lang w:val="en-US" w:eastAsia="en-CA"/>
              </w:rPr>
            </w:pPr>
          </w:p>
          <w:p w:rsidR="00935056" w:rsidRPr="00A95003" w:rsidRDefault="00935056" w:rsidP="00935056">
            <w:pPr>
              <w:widowControl w:val="0"/>
              <w:jc w:val="both"/>
              <w:rPr>
                <w:rFonts w:eastAsia="Times New Roman" w:cs="Times New Roman"/>
                <w:sz w:val="20"/>
                <w:szCs w:val="20"/>
                <w:lang w:eastAsia="en-CA"/>
              </w:rPr>
            </w:pPr>
            <w:r w:rsidRPr="00A95003">
              <w:rPr>
                <w:sz w:val="20"/>
                <w:szCs w:val="20"/>
              </w:rPr>
              <w:t>Attorney General of Canada and Canadian Transportation Agency</w:t>
            </w:r>
            <w:r w:rsidRPr="00A95003">
              <w:rPr>
                <w:rFonts w:eastAsia="Times New Roman" w:cs="Times New Roman"/>
                <w:sz w:val="20"/>
                <w:szCs w:val="20"/>
                <w:lang w:val="en-US" w:eastAsia="en-CA"/>
              </w:rPr>
              <w:t xml:space="preserve"> (F.C.) (Civil) (By Leave)</w:t>
            </w:r>
          </w:p>
        </w:tc>
        <w:tc>
          <w:tcPr>
            <w:tcW w:w="720" w:type="dxa"/>
            <w:tcMar>
              <w:left w:w="0" w:type="dxa"/>
              <w:right w:w="0" w:type="dxa"/>
            </w:tcMar>
          </w:tcPr>
          <w:p w:rsidR="00935056" w:rsidRPr="00FA4CDE" w:rsidRDefault="00935056" w:rsidP="00935056">
            <w:pPr>
              <w:widowControl w:val="0"/>
              <w:jc w:val="center"/>
              <w:rPr>
                <w:rFonts w:eastAsia="Times New Roman" w:cs="Times New Roman"/>
                <w:sz w:val="20"/>
                <w:szCs w:val="20"/>
                <w:lang w:val="en-US" w:eastAsia="en-CA"/>
              </w:rPr>
            </w:pPr>
          </w:p>
        </w:tc>
        <w:tc>
          <w:tcPr>
            <w:tcW w:w="4350" w:type="dxa"/>
            <w:tcMar>
              <w:left w:w="0" w:type="dxa"/>
              <w:right w:w="0" w:type="dxa"/>
            </w:tcMar>
          </w:tcPr>
          <w:p w:rsidR="00A95003" w:rsidRDefault="00A95003" w:rsidP="00A95003">
            <w:pPr>
              <w:jc w:val="both"/>
              <w:rPr>
                <w:sz w:val="20"/>
                <w:szCs w:val="20"/>
              </w:rPr>
            </w:pPr>
            <w:r w:rsidRPr="009F30E4">
              <w:rPr>
                <w:sz w:val="20"/>
                <w:szCs w:val="20"/>
              </w:rPr>
              <w:t>Douglas C. Hodson, Q.C.</w:t>
            </w:r>
            <w:r>
              <w:rPr>
                <w:sz w:val="20"/>
                <w:szCs w:val="20"/>
              </w:rPr>
              <w:t xml:space="preserve"> and </w:t>
            </w:r>
            <w:r w:rsidRPr="009F30E4">
              <w:rPr>
                <w:sz w:val="20"/>
                <w:szCs w:val="20"/>
              </w:rPr>
              <w:t>Kristen MacDonald</w:t>
            </w:r>
            <w:r>
              <w:rPr>
                <w:sz w:val="20"/>
                <w:szCs w:val="20"/>
              </w:rPr>
              <w:t xml:space="preserve"> f</w:t>
            </w:r>
            <w:r w:rsidRPr="009F30E4">
              <w:rPr>
                <w:sz w:val="20"/>
                <w:szCs w:val="20"/>
              </w:rPr>
              <w:t xml:space="preserve">or the </w:t>
            </w:r>
            <w:r>
              <w:rPr>
                <w:sz w:val="20"/>
                <w:szCs w:val="20"/>
              </w:rPr>
              <w:t>a</w:t>
            </w:r>
            <w:r w:rsidRPr="009F30E4">
              <w:rPr>
                <w:sz w:val="20"/>
                <w:szCs w:val="20"/>
              </w:rPr>
              <w:t>pplicant</w:t>
            </w:r>
            <w:r>
              <w:rPr>
                <w:sz w:val="20"/>
                <w:szCs w:val="20"/>
              </w:rPr>
              <w:t>.</w:t>
            </w:r>
          </w:p>
          <w:p w:rsidR="00A95003" w:rsidRPr="009F30E4" w:rsidRDefault="00A95003" w:rsidP="00A95003">
            <w:pPr>
              <w:jc w:val="both"/>
              <w:rPr>
                <w:sz w:val="20"/>
                <w:szCs w:val="20"/>
              </w:rPr>
            </w:pPr>
          </w:p>
          <w:p w:rsidR="00A95003" w:rsidRPr="009F30E4" w:rsidRDefault="00A95003" w:rsidP="00A95003">
            <w:pPr>
              <w:jc w:val="both"/>
              <w:rPr>
                <w:sz w:val="20"/>
                <w:szCs w:val="20"/>
              </w:rPr>
            </w:pPr>
            <w:r w:rsidRPr="009F30E4">
              <w:rPr>
                <w:sz w:val="20"/>
                <w:szCs w:val="20"/>
              </w:rPr>
              <w:t>Christopher M. Rupar</w:t>
            </w:r>
            <w:r>
              <w:rPr>
                <w:sz w:val="20"/>
                <w:szCs w:val="20"/>
              </w:rPr>
              <w:t xml:space="preserve"> f</w:t>
            </w:r>
            <w:r w:rsidRPr="009F30E4">
              <w:rPr>
                <w:sz w:val="20"/>
                <w:szCs w:val="20"/>
              </w:rPr>
              <w:t xml:space="preserve">or the </w:t>
            </w:r>
            <w:r>
              <w:rPr>
                <w:sz w:val="20"/>
                <w:szCs w:val="20"/>
              </w:rPr>
              <w:t>r</w:t>
            </w:r>
            <w:r w:rsidRPr="009F30E4">
              <w:rPr>
                <w:sz w:val="20"/>
                <w:szCs w:val="20"/>
              </w:rPr>
              <w:t>espondent</w:t>
            </w:r>
            <w:r>
              <w:rPr>
                <w:sz w:val="20"/>
                <w:szCs w:val="20"/>
              </w:rPr>
              <w:t xml:space="preserve"> </w:t>
            </w:r>
            <w:r w:rsidRPr="009F30E4">
              <w:rPr>
                <w:sz w:val="20"/>
                <w:szCs w:val="20"/>
              </w:rPr>
              <w:t>Attorney General of Canada</w:t>
            </w:r>
            <w:r>
              <w:rPr>
                <w:sz w:val="20"/>
                <w:szCs w:val="20"/>
              </w:rPr>
              <w:t>.</w:t>
            </w:r>
          </w:p>
          <w:p w:rsidR="00A95003" w:rsidRPr="009F30E4" w:rsidRDefault="00A95003" w:rsidP="00A95003">
            <w:pPr>
              <w:jc w:val="both"/>
              <w:rPr>
                <w:sz w:val="20"/>
                <w:szCs w:val="20"/>
              </w:rPr>
            </w:pPr>
          </w:p>
          <w:p w:rsidR="00935056" w:rsidRPr="00FA4CDE" w:rsidRDefault="00A95003" w:rsidP="00A95003">
            <w:pPr>
              <w:jc w:val="both"/>
              <w:rPr>
                <w:rFonts w:eastAsia="Times New Roman" w:cs="Times New Roman"/>
                <w:sz w:val="20"/>
                <w:szCs w:val="20"/>
                <w:lang w:val="en-US" w:eastAsia="en-CA"/>
              </w:rPr>
            </w:pPr>
            <w:r w:rsidRPr="009F30E4">
              <w:rPr>
                <w:sz w:val="20"/>
                <w:szCs w:val="20"/>
              </w:rPr>
              <w:t>Valérie Lagacé</w:t>
            </w:r>
            <w:r>
              <w:rPr>
                <w:sz w:val="20"/>
                <w:szCs w:val="20"/>
              </w:rPr>
              <w:t xml:space="preserve"> f</w:t>
            </w:r>
            <w:r w:rsidRPr="009F30E4">
              <w:rPr>
                <w:sz w:val="20"/>
                <w:szCs w:val="20"/>
              </w:rPr>
              <w:t xml:space="preserve">or the </w:t>
            </w:r>
            <w:r>
              <w:rPr>
                <w:sz w:val="20"/>
                <w:szCs w:val="20"/>
              </w:rPr>
              <w:t>r</w:t>
            </w:r>
            <w:r w:rsidRPr="009F30E4">
              <w:rPr>
                <w:sz w:val="20"/>
                <w:szCs w:val="20"/>
              </w:rPr>
              <w:t>espondent</w:t>
            </w:r>
            <w:r>
              <w:rPr>
                <w:sz w:val="20"/>
                <w:szCs w:val="20"/>
              </w:rPr>
              <w:t xml:space="preserve"> C</w:t>
            </w:r>
            <w:r w:rsidRPr="009F30E4">
              <w:rPr>
                <w:sz w:val="20"/>
                <w:szCs w:val="20"/>
              </w:rPr>
              <w:t>anadian Transportation Agency</w:t>
            </w:r>
            <w:r>
              <w:rPr>
                <w:sz w:val="20"/>
                <w:szCs w:val="20"/>
              </w:rPr>
              <w:t>.</w:t>
            </w:r>
          </w:p>
        </w:tc>
      </w:tr>
    </w:tbl>
    <w:p w:rsidR="00935056" w:rsidRPr="00FA4CDE" w:rsidRDefault="00935056" w:rsidP="00935056">
      <w:pPr>
        <w:widowControl w:val="0"/>
        <w:rPr>
          <w:rFonts w:eastAsia="Times New Roman" w:cs="Times New Roman"/>
          <w:sz w:val="20"/>
          <w:szCs w:val="20"/>
          <w:lang w:val="en-US" w:eastAsia="en-CA"/>
        </w:rPr>
      </w:pPr>
    </w:p>
    <w:p w:rsidR="00432989" w:rsidRDefault="00A95003" w:rsidP="00432989">
      <w:pPr>
        <w:rPr>
          <w:b/>
          <w:sz w:val="20"/>
          <w:szCs w:val="20"/>
        </w:rPr>
      </w:pPr>
      <w:r w:rsidRPr="00FA0B85">
        <w:rPr>
          <w:b/>
          <w:sz w:val="20"/>
          <w:szCs w:val="20"/>
        </w:rPr>
        <w:t>GRANTED / ACC</w:t>
      </w:r>
      <w:r w:rsidR="00A57C74">
        <w:rPr>
          <w:b/>
          <w:sz w:val="20"/>
          <w:szCs w:val="20"/>
        </w:rPr>
        <w:t>UEILLI</w:t>
      </w:r>
      <w:r w:rsidRPr="00FA0B85">
        <w:rPr>
          <w:b/>
          <w:sz w:val="20"/>
          <w:szCs w:val="20"/>
        </w:rPr>
        <w:t>E</w:t>
      </w:r>
    </w:p>
    <w:p w:rsidR="00A95003" w:rsidRPr="00C50A5C" w:rsidRDefault="00A95003" w:rsidP="00432989">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32989" w:rsidRPr="00D229C1" w:rsidTr="00C50A5C">
        <w:tc>
          <w:tcPr>
            <w:tcW w:w="4380" w:type="dxa"/>
            <w:tcMar>
              <w:left w:w="0" w:type="dxa"/>
              <w:right w:w="0" w:type="dxa"/>
            </w:tcMar>
          </w:tcPr>
          <w:p w:rsidR="00432989" w:rsidRPr="004C1AAC" w:rsidRDefault="00432989" w:rsidP="00C50A5C">
            <w:pPr>
              <w:keepNext/>
              <w:keepLines/>
              <w:jc w:val="both"/>
              <w:rPr>
                <w:b/>
                <w:sz w:val="20"/>
                <w:szCs w:val="20"/>
                <w:u w:val="single"/>
              </w:rPr>
            </w:pPr>
            <w:r w:rsidRPr="004C1AAC">
              <w:rPr>
                <w:b/>
                <w:sz w:val="20"/>
                <w:szCs w:val="20"/>
                <w:u w:val="single"/>
              </w:rPr>
              <w:t>JUDGMENT:</w:t>
            </w:r>
          </w:p>
          <w:p w:rsidR="00432989" w:rsidRPr="00C50A5C" w:rsidRDefault="00432989" w:rsidP="00C50A5C">
            <w:pPr>
              <w:keepNext/>
              <w:keepLines/>
              <w:jc w:val="both"/>
              <w:rPr>
                <w:sz w:val="20"/>
                <w:szCs w:val="20"/>
              </w:rPr>
            </w:pPr>
          </w:p>
          <w:p w:rsidR="00432989" w:rsidRPr="00C50A5C" w:rsidRDefault="00A95003" w:rsidP="00935056">
            <w:pPr>
              <w:keepNext/>
              <w:keepLines/>
              <w:jc w:val="both"/>
              <w:rPr>
                <w:sz w:val="20"/>
                <w:szCs w:val="20"/>
              </w:rPr>
            </w:pPr>
            <w:r w:rsidRPr="0071109B">
              <w:rPr>
                <w:sz w:val="20"/>
                <w:szCs w:val="20"/>
              </w:rPr>
              <w:t>The application for leave to appeal from the judgment of the</w:t>
            </w:r>
            <w:bookmarkStart w:id="2" w:name="BM_1_"/>
            <w:bookmarkEnd w:id="2"/>
            <w:r w:rsidRPr="0071109B">
              <w:rPr>
                <w:sz w:val="20"/>
                <w:szCs w:val="20"/>
              </w:rPr>
              <w:t xml:space="preserve"> Federal Court of Appeal, Number 14-A-56, dated October 28, 2014, is granted.</w:t>
            </w:r>
          </w:p>
        </w:tc>
        <w:tc>
          <w:tcPr>
            <w:tcW w:w="720" w:type="dxa"/>
            <w:tcMar>
              <w:left w:w="0" w:type="dxa"/>
              <w:right w:w="0" w:type="dxa"/>
            </w:tcMar>
          </w:tcPr>
          <w:p w:rsidR="00432989" w:rsidRPr="00C50A5C" w:rsidRDefault="00432989" w:rsidP="00C50A5C">
            <w:pPr>
              <w:keepNext/>
              <w:keepLines/>
              <w:jc w:val="center"/>
              <w:rPr>
                <w:sz w:val="20"/>
                <w:szCs w:val="20"/>
              </w:rPr>
            </w:pPr>
          </w:p>
        </w:tc>
        <w:tc>
          <w:tcPr>
            <w:tcW w:w="4380" w:type="dxa"/>
            <w:tcMar>
              <w:left w:w="0" w:type="dxa"/>
              <w:right w:w="0" w:type="dxa"/>
            </w:tcMar>
          </w:tcPr>
          <w:p w:rsidR="00432989" w:rsidRPr="004C1AAC" w:rsidRDefault="00432989" w:rsidP="00C50A5C">
            <w:pPr>
              <w:keepNext/>
              <w:keepLines/>
              <w:jc w:val="both"/>
              <w:rPr>
                <w:b/>
                <w:sz w:val="20"/>
                <w:szCs w:val="20"/>
                <w:u w:val="single"/>
                <w:lang w:val="fr-CA"/>
              </w:rPr>
            </w:pPr>
            <w:r w:rsidRPr="004C1AAC">
              <w:rPr>
                <w:b/>
                <w:sz w:val="20"/>
                <w:szCs w:val="20"/>
                <w:u w:val="single"/>
                <w:lang w:val="fr-CA"/>
              </w:rPr>
              <w:t>JUGEMENT :</w:t>
            </w:r>
          </w:p>
          <w:p w:rsidR="00432989" w:rsidRPr="00C50A5C" w:rsidRDefault="00432989" w:rsidP="00C50A5C">
            <w:pPr>
              <w:keepNext/>
              <w:keepLines/>
              <w:jc w:val="both"/>
              <w:rPr>
                <w:sz w:val="20"/>
                <w:szCs w:val="20"/>
                <w:lang w:val="fr-CA"/>
              </w:rPr>
            </w:pPr>
          </w:p>
          <w:p w:rsidR="00432989" w:rsidRPr="00C50A5C" w:rsidRDefault="00A95003" w:rsidP="00C50A5C">
            <w:pPr>
              <w:keepNext/>
              <w:keepLines/>
              <w:jc w:val="both"/>
              <w:rPr>
                <w:sz w:val="20"/>
                <w:szCs w:val="20"/>
                <w:lang w:val="fr-CA"/>
              </w:rPr>
            </w:pPr>
            <w:r w:rsidRPr="0071109B">
              <w:rPr>
                <w:sz w:val="20"/>
                <w:szCs w:val="20"/>
                <w:lang w:val="fr-CA"/>
              </w:rPr>
              <w:t xml:space="preserve">La demande d’autorisation d’appel de l’arrêt de la Cour d’appel fédérale, numéro 14-A-56, daté du 28 octobre 2014, est accueillie. </w:t>
            </w:r>
            <w:r w:rsidR="00C50A5C" w:rsidRPr="00C50A5C">
              <w:rPr>
                <w:sz w:val="20"/>
                <w:szCs w:val="20"/>
                <w:lang w:val="fr-CA"/>
              </w:rPr>
              <w:t xml:space="preserve"> </w:t>
            </w:r>
          </w:p>
        </w:tc>
      </w:tr>
    </w:tbl>
    <w:p w:rsidR="00935056" w:rsidRPr="00A95003" w:rsidRDefault="00935056">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935056" w:rsidRPr="00D229C1" w:rsidTr="00C50A5C">
        <w:tc>
          <w:tcPr>
            <w:tcW w:w="4380" w:type="dxa"/>
            <w:tcMar>
              <w:left w:w="0" w:type="dxa"/>
              <w:right w:w="0" w:type="dxa"/>
            </w:tcMar>
          </w:tcPr>
          <w:p w:rsidR="00935056" w:rsidRPr="00C50A5C" w:rsidRDefault="00935056" w:rsidP="00935056">
            <w:pPr>
              <w:keepNext/>
              <w:keepLines/>
              <w:jc w:val="both"/>
              <w:rPr>
                <w:sz w:val="20"/>
                <w:szCs w:val="20"/>
              </w:rPr>
            </w:pPr>
            <w:r w:rsidRPr="00C50A5C">
              <w:rPr>
                <w:b/>
                <w:sz w:val="20"/>
                <w:szCs w:val="20"/>
                <w:u w:val="single"/>
              </w:rPr>
              <w:t>Nature of the case:</w:t>
            </w:r>
          </w:p>
          <w:p w:rsidR="00935056" w:rsidRPr="00C50A5C" w:rsidRDefault="00935056" w:rsidP="00935056">
            <w:pPr>
              <w:keepNext/>
              <w:keepLines/>
              <w:jc w:val="both"/>
              <w:rPr>
                <w:sz w:val="20"/>
                <w:szCs w:val="20"/>
              </w:rPr>
            </w:pPr>
          </w:p>
          <w:p w:rsidR="00935056" w:rsidRPr="004C1AAC" w:rsidRDefault="00A95003" w:rsidP="00C50A5C">
            <w:pPr>
              <w:keepNext/>
              <w:keepLines/>
              <w:jc w:val="both"/>
              <w:rPr>
                <w:b/>
                <w:sz w:val="20"/>
                <w:szCs w:val="20"/>
                <w:u w:val="single"/>
              </w:rPr>
            </w:pPr>
            <w:r w:rsidRPr="004A442C">
              <w:rPr>
                <w:sz w:val="20"/>
                <w:szCs w:val="20"/>
              </w:rPr>
              <w:t>Administrative law — Canadian Transportation Agency — Independence of Agency — Fettering of discretion to pass regulations — Whether administrative bodies must be free from interference from the executive branch of government when exercising legislative as opposed to judicial functions — If so, the extent to which they must be free from interference in exercising those functions.</w:t>
            </w:r>
          </w:p>
        </w:tc>
        <w:tc>
          <w:tcPr>
            <w:tcW w:w="720" w:type="dxa"/>
            <w:tcMar>
              <w:left w:w="0" w:type="dxa"/>
              <w:right w:w="0" w:type="dxa"/>
            </w:tcMar>
          </w:tcPr>
          <w:p w:rsidR="00935056" w:rsidRPr="00C50A5C" w:rsidRDefault="00935056" w:rsidP="00C50A5C">
            <w:pPr>
              <w:keepNext/>
              <w:keepLines/>
              <w:jc w:val="center"/>
              <w:rPr>
                <w:sz w:val="20"/>
                <w:szCs w:val="20"/>
              </w:rPr>
            </w:pPr>
          </w:p>
        </w:tc>
        <w:tc>
          <w:tcPr>
            <w:tcW w:w="4380" w:type="dxa"/>
            <w:tcMar>
              <w:left w:w="0" w:type="dxa"/>
              <w:right w:w="0" w:type="dxa"/>
            </w:tcMar>
          </w:tcPr>
          <w:p w:rsidR="00935056" w:rsidRPr="00C50A5C" w:rsidRDefault="00935056" w:rsidP="00935056">
            <w:pPr>
              <w:keepNext/>
              <w:keepLines/>
              <w:jc w:val="both"/>
              <w:rPr>
                <w:sz w:val="20"/>
                <w:szCs w:val="20"/>
                <w:lang w:val="fr-CA"/>
              </w:rPr>
            </w:pPr>
            <w:r w:rsidRPr="00C50A5C">
              <w:rPr>
                <w:b/>
                <w:sz w:val="20"/>
                <w:szCs w:val="20"/>
                <w:u w:val="single"/>
                <w:lang w:val="fr-CA"/>
              </w:rPr>
              <w:t>Nature de la cause :</w:t>
            </w:r>
          </w:p>
          <w:p w:rsidR="00935056" w:rsidRPr="00C50A5C" w:rsidRDefault="00935056" w:rsidP="00935056">
            <w:pPr>
              <w:keepNext/>
              <w:keepLines/>
              <w:jc w:val="both"/>
              <w:rPr>
                <w:sz w:val="20"/>
                <w:szCs w:val="20"/>
                <w:lang w:val="fr-CA"/>
              </w:rPr>
            </w:pPr>
          </w:p>
          <w:p w:rsidR="00935056" w:rsidRPr="00935056" w:rsidRDefault="00A95003" w:rsidP="00935056">
            <w:pPr>
              <w:keepNext/>
              <w:keepLines/>
              <w:jc w:val="both"/>
              <w:rPr>
                <w:b/>
                <w:sz w:val="20"/>
                <w:szCs w:val="20"/>
                <w:u w:val="single"/>
                <w:lang w:val="fr-CA"/>
              </w:rPr>
            </w:pPr>
            <w:r w:rsidRPr="00AC637C">
              <w:rPr>
                <w:sz w:val="20"/>
                <w:szCs w:val="20"/>
                <w:lang w:val="fr-CA"/>
              </w:rPr>
              <w:t>Droit administratif — Office des transports du Canada — Indépendance de l’Office — Entrave à l’exercice du pouvoir discrétionnaire de prendre des règlements — Les organismes administratifs doivent-ils être libres de toute intervention du pouvoir exécutif dans l’exercice de fonctions législatives, par opposition aux fonctions judiciaires? — Dans l’affirmative, dans quelle mesure doivent-ils être libres de toute intervention dans l’exercice de ces fonctions?</w:t>
            </w:r>
          </w:p>
        </w:tc>
      </w:tr>
    </w:tbl>
    <w:p w:rsidR="00432989" w:rsidRPr="00935056" w:rsidRDefault="00432989" w:rsidP="00432989">
      <w:pPr>
        <w:spacing w:line="0" w:lineRule="atLeast"/>
        <w:rPr>
          <w:sz w:val="20"/>
          <w:szCs w:val="20"/>
          <w:lang w:val="fr-CA"/>
        </w:rPr>
      </w:pPr>
    </w:p>
    <w:p w:rsidR="00CA2DEA" w:rsidRDefault="005B3B50" w:rsidP="00432989">
      <w:pPr>
        <w:spacing w:line="0" w:lineRule="atLeast"/>
        <w:rPr>
          <w:rFonts w:eastAsia="Times New Roman" w:cs="Times New Roman"/>
          <w:sz w:val="20"/>
          <w:szCs w:val="20"/>
          <w:lang w:val="fr-CA" w:eastAsia="en-CA"/>
        </w:rPr>
      </w:pPr>
      <w:r>
        <w:rPr>
          <w:rFonts w:eastAsia="Times New Roman" w:cs="Times New Roman"/>
          <w:sz w:val="20"/>
          <w:szCs w:val="20"/>
          <w:lang w:val="fr-CA" w:eastAsia="en-CA"/>
        </w:rPr>
        <w:pict>
          <v:rect id="_x0000_i1044" style="width:2in;height:1pt" o:hrpct="0" o:hralign="center" o:hrstd="t" o:hrnoshade="t" o:hr="t" fillcolor="black [3213]" stroked="f"/>
        </w:pict>
      </w:r>
    </w:p>
    <w:p w:rsidR="00CA2DEA" w:rsidRDefault="00CA2DEA" w:rsidP="00432989">
      <w:pPr>
        <w:spacing w:line="0" w:lineRule="atLeast"/>
        <w:rPr>
          <w:sz w:val="20"/>
          <w:szCs w:val="20"/>
          <w:lang w:val="fr-CA"/>
        </w:rPr>
      </w:pPr>
    </w:p>
    <w:p w:rsidR="00CA2DEA" w:rsidRDefault="00CA2DEA" w:rsidP="00432989">
      <w:pPr>
        <w:spacing w:line="0" w:lineRule="atLeast"/>
        <w:rPr>
          <w:sz w:val="20"/>
          <w:szCs w:val="20"/>
          <w:lang w:val="fr-CA"/>
        </w:rPr>
      </w:pPr>
    </w:p>
    <w:p w:rsidR="00432989" w:rsidRPr="00C50A5C" w:rsidRDefault="00432989">
      <w:pPr>
        <w:rPr>
          <w:sz w:val="20"/>
          <w:szCs w:val="20"/>
          <w:lang w:val="fr-CA"/>
        </w:rPr>
      </w:pPr>
    </w:p>
    <w:p w:rsidR="008D292F" w:rsidRPr="00C50A5C" w:rsidRDefault="008D292F" w:rsidP="002E2327">
      <w:pPr>
        <w:widowControl w:val="0"/>
        <w:spacing w:line="0" w:lineRule="atLeast"/>
        <w:rPr>
          <w:sz w:val="20"/>
          <w:szCs w:val="20"/>
          <w:lang w:val="fr-CA"/>
        </w:rPr>
        <w:sectPr w:rsidR="008D292F" w:rsidRPr="00C50A5C" w:rsidSect="008D292F">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D229C1" w:rsidTr="00ED7E83">
        <w:tc>
          <w:tcPr>
            <w:tcW w:w="4200" w:type="dxa"/>
            <w:tcMar>
              <w:left w:w="0" w:type="dxa"/>
              <w:right w:w="0" w:type="dxa"/>
            </w:tcMar>
          </w:tcPr>
          <w:p w:rsidR="008D292F" w:rsidRPr="001D0D5F" w:rsidRDefault="008D292F" w:rsidP="00ED7E83">
            <w:pPr>
              <w:keepNext/>
              <w:keepLines/>
              <w:jc w:val="both"/>
              <w:rPr>
                <w:b/>
                <w:szCs w:val="24"/>
              </w:rPr>
            </w:pPr>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935056" w:rsidP="000E2959">
      <w:pPr>
        <w:rPr>
          <w:b/>
          <w:sz w:val="20"/>
          <w:szCs w:val="20"/>
        </w:rPr>
      </w:pPr>
      <w:r>
        <w:rPr>
          <w:b/>
          <w:sz w:val="20"/>
          <w:szCs w:val="20"/>
        </w:rPr>
        <w:t>M</w:t>
      </w:r>
      <w:r w:rsidR="000E2959" w:rsidRPr="00C50A5C">
        <w:rPr>
          <w:b/>
          <w:sz w:val="20"/>
          <w:szCs w:val="20"/>
        </w:rPr>
        <w:t>A</w:t>
      </w:r>
      <w:r w:rsidR="000E2959">
        <w:rPr>
          <w:b/>
          <w:sz w:val="20"/>
          <w:szCs w:val="20"/>
        </w:rPr>
        <w:t>Y</w:t>
      </w:r>
      <w:r w:rsidR="000E2959" w:rsidRPr="00C50A5C">
        <w:rPr>
          <w:b/>
          <w:sz w:val="20"/>
          <w:szCs w:val="20"/>
        </w:rPr>
        <w:t xml:space="preserve"> </w:t>
      </w:r>
      <w:r>
        <w:rPr>
          <w:b/>
          <w:sz w:val="20"/>
          <w:szCs w:val="20"/>
        </w:rPr>
        <w:t>14</w:t>
      </w:r>
      <w:r w:rsidR="000E2959" w:rsidRPr="00C50A5C">
        <w:rPr>
          <w:b/>
          <w:sz w:val="20"/>
          <w:szCs w:val="20"/>
        </w:rPr>
        <w:t>, 201</w:t>
      </w:r>
      <w:r w:rsidR="00681F61">
        <w:rPr>
          <w:b/>
          <w:sz w:val="20"/>
          <w:szCs w:val="20"/>
        </w:rPr>
        <w:t>5</w:t>
      </w:r>
      <w:r w:rsidR="000E2959" w:rsidRPr="00C50A5C">
        <w:rPr>
          <w:b/>
          <w:sz w:val="20"/>
          <w:szCs w:val="20"/>
        </w:rPr>
        <w:t xml:space="preserve"> / LE </w:t>
      </w:r>
      <w:r>
        <w:rPr>
          <w:b/>
          <w:sz w:val="20"/>
          <w:szCs w:val="20"/>
        </w:rPr>
        <w:t>14</w:t>
      </w:r>
      <w:r w:rsidR="000E2959" w:rsidRPr="00C50A5C">
        <w:rPr>
          <w:b/>
          <w:sz w:val="20"/>
          <w:szCs w:val="20"/>
        </w:rPr>
        <w:t xml:space="preserve"> </w:t>
      </w:r>
      <w:r>
        <w:rPr>
          <w:b/>
          <w:sz w:val="20"/>
          <w:szCs w:val="20"/>
        </w:rPr>
        <w:t>M</w:t>
      </w:r>
      <w:r w:rsidR="000E2959" w:rsidRPr="00C50A5C">
        <w:rPr>
          <w:b/>
          <w:sz w:val="20"/>
          <w:szCs w:val="20"/>
        </w:rPr>
        <w:t>AI 201</w:t>
      </w:r>
      <w:r w:rsidR="00681F61">
        <w:rPr>
          <w:b/>
          <w:sz w:val="20"/>
          <w:szCs w:val="20"/>
        </w:rPr>
        <w:t>5</w: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237ED" w:rsidRPr="00715263" w:rsidTr="008237ED">
        <w:trPr>
          <w:cantSplit/>
        </w:trPr>
        <w:tc>
          <w:tcPr>
            <w:tcW w:w="1458" w:type="dxa"/>
          </w:tcPr>
          <w:p w:rsidR="008237ED" w:rsidRPr="00715263" w:rsidRDefault="008237ED" w:rsidP="008237ED">
            <w:pPr>
              <w:rPr>
                <w:sz w:val="20"/>
                <w:szCs w:val="20"/>
              </w:rPr>
            </w:pPr>
            <w:r w:rsidRPr="00715263">
              <w:rPr>
                <w:rStyle w:val="SCCFileNumberChar"/>
                <w:sz w:val="20"/>
                <w:szCs w:val="20"/>
              </w:rPr>
              <w:t>36163</w:t>
            </w:r>
          </w:p>
          <w:p w:rsidR="008237ED" w:rsidRPr="00715263" w:rsidRDefault="008237ED" w:rsidP="008237ED">
            <w:pPr>
              <w:rPr>
                <w:b/>
                <w:sz w:val="20"/>
                <w:szCs w:val="20"/>
                <w:lang w:val="fr-CA"/>
              </w:rPr>
            </w:pPr>
          </w:p>
        </w:tc>
        <w:tc>
          <w:tcPr>
            <w:tcW w:w="8118" w:type="dxa"/>
          </w:tcPr>
          <w:p w:rsidR="008237ED" w:rsidRPr="00715263" w:rsidRDefault="008237ED" w:rsidP="008237ED">
            <w:pPr>
              <w:rPr>
                <w:sz w:val="20"/>
                <w:szCs w:val="20"/>
              </w:rPr>
            </w:pPr>
            <w:r w:rsidRPr="00715263">
              <w:rPr>
                <w:rStyle w:val="SCCLsocChar"/>
                <w:sz w:val="20"/>
                <w:szCs w:val="20"/>
                <w:lang w:val="en-CA"/>
              </w:rPr>
              <w:t>Lise Nathalie Lemay v. Thomas H. Peters</w:t>
            </w:r>
            <w:r w:rsidRPr="00715263">
              <w:rPr>
                <w:sz w:val="20"/>
                <w:szCs w:val="20"/>
              </w:rPr>
              <w:t xml:space="preserve"> (N.B.) (Civil) (By Leave)</w:t>
            </w:r>
          </w:p>
          <w:p w:rsidR="008237ED" w:rsidRPr="00715263" w:rsidRDefault="008237ED" w:rsidP="008237ED">
            <w:pPr>
              <w:rPr>
                <w:sz w:val="20"/>
                <w:szCs w:val="20"/>
              </w:rPr>
            </w:pPr>
          </w:p>
        </w:tc>
      </w:tr>
      <w:tr w:rsidR="008237ED" w:rsidRPr="00715263" w:rsidTr="008237ED">
        <w:trPr>
          <w:cantSplit/>
        </w:trPr>
        <w:tc>
          <w:tcPr>
            <w:tcW w:w="1458" w:type="dxa"/>
          </w:tcPr>
          <w:p w:rsidR="008237ED" w:rsidRPr="00715263" w:rsidRDefault="008237ED" w:rsidP="008237ED">
            <w:pPr>
              <w:rPr>
                <w:sz w:val="20"/>
                <w:szCs w:val="20"/>
              </w:rPr>
            </w:pPr>
            <w:r w:rsidRPr="00715263">
              <w:rPr>
                <w:sz w:val="20"/>
                <w:szCs w:val="20"/>
              </w:rPr>
              <w:t>Coram :</w:t>
            </w:r>
          </w:p>
        </w:tc>
        <w:tc>
          <w:tcPr>
            <w:tcW w:w="8118" w:type="dxa"/>
          </w:tcPr>
          <w:p w:rsidR="008237ED" w:rsidRPr="00715263" w:rsidRDefault="008237ED" w:rsidP="008237ED">
            <w:pPr>
              <w:rPr>
                <w:sz w:val="20"/>
                <w:szCs w:val="20"/>
              </w:rPr>
            </w:pPr>
            <w:r w:rsidRPr="00715263">
              <w:rPr>
                <w:rStyle w:val="SCCCoramChar"/>
                <w:sz w:val="20"/>
                <w:szCs w:val="20"/>
                <w:lang w:val="en-CA"/>
              </w:rPr>
              <w:t>Rothstein, Cromwell and Moldaver JJ.</w:t>
            </w:r>
          </w:p>
          <w:p w:rsidR="008237ED" w:rsidRPr="00715263" w:rsidRDefault="008237ED" w:rsidP="008237ED">
            <w:pPr>
              <w:rPr>
                <w:sz w:val="20"/>
                <w:szCs w:val="20"/>
                <w:u w:val="single"/>
              </w:rPr>
            </w:pPr>
          </w:p>
        </w:tc>
      </w:tr>
      <w:tr w:rsidR="008237ED" w:rsidRPr="00D229C1" w:rsidTr="008237ED">
        <w:trPr>
          <w:cantSplit/>
        </w:trPr>
        <w:tc>
          <w:tcPr>
            <w:tcW w:w="9576" w:type="dxa"/>
            <w:gridSpan w:val="2"/>
          </w:tcPr>
          <w:p w:rsidR="008237ED" w:rsidRPr="00715263" w:rsidRDefault="008237ED" w:rsidP="008237ED">
            <w:pPr>
              <w:pStyle w:val="SCCShortJudgment"/>
              <w:rPr>
                <w:szCs w:val="20"/>
              </w:rPr>
            </w:pPr>
            <w:r w:rsidRPr="00715263">
              <w:rPr>
                <w:szCs w:val="20"/>
              </w:rPr>
              <w:t>The application for leave to appeal from the judgment of the Court of Appeal of New Brunswick, Number 34-12-CA, 2014 NBCA 59, dated September 11, 2014, is dismissed with costs.</w:t>
            </w:r>
          </w:p>
          <w:p w:rsidR="008237ED" w:rsidRPr="00715263" w:rsidRDefault="008237ED" w:rsidP="008237ED">
            <w:pPr>
              <w:pStyle w:val="SCCShortJudgment"/>
              <w:ind w:firstLine="0"/>
              <w:rPr>
                <w:szCs w:val="20"/>
              </w:rPr>
            </w:pPr>
          </w:p>
          <w:p w:rsidR="008237ED" w:rsidRPr="00715263" w:rsidRDefault="008237ED" w:rsidP="008237ED">
            <w:pPr>
              <w:pStyle w:val="SCCShortJudgment"/>
              <w:rPr>
                <w:szCs w:val="20"/>
                <w:lang w:val="fr-CA"/>
              </w:rPr>
            </w:pPr>
            <w:r w:rsidRPr="00715263">
              <w:rPr>
                <w:szCs w:val="20"/>
                <w:lang w:val="fr-CA"/>
              </w:rPr>
              <w:t>La demande d’autorisation d’appel de l’arrêt de la Cour d’appel du Nouveau-Brunswick, numéro 34-12-CA, 2014 NBCA 59, daté du 11 septembre 2014, est rejetée avec dépens.</w:t>
            </w:r>
          </w:p>
        </w:tc>
      </w:tr>
    </w:tbl>
    <w:p w:rsidR="001A48C6" w:rsidRPr="008237ED" w:rsidRDefault="001A48C6" w:rsidP="000E2959">
      <w:pPr>
        <w:rPr>
          <w:sz w:val="20"/>
          <w:szCs w:val="20"/>
          <w:lang w:val="fr-CA"/>
        </w:rPr>
      </w:pPr>
    </w:p>
    <w:p w:rsidR="001A48C6" w:rsidRPr="001B157C" w:rsidRDefault="001A48C6" w:rsidP="001A48C6">
      <w:pPr>
        <w:rPr>
          <w:sz w:val="20"/>
          <w:szCs w:val="20"/>
          <w:u w:val="single"/>
        </w:rPr>
      </w:pPr>
      <w:r w:rsidRPr="001B157C">
        <w:rPr>
          <w:sz w:val="20"/>
          <w:szCs w:val="20"/>
          <w:u w:val="single"/>
        </w:rPr>
        <w:t>CASE SUMMARY</w:t>
      </w:r>
    </w:p>
    <w:p w:rsidR="001A48C6" w:rsidRDefault="001A48C6" w:rsidP="001A48C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27CA4" w:rsidRPr="00F02DF6" w:rsidTr="00C6299D">
        <w:tc>
          <w:tcPr>
            <w:tcW w:w="5000" w:type="pct"/>
            <w:gridSpan w:val="3"/>
          </w:tcPr>
          <w:p w:rsidR="00627CA4" w:rsidRPr="00F02DF6" w:rsidRDefault="00627CA4" w:rsidP="00C6299D">
            <w:pPr>
              <w:jc w:val="both"/>
              <w:rPr>
                <w:rFonts w:eastAsia="Calibri"/>
                <w:sz w:val="20"/>
              </w:rPr>
            </w:pPr>
            <w:r w:rsidRPr="00F02DF6">
              <w:rPr>
                <w:rFonts w:eastAsia="Calibri"/>
                <w:sz w:val="20"/>
              </w:rPr>
              <w:t xml:space="preserve">Torts – Negligence – Medical malpractice – Surgeon causing nerve damage to patient undergoing biopsy procedure – Whether there is manifest tension in case law between requiring a positive finding by a medical expert that a doctor breached standard of care, and approach to circumstantial evidence in </w:t>
            </w:r>
            <w:r w:rsidRPr="00F02DF6">
              <w:rPr>
                <w:rFonts w:eastAsia="Calibri"/>
                <w:i/>
                <w:sz w:val="20"/>
              </w:rPr>
              <w:t>Fontaine v. British Columbia (Official Administrator)</w:t>
            </w:r>
            <w:r w:rsidRPr="00F02DF6">
              <w:rPr>
                <w:rFonts w:eastAsia="Calibri"/>
                <w:sz w:val="20"/>
              </w:rPr>
              <w:t>, [1998] 1 S.C.R. 424 – Whether there are inconsistencies in case law concerning medical negligence –  Whether the lower courts required a positive finding by a medical expert that respondent breached standard of care in performing biopsy.</w:t>
            </w:r>
          </w:p>
        </w:tc>
      </w:tr>
      <w:tr w:rsidR="00627CA4" w:rsidRPr="00F02DF6" w:rsidTr="00C6299D">
        <w:tc>
          <w:tcPr>
            <w:tcW w:w="5000" w:type="pct"/>
            <w:gridSpan w:val="3"/>
          </w:tcPr>
          <w:p w:rsidR="00627CA4" w:rsidRPr="00F02DF6" w:rsidRDefault="00627CA4" w:rsidP="00C6299D">
            <w:pPr>
              <w:jc w:val="both"/>
              <w:rPr>
                <w:rFonts w:eastAsia="Calibri"/>
                <w:sz w:val="20"/>
              </w:rPr>
            </w:pPr>
          </w:p>
        </w:tc>
      </w:tr>
      <w:tr w:rsidR="00627CA4" w:rsidRPr="00F02DF6" w:rsidTr="00C6299D">
        <w:tc>
          <w:tcPr>
            <w:tcW w:w="5000" w:type="pct"/>
            <w:gridSpan w:val="3"/>
          </w:tcPr>
          <w:p w:rsidR="00627CA4" w:rsidRPr="00F02DF6" w:rsidRDefault="00627CA4" w:rsidP="00C6299D">
            <w:pPr>
              <w:shd w:val="clear" w:color="auto" w:fill="FFFFFF"/>
              <w:jc w:val="both"/>
              <w:rPr>
                <w:rFonts w:eastAsia="Calibri"/>
                <w:sz w:val="20"/>
              </w:rPr>
            </w:pPr>
            <w:r w:rsidRPr="00F02DF6">
              <w:rPr>
                <w:rFonts w:eastAsia="Calibri"/>
                <w:sz w:val="20"/>
              </w:rPr>
              <w:t>In 2004, the applicant was self-employed as a hairdresser when she first noticed a lump in her neck.  The respondent is a doctor with a specialty in thoracic and general surgery.  Over the next several months, she was referred to three separate specialists who reassured her that there was nothing to be concerned about.  In early 2005, she discovered a lump in her breast and was referred to Dr. Peters.  When he was taking a history of the breast lump, Ms. Lemay mentioned to him that she also had lumps in her neck and suffered from night sweats.  This information caused Dr. Peters to suspect lymphoma and he suggested a nodal biopsy for diagnostic purposes.  He advised her that she would be left with scars from this biopsy and that she would be subject to the risks of general anesthesia.  In June, 2005 Dr. Peters performed a biopsy of a node in Ms. Lemay’s neck.  No complications were noted during the surgery but the pathology report indicated that the cervical node evidenced Hodgkin’s Disease.  During the first few days after the surgery, Ms. Lemay noticed that her arm and shoulder were quite painful.  She spoke on the phone to Dr. Peters’ receptionist, reporting that she was having “issues” with her arm.  She was told that the pain was likely due to inflammation and should be fine in a few days.  Ms. Lemay had no further contact with Dr. Peters or his office.  Later, she complained of muscle wasting and pain in the area of her trapezius muscle affecting her shoulder function.  In the fall of 2005, she was referred by her family physician to two specialists for further investigation.  They reported that Ms. Lemay most likely had spinal accessory nerve damage in the area of the biopsy and discussed with her the possibility of surgical repair.  Ms. Lemay declined to have the repair surgery.  She sued Dr. Peters in negligence.</w:t>
            </w:r>
          </w:p>
          <w:p w:rsidR="00627CA4" w:rsidRPr="00F02DF6" w:rsidRDefault="00627CA4" w:rsidP="00C6299D">
            <w:pPr>
              <w:shd w:val="clear" w:color="auto" w:fill="FFFFFF"/>
              <w:jc w:val="both"/>
              <w:rPr>
                <w:rFonts w:eastAsia="Calibri"/>
                <w:sz w:val="20"/>
              </w:rPr>
            </w:pPr>
            <w:r w:rsidRPr="00F02DF6">
              <w:rPr>
                <w:rFonts w:eastAsia="Calibri"/>
                <w:sz w:val="20"/>
              </w:rPr>
              <w:t> </w:t>
            </w:r>
          </w:p>
        </w:tc>
      </w:tr>
      <w:tr w:rsidR="00627CA4" w:rsidRPr="00F02DF6" w:rsidTr="00C6299D">
        <w:tc>
          <w:tcPr>
            <w:tcW w:w="2427" w:type="pct"/>
          </w:tcPr>
          <w:p w:rsidR="00627CA4" w:rsidRPr="00F02DF6" w:rsidRDefault="00627CA4" w:rsidP="00C6299D">
            <w:pPr>
              <w:jc w:val="both"/>
              <w:rPr>
                <w:rFonts w:eastAsia="Calibri"/>
                <w:sz w:val="20"/>
              </w:rPr>
            </w:pPr>
            <w:r w:rsidRPr="00F02DF6">
              <w:rPr>
                <w:rFonts w:eastAsia="Calibri"/>
                <w:sz w:val="20"/>
              </w:rPr>
              <w:t>February 29, 2012</w:t>
            </w:r>
          </w:p>
          <w:p w:rsidR="00627CA4" w:rsidRPr="00F02DF6" w:rsidRDefault="00627CA4" w:rsidP="00C6299D">
            <w:pPr>
              <w:jc w:val="both"/>
              <w:rPr>
                <w:rFonts w:eastAsia="Calibri"/>
                <w:sz w:val="20"/>
              </w:rPr>
            </w:pPr>
            <w:r w:rsidRPr="00F02DF6">
              <w:rPr>
                <w:rFonts w:eastAsia="Calibri"/>
                <w:sz w:val="20"/>
              </w:rPr>
              <w:t>Court of Queen’s Bench of New Brunswick</w:t>
            </w:r>
          </w:p>
          <w:p w:rsidR="00627CA4" w:rsidRPr="00F02DF6" w:rsidRDefault="00627CA4" w:rsidP="00C6299D">
            <w:pPr>
              <w:jc w:val="both"/>
              <w:rPr>
                <w:rFonts w:eastAsia="Calibri"/>
                <w:sz w:val="20"/>
              </w:rPr>
            </w:pPr>
            <w:r w:rsidRPr="00F02DF6">
              <w:rPr>
                <w:rFonts w:eastAsia="Calibri"/>
                <w:sz w:val="20"/>
              </w:rPr>
              <w:t>(Morrison J.)</w:t>
            </w:r>
          </w:p>
          <w:p w:rsidR="00627CA4" w:rsidRPr="00F02DF6" w:rsidRDefault="005B3B50" w:rsidP="00C6299D">
            <w:pPr>
              <w:jc w:val="both"/>
              <w:rPr>
                <w:rFonts w:eastAsia="Calibri"/>
                <w:sz w:val="20"/>
              </w:rPr>
            </w:pPr>
            <w:hyperlink r:id="rId31" w:history="1">
              <w:r w:rsidR="00627CA4" w:rsidRPr="00F02DF6">
                <w:rPr>
                  <w:rFonts w:eastAsia="Calibri"/>
                  <w:color w:val="0000FF"/>
                  <w:sz w:val="20"/>
                  <w:u w:val="single"/>
                </w:rPr>
                <w:t>2012 NBQB 68</w:t>
              </w:r>
            </w:hyperlink>
          </w:p>
          <w:p w:rsidR="00627CA4" w:rsidRPr="00F02DF6" w:rsidRDefault="00627CA4" w:rsidP="00C6299D">
            <w:pPr>
              <w:jc w:val="both"/>
              <w:rPr>
                <w:rFonts w:eastAsia="Calibri"/>
                <w:sz w:val="20"/>
              </w:rPr>
            </w:pPr>
          </w:p>
        </w:tc>
        <w:tc>
          <w:tcPr>
            <w:tcW w:w="243" w:type="pct"/>
          </w:tcPr>
          <w:p w:rsidR="00627CA4" w:rsidRPr="00F02DF6" w:rsidRDefault="00627CA4" w:rsidP="00C6299D">
            <w:pPr>
              <w:jc w:val="both"/>
              <w:rPr>
                <w:rFonts w:eastAsia="Calibri"/>
                <w:sz w:val="20"/>
              </w:rPr>
            </w:pPr>
          </w:p>
        </w:tc>
        <w:tc>
          <w:tcPr>
            <w:tcW w:w="2330" w:type="pct"/>
          </w:tcPr>
          <w:p w:rsidR="00627CA4" w:rsidRPr="00F02DF6" w:rsidRDefault="00627CA4" w:rsidP="00C6299D">
            <w:pPr>
              <w:jc w:val="both"/>
              <w:rPr>
                <w:rFonts w:eastAsia="Calibri"/>
                <w:sz w:val="20"/>
              </w:rPr>
            </w:pPr>
            <w:r w:rsidRPr="00F02DF6">
              <w:rPr>
                <w:rFonts w:eastAsia="Calibri"/>
                <w:sz w:val="20"/>
              </w:rPr>
              <w:t>Applicant’s action for damages dismissed</w:t>
            </w:r>
          </w:p>
          <w:p w:rsidR="00627CA4" w:rsidRPr="00F02DF6" w:rsidRDefault="00627CA4" w:rsidP="00C6299D">
            <w:pPr>
              <w:jc w:val="both"/>
              <w:rPr>
                <w:rFonts w:eastAsia="Calibri"/>
                <w:sz w:val="20"/>
              </w:rPr>
            </w:pPr>
          </w:p>
        </w:tc>
      </w:tr>
      <w:tr w:rsidR="00627CA4" w:rsidRPr="00F02DF6" w:rsidTr="00C6299D">
        <w:tc>
          <w:tcPr>
            <w:tcW w:w="2427" w:type="pct"/>
          </w:tcPr>
          <w:p w:rsidR="00627CA4" w:rsidRPr="00F02DF6" w:rsidRDefault="00627CA4" w:rsidP="00C6299D">
            <w:pPr>
              <w:jc w:val="both"/>
              <w:rPr>
                <w:rFonts w:eastAsia="Calibri"/>
                <w:sz w:val="20"/>
              </w:rPr>
            </w:pPr>
            <w:r w:rsidRPr="00F02DF6">
              <w:rPr>
                <w:rFonts w:eastAsia="Calibri"/>
                <w:sz w:val="20"/>
              </w:rPr>
              <w:t>September 11, 2014</w:t>
            </w:r>
          </w:p>
          <w:p w:rsidR="00627CA4" w:rsidRPr="00F02DF6" w:rsidRDefault="00627CA4" w:rsidP="00C6299D">
            <w:pPr>
              <w:jc w:val="both"/>
              <w:rPr>
                <w:rFonts w:eastAsia="Calibri"/>
                <w:sz w:val="20"/>
              </w:rPr>
            </w:pPr>
            <w:r w:rsidRPr="00F02DF6">
              <w:rPr>
                <w:rFonts w:eastAsia="Calibri"/>
                <w:sz w:val="20"/>
              </w:rPr>
              <w:t>Court of Appeal of New Brunswick</w:t>
            </w:r>
          </w:p>
          <w:p w:rsidR="00627CA4" w:rsidRPr="00F02DF6" w:rsidRDefault="00627CA4" w:rsidP="00C6299D">
            <w:pPr>
              <w:jc w:val="both"/>
              <w:rPr>
                <w:rFonts w:eastAsia="Calibri"/>
                <w:sz w:val="20"/>
              </w:rPr>
            </w:pPr>
            <w:r w:rsidRPr="00F02DF6">
              <w:rPr>
                <w:rFonts w:eastAsia="Calibri"/>
                <w:sz w:val="20"/>
              </w:rPr>
              <w:t>(Robertson, Richard and Green JJ.A.)</w:t>
            </w:r>
          </w:p>
          <w:p w:rsidR="00627CA4" w:rsidRPr="00F02DF6" w:rsidRDefault="005B3B50" w:rsidP="00C6299D">
            <w:pPr>
              <w:jc w:val="both"/>
              <w:rPr>
                <w:rFonts w:eastAsia="Calibri"/>
                <w:sz w:val="20"/>
              </w:rPr>
            </w:pPr>
            <w:hyperlink r:id="rId32" w:history="1">
              <w:r w:rsidR="00627CA4" w:rsidRPr="00F02DF6">
                <w:rPr>
                  <w:rFonts w:eastAsia="Calibri"/>
                  <w:color w:val="0000FF"/>
                  <w:sz w:val="20"/>
                  <w:u w:val="single"/>
                </w:rPr>
                <w:t>2014 NBCA 59</w:t>
              </w:r>
            </w:hyperlink>
          </w:p>
          <w:p w:rsidR="00627CA4" w:rsidRPr="00F02DF6" w:rsidRDefault="00627CA4" w:rsidP="00C6299D">
            <w:pPr>
              <w:jc w:val="both"/>
              <w:rPr>
                <w:rFonts w:eastAsia="Calibri"/>
                <w:sz w:val="20"/>
              </w:rPr>
            </w:pPr>
          </w:p>
        </w:tc>
        <w:tc>
          <w:tcPr>
            <w:tcW w:w="243" w:type="pct"/>
          </w:tcPr>
          <w:p w:rsidR="00627CA4" w:rsidRPr="00F02DF6" w:rsidRDefault="00627CA4" w:rsidP="00C6299D">
            <w:pPr>
              <w:jc w:val="both"/>
              <w:rPr>
                <w:rFonts w:eastAsia="Calibri"/>
                <w:sz w:val="20"/>
              </w:rPr>
            </w:pPr>
          </w:p>
        </w:tc>
        <w:tc>
          <w:tcPr>
            <w:tcW w:w="2330" w:type="pct"/>
          </w:tcPr>
          <w:p w:rsidR="00627CA4" w:rsidRPr="00F02DF6" w:rsidRDefault="00627CA4" w:rsidP="00C6299D">
            <w:pPr>
              <w:jc w:val="both"/>
              <w:rPr>
                <w:rFonts w:eastAsia="Calibri"/>
                <w:sz w:val="20"/>
              </w:rPr>
            </w:pPr>
            <w:r w:rsidRPr="00F02DF6">
              <w:rPr>
                <w:rFonts w:eastAsia="Calibri"/>
                <w:sz w:val="20"/>
              </w:rPr>
              <w:t>Applicant’s appeal dismissed</w:t>
            </w:r>
          </w:p>
          <w:p w:rsidR="00627CA4" w:rsidRPr="00F02DF6" w:rsidRDefault="00627CA4" w:rsidP="00C6299D">
            <w:pPr>
              <w:jc w:val="both"/>
              <w:rPr>
                <w:rFonts w:eastAsia="Calibri"/>
                <w:sz w:val="20"/>
              </w:rPr>
            </w:pPr>
          </w:p>
        </w:tc>
      </w:tr>
      <w:tr w:rsidR="00627CA4" w:rsidRPr="00F02DF6" w:rsidTr="008237ED">
        <w:trPr>
          <w:cantSplit/>
        </w:trPr>
        <w:tc>
          <w:tcPr>
            <w:tcW w:w="2427" w:type="pct"/>
          </w:tcPr>
          <w:p w:rsidR="00627CA4" w:rsidRPr="00F02DF6" w:rsidRDefault="00627CA4" w:rsidP="00C6299D">
            <w:pPr>
              <w:jc w:val="both"/>
              <w:rPr>
                <w:rFonts w:eastAsia="Calibri"/>
                <w:sz w:val="20"/>
              </w:rPr>
            </w:pPr>
            <w:r w:rsidRPr="00F02DF6">
              <w:rPr>
                <w:rFonts w:eastAsia="Calibri"/>
                <w:sz w:val="20"/>
              </w:rPr>
              <w:t>November 10, 2014</w:t>
            </w:r>
          </w:p>
          <w:p w:rsidR="00627CA4" w:rsidRPr="00F02DF6" w:rsidRDefault="00627CA4" w:rsidP="00C6299D">
            <w:pPr>
              <w:jc w:val="both"/>
              <w:rPr>
                <w:rFonts w:eastAsia="Calibri"/>
                <w:sz w:val="20"/>
              </w:rPr>
            </w:pPr>
            <w:r w:rsidRPr="00F02DF6">
              <w:rPr>
                <w:rFonts w:eastAsia="Calibri"/>
                <w:sz w:val="20"/>
              </w:rPr>
              <w:t>Supreme Court of Canada</w:t>
            </w:r>
          </w:p>
        </w:tc>
        <w:tc>
          <w:tcPr>
            <w:tcW w:w="243" w:type="pct"/>
          </w:tcPr>
          <w:p w:rsidR="00627CA4" w:rsidRPr="00F02DF6" w:rsidRDefault="00627CA4" w:rsidP="00C6299D">
            <w:pPr>
              <w:jc w:val="both"/>
              <w:rPr>
                <w:rFonts w:eastAsia="Calibri"/>
                <w:sz w:val="20"/>
              </w:rPr>
            </w:pPr>
          </w:p>
        </w:tc>
        <w:tc>
          <w:tcPr>
            <w:tcW w:w="2330" w:type="pct"/>
          </w:tcPr>
          <w:p w:rsidR="00627CA4" w:rsidRPr="00F02DF6" w:rsidRDefault="00627CA4" w:rsidP="00C6299D">
            <w:pPr>
              <w:jc w:val="both"/>
              <w:rPr>
                <w:rFonts w:eastAsia="Calibri"/>
                <w:sz w:val="20"/>
              </w:rPr>
            </w:pPr>
            <w:r w:rsidRPr="00F02DF6">
              <w:rPr>
                <w:rFonts w:eastAsia="Calibri"/>
                <w:sz w:val="20"/>
              </w:rPr>
              <w:t>Application for leave to appeal filed</w:t>
            </w:r>
          </w:p>
          <w:p w:rsidR="00627CA4" w:rsidRPr="00F02DF6" w:rsidRDefault="00627CA4" w:rsidP="00C6299D">
            <w:pPr>
              <w:jc w:val="both"/>
              <w:rPr>
                <w:rFonts w:eastAsia="Calibri"/>
                <w:sz w:val="20"/>
              </w:rPr>
            </w:pPr>
          </w:p>
        </w:tc>
      </w:tr>
    </w:tbl>
    <w:p w:rsidR="001A48C6" w:rsidRDefault="001A48C6" w:rsidP="000E2959">
      <w:pPr>
        <w:rPr>
          <w:sz w:val="20"/>
          <w:szCs w:val="20"/>
        </w:rPr>
      </w:pPr>
    </w:p>
    <w:p w:rsidR="001A48C6" w:rsidRPr="00C50A5C" w:rsidRDefault="005B3B50" w:rsidP="001A48C6">
      <w:pPr>
        <w:rPr>
          <w:sz w:val="20"/>
          <w:szCs w:val="20"/>
        </w:rPr>
      </w:pPr>
      <w:r>
        <w:rPr>
          <w:sz w:val="20"/>
          <w:szCs w:val="20"/>
          <w:lang w:val="fr-CA"/>
        </w:rPr>
        <w:pict>
          <v:rect id="_x0000_i1047" style="width:2in;height:1pt" o:hrpct="0" o:hralign="center" o:hrstd="t" o:hrnoshade="t" o:hr="t" fillcolor="black [3213]" stroked="f"/>
        </w:pict>
      </w:r>
    </w:p>
    <w:p w:rsidR="001A48C6" w:rsidRDefault="001A48C6" w:rsidP="001A48C6">
      <w:pPr>
        <w:rPr>
          <w:sz w:val="20"/>
          <w:szCs w:val="20"/>
        </w:rPr>
      </w:pPr>
    </w:p>
    <w:p w:rsidR="001A48C6" w:rsidRPr="001B157C" w:rsidRDefault="001A48C6" w:rsidP="001A48C6">
      <w:pPr>
        <w:rPr>
          <w:sz w:val="20"/>
          <w:szCs w:val="20"/>
          <w:u w:val="single"/>
          <w:lang w:val="fr-CA"/>
        </w:rPr>
      </w:pPr>
      <w:r w:rsidRPr="001B157C">
        <w:rPr>
          <w:sz w:val="20"/>
          <w:szCs w:val="20"/>
          <w:u w:val="single"/>
          <w:lang w:val="fr-CA"/>
        </w:rPr>
        <w:t>RÉSUMÉ DE L’AFFAIRE</w:t>
      </w:r>
    </w:p>
    <w:p w:rsidR="001A48C6" w:rsidRDefault="001A48C6" w:rsidP="001A48C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27CA4" w:rsidRPr="00D229C1" w:rsidTr="00C6299D">
        <w:tc>
          <w:tcPr>
            <w:tcW w:w="5000" w:type="pct"/>
            <w:gridSpan w:val="3"/>
          </w:tcPr>
          <w:p w:rsidR="00627CA4" w:rsidRPr="00F02DF6" w:rsidRDefault="00627CA4" w:rsidP="00C6299D">
            <w:pPr>
              <w:jc w:val="both"/>
              <w:rPr>
                <w:rFonts w:eastAsia="Calibri"/>
                <w:sz w:val="20"/>
                <w:lang w:val="fr-CA"/>
              </w:rPr>
            </w:pPr>
            <w:r w:rsidRPr="00F02DF6">
              <w:rPr>
                <w:rFonts w:eastAsia="Calibri"/>
                <w:sz w:val="20"/>
                <w:lang w:val="fr-CA"/>
              </w:rPr>
              <w:t xml:space="preserve">Responsabilité civile – Négligence – Faute médicale – Un chirurgien a causé la lésion d’un nerf d’une patiente qui subissait une biopsie – Y a-t-il une tension évidente dans la jurisprudence entre, d’une part, le fait d’exiger une conclusion positive par un expert médical comme quoi un médecin a violé la norme de diligence et, d’autre part, l’approche fondée sur la preuve circonstancielle adoptée dans </w:t>
            </w:r>
            <w:r w:rsidRPr="00F02DF6">
              <w:rPr>
                <w:rFonts w:eastAsia="Calibri"/>
                <w:i/>
                <w:sz w:val="20"/>
                <w:lang w:val="fr-CA"/>
              </w:rPr>
              <w:t>Fontaine c. Colombie-Britannique (Official Administrator)</w:t>
            </w:r>
            <w:r w:rsidRPr="00F02DF6">
              <w:rPr>
                <w:rFonts w:eastAsia="Calibri"/>
                <w:sz w:val="20"/>
                <w:lang w:val="fr-CA"/>
              </w:rPr>
              <w:t>, [1998] 1 R.C.S. 424? – La jurisprudence en matière de faute médicale comporte-t-elle des incohérences? – Les juridictions inférieures ont-elles exigé une conclusion positive par un expert médical comme quoi l’intimé avait violé la norme de diligence en pratiquant la biopsie?</w:t>
            </w:r>
          </w:p>
        </w:tc>
      </w:tr>
      <w:tr w:rsidR="00627CA4" w:rsidRPr="00D229C1" w:rsidTr="00C6299D">
        <w:tc>
          <w:tcPr>
            <w:tcW w:w="5000" w:type="pct"/>
            <w:gridSpan w:val="3"/>
          </w:tcPr>
          <w:p w:rsidR="00627CA4" w:rsidRPr="00F02DF6" w:rsidRDefault="00627CA4" w:rsidP="00C6299D">
            <w:pPr>
              <w:jc w:val="both"/>
              <w:rPr>
                <w:rFonts w:eastAsia="Calibri"/>
                <w:sz w:val="20"/>
                <w:lang w:val="fr-CA"/>
              </w:rPr>
            </w:pPr>
          </w:p>
        </w:tc>
      </w:tr>
      <w:tr w:rsidR="00627CA4" w:rsidRPr="00F02DF6" w:rsidTr="00C6299D">
        <w:tc>
          <w:tcPr>
            <w:tcW w:w="5000" w:type="pct"/>
            <w:gridSpan w:val="3"/>
          </w:tcPr>
          <w:p w:rsidR="00627CA4" w:rsidRPr="00F02DF6" w:rsidRDefault="00627CA4" w:rsidP="00C6299D">
            <w:pPr>
              <w:shd w:val="clear" w:color="auto" w:fill="FFFFFF"/>
              <w:jc w:val="both"/>
              <w:rPr>
                <w:rFonts w:eastAsia="Calibri"/>
                <w:sz w:val="20"/>
                <w:lang w:val="fr-CA"/>
              </w:rPr>
            </w:pPr>
            <w:r w:rsidRPr="00F02DF6">
              <w:rPr>
                <w:rFonts w:eastAsia="Calibri"/>
                <w:sz w:val="20"/>
                <w:lang w:val="fr-CA"/>
              </w:rPr>
              <w:t>En 2004, la demanderesse travaillait à son compte comme coiffeuse lorsqu’elle s’est aperçue qu’elle avait une grosseur au cou.  L’intimé est un médecin spécialiste en chirurgie thoracique et générale.  Au cours des mois qui ont suivi, on a présenté la demanderesse à trois spécialistes qui l’ont rassurée qu’il n’y avait aucune raison de s’inquiéter.  Au début de 2005, elle a découvert qu’elle avait une grosseur au sein et on l’a présentée au D</w:t>
            </w:r>
            <w:r w:rsidRPr="00F02DF6">
              <w:rPr>
                <w:rFonts w:eastAsia="Calibri"/>
                <w:sz w:val="20"/>
                <w:vertAlign w:val="superscript"/>
                <w:lang w:val="fr-CA"/>
              </w:rPr>
              <w:t>r</w:t>
            </w:r>
            <w:r w:rsidRPr="00F02DF6">
              <w:rPr>
                <w:rFonts w:eastAsia="Calibri"/>
                <w:sz w:val="20"/>
                <w:lang w:val="fr-CA"/>
              </w:rPr>
              <w:t> Peters.  Pendant que ce dernier lui posait des questions sur ses antécédents médicaux relatifs à la grosseur au sein, M</w:t>
            </w:r>
            <w:r w:rsidRPr="00F02DF6">
              <w:rPr>
                <w:rFonts w:eastAsia="Calibri"/>
                <w:sz w:val="20"/>
                <w:vertAlign w:val="superscript"/>
                <w:lang w:val="fr-CA"/>
              </w:rPr>
              <w:t>me</w:t>
            </w:r>
            <w:r w:rsidRPr="00F02DF6">
              <w:rPr>
                <w:rFonts w:eastAsia="Calibri"/>
                <w:sz w:val="20"/>
                <w:lang w:val="fr-CA"/>
              </w:rPr>
              <w:t> Lemay lui a mentionné qu’elle avait également des grosseurs au cou et qu’elle souffrait de sueurs nocturnes.  Ces renseignements ont amené le D</w:t>
            </w:r>
            <w:r w:rsidRPr="00F02DF6">
              <w:rPr>
                <w:rFonts w:eastAsia="Calibri"/>
                <w:sz w:val="20"/>
                <w:vertAlign w:val="superscript"/>
                <w:lang w:val="fr-CA"/>
              </w:rPr>
              <w:t>r</w:t>
            </w:r>
            <w:r w:rsidRPr="00F02DF6">
              <w:rPr>
                <w:rFonts w:eastAsia="Calibri"/>
                <w:sz w:val="20"/>
                <w:lang w:val="fr-CA"/>
              </w:rPr>
              <w:t> Peters à soupçonner un lymphome et il a proposé une biopsie ganglionnaire à des fins de diagnostic.  Il a dit à M</w:t>
            </w:r>
            <w:r w:rsidRPr="00F02DF6">
              <w:rPr>
                <w:rFonts w:eastAsia="Calibri"/>
                <w:sz w:val="20"/>
                <w:vertAlign w:val="superscript"/>
                <w:lang w:val="fr-CA"/>
              </w:rPr>
              <w:t>me</w:t>
            </w:r>
            <w:r w:rsidRPr="00F02DF6">
              <w:rPr>
                <w:rFonts w:eastAsia="Calibri"/>
                <w:sz w:val="20"/>
                <w:lang w:val="fr-CA"/>
              </w:rPr>
              <w:t> Lemay que l’intervention laisserait des cicatrices et qu’elle courait les risques de l’anesthésie générale.  En juin, 2005 le D</w:t>
            </w:r>
            <w:r w:rsidRPr="00F02DF6">
              <w:rPr>
                <w:rFonts w:eastAsia="Calibri"/>
                <w:sz w:val="20"/>
                <w:vertAlign w:val="superscript"/>
                <w:lang w:val="fr-CA"/>
              </w:rPr>
              <w:t>r</w:t>
            </w:r>
            <w:r w:rsidRPr="00F02DF6">
              <w:rPr>
                <w:rFonts w:eastAsia="Calibri"/>
                <w:sz w:val="20"/>
                <w:lang w:val="fr-CA"/>
              </w:rPr>
              <w:t> Peters a pratiqué une biopsie ganglionnaire dans le cou de M</w:t>
            </w:r>
            <w:r w:rsidRPr="00F02DF6">
              <w:rPr>
                <w:rFonts w:eastAsia="Calibri"/>
                <w:sz w:val="20"/>
                <w:vertAlign w:val="superscript"/>
                <w:lang w:val="fr-CA"/>
              </w:rPr>
              <w:t>me</w:t>
            </w:r>
            <w:r w:rsidRPr="00F02DF6">
              <w:rPr>
                <w:rFonts w:eastAsia="Calibri"/>
                <w:sz w:val="20"/>
                <w:lang w:val="fr-CA"/>
              </w:rPr>
              <w:t> Lemay.  Aucune complication n’a été observée pendant la chirurgie, mais l’analyse pathologique a établi la présence de la maladie de Hodgkin dans le ganglion du cou.  Au cours des premiers jours qui ont suivi la chirurgie, M</w:t>
            </w:r>
            <w:r w:rsidRPr="00F02DF6">
              <w:rPr>
                <w:rFonts w:eastAsia="Calibri"/>
                <w:sz w:val="20"/>
                <w:vertAlign w:val="superscript"/>
                <w:lang w:val="fr-CA"/>
              </w:rPr>
              <w:t>me</w:t>
            </w:r>
            <w:r w:rsidRPr="00F02DF6">
              <w:rPr>
                <w:rFonts w:eastAsia="Calibri"/>
                <w:sz w:val="20"/>
                <w:lang w:val="fr-CA"/>
              </w:rPr>
              <w:t> Lemay a ressenti beaucoup de douleur au bras et au cou.  Elle a parlé au téléphone à la réceptionniste du D</w:t>
            </w:r>
            <w:r w:rsidRPr="00F02DF6">
              <w:rPr>
                <w:rFonts w:eastAsia="Calibri"/>
                <w:sz w:val="20"/>
                <w:vertAlign w:val="superscript"/>
                <w:lang w:val="fr-CA"/>
              </w:rPr>
              <w:t>r</w:t>
            </w:r>
            <w:r w:rsidRPr="00F02DF6">
              <w:rPr>
                <w:rFonts w:eastAsia="Calibri"/>
                <w:sz w:val="20"/>
                <w:lang w:val="fr-CA"/>
              </w:rPr>
              <w:t> Peters, lui disant que son bras lui causait des [</w:t>
            </w:r>
            <w:r w:rsidRPr="00F02DF6">
              <w:rPr>
                <w:rFonts w:eastAsia="Calibri"/>
                <w:smallCaps/>
                <w:sz w:val="20"/>
                <w:lang w:val="fr-CA"/>
              </w:rPr>
              <w:t>traduction</w:t>
            </w:r>
            <w:r w:rsidRPr="00F02DF6">
              <w:rPr>
                <w:rFonts w:eastAsia="Calibri"/>
                <w:sz w:val="20"/>
                <w:lang w:val="fr-CA"/>
              </w:rPr>
              <w:t>] « problèmes ».  On lui a dit que la douleur était sans doute imputable à de l’inflammation et qu’elle devrait bien aller dans quelques jours.  Madame Lemay n’a pas eu d’autres contacts avec le D</w:t>
            </w:r>
            <w:r w:rsidRPr="00F02DF6">
              <w:rPr>
                <w:rFonts w:eastAsia="Calibri"/>
                <w:sz w:val="20"/>
                <w:vertAlign w:val="superscript"/>
                <w:lang w:val="fr-CA"/>
              </w:rPr>
              <w:t>r</w:t>
            </w:r>
            <w:r w:rsidRPr="00F02DF6">
              <w:rPr>
                <w:rFonts w:eastAsia="Calibri"/>
                <w:sz w:val="20"/>
                <w:lang w:val="fr-CA"/>
              </w:rPr>
              <w:t> Peters ou avec son bureau.  Plus tard, elle s’est plainte d’atrophie musculaire et de douleurs dans la région du muscle trapèze, lesquelles nuisaient à la fonction de l’épaule.  À l’automne 2005, son médecin de famille l’a présentée à deux médecins spécialistes pour des examens complémentaires.  Ils ont conclu que M</w:t>
            </w:r>
            <w:r w:rsidRPr="00F02DF6">
              <w:rPr>
                <w:rFonts w:eastAsia="Calibri"/>
                <w:sz w:val="20"/>
                <w:vertAlign w:val="superscript"/>
                <w:lang w:val="fr-CA"/>
              </w:rPr>
              <w:t>me</w:t>
            </w:r>
            <w:r w:rsidRPr="00F02DF6">
              <w:rPr>
                <w:rFonts w:eastAsia="Calibri"/>
                <w:sz w:val="20"/>
                <w:lang w:val="fr-CA"/>
              </w:rPr>
              <w:t> Lemay avait probablement souffert d’une lésion au nerf spinal dans la région où la biopsie avait été pratiquée et ils ont discuté avec elle de la possibilité d’une réparation chirurgicale.  Madame Lemay a refusé de subir la chirurgie de réparation.  Elle a poursuivi le D</w:t>
            </w:r>
            <w:r w:rsidRPr="00F02DF6">
              <w:rPr>
                <w:rFonts w:eastAsia="Calibri"/>
                <w:sz w:val="20"/>
                <w:vertAlign w:val="superscript"/>
                <w:lang w:val="fr-CA"/>
              </w:rPr>
              <w:t>r</w:t>
            </w:r>
            <w:r w:rsidRPr="00F02DF6">
              <w:rPr>
                <w:rFonts w:eastAsia="Calibri"/>
                <w:sz w:val="20"/>
                <w:lang w:val="fr-CA"/>
              </w:rPr>
              <w:t> Peters pour négligence.</w:t>
            </w:r>
          </w:p>
          <w:p w:rsidR="00627CA4" w:rsidRPr="00F02DF6" w:rsidRDefault="00627CA4" w:rsidP="00C6299D">
            <w:pPr>
              <w:shd w:val="clear" w:color="auto" w:fill="FFFFFF"/>
              <w:jc w:val="both"/>
              <w:rPr>
                <w:rFonts w:eastAsia="Calibri"/>
                <w:sz w:val="20"/>
                <w:lang w:val="fr-CA"/>
              </w:rPr>
            </w:pPr>
          </w:p>
        </w:tc>
      </w:tr>
      <w:tr w:rsidR="00627CA4" w:rsidRPr="00D229C1" w:rsidTr="00C6299D">
        <w:tc>
          <w:tcPr>
            <w:tcW w:w="2427" w:type="pct"/>
          </w:tcPr>
          <w:p w:rsidR="00627CA4" w:rsidRPr="00F02DF6" w:rsidRDefault="00627CA4" w:rsidP="00C6299D">
            <w:pPr>
              <w:jc w:val="both"/>
              <w:rPr>
                <w:rFonts w:eastAsia="Calibri"/>
                <w:sz w:val="20"/>
                <w:lang w:val="fr-CA"/>
              </w:rPr>
            </w:pPr>
            <w:r w:rsidRPr="00F02DF6">
              <w:rPr>
                <w:rFonts w:eastAsia="Calibri"/>
                <w:sz w:val="20"/>
                <w:lang w:val="fr-CA"/>
              </w:rPr>
              <w:t>29 février 2012</w:t>
            </w:r>
          </w:p>
          <w:p w:rsidR="00627CA4" w:rsidRPr="00F02DF6" w:rsidRDefault="00627CA4" w:rsidP="00C6299D">
            <w:pPr>
              <w:jc w:val="both"/>
              <w:rPr>
                <w:rFonts w:eastAsia="Calibri"/>
                <w:sz w:val="20"/>
                <w:lang w:val="fr-CA"/>
              </w:rPr>
            </w:pPr>
            <w:r w:rsidRPr="00F02DF6">
              <w:rPr>
                <w:rFonts w:eastAsia="Calibri"/>
                <w:sz w:val="20"/>
                <w:lang w:val="fr-CA"/>
              </w:rPr>
              <w:t>Cour du Banc de la Reine du Nouveau-Brunswick</w:t>
            </w:r>
          </w:p>
          <w:p w:rsidR="00627CA4" w:rsidRPr="00F02DF6" w:rsidRDefault="00627CA4" w:rsidP="00C6299D">
            <w:pPr>
              <w:jc w:val="both"/>
              <w:rPr>
                <w:rFonts w:eastAsia="Calibri"/>
                <w:sz w:val="20"/>
                <w:lang w:val="fr-CA"/>
              </w:rPr>
            </w:pPr>
            <w:r w:rsidRPr="00F02DF6">
              <w:rPr>
                <w:rFonts w:eastAsia="Calibri"/>
                <w:sz w:val="20"/>
                <w:lang w:val="fr-CA"/>
              </w:rPr>
              <w:t>(Juge Morrison)</w:t>
            </w:r>
          </w:p>
          <w:p w:rsidR="00627CA4" w:rsidRPr="00F02DF6" w:rsidRDefault="005B3B50" w:rsidP="00C6299D">
            <w:pPr>
              <w:jc w:val="both"/>
              <w:rPr>
                <w:rFonts w:eastAsia="Calibri"/>
                <w:sz w:val="20"/>
                <w:lang w:val="fr-CA"/>
              </w:rPr>
            </w:pPr>
            <w:hyperlink r:id="rId33" w:history="1">
              <w:r w:rsidR="00627CA4" w:rsidRPr="00F02DF6">
                <w:rPr>
                  <w:rFonts w:eastAsia="Calibri"/>
                  <w:color w:val="0000FF"/>
                  <w:sz w:val="20"/>
                  <w:u w:val="single"/>
                  <w:lang w:val="fr-CA"/>
                </w:rPr>
                <w:t>2012 NBQB 68</w:t>
              </w:r>
            </w:hyperlink>
          </w:p>
          <w:p w:rsidR="00627CA4" w:rsidRPr="00F02DF6" w:rsidRDefault="00627CA4" w:rsidP="00C6299D">
            <w:pPr>
              <w:jc w:val="both"/>
              <w:rPr>
                <w:rFonts w:eastAsia="Calibri"/>
                <w:sz w:val="20"/>
                <w:lang w:val="fr-CA"/>
              </w:rPr>
            </w:pPr>
          </w:p>
        </w:tc>
        <w:tc>
          <w:tcPr>
            <w:tcW w:w="243" w:type="pct"/>
          </w:tcPr>
          <w:p w:rsidR="00627CA4" w:rsidRPr="00F02DF6" w:rsidRDefault="00627CA4" w:rsidP="00C6299D">
            <w:pPr>
              <w:jc w:val="both"/>
              <w:rPr>
                <w:rFonts w:eastAsia="Calibri"/>
                <w:sz w:val="20"/>
                <w:lang w:val="fr-CA"/>
              </w:rPr>
            </w:pPr>
          </w:p>
        </w:tc>
        <w:tc>
          <w:tcPr>
            <w:tcW w:w="2330" w:type="pct"/>
          </w:tcPr>
          <w:p w:rsidR="00627CA4" w:rsidRPr="00F02DF6" w:rsidRDefault="00627CA4" w:rsidP="00C6299D">
            <w:pPr>
              <w:jc w:val="both"/>
              <w:rPr>
                <w:rFonts w:eastAsia="Calibri"/>
                <w:sz w:val="20"/>
                <w:lang w:val="fr-CA"/>
              </w:rPr>
            </w:pPr>
            <w:r w:rsidRPr="00F02DF6">
              <w:rPr>
                <w:rFonts w:eastAsia="Calibri"/>
                <w:sz w:val="20"/>
                <w:lang w:val="fr-CA"/>
              </w:rPr>
              <w:t>Rejet de l’action en dommages-intérêts de la demanderesse</w:t>
            </w:r>
          </w:p>
          <w:p w:rsidR="00627CA4" w:rsidRPr="00F02DF6" w:rsidRDefault="00627CA4" w:rsidP="00C6299D">
            <w:pPr>
              <w:jc w:val="both"/>
              <w:rPr>
                <w:rFonts w:eastAsia="Calibri"/>
                <w:sz w:val="20"/>
                <w:lang w:val="fr-CA"/>
              </w:rPr>
            </w:pPr>
          </w:p>
        </w:tc>
      </w:tr>
      <w:tr w:rsidR="00627CA4" w:rsidRPr="00D229C1" w:rsidTr="00C6299D">
        <w:tc>
          <w:tcPr>
            <w:tcW w:w="2427" w:type="pct"/>
          </w:tcPr>
          <w:p w:rsidR="00627CA4" w:rsidRPr="00F02DF6" w:rsidRDefault="00627CA4" w:rsidP="00C6299D">
            <w:pPr>
              <w:jc w:val="both"/>
              <w:rPr>
                <w:rFonts w:eastAsia="Calibri"/>
                <w:sz w:val="20"/>
                <w:lang w:val="fr-CA"/>
              </w:rPr>
            </w:pPr>
            <w:r w:rsidRPr="00F02DF6">
              <w:rPr>
                <w:rFonts w:eastAsia="Calibri"/>
                <w:sz w:val="20"/>
                <w:lang w:val="fr-CA"/>
              </w:rPr>
              <w:t>11 septembre 2014</w:t>
            </w:r>
          </w:p>
          <w:p w:rsidR="00627CA4" w:rsidRPr="00F02DF6" w:rsidRDefault="00627CA4" w:rsidP="00C6299D">
            <w:pPr>
              <w:jc w:val="both"/>
              <w:rPr>
                <w:rFonts w:eastAsia="Calibri"/>
                <w:sz w:val="20"/>
                <w:lang w:val="fr-CA"/>
              </w:rPr>
            </w:pPr>
            <w:r w:rsidRPr="00F02DF6">
              <w:rPr>
                <w:rFonts w:eastAsia="Calibri"/>
                <w:sz w:val="20"/>
                <w:lang w:val="fr-CA"/>
              </w:rPr>
              <w:t>Cour d’appel du Nouveau-Brunswick</w:t>
            </w:r>
          </w:p>
          <w:p w:rsidR="00627CA4" w:rsidRPr="00F02DF6" w:rsidRDefault="00627CA4" w:rsidP="00C6299D">
            <w:pPr>
              <w:jc w:val="both"/>
              <w:rPr>
                <w:rFonts w:eastAsia="Calibri"/>
                <w:sz w:val="20"/>
                <w:lang w:val="fr-CA"/>
              </w:rPr>
            </w:pPr>
            <w:r w:rsidRPr="00F02DF6">
              <w:rPr>
                <w:rFonts w:eastAsia="Calibri"/>
                <w:sz w:val="20"/>
                <w:lang w:val="fr-CA"/>
              </w:rPr>
              <w:t>(Juges Robertson, Richard et Green)</w:t>
            </w:r>
          </w:p>
          <w:p w:rsidR="00627CA4" w:rsidRPr="00F02DF6" w:rsidRDefault="005B3B50" w:rsidP="00C6299D">
            <w:pPr>
              <w:jc w:val="both"/>
              <w:rPr>
                <w:rFonts w:eastAsia="Calibri"/>
                <w:sz w:val="20"/>
                <w:lang w:val="fr-CA"/>
              </w:rPr>
            </w:pPr>
            <w:hyperlink r:id="rId34" w:history="1">
              <w:r w:rsidR="00627CA4" w:rsidRPr="00F02DF6">
                <w:rPr>
                  <w:rFonts w:eastAsia="Calibri"/>
                  <w:color w:val="0000FF"/>
                  <w:sz w:val="20"/>
                  <w:u w:val="single"/>
                  <w:lang w:val="fr-CA"/>
                </w:rPr>
                <w:t>2014 NBCA 59</w:t>
              </w:r>
            </w:hyperlink>
          </w:p>
          <w:p w:rsidR="00627CA4" w:rsidRPr="00F02DF6" w:rsidRDefault="00627CA4" w:rsidP="00C6299D">
            <w:pPr>
              <w:jc w:val="both"/>
              <w:rPr>
                <w:rFonts w:eastAsia="Calibri"/>
                <w:sz w:val="20"/>
                <w:lang w:val="fr-CA"/>
              </w:rPr>
            </w:pPr>
          </w:p>
        </w:tc>
        <w:tc>
          <w:tcPr>
            <w:tcW w:w="243" w:type="pct"/>
          </w:tcPr>
          <w:p w:rsidR="00627CA4" w:rsidRPr="00F02DF6" w:rsidRDefault="00627CA4" w:rsidP="00C6299D">
            <w:pPr>
              <w:jc w:val="both"/>
              <w:rPr>
                <w:rFonts w:eastAsia="Calibri"/>
                <w:sz w:val="20"/>
                <w:lang w:val="fr-CA"/>
              </w:rPr>
            </w:pPr>
          </w:p>
        </w:tc>
        <w:tc>
          <w:tcPr>
            <w:tcW w:w="2330" w:type="pct"/>
          </w:tcPr>
          <w:p w:rsidR="00627CA4" w:rsidRPr="00F02DF6" w:rsidRDefault="00627CA4" w:rsidP="00C6299D">
            <w:pPr>
              <w:jc w:val="both"/>
              <w:rPr>
                <w:rFonts w:eastAsia="Calibri"/>
                <w:sz w:val="20"/>
                <w:lang w:val="fr-CA"/>
              </w:rPr>
            </w:pPr>
            <w:r w:rsidRPr="00F02DF6">
              <w:rPr>
                <w:rFonts w:eastAsia="Calibri"/>
                <w:sz w:val="20"/>
                <w:lang w:val="fr-CA"/>
              </w:rPr>
              <w:t>Rejet de l’appel de la demanderesse</w:t>
            </w:r>
          </w:p>
          <w:p w:rsidR="00627CA4" w:rsidRPr="00F02DF6" w:rsidRDefault="00627CA4" w:rsidP="00C6299D">
            <w:pPr>
              <w:jc w:val="both"/>
              <w:rPr>
                <w:rFonts w:eastAsia="Calibri"/>
                <w:sz w:val="20"/>
                <w:lang w:val="fr-CA"/>
              </w:rPr>
            </w:pPr>
          </w:p>
        </w:tc>
      </w:tr>
      <w:tr w:rsidR="00627CA4" w:rsidRPr="00D229C1" w:rsidTr="00C6299D">
        <w:tc>
          <w:tcPr>
            <w:tcW w:w="2427" w:type="pct"/>
          </w:tcPr>
          <w:p w:rsidR="00627CA4" w:rsidRPr="00F02DF6" w:rsidRDefault="00627CA4" w:rsidP="00C6299D">
            <w:pPr>
              <w:jc w:val="both"/>
              <w:rPr>
                <w:rFonts w:eastAsia="Calibri"/>
                <w:sz w:val="20"/>
                <w:lang w:val="fr-CA"/>
              </w:rPr>
            </w:pPr>
            <w:r w:rsidRPr="00F02DF6">
              <w:rPr>
                <w:rFonts w:eastAsia="Calibri"/>
                <w:sz w:val="20"/>
                <w:lang w:val="fr-CA"/>
              </w:rPr>
              <w:t>10 novembre 2014</w:t>
            </w:r>
          </w:p>
          <w:p w:rsidR="00627CA4" w:rsidRPr="00F02DF6" w:rsidRDefault="00627CA4" w:rsidP="00C6299D">
            <w:pPr>
              <w:jc w:val="both"/>
              <w:rPr>
                <w:rFonts w:eastAsia="Calibri"/>
                <w:sz w:val="20"/>
                <w:lang w:val="fr-CA"/>
              </w:rPr>
            </w:pPr>
            <w:r w:rsidRPr="00F02DF6">
              <w:rPr>
                <w:rFonts w:eastAsia="Calibri"/>
                <w:sz w:val="20"/>
                <w:lang w:val="fr-CA"/>
              </w:rPr>
              <w:t>Cour suprême du Canada</w:t>
            </w:r>
          </w:p>
        </w:tc>
        <w:tc>
          <w:tcPr>
            <w:tcW w:w="243" w:type="pct"/>
          </w:tcPr>
          <w:p w:rsidR="00627CA4" w:rsidRPr="00F02DF6" w:rsidRDefault="00627CA4" w:rsidP="00C6299D">
            <w:pPr>
              <w:jc w:val="both"/>
              <w:rPr>
                <w:rFonts w:eastAsia="Calibri"/>
                <w:sz w:val="20"/>
                <w:lang w:val="fr-CA"/>
              </w:rPr>
            </w:pPr>
          </w:p>
        </w:tc>
        <w:tc>
          <w:tcPr>
            <w:tcW w:w="2330" w:type="pct"/>
          </w:tcPr>
          <w:p w:rsidR="00627CA4" w:rsidRPr="00F02DF6" w:rsidRDefault="00627CA4" w:rsidP="00C6299D">
            <w:pPr>
              <w:jc w:val="both"/>
              <w:rPr>
                <w:rFonts w:eastAsia="Calibri"/>
                <w:sz w:val="20"/>
                <w:lang w:val="fr-CA"/>
              </w:rPr>
            </w:pPr>
            <w:r w:rsidRPr="00F02DF6">
              <w:rPr>
                <w:rFonts w:eastAsia="Calibri"/>
                <w:sz w:val="20"/>
                <w:lang w:val="fr-CA"/>
              </w:rPr>
              <w:t>Dépôt de la demande d’autorisation d’appel</w:t>
            </w:r>
          </w:p>
          <w:p w:rsidR="00627CA4" w:rsidRPr="00F02DF6" w:rsidRDefault="00627CA4" w:rsidP="00C6299D">
            <w:pPr>
              <w:jc w:val="both"/>
              <w:rPr>
                <w:rFonts w:eastAsia="Calibri"/>
                <w:sz w:val="20"/>
                <w:lang w:val="fr-CA"/>
              </w:rPr>
            </w:pPr>
          </w:p>
        </w:tc>
      </w:tr>
    </w:tbl>
    <w:p w:rsidR="001A48C6" w:rsidRPr="00627CA4" w:rsidRDefault="001A48C6" w:rsidP="000E2959">
      <w:pPr>
        <w:rPr>
          <w:sz w:val="20"/>
          <w:szCs w:val="20"/>
          <w:lang w:val="fr-CA"/>
        </w:rPr>
      </w:pPr>
    </w:p>
    <w:p w:rsidR="001A48C6" w:rsidRDefault="005B3B50" w:rsidP="000E2959">
      <w:pPr>
        <w:rPr>
          <w:sz w:val="20"/>
          <w:szCs w:val="20"/>
          <w:lang w:val="fr-CA"/>
        </w:rPr>
      </w:pPr>
      <w:r>
        <w:rPr>
          <w:sz w:val="20"/>
          <w:szCs w:val="20"/>
          <w:lang w:val="fr-CA"/>
        </w:rPr>
        <w:pict>
          <v:rect id="_x0000_i1048" style="width:2in;height:1pt" o:hrpct="0" o:hralign="center" o:hrstd="t" o:hrnoshade="t" o:hr="t" fillcolor="black [3213]" stroked="f"/>
        </w:pict>
      </w:r>
    </w:p>
    <w:p w:rsidR="001A48C6" w:rsidRDefault="001A48C6" w:rsidP="000E2959">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237ED" w:rsidRPr="00643EC8" w:rsidTr="008237ED">
        <w:trPr>
          <w:cantSplit/>
        </w:trPr>
        <w:tc>
          <w:tcPr>
            <w:tcW w:w="1458" w:type="dxa"/>
          </w:tcPr>
          <w:p w:rsidR="008237ED" w:rsidRPr="00643EC8" w:rsidRDefault="008237ED" w:rsidP="008237ED">
            <w:pPr>
              <w:rPr>
                <w:sz w:val="20"/>
                <w:szCs w:val="20"/>
              </w:rPr>
            </w:pPr>
            <w:r w:rsidRPr="00643EC8">
              <w:rPr>
                <w:rStyle w:val="SCCFileNumberChar"/>
                <w:sz w:val="20"/>
                <w:szCs w:val="20"/>
              </w:rPr>
              <w:t>36184</w:t>
            </w:r>
          </w:p>
          <w:p w:rsidR="008237ED" w:rsidRPr="00643EC8" w:rsidRDefault="008237ED" w:rsidP="008237ED">
            <w:pPr>
              <w:rPr>
                <w:b/>
                <w:sz w:val="20"/>
                <w:szCs w:val="20"/>
                <w:lang w:val="fr-CA"/>
              </w:rPr>
            </w:pPr>
          </w:p>
        </w:tc>
        <w:tc>
          <w:tcPr>
            <w:tcW w:w="8118" w:type="dxa"/>
          </w:tcPr>
          <w:p w:rsidR="008237ED" w:rsidRPr="00643EC8" w:rsidRDefault="008237ED" w:rsidP="008237ED">
            <w:pPr>
              <w:jc w:val="both"/>
              <w:rPr>
                <w:sz w:val="20"/>
                <w:szCs w:val="20"/>
              </w:rPr>
            </w:pPr>
            <w:r w:rsidRPr="00643EC8">
              <w:rPr>
                <w:rStyle w:val="SCCLsocChar"/>
                <w:sz w:val="20"/>
                <w:szCs w:val="20"/>
                <w:lang w:val="en-CA"/>
              </w:rPr>
              <w:t>Francis Mazhero</w:t>
            </w:r>
            <w:r w:rsidR="00E02EEE">
              <w:rPr>
                <w:rStyle w:val="SCCLsocChar"/>
                <w:sz w:val="20"/>
                <w:szCs w:val="20"/>
                <w:lang w:val="en-CA"/>
              </w:rPr>
              <w:t xml:space="preserve"> v. Andrew Fox, Jacques Roberge and</w:t>
            </w:r>
            <w:r w:rsidRPr="00643EC8">
              <w:rPr>
                <w:rStyle w:val="SCCLsocChar"/>
                <w:sz w:val="20"/>
                <w:szCs w:val="20"/>
                <w:lang w:val="en-CA"/>
              </w:rPr>
              <w:t xml:space="preserve"> Neal Sharkey</w:t>
            </w:r>
            <w:r w:rsidRPr="00643EC8">
              <w:rPr>
                <w:sz w:val="20"/>
                <w:szCs w:val="20"/>
              </w:rPr>
              <w:t xml:space="preserve"> (F.C.) (Civil) (By Leave)</w:t>
            </w:r>
          </w:p>
          <w:p w:rsidR="008237ED" w:rsidRPr="00643EC8" w:rsidRDefault="008237ED" w:rsidP="008237ED">
            <w:pPr>
              <w:jc w:val="both"/>
              <w:rPr>
                <w:sz w:val="20"/>
                <w:szCs w:val="20"/>
              </w:rPr>
            </w:pPr>
          </w:p>
        </w:tc>
      </w:tr>
      <w:tr w:rsidR="008237ED" w:rsidRPr="00643EC8" w:rsidTr="008237ED">
        <w:trPr>
          <w:cantSplit/>
        </w:trPr>
        <w:tc>
          <w:tcPr>
            <w:tcW w:w="1458" w:type="dxa"/>
          </w:tcPr>
          <w:p w:rsidR="008237ED" w:rsidRPr="00643EC8" w:rsidRDefault="008237ED" w:rsidP="008237ED">
            <w:pPr>
              <w:rPr>
                <w:sz w:val="20"/>
                <w:szCs w:val="20"/>
              </w:rPr>
            </w:pPr>
            <w:r w:rsidRPr="00643EC8">
              <w:rPr>
                <w:sz w:val="20"/>
                <w:szCs w:val="20"/>
              </w:rPr>
              <w:t>Coram :</w:t>
            </w:r>
          </w:p>
        </w:tc>
        <w:tc>
          <w:tcPr>
            <w:tcW w:w="8118" w:type="dxa"/>
          </w:tcPr>
          <w:p w:rsidR="008237ED" w:rsidRPr="00643EC8" w:rsidRDefault="008237ED" w:rsidP="008237ED">
            <w:pPr>
              <w:rPr>
                <w:sz w:val="20"/>
                <w:szCs w:val="20"/>
              </w:rPr>
            </w:pPr>
            <w:r w:rsidRPr="00643EC8">
              <w:rPr>
                <w:rStyle w:val="SCCCoramChar"/>
                <w:sz w:val="20"/>
                <w:szCs w:val="20"/>
                <w:lang w:val="en-CA"/>
              </w:rPr>
              <w:t>Rothstein, Cromwell and Moldaver JJ.</w:t>
            </w:r>
          </w:p>
          <w:p w:rsidR="008237ED" w:rsidRPr="00643EC8" w:rsidRDefault="008237ED" w:rsidP="008237ED">
            <w:pPr>
              <w:rPr>
                <w:sz w:val="20"/>
                <w:szCs w:val="20"/>
                <w:u w:val="single"/>
              </w:rPr>
            </w:pPr>
          </w:p>
        </w:tc>
      </w:tr>
      <w:tr w:rsidR="008237ED" w:rsidRPr="00D229C1" w:rsidTr="008237ED">
        <w:trPr>
          <w:cantSplit/>
        </w:trPr>
        <w:tc>
          <w:tcPr>
            <w:tcW w:w="9576" w:type="dxa"/>
            <w:gridSpan w:val="2"/>
          </w:tcPr>
          <w:p w:rsidR="008237ED" w:rsidRPr="00643EC8" w:rsidRDefault="008237ED" w:rsidP="008237ED">
            <w:pPr>
              <w:pStyle w:val="SCCShortJudgment"/>
              <w:rPr>
                <w:szCs w:val="20"/>
              </w:rPr>
            </w:pPr>
            <w:r w:rsidRPr="00643EC8">
              <w:rPr>
                <w:szCs w:val="20"/>
              </w:rPr>
              <w:t>The motion for miscellaneous remedies, filed April 16, 2015, is dismissed. The four applications for leave to appeal from judgments of the Federal Court of Appeal, Numbers A-147-11 and A-186-11, dated July 9, 2014, October 1, 2014, October 9, 2014, October 22, 2014 and December 5, 2014, are dismissed with costs.</w:t>
            </w:r>
          </w:p>
          <w:p w:rsidR="008237ED" w:rsidRPr="00643EC8" w:rsidRDefault="008237ED" w:rsidP="008237ED">
            <w:pPr>
              <w:pStyle w:val="SCCShortJudgment"/>
              <w:ind w:firstLine="0"/>
              <w:rPr>
                <w:szCs w:val="20"/>
              </w:rPr>
            </w:pPr>
          </w:p>
          <w:p w:rsidR="008237ED" w:rsidRPr="00643EC8" w:rsidRDefault="008237ED" w:rsidP="008237ED">
            <w:pPr>
              <w:pStyle w:val="SCCShortJudgment"/>
              <w:rPr>
                <w:szCs w:val="20"/>
                <w:lang w:val="fr-CA"/>
              </w:rPr>
            </w:pPr>
            <w:r w:rsidRPr="00643EC8">
              <w:rPr>
                <w:szCs w:val="20"/>
                <w:lang w:val="fr-CA"/>
              </w:rPr>
              <w:t>La requête sollicitant diverses mesures de redressements, déposée le 16 avril 2015, est rejetée. Les quatre demandes d’autorisation d’appel des jugements de la Cour d’appel fédérale, numéros A-147-11 et A-186-11, datés des 9 juillet 2014, 1 octobre 2014, 9 octobre 2014, 22 octobre 2014 et 5 décembre 2014, sont rejetées avec dépens.</w:t>
            </w:r>
          </w:p>
        </w:tc>
      </w:tr>
    </w:tbl>
    <w:p w:rsidR="00A23156" w:rsidRPr="008237ED" w:rsidRDefault="00A23156" w:rsidP="00A23156">
      <w:pPr>
        <w:rPr>
          <w:sz w:val="20"/>
          <w:szCs w:val="20"/>
          <w:lang w:val="fr-CA"/>
        </w:rPr>
      </w:pPr>
    </w:p>
    <w:p w:rsidR="00A23156" w:rsidRPr="001B157C" w:rsidRDefault="00A23156" w:rsidP="00A23156">
      <w:pPr>
        <w:rPr>
          <w:sz w:val="20"/>
          <w:szCs w:val="20"/>
          <w:u w:val="single"/>
        </w:rPr>
      </w:pPr>
      <w:r w:rsidRPr="001B157C">
        <w:rPr>
          <w:sz w:val="20"/>
          <w:szCs w:val="20"/>
          <w:u w:val="single"/>
        </w:rPr>
        <w:t>CASE SUMMARY</w:t>
      </w:r>
    </w:p>
    <w:p w:rsidR="00A23156" w:rsidRDefault="00A23156" w:rsidP="00A2315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27CA4" w:rsidRPr="00F02DF6" w:rsidTr="00C6299D">
        <w:tc>
          <w:tcPr>
            <w:tcW w:w="5000" w:type="pct"/>
            <w:gridSpan w:val="3"/>
          </w:tcPr>
          <w:p w:rsidR="00627CA4" w:rsidRPr="00F02DF6" w:rsidRDefault="00627CA4" w:rsidP="00C6299D">
            <w:pPr>
              <w:jc w:val="both"/>
              <w:rPr>
                <w:rFonts w:eastAsia="Calibri"/>
                <w:sz w:val="20"/>
              </w:rPr>
            </w:pPr>
            <w:r w:rsidRPr="00F02DF6">
              <w:rPr>
                <w:rFonts w:eastAsia="Calibri"/>
                <w:sz w:val="20"/>
              </w:rPr>
              <w:t>Civil procedure – Appeals – Applicant declared vexatious litigant – Applicant’s consolidated appeal dismissed summarily with costs – Whether leave to appeal from this and other judgments of the Federal Court of Appeal should be granted.</w:t>
            </w:r>
          </w:p>
          <w:p w:rsidR="00627CA4" w:rsidRPr="00F02DF6" w:rsidRDefault="00627CA4" w:rsidP="00C6299D">
            <w:pPr>
              <w:jc w:val="both"/>
              <w:rPr>
                <w:rFonts w:eastAsia="Calibri"/>
                <w:sz w:val="20"/>
              </w:rPr>
            </w:pPr>
          </w:p>
        </w:tc>
      </w:tr>
      <w:tr w:rsidR="00627CA4" w:rsidRPr="00F02DF6" w:rsidTr="00C6299D">
        <w:tc>
          <w:tcPr>
            <w:tcW w:w="5000" w:type="pct"/>
            <w:gridSpan w:val="3"/>
          </w:tcPr>
          <w:p w:rsidR="00627CA4" w:rsidRPr="00F02DF6" w:rsidRDefault="00627CA4" w:rsidP="00C6299D">
            <w:pPr>
              <w:jc w:val="both"/>
              <w:rPr>
                <w:rFonts w:eastAsia="Calibri"/>
                <w:b/>
                <w:sz w:val="20"/>
              </w:rPr>
            </w:pPr>
            <w:r w:rsidRPr="00F02DF6">
              <w:rPr>
                <w:rFonts w:eastAsia="Calibri"/>
                <w:b/>
                <w:sz w:val="20"/>
              </w:rPr>
              <w:t>First application for leave to appeal</w:t>
            </w:r>
          </w:p>
          <w:p w:rsidR="00627CA4" w:rsidRPr="00F02DF6" w:rsidRDefault="00627CA4" w:rsidP="00C6299D">
            <w:pPr>
              <w:jc w:val="both"/>
              <w:rPr>
                <w:rFonts w:eastAsia="Calibri"/>
                <w:sz w:val="20"/>
              </w:rPr>
            </w:pPr>
          </w:p>
        </w:tc>
      </w:tr>
      <w:tr w:rsidR="00627CA4" w:rsidRPr="00F02DF6" w:rsidTr="00C6299D">
        <w:tc>
          <w:tcPr>
            <w:tcW w:w="2427" w:type="pct"/>
          </w:tcPr>
          <w:p w:rsidR="00627CA4" w:rsidRPr="00F02DF6" w:rsidRDefault="00627CA4" w:rsidP="00C6299D">
            <w:pPr>
              <w:jc w:val="both"/>
              <w:rPr>
                <w:rFonts w:eastAsia="Calibri"/>
                <w:sz w:val="20"/>
              </w:rPr>
            </w:pPr>
            <w:r w:rsidRPr="00F02DF6">
              <w:rPr>
                <w:rFonts w:eastAsia="Calibri"/>
                <w:sz w:val="20"/>
              </w:rPr>
              <w:t>July 9, 2014</w:t>
            </w:r>
          </w:p>
          <w:p w:rsidR="00627CA4" w:rsidRPr="00F02DF6" w:rsidRDefault="00627CA4" w:rsidP="00C6299D">
            <w:pPr>
              <w:jc w:val="both"/>
              <w:rPr>
                <w:rFonts w:eastAsia="Calibri"/>
                <w:sz w:val="20"/>
              </w:rPr>
            </w:pPr>
            <w:r w:rsidRPr="00F02DF6">
              <w:rPr>
                <w:rFonts w:eastAsia="Calibri"/>
                <w:sz w:val="20"/>
              </w:rPr>
              <w:t>Federal Court of Appeal</w:t>
            </w:r>
          </w:p>
          <w:p w:rsidR="00627CA4" w:rsidRPr="00F02DF6" w:rsidRDefault="00627CA4" w:rsidP="00C6299D">
            <w:pPr>
              <w:jc w:val="both"/>
              <w:rPr>
                <w:rFonts w:eastAsia="Calibri"/>
                <w:sz w:val="20"/>
              </w:rPr>
            </w:pPr>
            <w:r w:rsidRPr="00F02DF6">
              <w:rPr>
                <w:rFonts w:eastAsia="Calibri"/>
                <w:sz w:val="20"/>
              </w:rPr>
              <w:t>(Sharlow J.A.)</w:t>
            </w:r>
          </w:p>
          <w:p w:rsidR="00627CA4" w:rsidRPr="00F02DF6" w:rsidRDefault="00627CA4" w:rsidP="00C6299D">
            <w:pPr>
              <w:jc w:val="both"/>
              <w:rPr>
                <w:rFonts w:eastAsia="Calibri"/>
                <w:sz w:val="20"/>
              </w:rPr>
            </w:pPr>
            <w:r w:rsidRPr="00F02DF6">
              <w:rPr>
                <w:rFonts w:eastAsia="Calibri"/>
                <w:sz w:val="20"/>
              </w:rPr>
              <w:t>A-147-11; A-186-11</w:t>
            </w:r>
          </w:p>
          <w:p w:rsidR="00627CA4" w:rsidRPr="00F02DF6" w:rsidRDefault="00627CA4" w:rsidP="00C6299D">
            <w:pPr>
              <w:jc w:val="both"/>
              <w:rPr>
                <w:rFonts w:eastAsia="Calibri"/>
                <w:sz w:val="20"/>
              </w:rPr>
            </w:pPr>
          </w:p>
        </w:tc>
        <w:tc>
          <w:tcPr>
            <w:tcW w:w="243" w:type="pct"/>
          </w:tcPr>
          <w:p w:rsidR="00627CA4" w:rsidRPr="00F02DF6" w:rsidRDefault="00627CA4" w:rsidP="00C6299D">
            <w:pPr>
              <w:jc w:val="both"/>
              <w:rPr>
                <w:rFonts w:eastAsia="Calibri"/>
                <w:sz w:val="20"/>
              </w:rPr>
            </w:pPr>
          </w:p>
        </w:tc>
        <w:tc>
          <w:tcPr>
            <w:tcW w:w="2330" w:type="pct"/>
          </w:tcPr>
          <w:p w:rsidR="00627CA4" w:rsidRPr="00F02DF6" w:rsidRDefault="00627CA4" w:rsidP="00C6299D">
            <w:pPr>
              <w:jc w:val="both"/>
              <w:rPr>
                <w:rFonts w:eastAsia="Calibri"/>
                <w:sz w:val="20"/>
              </w:rPr>
            </w:pPr>
            <w:r w:rsidRPr="00F02DF6">
              <w:rPr>
                <w:rFonts w:eastAsia="Calibri"/>
                <w:sz w:val="20"/>
              </w:rPr>
              <w:t>Applicant ordered to serve and file written submissions as to why his consolidated appeal should not be dismissed for delay</w:t>
            </w:r>
          </w:p>
          <w:p w:rsidR="00627CA4" w:rsidRPr="00F02DF6" w:rsidRDefault="00627CA4" w:rsidP="00C6299D">
            <w:pPr>
              <w:jc w:val="both"/>
              <w:rPr>
                <w:rFonts w:eastAsia="Calibri"/>
                <w:sz w:val="20"/>
              </w:rPr>
            </w:pPr>
          </w:p>
        </w:tc>
      </w:tr>
      <w:tr w:rsidR="00627CA4" w:rsidRPr="00F02DF6" w:rsidTr="00C6299D">
        <w:tc>
          <w:tcPr>
            <w:tcW w:w="2427" w:type="pct"/>
          </w:tcPr>
          <w:p w:rsidR="00627CA4" w:rsidRPr="00F02DF6" w:rsidRDefault="00627CA4" w:rsidP="00C6299D">
            <w:pPr>
              <w:jc w:val="both"/>
              <w:rPr>
                <w:rFonts w:eastAsia="Calibri"/>
                <w:sz w:val="20"/>
              </w:rPr>
            </w:pPr>
            <w:r w:rsidRPr="00F02DF6">
              <w:rPr>
                <w:rFonts w:eastAsia="Calibri"/>
                <w:sz w:val="20"/>
              </w:rPr>
              <w:t>September 29, 2014</w:t>
            </w:r>
          </w:p>
          <w:p w:rsidR="00627CA4" w:rsidRPr="00F02DF6" w:rsidRDefault="00627CA4" w:rsidP="00C6299D">
            <w:pPr>
              <w:jc w:val="both"/>
              <w:rPr>
                <w:rFonts w:eastAsia="Calibri"/>
                <w:sz w:val="20"/>
              </w:rPr>
            </w:pPr>
            <w:r w:rsidRPr="00F02DF6">
              <w:rPr>
                <w:rFonts w:eastAsia="Calibri"/>
                <w:sz w:val="20"/>
              </w:rPr>
              <w:t>Supreme Court of Canada</w:t>
            </w:r>
          </w:p>
          <w:p w:rsidR="00627CA4" w:rsidRPr="00F02DF6" w:rsidRDefault="00627CA4" w:rsidP="00C6299D">
            <w:pPr>
              <w:jc w:val="both"/>
              <w:rPr>
                <w:rFonts w:eastAsia="Calibri"/>
                <w:sz w:val="20"/>
              </w:rPr>
            </w:pPr>
          </w:p>
        </w:tc>
        <w:tc>
          <w:tcPr>
            <w:tcW w:w="243" w:type="pct"/>
          </w:tcPr>
          <w:p w:rsidR="00627CA4" w:rsidRPr="00F02DF6" w:rsidRDefault="00627CA4" w:rsidP="00C6299D">
            <w:pPr>
              <w:jc w:val="both"/>
              <w:rPr>
                <w:rFonts w:eastAsia="Calibri"/>
                <w:sz w:val="20"/>
              </w:rPr>
            </w:pPr>
          </w:p>
        </w:tc>
        <w:tc>
          <w:tcPr>
            <w:tcW w:w="2330" w:type="pct"/>
          </w:tcPr>
          <w:p w:rsidR="00627CA4" w:rsidRPr="00F02DF6" w:rsidRDefault="00627CA4" w:rsidP="00C6299D">
            <w:pPr>
              <w:jc w:val="both"/>
              <w:rPr>
                <w:rFonts w:eastAsia="Calibri"/>
                <w:sz w:val="20"/>
              </w:rPr>
            </w:pPr>
            <w:r w:rsidRPr="00F02DF6">
              <w:rPr>
                <w:rFonts w:eastAsia="Calibri"/>
                <w:sz w:val="20"/>
              </w:rPr>
              <w:t>Application for leave to appeal filed</w:t>
            </w:r>
          </w:p>
          <w:p w:rsidR="00627CA4" w:rsidRPr="00F02DF6" w:rsidRDefault="00627CA4" w:rsidP="00C6299D">
            <w:pPr>
              <w:jc w:val="both"/>
              <w:rPr>
                <w:rFonts w:eastAsia="Calibri"/>
                <w:sz w:val="20"/>
              </w:rPr>
            </w:pPr>
          </w:p>
        </w:tc>
      </w:tr>
      <w:tr w:rsidR="00627CA4" w:rsidRPr="00F02DF6" w:rsidTr="00C6299D">
        <w:tc>
          <w:tcPr>
            <w:tcW w:w="2427" w:type="pct"/>
          </w:tcPr>
          <w:p w:rsidR="00627CA4" w:rsidRPr="00F02DF6" w:rsidRDefault="00627CA4" w:rsidP="00C6299D">
            <w:pPr>
              <w:jc w:val="both"/>
              <w:rPr>
                <w:rFonts w:eastAsia="Calibri"/>
                <w:sz w:val="20"/>
              </w:rPr>
            </w:pPr>
            <w:r w:rsidRPr="00F02DF6">
              <w:rPr>
                <w:rFonts w:eastAsia="Calibri"/>
                <w:sz w:val="20"/>
              </w:rPr>
              <w:t>September 11, 2014</w:t>
            </w:r>
          </w:p>
          <w:p w:rsidR="00627CA4" w:rsidRPr="00F02DF6" w:rsidRDefault="00627CA4" w:rsidP="00C6299D">
            <w:pPr>
              <w:jc w:val="both"/>
              <w:rPr>
                <w:rFonts w:eastAsia="Calibri"/>
                <w:sz w:val="20"/>
              </w:rPr>
            </w:pPr>
            <w:r w:rsidRPr="00F02DF6">
              <w:rPr>
                <w:rFonts w:eastAsia="Calibri"/>
                <w:sz w:val="20"/>
              </w:rPr>
              <w:t>Federal Court of Appeal</w:t>
            </w:r>
          </w:p>
          <w:p w:rsidR="00627CA4" w:rsidRPr="00F02DF6" w:rsidRDefault="00627CA4" w:rsidP="00C6299D">
            <w:pPr>
              <w:jc w:val="both"/>
              <w:rPr>
                <w:rFonts w:eastAsia="Calibri"/>
                <w:sz w:val="20"/>
              </w:rPr>
            </w:pPr>
            <w:r w:rsidRPr="00F02DF6">
              <w:rPr>
                <w:rFonts w:eastAsia="Calibri"/>
                <w:sz w:val="20"/>
              </w:rPr>
              <w:t>(Sharlow J.A.)</w:t>
            </w:r>
          </w:p>
          <w:p w:rsidR="00627CA4" w:rsidRPr="00F02DF6" w:rsidRDefault="005B3B50" w:rsidP="00C6299D">
            <w:pPr>
              <w:jc w:val="both"/>
              <w:rPr>
                <w:rFonts w:eastAsia="Calibri"/>
                <w:sz w:val="20"/>
              </w:rPr>
            </w:pPr>
            <w:hyperlink r:id="rId35" w:history="1">
              <w:r w:rsidR="00627CA4" w:rsidRPr="00F02DF6">
                <w:rPr>
                  <w:rFonts w:eastAsia="Calibri"/>
                  <w:color w:val="0000FF"/>
                  <w:sz w:val="20"/>
                  <w:u w:val="single"/>
                </w:rPr>
                <w:t>2014 FCA 200</w:t>
              </w:r>
            </w:hyperlink>
            <w:r w:rsidR="00627CA4" w:rsidRPr="00F02DF6">
              <w:rPr>
                <w:rFonts w:eastAsia="Calibri"/>
                <w:sz w:val="20"/>
              </w:rPr>
              <w:t>; A-147-11; A-186-11</w:t>
            </w:r>
          </w:p>
          <w:p w:rsidR="00627CA4" w:rsidRPr="00F02DF6" w:rsidRDefault="00627CA4" w:rsidP="00C6299D">
            <w:pPr>
              <w:jc w:val="both"/>
              <w:rPr>
                <w:rFonts w:eastAsia="Calibri"/>
                <w:sz w:val="20"/>
              </w:rPr>
            </w:pPr>
          </w:p>
        </w:tc>
        <w:tc>
          <w:tcPr>
            <w:tcW w:w="243" w:type="pct"/>
          </w:tcPr>
          <w:p w:rsidR="00627CA4" w:rsidRPr="00F02DF6" w:rsidRDefault="00627CA4" w:rsidP="00C6299D">
            <w:pPr>
              <w:jc w:val="both"/>
              <w:rPr>
                <w:rFonts w:eastAsia="Calibri"/>
                <w:sz w:val="20"/>
              </w:rPr>
            </w:pPr>
          </w:p>
          <w:p w:rsidR="00627CA4" w:rsidRPr="00F02DF6" w:rsidRDefault="00627CA4" w:rsidP="00C6299D">
            <w:pPr>
              <w:jc w:val="both"/>
              <w:rPr>
                <w:rFonts w:eastAsia="Calibri"/>
                <w:sz w:val="20"/>
              </w:rPr>
            </w:pPr>
          </w:p>
          <w:p w:rsidR="00627CA4" w:rsidRPr="00F02DF6" w:rsidRDefault="00627CA4" w:rsidP="00C6299D">
            <w:pPr>
              <w:jc w:val="both"/>
              <w:rPr>
                <w:rFonts w:eastAsia="Calibri"/>
                <w:sz w:val="20"/>
              </w:rPr>
            </w:pPr>
          </w:p>
          <w:p w:rsidR="00627CA4" w:rsidRPr="00F02DF6" w:rsidRDefault="00627CA4" w:rsidP="00C6299D">
            <w:pPr>
              <w:jc w:val="both"/>
              <w:rPr>
                <w:rFonts w:eastAsia="Calibri"/>
                <w:sz w:val="20"/>
              </w:rPr>
            </w:pPr>
          </w:p>
        </w:tc>
        <w:tc>
          <w:tcPr>
            <w:tcW w:w="2330" w:type="pct"/>
          </w:tcPr>
          <w:p w:rsidR="00627CA4" w:rsidRPr="00F02DF6" w:rsidRDefault="00627CA4" w:rsidP="00C6299D">
            <w:pPr>
              <w:jc w:val="both"/>
              <w:rPr>
                <w:rFonts w:eastAsia="Calibri"/>
                <w:sz w:val="20"/>
              </w:rPr>
            </w:pPr>
            <w:r w:rsidRPr="00F02DF6">
              <w:rPr>
                <w:rFonts w:eastAsia="Calibri"/>
                <w:sz w:val="20"/>
              </w:rPr>
              <w:t>Consolidated appeal allowed to continue as a specially managed proceeding</w:t>
            </w:r>
          </w:p>
          <w:p w:rsidR="00627CA4" w:rsidRPr="00F02DF6" w:rsidRDefault="00627CA4" w:rsidP="00C6299D">
            <w:pPr>
              <w:jc w:val="both"/>
              <w:rPr>
                <w:rFonts w:eastAsia="Calibri"/>
                <w:sz w:val="20"/>
              </w:rPr>
            </w:pPr>
          </w:p>
        </w:tc>
      </w:tr>
      <w:tr w:rsidR="00627CA4" w:rsidRPr="00F02DF6" w:rsidTr="00C6299D">
        <w:tc>
          <w:tcPr>
            <w:tcW w:w="5000" w:type="pct"/>
            <w:gridSpan w:val="3"/>
          </w:tcPr>
          <w:p w:rsidR="00627CA4" w:rsidRPr="00F02DF6" w:rsidRDefault="00627CA4" w:rsidP="00C6299D">
            <w:pPr>
              <w:jc w:val="both"/>
              <w:rPr>
                <w:rFonts w:eastAsia="Calibri"/>
                <w:b/>
                <w:sz w:val="20"/>
              </w:rPr>
            </w:pPr>
            <w:r w:rsidRPr="00F02DF6">
              <w:rPr>
                <w:rFonts w:eastAsia="Calibri"/>
                <w:b/>
                <w:sz w:val="20"/>
              </w:rPr>
              <w:t>Second application for leave to appeal</w:t>
            </w:r>
          </w:p>
          <w:p w:rsidR="00627CA4" w:rsidRPr="00F02DF6" w:rsidRDefault="00627CA4" w:rsidP="00C6299D">
            <w:pPr>
              <w:jc w:val="both"/>
              <w:rPr>
                <w:rFonts w:eastAsia="Calibri"/>
                <w:sz w:val="20"/>
              </w:rPr>
            </w:pPr>
          </w:p>
        </w:tc>
      </w:tr>
      <w:tr w:rsidR="00627CA4" w:rsidRPr="00F02DF6" w:rsidTr="00C6299D">
        <w:tc>
          <w:tcPr>
            <w:tcW w:w="2427" w:type="pct"/>
          </w:tcPr>
          <w:p w:rsidR="00627CA4" w:rsidRPr="00F02DF6" w:rsidRDefault="00627CA4" w:rsidP="00C6299D">
            <w:pPr>
              <w:jc w:val="both"/>
              <w:rPr>
                <w:rFonts w:eastAsia="Calibri"/>
                <w:sz w:val="20"/>
              </w:rPr>
            </w:pPr>
            <w:r w:rsidRPr="00F02DF6">
              <w:rPr>
                <w:rFonts w:eastAsia="Calibri"/>
                <w:sz w:val="20"/>
              </w:rPr>
              <w:t>October 1, 2014</w:t>
            </w:r>
          </w:p>
          <w:p w:rsidR="00627CA4" w:rsidRPr="00F02DF6" w:rsidRDefault="00627CA4" w:rsidP="00C6299D">
            <w:pPr>
              <w:jc w:val="both"/>
              <w:rPr>
                <w:rFonts w:eastAsia="Calibri"/>
                <w:sz w:val="20"/>
              </w:rPr>
            </w:pPr>
            <w:r w:rsidRPr="00F02DF6">
              <w:rPr>
                <w:rFonts w:eastAsia="Calibri"/>
                <w:sz w:val="20"/>
              </w:rPr>
              <w:t>Federal Court of Appeal</w:t>
            </w:r>
          </w:p>
          <w:p w:rsidR="00627CA4" w:rsidRPr="00F02DF6" w:rsidRDefault="00627CA4" w:rsidP="00C6299D">
            <w:pPr>
              <w:jc w:val="both"/>
              <w:rPr>
                <w:rFonts w:eastAsia="Calibri"/>
                <w:sz w:val="20"/>
              </w:rPr>
            </w:pPr>
            <w:r w:rsidRPr="00F02DF6">
              <w:rPr>
                <w:rFonts w:eastAsia="Calibri"/>
                <w:sz w:val="20"/>
              </w:rPr>
              <w:t>(Stratas J.A.)</w:t>
            </w:r>
          </w:p>
          <w:p w:rsidR="00627CA4" w:rsidRPr="00F02DF6" w:rsidRDefault="005B3B50" w:rsidP="00C6299D">
            <w:pPr>
              <w:jc w:val="both"/>
              <w:rPr>
                <w:rFonts w:eastAsia="Calibri"/>
                <w:sz w:val="20"/>
              </w:rPr>
            </w:pPr>
            <w:hyperlink r:id="rId36" w:history="1">
              <w:r w:rsidR="00627CA4" w:rsidRPr="00F02DF6">
                <w:rPr>
                  <w:rFonts w:eastAsia="Calibri"/>
                  <w:color w:val="0000FF"/>
                  <w:sz w:val="20"/>
                  <w:u w:val="single"/>
                </w:rPr>
                <w:t>2014 FCA 219</w:t>
              </w:r>
            </w:hyperlink>
            <w:r w:rsidR="00627CA4" w:rsidRPr="00F02DF6">
              <w:rPr>
                <w:rFonts w:eastAsia="Calibri"/>
                <w:sz w:val="20"/>
              </w:rPr>
              <w:t>; A-147-11; A-186-11</w:t>
            </w:r>
          </w:p>
          <w:p w:rsidR="00627CA4" w:rsidRPr="00F02DF6" w:rsidRDefault="00627CA4" w:rsidP="00C6299D">
            <w:pPr>
              <w:jc w:val="both"/>
              <w:rPr>
                <w:rFonts w:eastAsia="Calibri"/>
                <w:sz w:val="20"/>
              </w:rPr>
            </w:pPr>
          </w:p>
        </w:tc>
        <w:tc>
          <w:tcPr>
            <w:tcW w:w="243" w:type="pct"/>
          </w:tcPr>
          <w:p w:rsidR="00627CA4" w:rsidRPr="00F02DF6" w:rsidRDefault="00627CA4" w:rsidP="00C6299D">
            <w:pPr>
              <w:jc w:val="both"/>
              <w:rPr>
                <w:rFonts w:eastAsia="Calibri"/>
                <w:sz w:val="20"/>
              </w:rPr>
            </w:pPr>
          </w:p>
        </w:tc>
        <w:tc>
          <w:tcPr>
            <w:tcW w:w="2330" w:type="pct"/>
          </w:tcPr>
          <w:p w:rsidR="00627CA4" w:rsidRPr="00F02DF6" w:rsidRDefault="00627CA4" w:rsidP="00C6299D">
            <w:pPr>
              <w:jc w:val="both"/>
              <w:rPr>
                <w:rFonts w:eastAsia="Calibri"/>
                <w:sz w:val="20"/>
              </w:rPr>
            </w:pPr>
            <w:r w:rsidRPr="00F02DF6">
              <w:rPr>
                <w:rFonts w:eastAsia="Calibri"/>
                <w:sz w:val="20"/>
              </w:rPr>
              <w:t>Motions dismissed. Instructions describing how the consolidated appeal will move forward as a specially managed proceeding issued</w:t>
            </w:r>
          </w:p>
        </w:tc>
      </w:tr>
      <w:tr w:rsidR="00627CA4" w:rsidRPr="00F02DF6" w:rsidTr="00C6299D">
        <w:tc>
          <w:tcPr>
            <w:tcW w:w="2427" w:type="pct"/>
          </w:tcPr>
          <w:p w:rsidR="00627CA4" w:rsidRPr="00F02DF6" w:rsidRDefault="00627CA4" w:rsidP="00C6299D">
            <w:pPr>
              <w:jc w:val="both"/>
              <w:rPr>
                <w:rFonts w:eastAsia="Calibri"/>
                <w:sz w:val="20"/>
              </w:rPr>
            </w:pPr>
            <w:r w:rsidRPr="00F02DF6">
              <w:rPr>
                <w:rFonts w:eastAsia="Calibri"/>
                <w:sz w:val="20"/>
              </w:rPr>
              <w:t>October 9, 2014</w:t>
            </w:r>
          </w:p>
          <w:p w:rsidR="00627CA4" w:rsidRPr="00F02DF6" w:rsidRDefault="00627CA4" w:rsidP="00C6299D">
            <w:pPr>
              <w:jc w:val="both"/>
              <w:rPr>
                <w:rFonts w:eastAsia="Calibri"/>
                <w:sz w:val="20"/>
              </w:rPr>
            </w:pPr>
            <w:r w:rsidRPr="00F02DF6">
              <w:rPr>
                <w:rFonts w:eastAsia="Calibri"/>
                <w:sz w:val="20"/>
              </w:rPr>
              <w:t>Federal Court of Appeal</w:t>
            </w:r>
          </w:p>
          <w:p w:rsidR="00627CA4" w:rsidRPr="00F02DF6" w:rsidRDefault="00627CA4" w:rsidP="00C6299D">
            <w:pPr>
              <w:jc w:val="both"/>
              <w:rPr>
                <w:rFonts w:eastAsia="Calibri"/>
                <w:sz w:val="20"/>
              </w:rPr>
            </w:pPr>
            <w:r w:rsidRPr="00F02DF6">
              <w:rPr>
                <w:rFonts w:eastAsia="Calibri"/>
                <w:sz w:val="20"/>
              </w:rPr>
              <w:t>(Stratas J.A.)</w:t>
            </w:r>
          </w:p>
          <w:p w:rsidR="00627CA4" w:rsidRPr="00F02DF6" w:rsidRDefault="005B3B50" w:rsidP="00C6299D">
            <w:pPr>
              <w:jc w:val="both"/>
              <w:rPr>
                <w:rFonts w:eastAsia="Calibri"/>
                <w:sz w:val="20"/>
              </w:rPr>
            </w:pPr>
            <w:hyperlink r:id="rId37" w:history="1">
              <w:r w:rsidR="00627CA4" w:rsidRPr="00F02DF6">
                <w:rPr>
                  <w:rFonts w:eastAsia="Calibri"/>
                  <w:color w:val="0000FF"/>
                  <w:sz w:val="20"/>
                  <w:u w:val="single"/>
                </w:rPr>
                <w:t>2014 FCA 226</w:t>
              </w:r>
            </w:hyperlink>
            <w:r w:rsidR="00627CA4" w:rsidRPr="00F02DF6">
              <w:rPr>
                <w:rFonts w:eastAsia="Calibri"/>
                <w:sz w:val="20"/>
              </w:rPr>
              <w:t>; A-147-11; A-186-11</w:t>
            </w:r>
          </w:p>
          <w:p w:rsidR="00627CA4" w:rsidRPr="00F02DF6" w:rsidRDefault="00627CA4" w:rsidP="00C6299D">
            <w:pPr>
              <w:jc w:val="both"/>
              <w:rPr>
                <w:rFonts w:eastAsia="Calibri"/>
                <w:sz w:val="20"/>
              </w:rPr>
            </w:pPr>
          </w:p>
        </w:tc>
        <w:tc>
          <w:tcPr>
            <w:tcW w:w="243" w:type="pct"/>
          </w:tcPr>
          <w:p w:rsidR="00627CA4" w:rsidRPr="00F02DF6" w:rsidRDefault="00627CA4" w:rsidP="00C6299D">
            <w:pPr>
              <w:jc w:val="both"/>
              <w:rPr>
                <w:rFonts w:eastAsia="Calibri"/>
                <w:sz w:val="20"/>
              </w:rPr>
            </w:pPr>
          </w:p>
        </w:tc>
        <w:tc>
          <w:tcPr>
            <w:tcW w:w="2330" w:type="pct"/>
          </w:tcPr>
          <w:p w:rsidR="00627CA4" w:rsidRPr="00F02DF6" w:rsidRDefault="00627CA4" w:rsidP="00C6299D">
            <w:pPr>
              <w:jc w:val="both"/>
              <w:rPr>
                <w:rFonts w:eastAsia="Calibri"/>
                <w:sz w:val="20"/>
              </w:rPr>
            </w:pPr>
            <w:r w:rsidRPr="00F02DF6">
              <w:rPr>
                <w:rFonts w:eastAsia="Calibri"/>
                <w:sz w:val="20"/>
              </w:rPr>
              <w:t xml:space="preserve">Motions dismissed </w:t>
            </w:r>
          </w:p>
          <w:p w:rsidR="00627CA4" w:rsidRPr="00F02DF6" w:rsidRDefault="00627CA4" w:rsidP="00C6299D">
            <w:pPr>
              <w:jc w:val="both"/>
              <w:rPr>
                <w:rFonts w:eastAsia="Calibri"/>
                <w:sz w:val="20"/>
              </w:rPr>
            </w:pPr>
          </w:p>
          <w:p w:rsidR="00627CA4" w:rsidRPr="00F02DF6" w:rsidRDefault="00627CA4" w:rsidP="00C6299D">
            <w:pPr>
              <w:jc w:val="both"/>
              <w:rPr>
                <w:rFonts w:eastAsia="Calibri"/>
                <w:sz w:val="20"/>
              </w:rPr>
            </w:pPr>
          </w:p>
        </w:tc>
      </w:tr>
      <w:tr w:rsidR="00627CA4" w:rsidRPr="00F02DF6" w:rsidTr="00C6299D">
        <w:tc>
          <w:tcPr>
            <w:tcW w:w="2427" w:type="pct"/>
          </w:tcPr>
          <w:p w:rsidR="00627CA4" w:rsidRPr="00F02DF6" w:rsidRDefault="00627CA4" w:rsidP="00C6299D">
            <w:pPr>
              <w:jc w:val="both"/>
              <w:rPr>
                <w:rFonts w:eastAsia="Calibri"/>
                <w:sz w:val="20"/>
              </w:rPr>
            </w:pPr>
            <w:r w:rsidRPr="00F02DF6">
              <w:rPr>
                <w:rFonts w:eastAsia="Calibri"/>
                <w:sz w:val="20"/>
              </w:rPr>
              <w:t>October 17, 2014</w:t>
            </w:r>
          </w:p>
          <w:p w:rsidR="00627CA4" w:rsidRPr="00F02DF6" w:rsidRDefault="00627CA4" w:rsidP="00C6299D">
            <w:pPr>
              <w:jc w:val="both"/>
              <w:rPr>
                <w:rFonts w:eastAsia="Calibri"/>
                <w:sz w:val="20"/>
              </w:rPr>
            </w:pPr>
            <w:r w:rsidRPr="00F02DF6">
              <w:rPr>
                <w:rFonts w:eastAsia="Calibri"/>
                <w:sz w:val="20"/>
              </w:rPr>
              <w:t xml:space="preserve">Supreme Court of Canada </w:t>
            </w:r>
          </w:p>
          <w:p w:rsidR="00627CA4" w:rsidRPr="00F02DF6" w:rsidRDefault="00627CA4" w:rsidP="00C6299D">
            <w:pPr>
              <w:jc w:val="both"/>
              <w:rPr>
                <w:rFonts w:eastAsia="Calibri"/>
                <w:sz w:val="20"/>
              </w:rPr>
            </w:pPr>
          </w:p>
        </w:tc>
        <w:tc>
          <w:tcPr>
            <w:tcW w:w="243" w:type="pct"/>
          </w:tcPr>
          <w:p w:rsidR="00627CA4" w:rsidRPr="00F02DF6" w:rsidRDefault="00627CA4" w:rsidP="00C6299D">
            <w:pPr>
              <w:jc w:val="both"/>
              <w:rPr>
                <w:rFonts w:eastAsia="Calibri"/>
                <w:sz w:val="20"/>
              </w:rPr>
            </w:pPr>
          </w:p>
        </w:tc>
        <w:tc>
          <w:tcPr>
            <w:tcW w:w="2330" w:type="pct"/>
          </w:tcPr>
          <w:p w:rsidR="00627CA4" w:rsidRPr="00F02DF6" w:rsidRDefault="00627CA4" w:rsidP="00C6299D">
            <w:pPr>
              <w:jc w:val="both"/>
              <w:rPr>
                <w:rFonts w:eastAsia="Calibri"/>
                <w:sz w:val="20"/>
              </w:rPr>
            </w:pPr>
            <w:r w:rsidRPr="00F02DF6">
              <w:rPr>
                <w:rFonts w:eastAsia="Calibri"/>
                <w:sz w:val="20"/>
              </w:rPr>
              <w:t>Application for leave to appeal filed</w:t>
            </w:r>
          </w:p>
          <w:p w:rsidR="00627CA4" w:rsidRPr="00F02DF6" w:rsidRDefault="00627CA4" w:rsidP="00C6299D">
            <w:pPr>
              <w:jc w:val="both"/>
              <w:rPr>
                <w:rFonts w:eastAsia="Calibri"/>
                <w:sz w:val="20"/>
              </w:rPr>
            </w:pPr>
          </w:p>
        </w:tc>
      </w:tr>
      <w:tr w:rsidR="00627CA4" w:rsidRPr="00F02DF6" w:rsidTr="00E02EEE">
        <w:trPr>
          <w:cantSplit/>
        </w:trPr>
        <w:tc>
          <w:tcPr>
            <w:tcW w:w="5000" w:type="pct"/>
            <w:gridSpan w:val="3"/>
          </w:tcPr>
          <w:p w:rsidR="00627CA4" w:rsidRPr="00F02DF6" w:rsidRDefault="00627CA4" w:rsidP="00C6299D">
            <w:pPr>
              <w:jc w:val="both"/>
              <w:rPr>
                <w:rFonts w:eastAsia="Calibri"/>
                <w:b/>
                <w:sz w:val="20"/>
              </w:rPr>
            </w:pPr>
            <w:r w:rsidRPr="00F02DF6">
              <w:rPr>
                <w:rFonts w:eastAsia="Calibri"/>
                <w:b/>
                <w:sz w:val="20"/>
              </w:rPr>
              <w:t>Third application for leave to appeal</w:t>
            </w:r>
          </w:p>
          <w:p w:rsidR="00627CA4" w:rsidRPr="00F02DF6" w:rsidRDefault="00627CA4" w:rsidP="00C6299D">
            <w:pPr>
              <w:jc w:val="both"/>
              <w:rPr>
                <w:rFonts w:eastAsia="Calibri"/>
                <w:sz w:val="20"/>
              </w:rPr>
            </w:pPr>
          </w:p>
        </w:tc>
      </w:tr>
      <w:tr w:rsidR="00627CA4" w:rsidRPr="00F02DF6" w:rsidTr="00E02EEE">
        <w:trPr>
          <w:cantSplit/>
        </w:trPr>
        <w:tc>
          <w:tcPr>
            <w:tcW w:w="2427" w:type="pct"/>
          </w:tcPr>
          <w:p w:rsidR="00627CA4" w:rsidRPr="00F02DF6" w:rsidRDefault="00627CA4" w:rsidP="00C6299D">
            <w:pPr>
              <w:jc w:val="both"/>
              <w:rPr>
                <w:rFonts w:eastAsia="Calibri"/>
                <w:sz w:val="20"/>
              </w:rPr>
            </w:pPr>
            <w:r w:rsidRPr="00F02DF6">
              <w:rPr>
                <w:rFonts w:eastAsia="Calibri"/>
                <w:sz w:val="20"/>
              </w:rPr>
              <w:t>October 22, 2014</w:t>
            </w:r>
          </w:p>
          <w:p w:rsidR="00627CA4" w:rsidRPr="00F02DF6" w:rsidRDefault="00627CA4" w:rsidP="00C6299D">
            <w:pPr>
              <w:jc w:val="both"/>
              <w:rPr>
                <w:rFonts w:eastAsia="Calibri"/>
                <w:sz w:val="20"/>
              </w:rPr>
            </w:pPr>
            <w:r w:rsidRPr="00F02DF6">
              <w:rPr>
                <w:rFonts w:eastAsia="Calibri"/>
                <w:sz w:val="20"/>
              </w:rPr>
              <w:t>Federal Court of Appeal</w:t>
            </w:r>
          </w:p>
          <w:p w:rsidR="00627CA4" w:rsidRPr="00F02DF6" w:rsidRDefault="00627CA4" w:rsidP="00C6299D">
            <w:pPr>
              <w:jc w:val="both"/>
              <w:rPr>
                <w:rFonts w:eastAsia="Calibri"/>
                <w:sz w:val="20"/>
              </w:rPr>
            </w:pPr>
            <w:r w:rsidRPr="00F02DF6">
              <w:rPr>
                <w:rFonts w:eastAsia="Calibri"/>
                <w:sz w:val="20"/>
              </w:rPr>
              <w:t>(Noël C.J. and Dawson and Stratas, JJ.A.)</w:t>
            </w:r>
          </w:p>
          <w:p w:rsidR="00627CA4" w:rsidRPr="00F02DF6" w:rsidRDefault="005B3B50" w:rsidP="00C6299D">
            <w:pPr>
              <w:jc w:val="both"/>
              <w:rPr>
                <w:rFonts w:eastAsia="Calibri"/>
                <w:sz w:val="20"/>
              </w:rPr>
            </w:pPr>
            <w:hyperlink r:id="rId38" w:history="1">
              <w:r w:rsidR="00627CA4" w:rsidRPr="00F02DF6">
                <w:rPr>
                  <w:rFonts w:eastAsia="Calibri"/>
                  <w:color w:val="0000FF"/>
                  <w:sz w:val="20"/>
                  <w:u w:val="single"/>
                </w:rPr>
                <w:t>2014 FCA 238</w:t>
              </w:r>
            </w:hyperlink>
            <w:r w:rsidR="00627CA4" w:rsidRPr="00F02DF6">
              <w:rPr>
                <w:rFonts w:eastAsia="Calibri"/>
                <w:sz w:val="20"/>
              </w:rPr>
              <w:t>; A-147-11; A-186-11</w:t>
            </w:r>
          </w:p>
          <w:p w:rsidR="00627CA4" w:rsidRPr="00F02DF6" w:rsidRDefault="00627CA4" w:rsidP="00C6299D">
            <w:pPr>
              <w:jc w:val="both"/>
              <w:rPr>
                <w:rFonts w:eastAsia="Calibri"/>
                <w:sz w:val="20"/>
              </w:rPr>
            </w:pPr>
          </w:p>
        </w:tc>
        <w:tc>
          <w:tcPr>
            <w:tcW w:w="243" w:type="pct"/>
          </w:tcPr>
          <w:p w:rsidR="00627CA4" w:rsidRPr="00F02DF6" w:rsidRDefault="00627CA4" w:rsidP="00C6299D">
            <w:pPr>
              <w:jc w:val="both"/>
              <w:rPr>
                <w:rFonts w:eastAsia="Calibri"/>
                <w:sz w:val="20"/>
              </w:rPr>
            </w:pPr>
          </w:p>
        </w:tc>
        <w:tc>
          <w:tcPr>
            <w:tcW w:w="2330" w:type="pct"/>
          </w:tcPr>
          <w:p w:rsidR="00627CA4" w:rsidRPr="00F02DF6" w:rsidRDefault="00627CA4" w:rsidP="00C6299D">
            <w:pPr>
              <w:jc w:val="both"/>
              <w:rPr>
                <w:rFonts w:eastAsia="Calibri"/>
                <w:sz w:val="20"/>
              </w:rPr>
            </w:pPr>
            <w:r w:rsidRPr="00F02DF6">
              <w:rPr>
                <w:rFonts w:eastAsia="Calibri"/>
                <w:sz w:val="20"/>
              </w:rPr>
              <w:t>Consolidated appeal dismissed</w:t>
            </w:r>
          </w:p>
        </w:tc>
      </w:tr>
      <w:tr w:rsidR="00627CA4" w:rsidRPr="00F02DF6" w:rsidTr="00E02EEE">
        <w:trPr>
          <w:cantSplit/>
        </w:trPr>
        <w:tc>
          <w:tcPr>
            <w:tcW w:w="2427" w:type="pct"/>
          </w:tcPr>
          <w:p w:rsidR="00627CA4" w:rsidRPr="00F02DF6" w:rsidRDefault="00627CA4" w:rsidP="00C6299D">
            <w:pPr>
              <w:jc w:val="both"/>
              <w:rPr>
                <w:rFonts w:eastAsia="Calibri"/>
                <w:sz w:val="20"/>
              </w:rPr>
            </w:pPr>
            <w:r w:rsidRPr="00F02DF6">
              <w:rPr>
                <w:rFonts w:eastAsia="Calibri"/>
                <w:sz w:val="20"/>
              </w:rPr>
              <w:t xml:space="preserve">December 19, 2014 </w:t>
            </w:r>
          </w:p>
          <w:p w:rsidR="00627CA4" w:rsidRPr="00F02DF6" w:rsidRDefault="00627CA4" w:rsidP="00C6299D">
            <w:pPr>
              <w:jc w:val="both"/>
              <w:rPr>
                <w:rFonts w:eastAsia="Calibri"/>
                <w:sz w:val="20"/>
              </w:rPr>
            </w:pPr>
            <w:r w:rsidRPr="00F02DF6">
              <w:rPr>
                <w:rFonts w:eastAsia="Calibri"/>
                <w:sz w:val="20"/>
              </w:rPr>
              <w:t>Supreme Court of Canada</w:t>
            </w:r>
          </w:p>
          <w:p w:rsidR="00627CA4" w:rsidRPr="00F02DF6" w:rsidRDefault="00627CA4" w:rsidP="00C6299D">
            <w:pPr>
              <w:jc w:val="both"/>
              <w:rPr>
                <w:rFonts w:eastAsia="Calibri"/>
                <w:sz w:val="20"/>
              </w:rPr>
            </w:pPr>
          </w:p>
        </w:tc>
        <w:tc>
          <w:tcPr>
            <w:tcW w:w="243" w:type="pct"/>
          </w:tcPr>
          <w:p w:rsidR="00627CA4" w:rsidRPr="00F02DF6" w:rsidRDefault="00627CA4" w:rsidP="00C6299D">
            <w:pPr>
              <w:jc w:val="both"/>
              <w:rPr>
                <w:rFonts w:eastAsia="Calibri"/>
                <w:sz w:val="20"/>
              </w:rPr>
            </w:pPr>
          </w:p>
        </w:tc>
        <w:tc>
          <w:tcPr>
            <w:tcW w:w="2330" w:type="pct"/>
          </w:tcPr>
          <w:p w:rsidR="00627CA4" w:rsidRPr="00F02DF6" w:rsidRDefault="00627CA4" w:rsidP="00C6299D">
            <w:pPr>
              <w:jc w:val="both"/>
              <w:rPr>
                <w:rFonts w:eastAsia="Calibri"/>
                <w:sz w:val="20"/>
              </w:rPr>
            </w:pPr>
            <w:r w:rsidRPr="00F02DF6">
              <w:rPr>
                <w:rFonts w:eastAsia="Calibri"/>
                <w:sz w:val="20"/>
              </w:rPr>
              <w:t>Application for leave to appeal filed</w:t>
            </w:r>
          </w:p>
        </w:tc>
      </w:tr>
      <w:tr w:rsidR="00627CA4" w:rsidRPr="00F02DF6" w:rsidTr="00E02EEE">
        <w:trPr>
          <w:cantSplit/>
        </w:trPr>
        <w:tc>
          <w:tcPr>
            <w:tcW w:w="5000" w:type="pct"/>
            <w:gridSpan w:val="3"/>
          </w:tcPr>
          <w:p w:rsidR="00627CA4" w:rsidRPr="00F02DF6" w:rsidRDefault="00627CA4" w:rsidP="00C6299D">
            <w:pPr>
              <w:jc w:val="both"/>
              <w:rPr>
                <w:rFonts w:eastAsia="Calibri"/>
                <w:b/>
                <w:sz w:val="20"/>
              </w:rPr>
            </w:pPr>
            <w:r w:rsidRPr="00F02DF6">
              <w:rPr>
                <w:rFonts w:eastAsia="Calibri"/>
                <w:b/>
                <w:sz w:val="20"/>
              </w:rPr>
              <w:t>Fourth application for leave to appeal</w:t>
            </w:r>
          </w:p>
          <w:p w:rsidR="00627CA4" w:rsidRPr="00F02DF6" w:rsidRDefault="00627CA4" w:rsidP="00C6299D">
            <w:pPr>
              <w:jc w:val="both"/>
              <w:rPr>
                <w:rFonts w:eastAsia="Calibri"/>
                <w:sz w:val="20"/>
              </w:rPr>
            </w:pPr>
          </w:p>
        </w:tc>
      </w:tr>
      <w:tr w:rsidR="00627CA4" w:rsidRPr="00F02DF6" w:rsidTr="00E02EEE">
        <w:trPr>
          <w:cantSplit/>
        </w:trPr>
        <w:tc>
          <w:tcPr>
            <w:tcW w:w="2427" w:type="pct"/>
          </w:tcPr>
          <w:p w:rsidR="00627CA4" w:rsidRPr="00F02DF6" w:rsidRDefault="00627CA4" w:rsidP="00C6299D">
            <w:pPr>
              <w:jc w:val="both"/>
              <w:rPr>
                <w:rFonts w:eastAsia="Calibri"/>
                <w:sz w:val="20"/>
              </w:rPr>
            </w:pPr>
            <w:r w:rsidRPr="00F02DF6">
              <w:rPr>
                <w:rFonts w:eastAsia="Calibri"/>
                <w:sz w:val="20"/>
              </w:rPr>
              <w:t xml:space="preserve">December 5, 2014 </w:t>
            </w:r>
          </w:p>
          <w:p w:rsidR="00627CA4" w:rsidRPr="00F02DF6" w:rsidRDefault="00627CA4" w:rsidP="00C6299D">
            <w:pPr>
              <w:jc w:val="both"/>
              <w:rPr>
                <w:rFonts w:eastAsia="Calibri"/>
                <w:sz w:val="20"/>
              </w:rPr>
            </w:pPr>
            <w:r w:rsidRPr="00F02DF6">
              <w:rPr>
                <w:rFonts w:eastAsia="Calibri"/>
                <w:sz w:val="20"/>
              </w:rPr>
              <w:t>Federal Court of Appeal</w:t>
            </w:r>
          </w:p>
          <w:p w:rsidR="00627CA4" w:rsidRPr="00F02DF6" w:rsidRDefault="00627CA4" w:rsidP="00C6299D">
            <w:pPr>
              <w:jc w:val="both"/>
              <w:rPr>
                <w:rFonts w:eastAsia="Calibri"/>
                <w:sz w:val="20"/>
              </w:rPr>
            </w:pPr>
            <w:r w:rsidRPr="00F02DF6">
              <w:rPr>
                <w:rFonts w:eastAsia="Calibri"/>
                <w:sz w:val="20"/>
              </w:rPr>
              <w:t>(Stratas J.A.)</w:t>
            </w:r>
          </w:p>
          <w:p w:rsidR="00627CA4" w:rsidRPr="00F02DF6" w:rsidRDefault="00627CA4" w:rsidP="00C6299D">
            <w:pPr>
              <w:jc w:val="both"/>
              <w:rPr>
                <w:rFonts w:eastAsia="Calibri"/>
                <w:sz w:val="20"/>
              </w:rPr>
            </w:pPr>
          </w:p>
        </w:tc>
        <w:tc>
          <w:tcPr>
            <w:tcW w:w="243" w:type="pct"/>
          </w:tcPr>
          <w:p w:rsidR="00627CA4" w:rsidRPr="00F02DF6" w:rsidRDefault="00627CA4" w:rsidP="00C6299D">
            <w:pPr>
              <w:jc w:val="both"/>
              <w:rPr>
                <w:rFonts w:eastAsia="Calibri"/>
                <w:sz w:val="20"/>
              </w:rPr>
            </w:pPr>
          </w:p>
        </w:tc>
        <w:tc>
          <w:tcPr>
            <w:tcW w:w="2330" w:type="pct"/>
          </w:tcPr>
          <w:p w:rsidR="00627CA4" w:rsidRPr="00F02DF6" w:rsidRDefault="00627CA4" w:rsidP="00C6299D">
            <w:pPr>
              <w:jc w:val="both"/>
              <w:rPr>
                <w:rFonts w:eastAsia="Calibri"/>
                <w:sz w:val="20"/>
              </w:rPr>
            </w:pPr>
            <w:r w:rsidRPr="00F02DF6">
              <w:rPr>
                <w:rFonts w:eastAsia="Calibri"/>
                <w:sz w:val="20"/>
              </w:rPr>
              <w:t xml:space="preserve">Registry of the Federal Court of Appeal directed not to accept any materials at any time from Mr. Mazhero unless it is a proper motion seeking relief under subsection 40(3) of the </w:t>
            </w:r>
            <w:r w:rsidRPr="00F02DF6">
              <w:rPr>
                <w:rFonts w:eastAsia="Calibri"/>
                <w:i/>
                <w:sz w:val="20"/>
              </w:rPr>
              <w:t>Federal Courts Act</w:t>
            </w:r>
            <w:r w:rsidRPr="00F02DF6">
              <w:rPr>
                <w:rFonts w:eastAsia="Calibri"/>
                <w:sz w:val="20"/>
              </w:rPr>
              <w:t xml:space="preserve"> and only that relief</w:t>
            </w:r>
          </w:p>
          <w:p w:rsidR="00627CA4" w:rsidRPr="00F02DF6" w:rsidRDefault="00627CA4" w:rsidP="00C6299D">
            <w:pPr>
              <w:jc w:val="both"/>
              <w:rPr>
                <w:rFonts w:eastAsia="Calibri"/>
                <w:sz w:val="20"/>
              </w:rPr>
            </w:pPr>
          </w:p>
        </w:tc>
      </w:tr>
      <w:tr w:rsidR="00627CA4" w:rsidRPr="00F02DF6" w:rsidTr="00E02EEE">
        <w:trPr>
          <w:cantSplit/>
        </w:trPr>
        <w:tc>
          <w:tcPr>
            <w:tcW w:w="2427" w:type="pct"/>
          </w:tcPr>
          <w:p w:rsidR="00627CA4" w:rsidRPr="00F02DF6" w:rsidRDefault="00627CA4" w:rsidP="00C6299D">
            <w:pPr>
              <w:jc w:val="both"/>
              <w:rPr>
                <w:rFonts w:eastAsia="Calibri"/>
                <w:sz w:val="20"/>
              </w:rPr>
            </w:pPr>
            <w:r w:rsidRPr="00F02DF6">
              <w:rPr>
                <w:rFonts w:eastAsia="Calibri"/>
                <w:sz w:val="20"/>
              </w:rPr>
              <w:t xml:space="preserve">February 2, 2015 </w:t>
            </w:r>
          </w:p>
          <w:p w:rsidR="00627CA4" w:rsidRPr="00F02DF6" w:rsidRDefault="00627CA4" w:rsidP="00C6299D">
            <w:pPr>
              <w:jc w:val="both"/>
              <w:rPr>
                <w:rFonts w:eastAsia="Calibri"/>
                <w:sz w:val="20"/>
              </w:rPr>
            </w:pPr>
            <w:r w:rsidRPr="00F02DF6">
              <w:rPr>
                <w:rFonts w:eastAsia="Calibri"/>
                <w:sz w:val="20"/>
              </w:rPr>
              <w:t>Supreme Court of Canada</w:t>
            </w:r>
          </w:p>
        </w:tc>
        <w:tc>
          <w:tcPr>
            <w:tcW w:w="243" w:type="pct"/>
          </w:tcPr>
          <w:p w:rsidR="00627CA4" w:rsidRPr="00F02DF6" w:rsidRDefault="00627CA4" w:rsidP="00C6299D">
            <w:pPr>
              <w:jc w:val="both"/>
              <w:rPr>
                <w:rFonts w:eastAsia="Calibri"/>
                <w:sz w:val="20"/>
              </w:rPr>
            </w:pPr>
          </w:p>
        </w:tc>
        <w:tc>
          <w:tcPr>
            <w:tcW w:w="2330" w:type="pct"/>
          </w:tcPr>
          <w:p w:rsidR="00627CA4" w:rsidRPr="00F02DF6" w:rsidRDefault="00627CA4" w:rsidP="00C6299D">
            <w:pPr>
              <w:jc w:val="both"/>
              <w:rPr>
                <w:rFonts w:eastAsia="Calibri"/>
                <w:sz w:val="20"/>
              </w:rPr>
            </w:pPr>
            <w:r w:rsidRPr="00F02DF6">
              <w:rPr>
                <w:rFonts w:eastAsia="Calibri"/>
                <w:sz w:val="20"/>
              </w:rPr>
              <w:t>Application for leave to appeal filed</w:t>
            </w:r>
          </w:p>
        </w:tc>
      </w:tr>
    </w:tbl>
    <w:p w:rsidR="00A23156" w:rsidRDefault="00A23156" w:rsidP="00A23156">
      <w:pPr>
        <w:rPr>
          <w:sz w:val="20"/>
          <w:szCs w:val="20"/>
        </w:rPr>
      </w:pPr>
    </w:p>
    <w:p w:rsidR="00A23156" w:rsidRPr="00C50A5C" w:rsidRDefault="005B3B50" w:rsidP="00A23156">
      <w:pPr>
        <w:rPr>
          <w:sz w:val="20"/>
          <w:szCs w:val="20"/>
        </w:rPr>
      </w:pPr>
      <w:r>
        <w:rPr>
          <w:sz w:val="20"/>
          <w:szCs w:val="20"/>
          <w:lang w:val="fr-CA"/>
        </w:rPr>
        <w:pict>
          <v:rect id="_x0000_i1049" style="width:2in;height:1pt" o:hrpct="0" o:hralign="center" o:hrstd="t" o:hrnoshade="t" o:hr="t" fillcolor="black [3213]" stroked="f"/>
        </w:pict>
      </w:r>
    </w:p>
    <w:p w:rsidR="00A23156" w:rsidRDefault="00A23156" w:rsidP="00A23156">
      <w:pPr>
        <w:rPr>
          <w:sz w:val="20"/>
          <w:szCs w:val="20"/>
        </w:rPr>
      </w:pPr>
    </w:p>
    <w:p w:rsidR="00A23156" w:rsidRPr="001B157C" w:rsidRDefault="00A23156" w:rsidP="00A23156">
      <w:pPr>
        <w:rPr>
          <w:sz w:val="20"/>
          <w:szCs w:val="20"/>
          <w:u w:val="single"/>
          <w:lang w:val="fr-CA"/>
        </w:rPr>
      </w:pPr>
      <w:r w:rsidRPr="001B157C">
        <w:rPr>
          <w:sz w:val="20"/>
          <w:szCs w:val="20"/>
          <w:u w:val="single"/>
          <w:lang w:val="fr-CA"/>
        </w:rPr>
        <w:t>RÉSUMÉ DE L’AFFAIRE</w:t>
      </w:r>
    </w:p>
    <w:p w:rsidR="00A23156" w:rsidRDefault="00A23156" w:rsidP="00A2315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27CA4" w:rsidRPr="00D229C1" w:rsidTr="00C6299D">
        <w:tc>
          <w:tcPr>
            <w:tcW w:w="5000" w:type="pct"/>
            <w:gridSpan w:val="3"/>
          </w:tcPr>
          <w:p w:rsidR="00627CA4" w:rsidRPr="00F02DF6" w:rsidRDefault="00627CA4" w:rsidP="00C6299D">
            <w:pPr>
              <w:jc w:val="both"/>
              <w:rPr>
                <w:rFonts w:eastAsia="Calibri"/>
                <w:sz w:val="20"/>
                <w:lang w:val="fr-CA"/>
              </w:rPr>
            </w:pPr>
            <w:r w:rsidRPr="00F02DF6">
              <w:rPr>
                <w:rFonts w:eastAsia="Calibri"/>
                <w:sz w:val="20"/>
                <w:lang w:val="fr-CA"/>
              </w:rPr>
              <w:t>Procédure civile – Appels – Le demandeur a été déclaré plaideur quérulent – L’appel fusionné du demandeur a été sommairement rejeté avec dépens – Y a-t-il lieu d’accorder l’autorisation d’appel de ce jugement et d’autres jugements de la Cour d’appel fédérale?</w:t>
            </w:r>
          </w:p>
          <w:p w:rsidR="00627CA4" w:rsidRPr="00F02DF6" w:rsidRDefault="00627CA4" w:rsidP="00C6299D">
            <w:pPr>
              <w:jc w:val="both"/>
              <w:rPr>
                <w:rFonts w:eastAsia="Calibri"/>
                <w:sz w:val="20"/>
                <w:lang w:val="fr-CA"/>
              </w:rPr>
            </w:pPr>
          </w:p>
        </w:tc>
      </w:tr>
      <w:tr w:rsidR="00627CA4" w:rsidRPr="00F02DF6" w:rsidTr="00C6299D">
        <w:tc>
          <w:tcPr>
            <w:tcW w:w="5000" w:type="pct"/>
            <w:gridSpan w:val="3"/>
          </w:tcPr>
          <w:p w:rsidR="00627CA4" w:rsidRPr="00F02DF6" w:rsidRDefault="00627CA4" w:rsidP="00C6299D">
            <w:pPr>
              <w:jc w:val="both"/>
              <w:rPr>
                <w:rFonts w:eastAsia="Calibri"/>
                <w:b/>
                <w:sz w:val="20"/>
                <w:lang w:val="fr-CA"/>
              </w:rPr>
            </w:pPr>
            <w:r w:rsidRPr="00F02DF6">
              <w:rPr>
                <w:rFonts w:eastAsia="Calibri"/>
                <w:b/>
                <w:sz w:val="20"/>
                <w:lang w:val="fr-CA"/>
              </w:rPr>
              <w:t>Première demande d’autorisation d’appel</w:t>
            </w:r>
          </w:p>
          <w:p w:rsidR="00627CA4" w:rsidRPr="00F02DF6" w:rsidRDefault="00627CA4" w:rsidP="00C6299D">
            <w:pPr>
              <w:jc w:val="both"/>
              <w:rPr>
                <w:rFonts w:eastAsia="Calibri"/>
                <w:sz w:val="20"/>
                <w:lang w:val="fr-CA"/>
              </w:rPr>
            </w:pPr>
          </w:p>
        </w:tc>
      </w:tr>
      <w:tr w:rsidR="00627CA4" w:rsidRPr="00D229C1" w:rsidTr="00C6299D">
        <w:tc>
          <w:tcPr>
            <w:tcW w:w="2427" w:type="pct"/>
          </w:tcPr>
          <w:p w:rsidR="00627CA4" w:rsidRPr="00F02DF6" w:rsidRDefault="00627CA4" w:rsidP="00C6299D">
            <w:pPr>
              <w:jc w:val="both"/>
              <w:rPr>
                <w:rFonts w:eastAsia="Calibri"/>
                <w:sz w:val="20"/>
                <w:lang w:val="fr-CA"/>
              </w:rPr>
            </w:pPr>
            <w:r w:rsidRPr="00F02DF6">
              <w:rPr>
                <w:rFonts w:eastAsia="Calibri"/>
                <w:sz w:val="20"/>
                <w:lang w:val="fr-CA"/>
              </w:rPr>
              <w:t>9 juillet 2014</w:t>
            </w:r>
          </w:p>
          <w:p w:rsidR="00627CA4" w:rsidRPr="00F02DF6" w:rsidRDefault="00627CA4" w:rsidP="00C6299D">
            <w:pPr>
              <w:jc w:val="both"/>
              <w:rPr>
                <w:rFonts w:eastAsia="Calibri"/>
                <w:sz w:val="20"/>
                <w:lang w:val="fr-CA"/>
              </w:rPr>
            </w:pPr>
            <w:r w:rsidRPr="00F02DF6">
              <w:rPr>
                <w:rFonts w:eastAsia="Calibri"/>
                <w:sz w:val="20"/>
                <w:lang w:val="fr-CA"/>
              </w:rPr>
              <w:t>Cour d’appel fédérale</w:t>
            </w:r>
          </w:p>
          <w:p w:rsidR="00627CA4" w:rsidRPr="00F02DF6" w:rsidRDefault="00627CA4" w:rsidP="00C6299D">
            <w:pPr>
              <w:jc w:val="both"/>
              <w:rPr>
                <w:rFonts w:eastAsia="Calibri"/>
                <w:sz w:val="20"/>
                <w:lang w:val="fr-CA"/>
              </w:rPr>
            </w:pPr>
            <w:r w:rsidRPr="00F02DF6">
              <w:rPr>
                <w:rFonts w:eastAsia="Calibri"/>
                <w:sz w:val="20"/>
                <w:lang w:val="fr-CA"/>
              </w:rPr>
              <w:t>(Juge Sharlow)</w:t>
            </w:r>
          </w:p>
          <w:p w:rsidR="00627CA4" w:rsidRPr="00F02DF6" w:rsidRDefault="00627CA4" w:rsidP="00C6299D">
            <w:pPr>
              <w:jc w:val="both"/>
              <w:rPr>
                <w:rFonts w:eastAsia="Calibri"/>
                <w:sz w:val="20"/>
                <w:lang w:val="fr-CA"/>
              </w:rPr>
            </w:pPr>
            <w:r w:rsidRPr="00F02DF6">
              <w:rPr>
                <w:rFonts w:eastAsia="Calibri"/>
                <w:sz w:val="20"/>
                <w:lang w:val="fr-CA"/>
              </w:rPr>
              <w:t>A-147-11; A-186-11</w:t>
            </w:r>
          </w:p>
          <w:p w:rsidR="00627CA4" w:rsidRPr="00F02DF6" w:rsidRDefault="00627CA4" w:rsidP="00C6299D">
            <w:pPr>
              <w:jc w:val="both"/>
              <w:rPr>
                <w:rFonts w:eastAsia="Calibri"/>
                <w:sz w:val="20"/>
                <w:lang w:val="fr-CA"/>
              </w:rPr>
            </w:pPr>
          </w:p>
        </w:tc>
        <w:tc>
          <w:tcPr>
            <w:tcW w:w="243" w:type="pct"/>
          </w:tcPr>
          <w:p w:rsidR="00627CA4" w:rsidRPr="00F02DF6" w:rsidRDefault="00627CA4" w:rsidP="00C6299D">
            <w:pPr>
              <w:jc w:val="both"/>
              <w:rPr>
                <w:rFonts w:eastAsia="Calibri"/>
                <w:sz w:val="20"/>
                <w:lang w:val="fr-CA"/>
              </w:rPr>
            </w:pPr>
          </w:p>
        </w:tc>
        <w:tc>
          <w:tcPr>
            <w:tcW w:w="2330" w:type="pct"/>
          </w:tcPr>
          <w:p w:rsidR="00627CA4" w:rsidRPr="00F02DF6" w:rsidRDefault="00627CA4" w:rsidP="00C6299D">
            <w:pPr>
              <w:jc w:val="both"/>
              <w:rPr>
                <w:rFonts w:eastAsia="Calibri"/>
                <w:sz w:val="20"/>
                <w:lang w:val="fr-CA"/>
              </w:rPr>
            </w:pPr>
            <w:r w:rsidRPr="00F02DF6">
              <w:rPr>
                <w:rFonts w:eastAsia="Calibri"/>
                <w:sz w:val="20"/>
                <w:lang w:val="fr-CA"/>
              </w:rPr>
              <w:t>Ordonnance enjoignant au demandeur de signifier et de déposer des observations écrites indiquant les raisons pour lesquelles l’appel fusionné ne devrait pas être rejeté pour cause de retard</w:t>
            </w:r>
          </w:p>
          <w:p w:rsidR="00627CA4" w:rsidRPr="00F02DF6" w:rsidRDefault="00627CA4" w:rsidP="00C6299D">
            <w:pPr>
              <w:jc w:val="both"/>
              <w:rPr>
                <w:rFonts w:eastAsia="Calibri"/>
                <w:sz w:val="20"/>
                <w:lang w:val="fr-CA"/>
              </w:rPr>
            </w:pPr>
          </w:p>
        </w:tc>
      </w:tr>
      <w:tr w:rsidR="00627CA4" w:rsidRPr="00D229C1" w:rsidTr="00C6299D">
        <w:tc>
          <w:tcPr>
            <w:tcW w:w="2427" w:type="pct"/>
          </w:tcPr>
          <w:p w:rsidR="00627CA4" w:rsidRPr="00F02DF6" w:rsidRDefault="00627CA4" w:rsidP="00C6299D">
            <w:pPr>
              <w:jc w:val="both"/>
              <w:rPr>
                <w:rFonts w:eastAsia="Calibri"/>
                <w:sz w:val="20"/>
                <w:lang w:val="fr-CA"/>
              </w:rPr>
            </w:pPr>
            <w:r w:rsidRPr="00F02DF6">
              <w:rPr>
                <w:rFonts w:eastAsia="Calibri"/>
                <w:sz w:val="20"/>
                <w:lang w:val="fr-CA"/>
              </w:rPr>
              <w:t>29 septembre 2014</w:t>
            </w:r>
          </w:p>
          <w:p w:rsidR="00627CA4" w:rsidRPr="00F02DF6" w:rsidRDefault="00627CA4" w:rsidP="00C6299D">
            <w:pPr>
              <w:jc w:val="both"/>
              <w:rPr>
                <w:rFonts w:eastAsia="Calibri"/>
                <w:sz w:val="20"/>
                <w:lang w:val="fr-CA"/>
              </w:rPr>
            </w:pPr>
            <w:r w:rsidRPr="00F02DF6">
              <w:rPr>
                <w:rFonts w:eastAsia="Calibri"/>
                <w:sz w:val="20"/>
                <w:lang w:val="fr-CA"/>
              </w:rPr>
              <w:t>Cour suprême du Canada</w:t>
            </w:r>
          </w:p>
          <w:p w:rsidR="00627CA4" w:rsidRPr="00F02DF6" w:rsidRDefault="00627CA4" w:rsidP="00C6299D">
            <w:pPr>
              <w:jc w:val="both"/>
              <w:rPr>
                <w:rFonts w:eastAsia="Calibri"/>
                <w:sz w:val="20"/>
                <w:lang w:val="fr-CA"/>
              </w:rPr>
            </w:pPr>
          </w:p>
        </w:tc>
        <w:tc>
          <w:tcPr>
            <w:tcW w:w="243" w:type="pct"/>
          </w:tcPr>
          <w:p w:rsidR="00627CA4" w:rsidRPr="00F02DF6" w:rsidRDefault="00627CA4" w:rsidP="00C6299D">
            <w:pPr>
              <w:jc w:val="both"/>
              <w:rPr>
                <w:rFonts w:eastAsia="Calibri"/>
                <w:sz w:val="20"/>
                <w:lang w:val="fr-CA"/>
              </w:rPr>
            </w:pPr>
          </w:p>
        </w:tc>
        <w:tc>
          <w:tcPr>
            <w:tcW w:w="2330" w:type="pct"/>
          </w:tcPr>
          <w:p w:rsidR="00627CA4" w:rsidRPr="00F02DF6" w:rsidRDefault="00627CA4" w:rsidP="00C6299D">
            <w:pPr>
              <w:jc w:val="both"/>
              <w:rPr>
                <w:rFonts w:eastAsia="Calibri"/>
                <w:sz w:val="20"/>
                <w:lang w:val="fr-CA"/>
              </w:rPr>
            </w:pPr>
            <w:r w:rsidRPr="00F02DF6">
              <w:rPr>
                <w:rFonts w:eastAsia="Calibri"/>
                <w:sz w:val="20"/>
                <w:lang w:val="fr-CA"/>
              </w:rPr>
              <w:t>Dépôt de la demande d’autorisation d’appel</w:t>
            </w:r>
          </w:p>
          <w:p w:rsidR="00627CA4" w:rsidRPr="00F02DF6" w:rsidRDefault="00627CA4" w:rsidP="00C6299D">
            <w:pPr>
              <w:jc w:val="both"/>
              <w:rPr>
                <w:rFonts w:eastAsia="Calibri"/>
                <w:sz w:val="20"/>
                <w:lang w:val="fr-CA"/>
              </w:rPr>
            </w:pPr>
          </w:p>
        </w:tc>
      </w:tr>
      <w:tr w:rsidR="00627CA4" w:rsidRPr="00D229C1" w:rsidTr="00C6299D">
        <w:tc>
          <w:tcPr>
            <w:tcW w:w="2427" w:type="pct"/>
          </w:tcPr>
          <w:p w:rsidR="00627CA4" w:rsidRPr="00F02DF6" w:rsidRDefault="00627CA4" w:rsidP="00C6299D">
            <w:pPr>
              <w:jc w:val="both"/>
              <w:rPr>
                <w:rFonts w:eastAsia="Calibri"/>
                <w:sz w:val="20"/>
                <w:lang w:val="fr-CA"/>
              </w:rPr>
            </w:pPr>
            <w:r w:rsidRPr="00F02DF6">
              <w:rPr>
                <w:rFonts w:eastAsia="Calibri"/>
                <w:sz w:val="20"/>
                <w:lang w:val="fr-CA"/>
              </w:rPr>
              <w:t>11 septembre 2014</w:t>
            </w:r>
          </w:p>
          <w:p w:rsidR="00627CA4" w:rsidRPr="00F02DF6" w:rsidRDefault="00627CA4" w:rsidP="00C6299D">
            <w:pPr>
              <w:jc w:val="both"/>
              <w:rPr>
                <w:rFonts w:eastAsia="Calibri"/>
                <w:sz w:val="20"/>
                <w:lang w:val="fr-CA"/>
              </w:rPr>
            </w:pPr>
            <w:r w:rsidRPr="00F02DF6">
              <w:rPr>
                <w:rFonts w:eastAsia="Calibri"/>
                <w:sz w:val="20"/>
                <w:lang w:val="fr-CA"/>
              </w:rPr>
              <w:t>Cour d’appel fédérale</w:t>
            </w:r>
          </w:p>
          <w:p w:rsidR="00627CA4" w:rsidRPr="00F02DF6" w:rsidRDefault="00627CA4" w:rsidP="00C6299D">
            <w:pPr>
              <w:jc w:val="both"/>
              <w:rPr>
                <w:rFonts w:eastAsia="Calibri"/>
                <w:sz w:val="20"/>
                <w:lang w:val="fr-CA"/>
              </w:rPr>
            </w:pPr>
            <w:r w:rsidRPr="00F02DF6">
              <w:rPr>
                <w:rFonts w:eastAsia="Calibri"/>
                <w:sz w:val="20"/>
                <w:lang w:val="fr-CA"/>
              </w:rPr>
              <w:t>(Juge Sharlow)</w:t>
            </w:r>
          </w:p>
          <w:p w:rsidR="00627CA4" w:rsidRPr="00F02DF6" w:rsidRDefault="005B3B50" w:rsidP="00C6299D">
            <w:pPr>
              <w:jc w:val="both"/>
              <w:rPr>
                <w:rFonts w:eastAsia="Calibri"/>
                <w:sz w:val="20"/>
                <w:lang w:val="fr-CA"/>
              </w:rPr>
            </w:pPr>
            <w:hyperlink r:id="rId39" w:history="1">
              <w:r w:rsidR="00627CA4" w:rsidRPr="00F02DF6">
                <w:rPr>
                  <w:rFonts w:eastAsia="Calibri"/>
                  <w:color w:val="0000FF"/>
                  <w:sz w:val="20"/>
                  <w:u w:val="single"/>
                  <w:lang w:val="fr-CA"/>
                </w:rPr>
                <w:t>2014 FCA 200</w:t>
              </w:r>
            </w:hyperlink>
            <w:r w:rsidR="00627CA4" w:rsidRPr="00F02DF6">
              <w:rPr>
                <w:rFonts w:eastAsia="Calibri"/>
                <w:sz w:val="20"/>
                <w:lang w:val="fr-CA"/>
              </w:rPr>
              <w:t>; A-147-11; A-186-11</w:t>
            </w:r>
          </w:p>
          <w:p w:rsidR="00627CA4" w:rsidRPr="00F02DF6" w:rsidRDefault="00627CA4" w:rsidP="00C6299D">
            <w:pPr>
              <w:jc w:val="both"/>
              <w:rPr>
                <w:rFonts w:eastAsia="Calibri"/>
                <w:sz w:val="20"/>
                <w:lang w:val="fr-CA"/>
              </w:rPr>
            </w:pPr>
          </w:p>
        </w:tc>
        <w:tc>
          <w:tcPr>
            <w:tcW w:w="243" w:type="pct"/>
          </w:tcPr>
          <w:p w:rsidR="00627CA4" w:rsidRPr="00F02DF6" w:rsidRDefault="00627CA4" w:rsidP="00C6299D">
            <w:pPr>
              <w:jc w:val="both"/>
              <w:rPr>
                <w:rFonts w:eastAsia="Calibri"/>
                <w:sz w:val="20"/>
                <w:lang w:val="fr-CA"/>
              </w:rPr>
            </w:pPr>
          </w:p>
          <w:p w:rsidR="00627CA4" w:rsidRPr="00F02DF6" w:rsidRDefault="00627CA4" w:rsidP="00C6299D">
            <w:pPr>
              <w:jc w:val="both"/>
              <w:rPr>
                <w:rFonts w:eastAsia="Calibri"/>
                <w:sz w:val="20"/>
                <w:lang w:val="fr-CA"/>
              </w:rPr>
            </w:pPr>
          </w:p>
          <w:p w:rsidR="00627CA4" w:rsidRPr="00F02DF6" w:rsidRDefault="00627CA4" w:rsidP="00C6299D">
            <w:pPr>
              <w:jc w:val="both"/>
              <w:rPr>
                <w:rFonts w:eastAsia="Calibri"/>
                <w:sz w:val="20"/>
                <w:lang w:val="fr-CA"/>
              </w:rPr>
            </w:pPr>
          </w:p>
          <w:p w:rsidR="00627CA4" w:rsidRPr="00F02DF6" w:rsidRDefault="00627CA4" w:rsidP="00C6299D">
            <w:pPr>
              <w:jc w:val="both"/>
              <w:rPr>
                <w:rFonts w:eastAsia="Calibri"/>
                <w:sz w:val="20"/>
                <w:lang w:val="fr-CA"/>
              </w:rPr>
            </w:pPr>
          </w:p>
        </w:tc>
        <w:tc>
          <w:tcPr>
            <w:tcW w:w="2330" w:type="pct"/>
          </w:tcPr>
          <w:p w:rsidR="00627CA4" w:rsidRPr="00F02DF6" w:rsidRDefault="00627CA4" w:rsidP="00C6299D">
            <w:pPr>
              <w:jc w:val="both"/>
              <w:rPr>
                <w:rFonts w:eastAsia="Calibri"/>
                <w:sz w:val="20"/>
                <w:lang w:val="fr-CA"/>
              </w:rPr>
            </w:pPr>
            <w:r w:rsidRPr="00F02DF6">
              <w:rPr>
                <w:rFonts w:eastAsia="Calibri"/>
                <w:sz w:val="20"/>
                <w:lang w:val="fr-CA"/>
              </w:rPr>
              <w:t xml:space="preserve">Autorisation de continuer l’appel fusionné à titre d’instance à gestion spéciale </w:t>
            </w:r>
          </w:p>
          <w:p w:rsidR="00627CA4" w:rsidRPr="00F02DF6" w:rsidRDefault="00627CA4" w:rsidP="00C6299D">
            <w:pPr>
              <w:jc w:val="both"/>
              <w:rPr>
                <w:rFonts w:eastAsia="Calibri"/>
                <w:sz w:val="20"/>
                <w:lang w:val="fr-CA"/>
              </w:rPr>
            </w:pPr>
          </w:p>
        </w:tc>
      </w:tr>
      <w:tr w:rsidR="00627CA4" w:rsidRPr="00F02DF6" w:rsidTr="00C6299D">
        <w:tc>
          <w:tcPr>
            <w:tcW w:w="5000" w:type="pct"/>
            <w:gridSpan w:val="3"/>
          </w:tcPr>
          <w:p w:rsidR="00627CA4" w:rsidRPr="00F02DF6" w:rsidRDefault="00627CA4" w:rsidP="00C6299D">
            <w:pPr>
              <w:jc w:val="both"/>
              <w:rPr>
                <w:rFonts w:eastAsia="Calibri"/>
                <w:b/>
                <w:sz w:val="20"/>
                <w:lang w:val="fr-CA"/>
              </w:rPr>
            </w:pPr>
            <w:r w:rsidRPr="00F02DF6">
              <w:rPr>
                <w:rFonts w:eastAsia="Calibri"/>
                <w:b/>
                <w:sz w:val="20"/>
                <w:lang w:val="fr-CA"/>
              </w:rPr>
              <w:t>Deuxième demande d’autorisation d’appel</w:t>
            </w:r>
          </w:p>
          <w:p w:rsidR="00627CA4" w:rsidRPr="00F02DF6" w:rsidRDefault="00627CA4" w:rsidP="00C6299D">
            <w:pPr>
              <w:jc w:val="both"/>
              <w:rPr>
                <w:rFonts w:eastAsia="Calibri"/>
                <w:sz w:val="20"/>
                <w:lang w:val="fr-CA"/>
              </w:rPr>
            </w:pPr>
          </w:p>
        </w:tc>
      </w:tr>
      <w:tr w:rsidR="00627CA4" w:rsidRPr="00D229C1" w:rsidTr="00C6299D">
        <w:tc>
          <w:tcPr>
            <w:tcW w:w="2427" w:type="pct"/>
          </w:tcPr>
          <w:p w:rsidR="00627CA4" w:rsidRPr="00F02DF6" w:rsidRDefault="00627CA4" w:rsidP="00C6299D">
            <w:pPr>
              <w:jc w:val="both"/>
              <w:rPr>
                <w:rFonts w:eastAsia="Calibri"/>
                <w:sz w:val="20"/>
                <w:lang w:val="fr-CA"/>
              </w:rPr>
            </w:pPr>
            <w:r w:rsidRPr="00F02DF6">
              <w:rPr>
                <w:rFonts w:eastAsia="Calibri"/>
                <w:sz w:val="20"/>
                <w:lang w:val="fr-CA"/>
              </w:rPr>
              <w:t>1</w:t>
            </w:r>
            <w:r w:rsidRPr="00F02DF6">
              <w:rPr>
                <w:rFonts w:eastAsia="Calibri"/>
                <w:sz w:val="20"/>
                <w:vertAlign w:val="superscript"/>
                <w:lang w:val="fr-CA"/>
              </w:rPr>
              <w:t>er</w:t>
            </w:r>
            <w:r w:rsidRPr="00F02DF6">
              <w:rPr>
                <w:rFonts w:eastAsia="Calibri"/>
                <w:sz w:val="20"/>
                <w:lang w:val="fr-CA"/>
              </w:rPr>
              <w:t xml:space="preserve"> octobre 2014</w:t>
            </w:r>
          </w:p>
          <w:p w:rsidR="00627CA4" w:rsidRPr="00F02DF6" w:rsidRDefault="00627CA4" w:rsidP="00C6299D">
            <w:pPr>
              <w:jc w:val="both"/>
              <w:rPr>
                <w:rFonts w:eastAsia="Calibri"/>
                <w:sz w:val="20"/>
                <w:lang w:val="fr-CA"/>
              </w:rPr>
            </w:pPr>
            <w:r w:rsidRPr="00F02DF6">
              <w:rPr>
                <w:rFonts w:eastAsia="Calibri"/>
                <w:sz w:val="20"/>
                <w:lang w:val="fr-CA"/>
              </w:rPr>
              <w:t>Cour d’appel fédérale</w:t>
            </w:r>
          </w:p>
          <w:p w:rsidR="00627CA4" w:rsidRPr="00F02DF6" w:rsidRDefault="00627CA4" w:rsidP="00C6299D">
            <w:pPr>
              <w:jc w:val="both"/>
              <w:rPr>
                <w:rFonts w:eastAsia="Calibri"/>
                <w:sz w:val="20"/>
                <w:lang w:val="fr-CA"/>
              </w:rPr>
            </w:pPr>
            <w:r w:rsidRPr="00F02DF6">
              <w:rPr>
                <w:rFonts w:eastAsia="Calibri"/>
                <w:sz w:val="20"/>
                <w:lang w:val="fr-CA"/>
              </w:rPr>
              <w:t>(Juge Stratas)</w:t>
            </w:r>
          </w:p>
          <w:p w:rsidR="00627CA4" w:rsidRPr="00F02DF6" w:rsidRDefault="005B3B50" w:rsidP="00C6299D">
            <w:pPr>
              <w:jc w:val="both"/>
              <w:rPr>
                <w:rFonts w:eastAsia="Calibri"/>
                <w:sz w:val="20"/>
                <w:lang w:val="fr-CA"/>
              </w:rPr>
            </w:pPr>
            <w:hyperlink r:id="rId40" w:history="1">
              <w:r w:rsidR="00627CA4" w:rsidRPr="00F02DF6">
                <w:rPr>
                  <w:rFonts w:eastAsia="Calibri"/>
                  <w:color w:val="0000FF"/>
                  <w:sz w:val="20"/>
                  <w:u w:val="single"/>
                  <w:lang w:val="fr-CA"/>
                </w:rPr>
                <w:t>2014 FCA 219</w:t>
              </w:r>
            </w:hyperlink>
            <w:r w:rsidR="00627CA4" w:rsidRPr="00F02DF6">
              <w:rPr>
                <w:rFonts w:eastAsia="Calibri"/>
                <w:sz w:val="20"/>
                <w:lang w:val="fr-CA"/>
              </w:rPr>
              <w:t>; A-147-11; A-186-11</w:t>
            </w:r>
          </w:p>
          <w:p w:rsidR="00627CA4" w:rsidRPr="00F02DF6" w:rsidRDefault="00627CA4" w:rsidP="00C6299D">
            <w:pPr>
              <w:jc w:val="both"/>
              <w:rPr>
                <w:rFonts w:eastAsia="Calibri"/>
                <w:sz w:val="20"/>
                <w:lang w:val="fr-CA"/>
              </w:rPr>
            </w:pPr>
          </w:p>
        </w:tc>
        <w:tc>
          <w:tcPr>
            <w:tcW w:w="243" w:type="pct"/>
          </w:tcPr>
          <w:p w:rsidR="00627CA4" w:rsidRPr="00F02DF6" w:rsidRDefault="00627CA4" w:rsidP="00C6299D">
            <w:pPr>
              <w:jc w:val="both"/>
              <w:rPr>
                <w:rFonts w:eastAsia="Calibri"/>
                <w:sz w:val="20"/>
                <w:lang w:val="fr-CA"/>
              </w:rPr>
            </w:pPr>
          </w:p>
        </w:tc>
        <w:tc>
          <w:tcPr>
            <w:tcW w:w="2330" w:type="pct"/>
          </w:tcPr>
          <w:p w:rsidR="00627CA4" w:rsidRPr="00F02DF6" w:rsidRDefault="00627CA4" w:rsidP="00C6299D">
            <w:pPr>
              <w:jc w:val="both"/>
              <w:rPr>
                <w:rFonts w:eastAsia="Calibri"/>
                <w:sz w:val="20"/>
                <w:lang w:val="fr-CA"/>
              </w:rPr>
            </w:pPr>
            <w:r w:rsidRPr="00F02DF6">
              <w:rPr>
                <w:rFonts w:eastAsia="Calibri"/>
                <w:sz w:val="20"/>
                <w:lang w:val="fr-CA"/>
              </w:rPr>
              <w:t>Rejet des requêtes. Directives décrivant comment l’appel fusionné ira de l’avant à titre d’instance à gestion spéciale</w:t>
            </w:r>
          </w:p>
        </w:tc>
      </w:tr>
      <w:tr w:rsidR="00627CA4" w:rsidRPr="00F02DF6" w:rsidTr="00C6299D">
        <w:tc>
          <w:tcPr>
            <w:tcW w:w="2427" w:type="pct"/>
          </w:tcPr>
          <w:p w:rsidR="00627CA4" w:rsidRPr="00F02DF6" w:rsidRDefault="00627CA4" w:rsidP="00C6299D">
            <w:pPr>
              <w:jc w:val="both"/>
              <w:rPr>
                <w:rFonts w:eastAsia="Calibri"/>
                <w:sz w:val="20"/>
                <w:lang w:val="fr-CA"/>
              </w:rPr>
            </w:pPr>
            <w:r w:rsidRPr="00F02DF6">
              <w:rPr>
                <w:rFonts w:eastAsia="Calibri"/>
                <w:sz w:val="20"/>
                <w:lang w:val="fr-CA"/>
              </w:rPr>
              <w:t>9 octobre 2014</w:t>
            </w:r>
          </w:p>
          <w:p w:rsidR="00627CA4" w:rsidRPr="00F02DF6" w:rsidRDefault="00627CA4" w:rsidP="00C6299D">
            <w:pPr>
              <w:jc w:val="both"/>
              <w:rPr>
                <w:rFonts w:eastAsia="Calibri"/>
                <w:sz w:val="20"/>
                <w:lang w:val="fr-CA"/>
              </w:rPr>
            </w:pPr>
            <w:r w:rsidRPr="00F02DF6">
              <w:rPr>
                <w:rFonts w:eastAsia="Calibri"/>
                <w:sz w:val="20"/>
                <w:lang w:val="fr-CA"/>
              </w:rPr>
              <w:t>Cour d’appel fédérale</w:t>
            </w:r>
          </w:p>
          <w:p w:rsidR="00627CA4" w:rsidRPr="00F02DF6" w:rsidRDefault="00627CA4" w:rsidP="00C6299D">
            <w:pPr>
              <w:jc w:val="both"/>
              <w:rPr>
                <w:rFonts w:eastAsia="Calibri"/>
                <w:sz w:val="20"/>
                <w:lang w:val="fr-CA"/>
              </w:rPr>
            </w:pPr>
            <w:r w:rsidRPr="00F02DF6">
              <w:rPr>
                <w:rFonts w:eastAsia="Calibri"/>
                <w:sz w:val="20"/>
                <w:lang w:val="fr-CA"/>
              </w:rPr>
              <w:t>(Juge Stratas)</w:t>
            </w:r>
          </w:p>
          <w:p w:rsidR="00627CA4" w:rsidRPr="00F02DF6" w:rsidRDefault="005B3B50" w:rsidP="00C6299D">
            <w:pPr>
              <w:jc w:val="both"/>
              <w:rPr>
                <w:rFonts w:eastAsia="Calibri"/>
                <w:sz w:val="20"/>
                <w:lang w:val="fr-CA"/>
              </w:rPr>
            </w:pPr>
            <w:hyperlink r:id="rId41" w:history="1">
              <w:r w:rsidR="00627CA4" w:rsidRPr="00F02DF6">
                <w:rPr>
                  <w:rFonts w:eastAsia="Calibri"/>
                  <w:color w:val="0000FF"/>
                  <w:sz w:val="20"/>
                  <w:u w:val="single"/>
                  <w:lang w:val="fr-CA"/>
                </w:rPr>
                <w:t>2014 FCA 226</w:t>
              </w:r>
            </w:hyperlink>
            <w:r w:rsidR="00627CA4" w:rsidRPr="00F02DF6">
              <w:rPr>
                <w:rFonts w:eastAsia="Calibri"/>
                <w:sz w:val="20"/>
                <w:lang w:val="fr-CA"/>
              </w:rPr>
              <w:t>; A-147-11; A-186-11</w:t>
            </w:r>
          </w:p>
          <w:p w:rsidR="00627CA4" w:rsidRPr="00F02DF6" w:rsidRDefault="00627CA4" w:rsidP="00C6299D">
            <w:pPr>
              <w:jc w:val="both"/>
              <w:rPr>
                <w:rFonts w:eastAsia="Calibri"/>
                <w:sz w:val="20"/>
                <w:lang w:val="fr-CA"/>
              </w:rPr>
            </w:pPr>
          </w:p>
        </w:tc>
        <w:tc>
          <w:tcPr>
            <w:tcW w:w="243" w:type="pct"/>
          </w:tcPr>
          <w:p w:rsidR="00627CA4" w:rsidRPr="00F02DF6" w:rsidRDefault="00627CA4" w:rsidP="00C6299D">
            <w:pPr>
              <w:jc w:val="both"/>
              <w:rPr>
                <w:rFonts w:eastAsia="Calibri"/>
                <w:sz w:val="20"/>
                <w:lang w:val="fr-CA"/>
              </w:rPr>
            </w:pPr>
          </w:p>
        </w:tc>
        <w:tc>
          <w:tcPr>
            <w:tcW w:w="2330" w:type="pct"/>
          </w:tcPr>
          <w:p w:rsidR="00627CA4" w:rsidRPr="00F02DF6" w:rsidRDefault="00627CA4" w:rsidP="00C6299D">
            <w:pPr>
              <w:jc w:val="both"/>
              <w:rPr>
                <w:rFonts w:eastAsia="Calibri"/>
                <w:sz w:val="20"/>
                <w:lang w:val="fr-CA"/>
              </w:rPr>
            </w:pPr>
            <w:r w:rsidRPr="00F02DF6">
              <w:rPr>
                <w:rFonts w:eastAsia="Calibri"/>
                <w:sz w:val="20"/>
                <w:lang w:val="fr-CA"/>
              </w:rPr>
              <w:t>Rejet des requêtes</w:t>
            </w:r>
          </w:p>
          <w:p w:rsidR="00627CA4" w:rsidRPr="00F02DF6" w:rsidRDefault="00627CA4" w:rsidP="00C6299D">
            <w:pPr>
              <w:jc w:val="both"/>
              <w:rPr>
                <w:rFonts w:eastAsia="Calibri"/>
                <w:sz w:val="20"/>
                <w:lang w:val="fr-CA"/>
              </w:rPr>
            </w:pPr>
          </w:p>
          <w:p w:rsidR="00627CA4" w:rsidRPr="00F02DF6" w:rsidRDefault="00627CA4" w:rsidP="00C6299D">
            <w:pPr>
              <w:jc w:val="both"/>
              <w:rPr>
                <w:rFonts w:eastAsia="Calibri"/>
                <w:sz w:val="20"/>
                <w:lang w:val="fr-CA"/>
              </w:rPr>
            </w:pPr>
          </w:p>
        </w:tc>
      </w:tr>
      <w:tr w:rsidR="00627CA4" w:rsidRPr="00D229C1" w:rsidTr="00C6299D">
        <w:tc>
          <w:tcPr>
            <w:tcW w:w="2427" w:type="pct"/>
          </w:tcPr>
          <w:p w:rsidR="00627CA4" w:rsidRPr="00F02DF6" w:rsidRDefault="00627CA4" w:rsidP="00C6299D">
            <w:pPr>
              <w:jc w:val="both"/>
              <w:rPr>
                <w:rFonts w:eastAsia="Calibri"/>
                <w:sz w:val="20"/>
                <w:lang w:val="fr-CA"/>
              </w:rPr>
            </w:pPr>
            <w:r w:rsidRPr="00F02DF6">
              <w:rPr>
                <w:rFonts w:eastAsia="Calibri"/>
                <w:sz w:val="20"/>
                <w:lang w:val="fr-CA"/>
              </w:rPr>
              <w:t>17 octobre 2014</w:t>
            </w:r>
          </w:p>
          <w:p w:rsidR="00627CA4" w:rsidRPr="00F02DF6" w:rsidRDefault="00627CA4" w:rsidP="00C6299D">
            <w:pPr>
              <w:jc w:val="both"/>
              <w:rPr>
                <w:rFonts w:eastAsia="Calibri"/>
                <w:sz w:val="20"/>
                <w:lang w:val="fr-CA"/>
              </w:rPr>
            </w:pPr>
            <w:r w:rsidRPr="00F02DF6">
              <w:rPr>
                <w:rFonts w:eastAsia="Calibri"/>
                <w:sz w:val="20"/>
                <w:lang w:val="fr-CA"/>
              </w:rPr>
              <w:t xml:space="preserve">Cour suprême du Canada </w:t>
            </w:r>
          </w:p>
          <w:p w:rsidR="00627CA4" w:rsidRPr="00F02DF6" w:rsidRDefault="00627CA4" w:rsidP="00C6299D">
            <w:pPr>
              <w:jc w:val="both"/>
              <w:rPr>
                <w:rFonts w:eastAsia="Calibri"/>
                <w:sz w:val="20"/>
                <w:lang w:val="fr-CA"/>
              </w:rPr>
            </w:pPr>
          </w:p>
        </w:tc>
        <w:tc>
          <w:tcPr>
            <w:tcW w:w="243" w:type="pct"/>
          </w:tcPr>
          <w:p w:rsidR="00627CA4" w:rsidRPr="00F02DF6" w:rsidRDefault="00627CA4" w:rsidP="00C6299D">
            <w:pPr>
              <w:jc w:val="both"/>
              <w:rPr>
                <w:rFonts w:eastAsia="Calibri"/>
                <w:sz w:val="20"/>
                <w:lang w:val="fr-CA"/>
              </w:rPr>
            </w:pPr>
          </w:p>
        </w:tc>
        <w:tc>
          <w:tcPr>
            <w:tcW w:w="2330" w:type="pct"/>
          </w:tcPr>
          <w:p w:rsidR="00627CA4" w:rsidRPr="00F02DF6" w:rsidRDefault="00627CA4" w:rsidP="00C6299D">
            <w:pPr>
              <w:jc w:val="both"/>
              <w:rPr>
                <w:rFonts w:eastAsia="Calibri"/>
                <w:sz w:val="20"/>
                <w:lang w:val="fr-CA"/>
              </w:rPr>
            </w:pPr>
            <w:r w:rsidRPr="00F02DF6">
              <w:rPr>
                <w:rFonts w:eastAsia="Calibri"/>
                <w:sz w:val="20"/>
                <w:lang w:val="fr-CA"/>
              </w:rPr>
              <w:t>Dépôt de la demande d’autorisation d’appel</w:t>
            </w:r>
          </w:p>
          <w:p w:rsidR="00627CA4" w:rsidRPr="00F02DF6" w:rsidRDefault="00627CA4" w:rsidP="00C6299D">
            <w:pPr>
              <w:jc w:val="both"/>
              <w:rPr>
                <w:rFonts w:eastAsia="Calibri"/>
                <w:sz w:val="20"/>
                <w:lang w:val="fr-CA"/>
              </w:rPr>
            </w:pPr>
          </w:p>
        </w:tc>
      </w:tr>
      <w:tr w:rsidR="00627CA4" w:rsidRPr="00F02DF6" w:rsidTr="00C6299D">
        <w:tc>
          <w:tcPr>
            <w:tcW w:w="5000" w:type="pct"/>
            <w:gridSpan w:val="3"/>
          </w:tcPr>
          <w:p w:rsidR="00627CA4" w:rsidRPr="00F02DF6" w:rsidRDefault="00627CA4" w:rsidP="00C6299D">
            <w:pPr>
              <w:jc w:val="both"/>
              <w:rPr>
                <w:rFonts w:eastAsia="Calibri"/>
                <w:b/>
                <w:sz w:val="20"/>
                <w:lang w:val="fr-CA"/>
              </w:rPr>
            </w:pPr>
            <w:r w:rsidRPr="00F02DF6">
              <w:rPr>
                <w:rFonts w:eastAsia="Calibri"/>
                <w:b/>
                <w:sz w:val="20"/>
                <w:lang w:val="fr-CA"/>
              </w:rPr>
              <w:t>Troisième demande d’autorisation d’appel</w:t>
            </w:r>
          </w:p>
          <w:p w:rsidR="00627CA4" w:rsidRPr="00F02DF6" w:rsidRDefault="00627CA4" w:rsidP="00C6299D">
            <w:pPr>
              <w:jc w:val="both"/>
              <w:rPr>
                <w:rFonts w:eastAsia="Calibri"/>
                <w:sz w:val="20"/>
                <w:lang w:val="fr-CA"/>
              </w:rPr>
            </w:pPr>
          </w:p>
        </w:tc>
      </w:tr>
      <w:tr w:rsidR="00627CA4" w:rsidRPr="00F02DF6" w:rsidTr="00C6299D">
        <w:tc>
          <w:tcPr>
            <w:tcW w:w="2427" w:type="pct"/>
          </w:tcPr>
          <w:p w:rsidR="00627CA4" w:rsidRPr="00F02DF6" w:rsidRDefault="00627CA4" w:rsidP="00C6299D">
            <w:pPr>
              <w:jc w:val="both"/>
              <w:rPr>
                <w:rFonts w:eastAsia="Calibri"/>
                <w:sz w:val="20"/>
                <w:lang w:val="fr-CA"/>
              </w:rPr>
            </w:pPr>
            <w:r w:rsidRPr="00F02DF6">
              <w:rPr>
                <w:rFonts w:eastAsia="Calibri"/>
                <w:sz w:val="20"/>
                <w:lang w:val="fr-CA"/>
              </w:rPr>
              <w:t>22 octobre 2014</w:t>
            </w:r>
          </w:p>
          <w:p w:rsidR="00627CA4" w:rsidRPr="00F02DF6" w:rsidRDefault="00627CA4" w:rsidP="00C6299D">
            <w:pPr>
              <w:jc w:val="both"/>
              <w:rPr>
                <w:rFonts w:eastAsia="Calibri"/>
                <w:sz w:val="20"/>
                <w:lang w:val="fr-CA"/>
              </w:rPr>
            </w:pPr>
            <w:r w:rsidRPr="00F02DF6">
              <w:rPr>
                <w:rFonts w:eastAsia="Calibri"/>
                <w:sz w:val="20"/>
                <w:lang w:val="fr-CA"/>
              </w:rPr>
              <w:t>Cour d’appel fédérale</w:t>
            </w:r>
          </w:p>
          <w:p w:rsidR="00627CA4" w:rsidRPr="00F02DF6" w:rsidRDefault="00627CA4" w:rsidP="00C6299D">
            <w:pPr>
              <w:jc w:val="both"/>
              <w:rPr>
                <w:rFonts w:eastAsia="Calibri"/>
                <w:sz w:val="20"/>
                <w:lang w:val="fr-CA"/>
              </w:rPr>
            </w:pPr>
            <w:r w:rsidRPr="00F02DF6">
              <w:rPr>
                <w:rFonts w:eastAsia="Calibri"/>
                <w:sz w:val="20"/>
                <w:lang w:val="fr-CA"/>
              </w:rPr>
              <w:t>(Juge en chef Noël, juges Dawson et Stratas)</w:t>
            </w:r>
          </w:p>
          <w:p w:rsidR="00627CA4" w:rsidRPr="00F02DF6" w:rsidRDefault="005B3B50" w:rsidP="00C6299D">
            <w:pPr>
              <w:jc w:val="both"/>
              <w:rPr>
                <w:rFonts w:eastAsia="Calibri"/>
                <w:sz w:val="20"/>
                <w:lang w:val="fr-CA"/>
              </w:rPr>
            </w:pPr>
            <w:hyperlink r:id="rId42" w:history="1">
              <w:r w:rsidR="00627CA4" w:rsidRPr="00F02DF6">
                <w:rPr>
                  <w:rFonts w:eastAsia="Calibri"/>
                  <w:color w:val="0000FF"/>
                  <w:sz w:val="20"/>
                  <w:u w:val="single"/>
                  <w:lang w:val="fr-CA"/>
                </w:rPr>
                <w:t>2014 FCA 238</w:t>
              </w:r>
            </w:hyperlink>
            <w:r w:rsidR="00627CA4" w:rsidRPr="00F02DF6">
              <w:rPr>
                <w:rFonts w:eastAsia="Calibri"/>
                <w:sz w:val="20"/>
                <w:lang w:val="fr-CA"/>
              </w:rPr>
              <w:t>; A-147-11; A-186-11</w:t>
            </w:r>
          </w:p>
          <w:p w:rsidR="00627CA4" w:rsidRPr="00F02DF6" w:rsidRDefault="00627CA4" w:rsidP="00C6299D">
            <w:pPr>
              <w:jc w:val="both"/>
              <w:rPr>
                <w:rFonts w:eastAsia="Calibri"/>
                <w:sz w:val="20"/>
                <w:lang w:val="fr-CA"/>
              </w:rPr>
            </w:pPr>
          </w:p>
        </w:tc>
        <w:tc>
          <w:tcPr>
            <w:tcW w:w="243" w:type="pct"/>
          </w:tcPr>
          <w:p w:rsidR="00627CA4" w:rsidRPr="00F02DF6" w:rsidRDefault="00627CA4" w:rsidP="00C6299D">
            <w:pPr>
              <w:jc w:val="both"/>
              <w:rPr>
                <w:rFonts w:eastAsia="Calibri"/>
                <w:sz w:val="20"/>
                <w:lang w:val="fr-CA"/>
              </w:rPr>
            </w:pPr>
          </w:p>
        </w:tc>
        <w:tc>
          <w:tcPr>
            <w:tcW w:w="2330" w:type="pct"/>
          </w:tcPr>
          <w:p w:rsidR="00627CA4" w:rsidRPr="00F02DF6" w:rsidRDefault="00627CA4" w:rsidP="00C6299D">
            <w:pPr>
              <w:jc w:val="both"/>
              <w:rPr>
                <w:rFonts w:eastAsia="Calibri"/>
                <w:sz w:val="20"/>
                <w:lang w:val="fr-CA"/>
              </w:rPr>
            </w:pPr>
            <w:r w:rsidRPr="00F02DF6">
              <w:rPr>
                <w:rFonts w:eastAsia="Calibri"/>
                <w:sz w:val="20"/>
                <w:lang w:val="fr-CA"/>
              </w:rPr>
              <w:t>Rejet de l’appel fusionné</w:t>
            </w:r>
          </w:p>
        </w:tc>
      </w:tr>
      <w:tr w:rsidR="00627CA4" w:rsidRPr="00D229C1" w:rsidTr="00C6299D">
        <w:tc>
          <w:tcPr>
            <w:tcW w:w="2427" w:type="pct"/>
          </w:tcPr>
          <w:p w:rsidR="00627CA4" w:rsidRPr="00F02DF6" w:rsidRDefault="00627CA4" w:rsidP="00C6299D">
            <w:pPr>
              <w:jc w:val="both"/>
              <w:rPr>
                <w:rFonts w:eastAsia="Calibri"/>
                <w:sz w:val="20"/>
                <w:lang w:val="fr-CA"/>
              </w:rPr>
            </w:pPr>
          </w:p>
          <w:p w:rsidR="00627CA4" w:rsidRPr="00F02DF6" w:rsidRDefault="00627CA4" w:rsidP="00C6299D">
            <w:pPr>
              <w:jc w:val="both"/>
              <w:rPr>
                <w:rFonts w:eastAsia="Calibri"/>
                <w:sz w:val="20"/>
                <w:lang w:val="fr-CA"/>
              </w:rPr>
            </w:pPr>
            <w:r w:rsidRPr="00F02DF6">
              <w:rPr>
                <w:rFonts w:eastAsia="Calibri"/>
                <w:sz w:val="20"/>
                <w:lang w:val="fr-CA"/>
              </w:rPr>
              <w:t xml:space="preserve">19 décembre 2014 </w:t>
            </w:r>
          </w:p>
          <w:p w:rsidR="00627CA4" w:rsidRPr="00F02DF6" w:rsidRDefault="00627CA4" w:rsidP="00C6299D">
            <w:pPr>
              <w:jc w:val="both"/>
              <w:rPr>
                <w:rFonts w:eastAsia="Calibri"/>
                <w:sz w:val="20"/>
                <w:lang w:val="fr-CA"/>
              </w:rPr>
            </w:pPr>
            <w:r w:rsidRPr="00F02DF6">
              <w:rPr>
                <w:rFonts w:eastAsia="Calibri"/>
                <w:sz w:val="20"/>
                <w:lang w:val="fr-CA"/>
              </w:rPr>
              <w:t>Cour suprême du Canada</w:t>
            </w:r>
          </w:p>
          <w:p w:rsidR="00627CA4" w:rsidRPr="00F02DF6" w:rsidRDefault="00627CA4" w:rsidP="00C6299D">
            <w:pPr>
              <w:jc w:val="both"/>
              <w:rPr>
                <w:rFonts w:eastAsia="Calibri"/>
                <w:sz w:val="20"/>
                <w:lang w:val="fr-CA"/>
              </w:rPr>
            </w:pPr>
          </w:p>
        </w:tc>
        <w:tc>
          <w:tcPr>
            <w:tcW w:w="243" w:type="pct"/>
          </w:tcPr>
          <w:p w:rsidR="00627CA4" w:rsidRPr="00F02DF6" w:rsidRDefault="00627CA4" w:rsidP="00C6299D">
            <w:pPr>
              <w:jc w:val="both"/>
              <w:rPr>
                <w:rFonts w:eastAsia="Calibri"/>
                <w:sz w:val="20"/>
                <w:lang w:val="fr-CA"/>
              </w:rPr>
            </w:pPr>
          </w:p>
        </w:tc>
        <w:tc>
          <w:tcPr>
            <w:tcW w:w="2330" w:type="pct"/>
          </w:tcPr>
          <w:p w:rsidR="00627CA4" w:rsidRPr="00F02DF6" w:rsidRDefault="00627CA4" w:rsidP="00C6299D">
            <w:pPr>
              <w:jc w:val="both"/>
              <w:rPr>
                <w:rFonts w:eastAsia="Calibri"/>
                <w:sz w:val="20"/>
                <w:lang w:val="fr-CA"/>
              </w:rPr>
            </w:pPr>
          </w:p>
          <w:p w:rsidR="00627CA4" w:rsidRPr="00F02DF6" w:rsidRDefault="00627CA4" w:rsidP="00C6299D">
            <w:pPr>
              <w:jc w:val="both"/>
              <w:rPr>
                <w:rFonts w:eastAsia="Calibri"/>
                <w:sz w:val="20"/>
                <w:lang w:val="fr-CA"/>
              </w:rPr>
            </w:pPr>
            <w:r w:rsidRPr="00F02DF6">
              <w:rPr>
                <w:rFonts w:eastAsia="Calibri"/>
                <w:sz w:val="20"/>
                <w:lang w:val="fr-CA"/>
              </w:rPr>
              <w:t>Dépôt de la demande d’autorisation d’appel</w:t>
            </w:r>
          </w:p>
        </w:tc>
      </w:tr>
      <w:tr w:rsidR="00627CA4" w:rsidRPr="00F02DF6" w:rsidTr="00C6299D">
        <w:tc>
          <w:tcPr>
            <w:tcW w:w="5000" w:type="pct"/>
            <w:gridSpan w:val="3"/>
          </w:tcPr>
          <w:p w:rsidR="00627CA4" w:rsidRPr="00F02DF6" w:rsidRDefault="00627CA4" w:rsidP="00C6299D">
            <w:pPr>
              <w:jc w:val="both"/>
              <w:rPr>
                <w:rFonts w:eastAsia="Calibri"/>
                <w:b/>
                <w:sz w:val="20"/>
                <w:lang w:val="fr-CA"/>
              </w:rPr>
            </w:pPr>
            <w:r w:rsidRPr="00F02DF6">
              <w:rPr>
                <w:rFonts w:eastAsia="Calibri"/>
                <w:b/>
                <w:sz w:val="20"/>
                <w:lang w:val="fr-CA"/>
              </w:rPr>
              <w:t>Quatrième demande d’autorisation d’appel</w:t>
            </w:r>
          </w:p>
          <w:p w:rsidR="00627CA4" w:rsidRPr="00F02DF6" w:rsidRDefault="00627CA4" w:rsidP="00C6299D">
            <w:pPr>
              <w:jc w:val="both"/>
              <w:rPr>
                <w:rFonts w:eastAsia="Calibri"/>
                <w:sz w:val="20"/>
                <w:lang w:val="fr-CA"/>
              </w:rPr>
            </w:pPr>
          </w:p>
        </w:tc>
      </w:tr>
      <w:tr w:rsidR="00627CA4" w:rsidRPr="00D229C1" w:rsidTr="00C6299D">
        <w:tc>
          <w:tcPr>
            <w:tcW w:w="2427" w:type="pct"/>
          </w:tcPr>
          <w:p w:rsidR="00627CA4" w:rsidRPr="00F02DF6" w:rsidRDefault="00627CA4" w:rsidP="00C6299D">
            <w:pPr>
              <w:jc w:val="both"/>
              <w:rPr>
                <w:rFonts w:eastAsia="Calibri"/>
                <w:sz w:val="20"/>
                <w:lang w:val="fr-CA"/>
              </w:rPr>
            </w:pPr>
            <w:r w:rsidRPr="00F02DF6">
              <w:rPr>
                <w:rFonts w:eastAsia="Calibri"/>
                <w:sz w:val="20"/>
                <w:lang w:val="fr-CA"/>
              </w:rPr>
              <w:t xml:space="preserve">5 décembre 2014 </w:t>
            </w:r>
          </w:p>
          <w:p w:rsidR="00627CA4" w:rsidRPr="00F02DF6" w:rsidRDefault="00627CA4" w:rsidP="00C6299D">
            <w:pPr>
              <w:jc w:val="both"/>
              <w:rPr>
                <w:rFonts w:eastAsia="Calibri"/>
                <w:sz w:val="20"/>
                <w:lang w:val="fr-CA"/>
              </w:rPr>
            </w:pPr>
            <w:r w:rsidRPr="00F02DF6">
              <w:rPr>
                <w:rFonts w:eastAsia="Calibri"/>
                <w:sz w:val="20"/>
                <w:lang w:val="fr-CA"/>
              </w:rPr>
              <w:t>Cour d’appel fédérale</w:t>
            </w:r>
          </w:p>
          <w:p w:rsidR="00627CA4" w:rsidRPr="00F02DF6" w:rsidRDefault="00627CA4" w:rsidP="00C6299D">
            <w:pPr>
              <w:jc w:val="both"/>
              <w:rPr>
                <w:rFonts w:eastAsia="Calibri"/>
                <w:sz w:val="20"/>
                <w:lang w:val="fr-CA"/>
              </w:rPr>
            </w:pPr>
            <w:r w:rsidRPr="00F02DF6">
              <w:rPr>
                <w:rFonts w:eastAsia="Calibri"/>
                <w:sz w:val="20"/>
                <w:lang w:val="fr-CA"/>
              </w:rPr>
              <w:t>(Juge Stratas)</w:t>
            </w:r>
          </w:p>
          <w:p w:rsidR="00627CA4" w:rsidRPr="00F02DF6" w:rsidRDefault="00627CA4" w:rsidP="00C6299D">
            <w:pPr>
              <w:jc w:val="both"/>
              <w:rPr>
                <w:rFonts w:eastAsia="Calibri"/>
                <w:sz w:val="20"/>
                <w:lang w:val="fr-CA"/>
              </w:rPr>
            </w:pPr>
          </w:p>
        </w:tc>
        <w:tc>
          <w:tcPr>
            <w:tcW w:w="243" w:type="pct"/>
          </w:tcPr>
          <w:p w:rsidR="00627CA4" w:rsidRPr="00F02DF6" w:rsidRDefault="00627CA4" w:rsidP="00C6299D">
            <w:pPr>
              <w:jc w:val="both"/>
              <w:rPr>
                <w:rFonts w:eastAsia="Calibri"/>
                <w:sz w:val="20"/>
                <w:lang w:val="fr-CA"/>
              </w:rPr>
            </w:pPr>
          </w:p>
        </w:tc>
        <w:tc>
          <w:tcPr>
            <w:tcW w:w="2330" w:type="pct"/>
          </w:tcPr>
          <w:p w:rsidR="00627CA4" w:rsidRPr="00F02DF6" w:rsidRDefault="00627CA4" w:rsidP="00C6299D">
            <w:pPr>
              <w:jc w:val="both"/>
              <w:rPr>
                <w:rFonts w:eastAsia="Calibri"/>
                <w:sz w:val="20"/>
                <w:lang w:val="fr-CA"/>
              </w:rPr>
            </w:pPr>
            <w:r w:rsidRPr="00F02DF6">
              <w:rPr>
                <w:rFonts w:eastAsia="Calibri"/>
                <w:sz w:val="20"/>
                <w:lang w:val="fr-CA"/>
              </w:rPr>
              <w:t xml:space="preserve">Directive au greffe de la Cour d’appel fédérale lui ordonnant de ne pas accepter de documents de M. Mazhero, à moins qu’il ne s’agisse d’une requête en bonne et due forme cherchant une réparation en application du par.  40(3) de la </w:t>
            </w:r>
            <w:r w:rsidRPr="00F02DF6">
              <w:rPr>
                <w:rFonts w:eastAsia="Calibri"/>
                <w:i/>
                <w:sz w:val="20"/>
                <w:lang w:val="fr-CA"/>
              </w:rPr>
              <w:t>Loi sur les Cours fédérales</w:t>
            </w:r>
            <w:r w:rsidRPr="00F02DF6">
              <w:rPr>
                <w:rFonts w:eastAsia="Calibri"/>
                <w:sz w:val="20"/>
                <w:lang w:val="fr-CA"/>
              </w:rPr>
              <w:t xml:space="preserve"> à l’exclusion de toute autre réparation</w:t>
            </w:r>
          </w:p>
          <w:p w:rsidR="00627CA4" w:rsidRPr="00F02DF6" w:rsidRDefault="00627CA4" w:rsidP="00C6299D">
            <w:pPr>
              <w:jc w:val="both"/>
              <w:rPr>
                <w:rFonts w:eastAsia="Calibri"/>
                <w:sz w:val="20"/>
                <w:lang w:val="fr-CA"/>
              </w:rPr>
            </w:pPr>
          </w:p>
        </w:tc>
      </w:tr>
      <w:tr w:rsidR="00627CA4" w:rsidRPr="00D229C1" w:rsidTr="00C6299D">
        <w:tc>
          <w:tcPr>
            <w:tcW w:w="2427" w:type="pct"/>
          </w:tcPr>
          <w:p w:rsidR="00627CA4" w:rsidRPr="00F02DF6" w:rsidRDefault="00627CA4" w:rsidP="00C6299D">
            <w:pPr>
              <w:jc w:val="both"/>
              <w:rPr>
                <w:rFonts w:eastAsia="Calibri"/>
                <w:sz w:val="20"/>
                <w:lang w:val="fr-CA"/>
              </w:rPr>
            </w:pPr>
            <w:r w:rsidRPr="00F02DF6">
              <w:rPr>
                <w:rFonts w:eastAsia="Calibri"/>
                <w:sz w:val="20"/>
                <w:lang w:val="fr-CA"/>
              </w:rPr>
              <w:t xml:space="preserve">2 février 2015 </w:t>
            </w:r>
          </w:p>
          <w:p w:rsidR="00627CA4" w:rsidRPr="00F02DF6" w:rsidRDefault="00627CA4" w:rsidP="00C6299D">
            <w:pPr>
              <w:jc w:val="both"/>
              <w:rPr>
                <w:rFonts w:eastAsia="Calibri"/>
                <w:sz w:val="20"/>
                <w:lang w:val="fr-CA"/>
              </w:rPr>
            </w:pPr>
            <w:r w:rsidRPr="00F02DF6">
              <w:rPr>
                <w:rFonts w:eastAsia="Calibri"/>
                <w:sz w:val="20"/>
                <w:lang w:val="fr-CA"/>
              </w:rPr>
              <w:t>Cour suprême du Canada</w:t>
            </w:r>
          </w:p>
        </w:tc>
        <w:tc>
          <w:tcPr>
            <w:tcW w:w="243" w:type="pct"/>
          </w:tcPr>
          <w:p w:rsidR="00627CA4" w:rsidRPr="00F02DF6" w:rsidRDefault="00627CA4" w:rsidP="00C6299D">
            <w:pPr>
              <w:jc w:val="both"/>
              <w:rPr>
                <w:rFonts w:eastAsia="Calibri"/>
                <w:sz w:val="20"/>
                <w:lang w:val="fr-CA"/>
              </w:rPr>
            </w:pPr>
          </w:p>
        </w:tc>
        <w:tc>
          <w:tcPr>
            <w:tcW w:w="2330" w:type="pct"/>
          </w:tcPr>
          <w:p w:rsidR="00627CA4" w:rsidRPr="00F02DF6" w:rsidRDefault="00627CA4" w:rsidP="00C6299D">
            <w:pPr>
              <w:jc w:val="both"/>
              <w:rPr>
                <w:rFonts w:eastAsia="Calibri"/>
                <w:sz w:val="20"/>
                <w:lang w:val="fr-CA"/>
              </w:rPr>
            </w:pPr>
            <w:r w:rsidRPr="00F02DF6">
              <w:rPr>
                <w:rFonts w:eastAsia="Calibri"/>
                <w:sz w:val="20"/>
                <w:lang w:val="fr-CA"/>
              </w:rPr>
              <w:t>Dépôt de la demande d’autorisation d’appel</w:t>
            </w:r>
          </w:p>
        </w:tc>
      </w:tr>
    </w:tbl>
    <w:p w:rsidR="00A23156" w:rsidRPr="00627CA4" w:rsidRDefault="00A23156" w:rsidP="00A23156">
      <w:pPr>
        <w:rPr>
          <w:sz w:val="20"/>
          <w:szCs w:val="20"/>
          <w:lang w:val="fr-CA"/>
        </w:rPr>
      </w:pPr>
    </w:p>
    <w:p w:rsidR="00A23156" w:rsidRDefault="005B3B50" w:rsidP="00A23156">
      <w:pPr>
        <w:rPr>
          <w:sz w:val="20"/>
          <w:szCs w:val="20"/>
          <w:lang w:val="fr-CA"/>
        </w:rPr>
      </w:pPr>
      <w:r>
        <w:rPr>
          <w:sz w:val="20"/>
          <w:szCs w:val="20"/>
          <w:lang w:val="fr-CA"/>
        </w:rPr>
        <w:pict>
          <v:rect id="_x0000_i1050" style="width:2in;height:1pt" o:hrpct="0" o:hralign="center" o:hrstd="t" o:hrnoshade="t" o:hr="t" fillcolor="black [3213]" stroked="f"/>
        </w:pict>
      </w:r>
    </w:p>
    <w:p w:rsidR="00A23156" w:rsidRDefault="00A23156" w:rsidP="00A23156">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237ED" w:rsidRPr="00715263" w:rsidTr="008237ED">
        <w:trPr>
          <w:cantSplit/>
        </w:trPr>
        <w:tc>
          <w:tcPr>
            <w:tcW w:w="1458" w:type="dxa"/>
          </w:tcPr>
          <w:p w:rsidR="008237ED" w:rsidRPr="00715263" w:rsidRDefault="008237ED" w:rsidP="008237ED">
            <w:pPr>
              <w:rPr>
                <w:sz w:val="20"/>
                <w:szCs w:val="20"/>
              </w:rPr>
            </w:pPr>
            <w:r w:rsidRPr="00715263">
              <w:rPr>
                <w:rStyle w:val="SCCFileNumberChar"/>
                <w:sz w:val="20"/>
                <w:szCs w:val="20"/>
              </w:rPr>
              <w:t>36206</w:t>
            </w:r>
          </w:p>
          <w:p w:rsidR="008237ED" w:rsidRPr="00715263" w:rsidRDefault="008237ED" w:rsidP="008237ED">
            <w:pPr>
              <w:rPr>
                <w:b/>
                <w:sz w:val="20"/>
                <w:szCs w:val="20"/>
                <w:lang w:val="fr-CA"/>
              </w:rPr>
            </w:pPr>
          </w:p>
        </w:tc>
        <w:tc>
          <w:tcPr>
            <w:tcW w:w="8118" w:type="dxa"/>
          </w:tcPr>
          <w:p w:rsidR="008237ED" w:rsidRPr="00715263" w:rsidRDefault="008237ED" w:rsidP="008237ED">
            <w:pPr>
              <w:rPr>
                <w:sz w:val="20"/>
                <w:szCs w:val="20"/>
              </w:rPr>
            </w:pPr>
            <w:r w:rsidRPr="00715263">
              <w:rPr>
                <w:rStyle w:val="SCCLsocChar"/>
                <w:sz w:val="20"/>
                <w:szCs w:val="20"/>
                <w:lang w:val="en-CA"/>
              </w:rPr>
              <w:t>Bryan Michael Evans v. Her Majesty the Queen</w:t>
            </w:r>
            <w:r w:rsidRPr="00715263">
              <w:rPr>
                <w:sz w:val="20"/>
                <w:szCs w:val="20"/>
              </w:rPr>
              <w:t xml:space="preserve"> (Alta.) (Criminal) (By Leave)</w:t>
            </w:r>
          </w:p>
          <w:p w:rsidR="008237ED" w:rsidRPr="00715263" w:rsidRDefault="008237ED" w:rsidP="008237ED">
            <w:pPr>
              <w:rPr>
                <w:sz w:val="20"/>
                <w:szCs w:val="20"/>
              </w:rPr>
            </w:pPr>
          </w:p>
        </w:tc>
      </w:tr>
      <w:tr w:rsidR="008237ED" w:rsidRPr="00715263" w:rsidTr="008237ED">
        <w:trPr>
          <w:cantSplit/>
        </w:trPr>
        <w:tc>
          <w:tcPr>
            <w:tcW w:w="1458" w:type="dxa"/>
          </w:tcPr>
          <w:p w:rsidR="008237ED" w:rsidRPr="00715263" w:rsidRDefault="008237ED" w:rsidP="008237ED">
            <w:pPr>
              <w:rPr>
                <w:sz w:val="20"/>
                <w:szCs w:val="20"/>
              </w:rPr>
            </w:pPr>
            <w:r w:rsidRPr="00715263">
              <w:rPr>
                <w:sz w:val="20"/>
                <w:szCs w:val="20"/>
              </w:rPr>
              <w:t>Coram :</w:t>
            </w:r>
          </w:p>
        </w:tc>
        <w:tc>
          <w:tcPr>
            <w:tcW w:w="8118" w:type="dxa"/>
          </w:tcPr>
          <w:p w:rsidR="008237ED" w:rsidRPr="00715263" w:rsidRDefault="008237ED" w:rsidP="008237ED">
            <w:pPr>
              <w:rPr>
                <w:sz w:val="20"/>
                <w:szCs w:val="20"/>
              </w:rPr>
            </w:pPr>
            <w:r w:rsidRPr="00715263">
              <w:rPr>
                <w:rStyle w:val="SCCCoramChar"/>
                <w:sz w:val="20"/>
                <w:szCs w:val="20"/>
                <w:lang w:val="en-CA"/>
              </w:rPr>
              <w:t>Rothstein, Cromwell and Moldaver JJ.</w:t>
            </w:r>
          </w:p>
          <w:p w:rsidR="008237ED" w:rsidRPr="00715263" w:rsidRDefault="008237ED" w:rsidP="008237ED">
            <w:pPr>
              <w:rPr>
                <w:sz w:val="20"/>
                <w:szCs w:val="20"/>
                <w:u w:val="single"/>
              </w:rPr>
            </w:pPr>
          </w:p>
        </w:tc>
      </w:tr>
      <w:tr w:rsidR="008237ED" w:rsidRPr="00D229C1" w:rsidTr="008237ED">
        <w:trPr>
          <w:cantSplit/>
        </w:trPr>
        <w:tc>
          <w:tcPr>
            <w:tcW w:w="9576" w:type="dxa"/>
            <w:gridSpan w:val="2"/>
          </w:tcPr>
          <w:p w:rsidR="008237ED" w:rsidRPr="00715263" w:rsidRDefault="008237ED" w:rsidP="008237ED">
            <w:pPr>
              <w:pStyle w:val="SCCShortJudgment"/>
              <w:rPr>
                <w:szCs w:val="20"/>
              </w:rPr>
            </w:pPr>
            <w:r w:rsidRPr="00715263">
              <w:rPr>
                <w:szCs w:val="20"/>
              </w:rPr>
              <w:t>The application for leave to appeal from the judgment of the Court of Appeal of Alberta (Edmonton), Number 1403-0204-A, 2014 ABCA 339, dated October 17, 2014, is dismissed.</w:t>
            </w:r>
          </w:p>
          <w:p w:rsidR="008237ED" w:rsidRPr="00715263" w:rsidRDefault="008237ED" w:rsidP="008237ED">
            <w:pPr>
              <w:pStyle w:val="SCCShortJudgment"/>
              <w:ind w:firstLine="0"/>
              <w:rPr>
                <w:szCs w:val="20"/>
              </w:rPr>
            </w:pPr>
          </w:p>
          <w:p w:rsidR="008237ED" w:rsidRPr="00715263" w:rsidRDefault="008237ED" w:rsidP="008237ED">
            <w:pPr>
              <w:pStyle w:val="SCCShortJudgment"/>
              <w:rPr>
                <w:szCs w:val="20"/>
                <w:lang w:val="fr-CA"/>
              </w:rPr>
            </w:pPr>
            <w:r w:rsidRPr="00715263">
              <w:rPr>
                <w:szCs w:val="20"/>
                <w:lang w:val="fr-CA"/>
              </w:rPr>
              <w:t>La demande d’autorisation d’appel de l’arrêt de la Cour d’appel de l’Alberta (Edmonton), numéro 1403-0204-A, 2014 ABCA 339, daté du 17 octobre 2014, est rejetée.</w:t>
            </w:r>
          </w:p>
        </w:tc>
      </w:tr>
    </w:tbl>
    <w:p w:rsidR="00A23156" w:rsidRPr="008237ED" w:rsidRDefault="00A23156" w:rsidP="00A23156">
      <w:pPr>
        <w:rPr>
          <w:sz w:val="20"/>
          <w:szCs w:val="20"/>
          <w:lang w:val="fr-CA"/>
        </w:rPr>
      </w:pPr>
    </w:p>
    <w:p w:rsidR="00A23156" w:rsidRPr="001B157C" w:rsidRDefault="00A23156" w:rsidP="00A23156">
      <w:pPr>
        <w:rPr>
          <w:sz w:val="20"/>
          <w:szCs w:val="20"/>
          <w:u w:val="single"/>
        </w:rPr>
      </w:pPr>
      <w:r w:rsidRPr="001B157C">
        <w:rPr>
          <w:sz w:val="20"/>
          <w:szCs w:val="20"/>
          <w:u w:val="single"/>
        </w:rPr>
        <w:t>CASE SUMMARY</w:t>
      </w:r>
    </w:p>
    <w:p w:rsidR="00A23156" w:rsidRDefault="00A23156" w:rsidP="00A2315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3657" w:rsidRPr="00F02DF6" w:rsidTr="00C6299D">
        <w:tc>
          <w:tcPr>
            <w:tcW w:w="5000" w:type="pct"/>
            <w:gridSpan w:val="3"/>
          </w:tcPr>
          <w:p w:rsidR="00393657" w:rsidRPr="00F02DF6" w:rsidRDefault="00393657" w:rsidP="00C6299D">
            <w:pPr>
              <w:jc w:val="both"/>
              <w:rPr>
                <w:rFonts w:eastAsia="Calibri"/>
                <w:sz w:val="20"/>
              </w:rPr>
            </w:pPr>
            <w:r w:rsidRPr="00F02DF6">
              <w:rPr>
                <w:rFonts w:eastAsia="Calibri"/>
                <w:i/>
                <w:sz w:val="20"/>
              </w:rPr>
              <w:t>Charter of Rights and Freedoms</w:t>
            </w:r>
            <w:r w:rsidRPr="00F02DF6">
              <w:rPr>
                <w:rFonts w:eastAsia="Calibri"/>
                <w:sz w:val="20"/>
              </w:rPr>
              <w:t xml:space="preserve"> – Right to counsel – Driver of motor vehicle detained roadside for purpose of providing breath sample – Whether detainee entitled to retain and instruct counsel during delay while awaiting arrival of an approved roadside screening device where there is a realistic opportunity to consult with counsel.</w:t>
            </w:r>
          </w:p>
        </w:tc>
      </w:tr>
      <w:tr w:rsidR="00393657" w:rsidRPr="00F02DF6" w:rsidTr="00C6299D">
        <w:tc>
          <w:tcPr>
            <w:tcW w:w="5000" w:type="pct"/>
            <w:gridSpan w:val="3"/>
          </w:tcPr>
          <w:p w:rsidR="00393657" w:rsidRPr="00F02DF6" w:rsidRDefault="00393657" w:rsidP="00C6299D">
            <w:pPr>
              <w:jc w:val="both"/>
              <w:rPr>
                <w:rFonts w:eastAsia="Calibri"/>
                <w:sz w:val="20"/>
              </w:rPr>
            </w:pPr>
          </w:p>
        </w:tc>
      </w:tr>
      <w:tr w:rsidR="00393657" w:rsidRPr="00F02DF6" w:rsidTr="00C6299D">
        <w:tc>
          <w:tcPr>
            <w:tcW w:w="5000" w:type="pct"/>
            <w:gridSpan w:val="3"/>
          </w:tcPr>
          <w:p w:rsidR="00393657" w:rsidRPr="00F02DF6" w:rsidRDefault="00393657" w:rsidP="00C6299D">
            <w:pPr>
              <w:jc w:val="both"/>
              <w:rPr>
                <w:rFonts w:eastAsia="Calibri"/>
                <w:sz w:val="20"/>
              </w:rPr>
            </w:pPr>
            <w:r w:rsidRPr="00F02DF6">
              <w:rPr>
                <w:rFonts w:eastAsia="Calibri"/>
                <w:sz w:val="20"/>
              </w:rPr>
              <w:t xml:space="preserve">On March 21, 2011, in Edmonton, Mr. Evans was detained on reasonable grounds to suspect he was operating a motor vehicle while having alcohol in his body.  Mr. Evans had a cell phone and the officer had the number for legal aid with him.  A roadside breath sample was demanded at 4:24 pm.  The detaining officer did not have an approved screening device.  He made a call for a device.  Seventeen minutes later, another officer delivered a device.  Mr. Evans provided his first sample at 4:41 pm.  He was arrested after his fourth sample and, for the first time, advised of his right to counsel.  At trial, he raised </w:t>
            </w:r>
            <w:r w:rsidRPr="00F02DF6">
              <w:rPr>
                <w:rFonts w:eastAsia="Calibri"/>
                <w:i/>
                <w:sz w:val="20"/>
              </w:rPr>
              <w:t>Charter</w:t>
            </w:r>
            <w:r w:rsidRPr="00F02DF6">
              <w:rPr>
                <w:rFonts w:eastAsia="Calibri"/>
                <w:sz w:val="20"/>
              </w:rPr>
              <w:t xml:space="preserve"> challenges to the evidence, including that s. 10(</w:t>
            </w:r>
            <w:r w:rsidRPr="00F02DF6">
              <w:rPr>
                <w:rFonts w:eastAsia="Calibri"/>
                <w:i/>
                <w:sz w:val="20"/>
              </w:rPr>
              <w:t>b</w:t>
            </w:r>
            <w:r w:rsidRPr="00F02DF6">
              <w:rPr>
                <w:rFonts w:eastAsia="Calibri"/>
                <w:sz w:val="20"/>
              </w:rPr>
              <w:t xml:space="preserve">) was breached because he was not afforded his right to counsel during the 17 minutes while waiting for delivery of an approved screening device. </w:t>
            </w:r>
          </w:p>
          <w:p w:rsidR="00393657" w:rsidRPr="00F02DF6" w:rsidRDefault="00393657" w:rsidP="00C6299D">
            <w:pPr>
              <w:jc w:val="both"/>
              <w:rPr>
                <w:rFonts w:eastAsia="Calibri"/>
                <w:sz w:val="20"/>
              </w:rPr>
            </w:pPr>
          </w:p>
        </w:tc>
      </w:tr>
      <w:tr w:rsidR="00393657" w:rsidRPr="00F02DF6" w:rsidTr="00C6299D">
        <w:tc>
          <w:tcPr>
            <w:tcW w:w="2427" w:type="pct"/>
          </w:tcPr>
          <w:p w:rsidR="00393657" w:rsidRPr="00F02DF6" w:rsidRDefault="00393657" w:rsidP="00C6299D">
            <w:pPr>
              <w:jc w:val="both"/>
              <w:rPr>
                <w:rFonts w:eastAsia="Calibri"/>
                <w:sz w:val="20"/>
              </w:rPr>
            </w:pPr>
            <w:r w:rsidRPr="00F02DF6">
              <w:rPr>
                <w:rFonts w:eastAsia="Calibri"/>
                <w:sz w:val="20"/>
              </w:rPr>
              <w:t>February 3, 2014</w:t>
            </w:r>
          </w:p>
          <w:p w:rsidR="00393657" w:rsidRPr="00F02DF6" w:rsidRDefault="00393657" w:rsidP="00C6299D">
            <w:pPr>
              <w:jc w:val="both"/>
              <w:rPr>
                <w:rFonts w:eastAsia="Calibri"/>
                <w:sz w:val="20"/>
              </w:rPr>
            </w:pPr>
            <w:r w:rsidRPr="00F02DF6">
              <w:rPr>
                <w:rFonts w:eastAsia="Calibri"/>
                <w:sz w:val="20"/>
              </w:rPr>
              <w:t>Provincial Court of Alberta</w:t>
            </w:r>
          </w:p>
          <w:p w:rsidR="00393657" w:rsidRPr="00F02DF6" w:rsidRDefault="00393657" w:rsidP="00C6299D">
            <w:pPr>
              <w:jc w:val="both"/>
              <w:rPr>
                <w:rFonts w:eastAsia="Calibri"/>
                <w:sz w:val="20"/>
              </w:rPr>
            </w:pPr>
            <w:r w:rsidRPr="00F02DF6">
              <w:rPr>
                <w:rFonts w:eastAsia="Calibri"/>
                <w:sz w:val="20"/>
              </w:rPr>
              <w:t>(Day J.)</w:t>
            </w:r>
          </w:p>
          <w:p w:rsidR="00393657" w:rsidRPr="00F02DF6" w:rsidRDefault="00393657" w:rsidP="00C6299D">
            <w:pPr>
              <w:jc w:val="both"/>
              <w:rPr>
                <w:rFonts w:eastAsia="Calibri"/>
                <w:sz w:val="20"/>
              </w:rPr>
            </w:pPr>
          </w:p>
        </w:tc>
        <w:tc>
          <w:tcPr>
            <w:tcW w:w="243" w:type="pct"/>
          </w:tcPr>
          <w:p w:rsidR="00393657" w:rsidRPr="00F02DF6" w:rsidRDefault="00393657" w:rsidP="00C6299D">
            <w:pPr>
              <w:jc w:val="both"/>
              <w:rPr>
                <w:rFonts w:eastAsia="Calibri"/>
                <w:sz w:val="20"/>
              </w:rPr>
            </w:pPr>
          </w:p>
        </w:tc>
        <w:tc>
          <w:tcPr>
            <w:tcW w:w="2330" w:type="pct"/>
          </w:tcPr>
          <w:p w:rsidR="00393657" w:rsidRPr="00F02DF6" w:rsidRDefault="00393657" w:rsidP="00C6299D">
            <w:pPr>
              <w:jc w:val="both"/>
              <w:rPr>
                <w:rFonts w:eastAsia="Calibri"/>
                <w:i/>
                <w:sz w:val="20"/>
              </w:rPr>
            </w:pPr>
            <w:r w:rsidRPr="00F02DF6">
              <w:rPr>
                <w:rFonts w:eastAsia="Calibri"/>
                <w:sz w:val="20"/>
              </w:rPr>
              <w:t xml:space="preserve">Declaration s. 10(b) of the </w:t>
            </w:r>
            <w:r w:rsidRPr="00F02DF6">
              <w:rPr>
                <w:rFonts w:eastAsia="Calibri"/>
                <w:i/>
                <w:sz w:val="20"/>
              </w:rPr>
              <w:t xml:space="preserve">Charter of Rights and Freedoms </w:t>
            </w:r>
            <w:r w:rsidRPr="00F02DF6">
              <w:rPr>
                <w:rFonts w:eastAsia="Calibri"/>
                <w:sz w:val="20"/>
              </w:rPr>
              <w:t>not breached</w:t>
            </w:r>
          </w:p>
        </w:tc>
      </w:tr>
      <w:tr w:rsidR="00393657" w:rsidRPr="00F02DF6" w:rsidTr="00C6299D">
        <w:tc>
          <w:tcPr>
            <w:tcW w:w="2427" w:type="pct"/>
          </w:tcPr>
          <w:p w:rsidR="00393657" w:rsidRPr="00F02DF6" w:rsidRDefault="00393657" w:rsidP="00C6299D">
            <w:pPr>
              <w:jc w:val="both"/>
              <w:rPr>
                <w:rFonts w:eastAsia="Calibri"/>
                <w:sz w:val="20"/>
              </w:rPr>
            </w:pPr>
            <w:r w:rsidRPr="00F02DF6">
              <w:rPr>
                <w:rFonts w:eastAsia="Calibri"/>
                <w:sz w:val="20"/>
              </w:rPr>
              <w:t>February 13, 2014</w:t>
            </w:r>
          </w:p>
          <w:p w:rsidR="00393657" w:rsidRPr="00F02DF6" w:rsidRDefault="00393657" w:rsidP="00C6299D">
            <w:pPr>
              <w:jc w:val="both"/>
              <w:rPr>
                <w:rFonts w:eastAsia="Calibri"/>
                <w:sz w:val="20"/>
              </w:rPr>
            </w:pPr>
            <w:r w:rsidRPr="00F02DF6">
              <w:rPr>
                <w:rFonts w:eastAsia="Calibri"/>
                <w:sz w:val="20"/>
              </w:rPr>
              <w:t>Provincial Court of Alberta</w:t>
            </w:r>
          </w:p>
          <w:p w:rsidR="00393657" w:rsidRPr="00F02DF6" w:rsidRDefault="00393657" w:rsidP="00C6299D">
            <w:pPr>
              <w:jc w:val="both"/>
              <w:rPr>
                <w:rFonts w:eastAsia="Calibri"/>
                <w:sz w:val="20"/>
              </w:rPr>
            </w:pPr>
            <w:r w:rsidRPr="00F02DF6">
              <w:rPr>
                <w:rFonts w:eastAsia="Calibri"/>
                <w:sz w:val="20"/>
              </w:rPr>
              <w:t>(Day J.)</w:t>
            </w:r>
          </w:p>
          <w:p w:rsidR="00393657" w:rsidRPr="00F02DF6" w:rsidRDefault="00393657" w:rsidP="00C6299D">
            <w:pPr>
              <w:jc w:val="both"/>
              <w:rPr>
                <w:rFonts w:eastAsia="Calibri"/>
                <w:sz w:val="20"/>
              </w:rPr>
            </w:pPr>
          </w:p>
        </w:tc>
        <w:tc>
          <w:tcPr>
            <w:tcW w:w="243" w:type="pct"/>
          </w:tcPr>
          <w:p w:rsidR="00393657" w:rsidRPr="00F02DF6" w:rsidRDefault="00393657" w:rsidP="00C6299D">
            <w:pPr>
              <w:jc w:val="both"/>
              <w:rPr>
                <w:rFonts w:eastAsia="Calibri"/>
                <w:sz w:val="20"/>
              </w:rPr>
            </w:pPr>
          </w:p>
        </w:tc>
        <w:tc>
          <w:tcPr>
            <w:tcW w:w="2330" w:type="pct"/>
          </w:tcPr>
          <w:p w:rsidR="00393657" w:rsidRPr="00F02DF6" w:rsidRDefault="00393657" w:rsidP="00C6299D">
            <w:pPr>
              <w:jc w:val="both"/>
              <w:rPr>
                <w:rFonts w:eastAsia="Calibri"/>
                <w:sz w:val="20"/>
              </w:rPr>
            </w:pPr>
            <w:r w:rsidRPr="00F02DF6">
              <w:rPr>
                <w:rFonts w:eastAsia="Calibri"/>
                <w:sz w:val="20"/>
              </w:rPr>
              <w:t>Conviction for operating motor vehicle with alcohol/blood concentration over 80 mg per 100 ml; Charge of impaired driving dismissed</w:t>
            </w:r>
          </w:p>
          <w:p w:rsidR="00393657" w:rsidRPr="00F02DF6" w:rsidRDefault="00393657" w:rsidP="00C6299D">
            <w:pPr>
              <w:jc w:val="both"/>
              <w:rPr>
                <w:rFonts w:eastAsia="Calibri"/>
                <w:sz w:val="20"/>
              </w:rPr>
            </w:pPr>
          </w:p>
        </w:tc>
      </w:tr>
      <w:tr w:rsidR="00393657" w:rsidRPr="00F02DF6" w:rsidTr="00C6299D">
        <w:tc>
          <w:tcPr>
            <w:tcW w:w="2427" w:type="pct"/>
          </w:tcPr>
          <w:p w:rsidR="00393657" w:rsidRPr="00F02DF6" w:rsidRDefault="00393657" w:rsidP="00C6299D">
            <w:pPr>
              <w:jc w:val="both"/>
              <w:rPr>
                <w:rFonts w:eastAsia="Calibri"/>
                <w:sz w:val="20"/>
              </w:rPr>
            </w:pPr>
            <w:r w:rsidRPr="00F02DF6">
              <w:rPr>
                <w:rFonts w:eastAsia="Calibri"/>
                <w:sz w:val="20"/>
              </w:rPr>
              <w:t>July 24, 2014</w:t>
            </w:r>
          </w:p>
          <w:p w:rsidR="00393657" w:rsidRPr="00F02DF6" w:rsidRDefault="00393657" w:rsidP="00C6299D">
            <w:pPr>
              <w:jc w:val="both"/>
              <w:rPr>
                <w:rFonts w:eastAsia="Calibri"/>
                <w:sz w:val="20"/>
              </w:rPr>
            </w:pPr>
            <w:r w:rsidRPr="00F02DF6">
              <w:rPr>
                <w:rFonts w:eastAsia="Calibri"/>
                <w:sz w:val="20"/>
              </w:rPr>
              <w:t>Court of Queen’s Bench of Alberta</w:t>
            </w:r>
          </w:p>
          <w:p w:rsidR="00393657" w:rsidRPr="00F02DF6" w:rsidRDefault="00393657" w:rsidP="00C6299D">
            <w:pPr>
              <w:jc w:val="both"/>
              <w:rPr>
                <w:rFonts w:eastAsia="Calibri"/>
                <w:sz w:val="20"/>
              </w:rPr>
            </w:pPr>
            <w:r w:rsidRPr="00F02DF6">
              <w:rPr>
                <w:rFonts w:eastAsia="Calibri"/>
                <w:sz w:val="20"/>
              </w:rPr>
              <w:t xml:space="preserve">(Clackson J.) </w:t>
            </w:r>
          </w:p>
          <w:p w:rsidR="00393657" w:rsidRPr="00F02DF6" w:rsidRDefault="00393657" w:rsidP="00C6299D">
            <w:pPr>
              <w:jc w:val="both"/>
              <w:rPr>
                <w:rFonts w:eastAsia="Calibri"/>
                <w:sz w:val="20"/>
              </w:rPr>
            </w:pPr>
          </w:p>
        </w:tc>
        <w:tc>
          <w:tcPr>
            <w:tcW w:w="243" w:type="pct"/>
          </w:tcPr>
          <w:p w:rsidR="00393657" w:rsidRPr="00F02DF6" w:rsidRDefault="00393657" w:rsidP="00C6299D">
            <w:pPr>
              <w:jc w:val="both"/>
              <w:rPr>
                <w:rFonts w:eastAsia="Calibri"/>
                <w:sz w:val="20"/>
              </w:rPr>
            </w:pPr>
          </w:p>
        </w:tc>
        <w:tc>
          <w:tcPr>
            <w:tcW w:w="2330" w:type="pct"/>
          </w:tcPr>
          <w:p w:rsidR="00393657" w:rsidRPr="00F02DF6" w:rsidRDefault="00393657" w:rsidP="00C6299D">
            <w:pPr>
              <w:jc w:val="both"/>
              <w:rPr>
                <w:rFonts w:eastAsia="Calibri"/>
                <w:sz w:val="20"/>
              </w:rPr>
            </w:pPr>
            <w:r w:rsidRPr="00F02DF6">
              <w:rPr>
                <w:rFonts w:eastAsia="Calibri"/>
                <w:sz w:val="20"/>
              </w:rPr>
              <w:t>Summary conviction appeal dismissed</w:t>
            </w:r>
          </w:p>
          <w:p w:rsidR="00393657" w:rsidRPr="00F02DF6" w:rsidRDefault="00393657" w:rsidP="00C6299D">
            <w:pPr>
              <w:jc w:val="both"/>
              <w:rPr>
                <w:rFonts w:eastAsia="Calibri"/>
                <w:sz w:val="20"/>
              </w:rPr>
            </w:pPr>
          </w:p>
        </w:tc>
      </w:tr>
      <w:tr w:rsidR="00393657" w:rsidRPr="00F02DF6" w:rsidTr="00C6299D">
        <w:tc>
          <w:tcPr>
            <w:tcW w:w="2427" w:type="pct"/>
          </w:tcPr>
          <w:p w:rsidR="00393657" w:rsidRPr="00F02DF6" w:rsidRDefault="00393657" w:rsidP="00C6299D">
            <w:pPr>
              <w:jc w:val="both"/>
              <w:rPr>
                <w:rFonts w:eastAsia="Calibri"/>
                <w:sz w:val="20"/>
              </w:rPr>
            </w:pPr>
            <w:r w:rsidRPr="00F02DF6">
              <w:rPr>
                <w:rFonts w:eastAsia="Calibri"/>
                <w:sz w:val="20"/>
              </w:rPr>
              <w:t>October 17, 2014</w:t>
            </w:r>
          </w:p>
          <w:p w:rsidR="00393657" w:rsidRPr="00F02DF6" w:rsidRDefault="00393657" w:rsidP="00C6299D">
            <w:pPr>
              <w:jc w:val="both"/>
              <w:rPr>
                <w:rFonts w:eastAsia="Calibri"/>
                <w:sz w:val="20"/>
              </w:rPr>
            </w:pPr>
            <w:r w:rsidRPr="00F02DF6">
              <w:rPr>
                <w:rFonts w:eastAsia="Calibri"/>
                <w:sz w:val="20"/>
              </w:rPr>
              <w:t>Court of Appeal of Alberta (Edmonton)</w:t>
            </w:r>
          </w:p>
          <w:p w:rsidR="00393657" w:rsidRPr="00F02DF6" w:rsidRDefault="00393657" w:rsidP="00C6299D">
            <w:pPr>
              <w:jc w:val="both"/>
              <w:rPr>
                <w:rFonts w:eastAsia="Calibri"/>
                <w:sz w:val="20"/>
              </w:rPr>
            </w:pPr>
            <w:r w:rsidRPr="00F02DF6">
              <w:rPr>
                <w:rFonts w:eastAsia="Calibri"/>
                <w:sz w:val="20"/>
              </w:rPr>
              <w:t xml:space="preserve">(Wakeling J.) </w:t>
            </w:r>
          </w:p>
          <w:p w:rsidR="00393657" w:rsidRPr="00F02DF6" w:rsidRDefault="00393657" w:rsidP="00C6299D">
            <w:pPr>
              <w:jc w:val="both"/>
              <w:rPr>
                <w:rFonts w:eastAsia="Calibri"/>
                <w:sz w:val="20"/>
              </w:rPr>
            </w:pPr>
            <w:r w:rsidRPr="00F02DF6">
              <w:rPr>
                <w:rFonts w:eastAsia="Calibri"/>
                <w:sz w:val="20"/>
              </w:rPr>
              <w:t>1403-0204-A; 2014 ABCA 339</w:t>
            </w:r>
          </w:p>
          <w:p w:rsidR="00393657" w:rsidRPr="00F02DF6" w:rsidRDefault="00393657" w:rsidP="00C6299D">
            <w:pPr>
              <w:jc w:val="both"/>
              <w:rPr>
                <w:rFonts w:eastAsia="Calibri"/>
                <w:sz w:val="20"/>
              </w:rPr>
            </w:pPr>
          </w:p>
        </w:tc>
        <w:tc>
          <w:tcPr>
            <w:tcW w:w="243" w:type="pct"/>
          </w:tcPr>
          <w:p w:rsidR="00393657" w:rsidRPr="00F02DF6" w:rsidRDefault="00393657" w:rsidP="00C6299D">
            <w:pPr>
              <w:jc w:val="both"/>
              <w:rPr>
                <w:rFonts w:eastAsia="Calibri"/>
                <w:sz w:val="20"/>
              </w:rPr>
            </w:pPr>
          </w:p>
        </w:tc>
        <w:tc>
          <w:tcPr>
            <w:tcW w:w="2330" w:type="pct"/>
          </w:tcPr>
          <w:p w:rsidR="00393657" w:rsidRPr="00F02DF6" w:rsidRDefault="00393657" w:rsidP="00C6299D">
            <w:pPr>
              <w:jc w:val="both"/>
              <w:rPr>
                <w:rFonts w:eastAsia="Calibri"/>
                <w:sz w:val="20"/>
              </w:rPr>
            </w:pPr>
            <w:r w:rsidRPr="00F02DF6">
              <w:rPr>
                <w:rFonts w:eastAsia="Calibri"/>
                <w:sz w:val="20"/>
              </w:rPr>
              <w:t>Application for leave to appeal dismissed</w:t>
            </w:r>
          </w:p>
          <w:p w:rsidR="00393657" w:rsidRPr="00F02DF6" w:rsidRDefault="00393657" w:rsidP="00C6299D">
            <w:pPr>
              <w:jc w:val="both"/>
              <w:rPr>
                <w:rFonts w:eastAsia="Calibri"/>
                <w:sz w:val="20"/>
              </w:rPr>
            </w:pPr>
          </w:p>
        </w:tc>
      </w:tr>
      <w:tr w:rsidR="00393657" w:rsidRPr="00F02DF6" w:rsidTr="00C6299D">
        <w:tc>
          <w:tcPr>
            <w:tcW w:w="2427" w:type="pct"/>
          </w:tcPr>
          <w:p w:rsidR="00393657" w:rsidRPr="00F02DF6" w:rsidRDefault="00393657" w:rsidP="00C6299D">
            <w:pPr>
              <w:jc w:val="both"/>
              <w:rPr>
                <w:rFonts w:eastAsia="Calibri"/>
                <w:sz w:val="20"/>
              </w:rPr>
            </w:pPr>
            <w:r w:rsidRPr="00F02DF6">
              <w:rPr>
                <w:rFonts w:eastAsia="Calibri"/>
                <w:sz w:val="20"/>
              </w:rPr>
              <w:t>December 12, 2014</w:t>
            </w:r>
          </w:p>
          <w:p w:rsidR="00393657" w:rsidRPr="00F02DF6" w:rsidRDefault="00393657" w:rsidP="00C6299D">
            <w:pPr>
              <w:jc w:val="both"/>
              <w:rPr>
                <w:rFonts w:eastAsia="Calibri"/>
                <w:sz w:val="20"/>
              </w:rPr>
            </w:pPr>
            <w:r w:rsidRPr="00F02DF6">
              <w:rPr>
                <w:rFonts w:eastAsia="Calibri"/>
                <w:sz w:val="20"/>
              </w:rPr>
              <w:t>Supreme Court of Canada</w:t>
            </w:r>
          </w:p>
        </w:tc>
        <w:tc>
          <w:tcPr>
            <w:tcW w:w="243" w:type="pct"/>
          </w:tcPr>
          <w:p w:rsidR="00393657" w:rsidRPr="00F02DF6" w:rsidRDefault="00393657" w:rsidP="00C6299D">
            <w:pPr>
              <w:jc w:val="both"/>
              <w:rPr>
                <w:rFonts w:eastAsia="Calibri"/>
                <w:sz w:val="20"/>
              </w:rPr>
            </w:pPr>
          </w:p>
        </w:tc>
        <w:tc>
          <w:tcPr>
            <w:tcW w:w="2330" w:type="pct"/>
          </w:tcPr>
          <w:p w:rsidR="00393657" w:rsidRPr="00F02DF6" w:rsidRDefault="00393657" w:rsidP="00C6299D">
            <w:pPr>
              <w:jc w:val="both"/>
              <w:rPr>
                <w:rFonts w:eastAsia="Calibri"/>
                <w:sz w:val="20"/>
              </w:rPr>
            </w:pPr>
            <w:r w:rsidRPr="00F02DF6">
              <w:rPr>
                <w:rFonts w:eastAsia="Calibri"/>
                <w:sz w:val="20"/>
              </w:rPr>
              <w:t>Application for leave to appeal filed</w:t>
            </w:r>
          </w:p>
          <w:p w:rsidR="00393657" w:rsidRPr="00F02DF6" w:rsidRDefault="00393657" w:rsidP="00C6299D">
            <w:pPr>
              <w:jc w:val="both"/>
              <w:rPr>
                <w:rFonts w:eastAsia="Calibri"/>
                <w:sz w:val="20"/>
              </w:rPr>
            </w:pPr>
          </w:p>
        </w:tc>
      </w:tr>
    </w:tbl>
    <w:p w:rsidR="00A23156" w:rsidRDefault="00A23156" w:rsidP="00A23156">
      <w:pPr>
        <w:rPr>
          <w:sz w:val="20"/>
          <w:szCs w:val="20"/>
        </w:rPr>
      </w:pPr>
    </w:p>
    <w:p w:rsidR="00A23156" w:rsidRPr="00C50A5C" w:rsidRDefault="005B3B50" w:rsidP="00A23156">
      <w:pPr>
        <w:rPr>
          <w:sz w:val="20"/>
          <w:szCs w:val="20"/>
        </w:rPr>
      </w:pPr>
      <w:r>
        <w:rPr>
          <w:sz w:val="20"/>
          <w:szCs w:val="20"/>
          <w:lang w:val="fr-CA"/>
        </w:rPr>
        <w:pict>
          <v:rect id="_x0000_i1051" style="width:2in;height:1pt" o:hrpct="0" o:hralign="center" o:hrstd="t" o:hrnoshade="t" o:hr="t" fillcolor="black [3213]" stroked="f"/>
        </w:pict>
      </w:r>
    </w:p>
    <w:p w:rsidR="00A23156" w:rsidRDefault="00A23156" w:rsidP="00A23156">
      <w:pPr>
        <w:rPr>
          <w:sz w:val="20"/>
          <w:szCs w:val="20"/>
        </w:rPr>
      </w:pPr>
    </w:p>
    <w:p w:rsidR="00A23156" w:rsidRPr="001B157C" w:rsidRDefault="00A23156" w:rsidP="00A23156">
      <w:pPr>
        <w:rPr>
          <w:sz w:val="20"/>
          <w:szCs w:val="20"/>
          <w:u w:val="single"/>
          <w:lang w:val="fr-CA"/>
        </w:rPr>
      </w:pPr>
      <w:r w:rsidRPr="001B157C">
        <w:rPr>
          <w:sz w:val="20"/>
          <w:szCs w:val="20"/>
          <w:u w:val="single"/>
          <w:lang w:val="fr-CA"/>
        </w:rPr>
        <w:t>RÉSUMÉ DE L’AFFAIRE</w:t>
      </w:r>
    </w:p>
    <w:p w:rsidR="00A23156" w:rsidRDefault="00A23156" w:rsidP="00A2315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3657" w:rsidRPr="00D229C1" w:rsidTr="00C6299D">
        <w:tc>
          <w:tcPr>
            <w:tcW w:w="5000" w:type="pct"/>
            <w:gridSpan w:val="3"/>
          </w:tcPr>
          <w:p w:rsidR="00393657" w:rsidRPr="00F02DF6" w:rsidRDefault="00393657" w:rsidP="00C6299D">
            <w:pPr>
              <w:jc w:val="both"/>
              <w:rPr>
                <w:rFonts w:eastAsia="Calibri"/>
                <w:sz w:val="20"/>
                <w:lang w:val="fr-CA"/>
              </w:rPr>
            </w:pPr>
            <w:r w:rsidRPr="00F02DF6">
              <w:rPr>
                <w:rFonts w:eastAsia="Calibri"/>
                <w:i/>
                <w:sz w:val="20"/>
                <w:lang w:val="fr-CA"/>
              </w:rPr>
              <w:t xml:space="preserve">Charte des droits et libertés </w:t>
            </w:r>
            <w:r w:rsidRPr="00F02DF6">
              <w:rPr>
                <w:rFonts w:eastAsia="Calibri"/>
                <w:sz w:val="20"/>
                <w:lang w:val="fr-CA"/>
              </w:rPr>
              <w:t>– Droit à l’assistance d’un avocat – Détention d’un automobiliste sur le bord de la route pour obtention d’un échantillon d’haleine – Le détenu a-t-il le droit à l’assistance d’un avocat pendant qu’il attend la livraison d’un appareil de détection approuvé si une véritable occasion de consulter se présente?</w:t>
            </w:r>
          </w:p>
        </w:tc>
      </w:tr>
      <w:tr w:rsidR="00393657" w:rsidRPr="00D229C1" w:rsidTr="00C6299D">
        <w:tc>
          <w:tcPr>
            <w:tcW w:w="5000" w:type="pct"/>
            <w:gridSpan w:val="3"/>
          </w:tcPr>
          <w:p w:rsidR="00393657" w:rsidRPr="00F02DF6" w:rsidRDefault="00393657" w:rsidP="00C6299D">
            <w:pPr>
              <w:jc w:val="both"/>
              <w:rPr>
                <w:rFonts w:eastAsia="Calibri"/>
                <w:sz w:val="20"/>
                <w:lang w:val="fr-CA"/>
              </w:rPr>
            </w:pPr>
          </w:p>
        </w:tc>
      </w:tr>
      <w:tr w:rsidR="00393657" w:rsidRPr="00D229C1" w:rsidTr="00C6299D">
        <w:tc>
          <w:tcPr>
            <w:tcW w:w="5000" w:type="pct"/>
            <w:gridSpan w:val="3"/>
          </w:tcPr>
          <w:p w:rsidR="00393657" w:rsidRPr="00F02DF6" w:rsidRDefault="00393657" w:rsidP="00C6299D">
            <w:pPr>
              <w:jc w:val="both"/>
              <w:rPr>
                <w:rFonts w:eastAsia="Calibri"/>
                <w:sz w:val="20"/>
                <w:lang w:val="fr-CA"/>
              </w:rPr>
            </w:pPr>
            <w:r w:rsidRPr="00F02DF6">
              <w:rPr>
                <w:rFonts w:eastAsia="Calibri"/>
                <w:sz w:val="20"/>
                <w:lang w:val="fr-CA"/>
              </w:rPr>
              <w:t xml:space="preserve">À Edmonton le 21 mars 2011, M. Evans a été détenu par la police qui avait des motifs raisonnables de soupçonner qu’il conduisait un véhicule à moteur après avoir consommé de l’alcool.  M. Evans avait un téléphone cellulaire en sa possession, et l’agent avait le numéro de téléphone de l’aide juridique.  L’agent a demandé à M. Evans de fournir un échantillon d’haleine à 16 h 24, mais il n’avait pas d’appareil de détection approuvé.  Il a demandé qu’on lui en apporte un. Dix-sept minutes plus tard, un autre agent lui en apportait un.  M. Evans a fourni un premier échantillon à 16 h 41.  Il a été arrêté après avoir fourni un quatrième échantillon et informé pour la première fois à ce moment de son droit à l’assistance d’un avocat.  Lors de son procès, il a contesté la preuve sur le fondement de la </w:t>
            </w:r>
            <w:r w:rsidRPr="00F02DF6">
              <w:rPr>
                <w:rFonts w:eastAsia="Calibri"/>
                <w:i/>
                <w:sz w:val="20"/>
                <w:lang w:val="fr-CA"/>
              </w:rPr>
              <w:t>Charte</w:t>
            </w:r>
            <w:r w:rsidRPr="00F02DF6">
              <w:rPr>
                <w:rFonts w:eastAsia="Calibri"/>
                <w:sz w:val="20"/>
                <w:lang w:val="fr-CA"/>
              </w:rPr>
              <w:t>, notamment pour violation du droit que lui garantit l’al. 10</w:t>
            </w:r>
            <w:r w:rsidRPr="00F02DF6">
              <w:rPr>
                <w:rFonts w:eastAsia="Calibri"/>
                <w:i/>
                <w:sz w:val="20"/>
                <w:lang w:val="fr-CA"/>
              </w:rPr>
              <w:t>b</w:t>
            </w:r>
            <w:r w:rsidRPr="00F02DF6">
              <w:rPr>
                <w:rFonts w:eastAsia="Calibri"/>
                <w:sz w:val="20"/>
                <w:lang w:val="fr-CA"/>
              </w:rPr>
              <w:t xml:space="preserve">), car on ne l’avait pas autorisé à exercer son droit à l’assistance d’un avocat pendant les 17 minutes où il avait attendu la livraison de l’appareil de détection approuvé.   </w:t>
            </w:r>
          </w:p>
          <w:p w:rsidR="00393657" w:rsidRPr="00F02DF6" w:rsidRDefault="00393657" w:rsidP="00C6299D">
            <w:pPr>
              <w:jc w:val="both"/>
              <w:rPr>
                <w:rFonts w:eastAsia="Calibri"/>
                <w:sz w:val="20"/>
                <w:lang w:val="fr-CA"/>
              </w:rPr>
            </w:pPr>
          </w:p>
        </w:tc>
      </w:tr>
      <w:tr w:rsidR="00393657" w:rsidRPr="00D229C1" w:rsidTr="000B0443">
        <w:trPr>
          <w:cantSplit/>
        </w:trPr>
        <w:tc>
          <w:tcPr>
            <w:tcW w:w="2427" w:type="pct"/>
          </w:tcPr>
          <w:p w:rsidR="00393657" w:rsidRPr="00F02DF6" w:rsidRDefault="00393657" w:rsidP="00C6299D">
            <w:pPr>
              <w:jc w:val="both"/>
              <w:rPr>
                <w:rFonts w:eastAsia="Calibri"/>
                <w:sz w:val="20"/>
                <w:lang w:val="fr-CA"/>
              </w:rPr>
            </w:pPr>
            <w:r w:rsidRPr="00F02DF6">
              <w:rPr>
                <w:rFonts w:eastAsia="Calibri"/>
                <w:sz w:val="20"/>
                <w:lang w:val="fr-CA"/>
              </w:rPr>
              <w:t>3 février 2014</w:t>
            </w:r>
          </w:p>
          <w:p w:rsidR="00393657" w:rsidRPr="00F02DF6" w:rsidRDefault="00393657" w:rsidP="00C6299D">
            <w:pPr>
              <w:jc w:val="both"/>
              <w:rPr>
                <w:rFonts w:eastAsia="Calibri"/>
                <w:sz w:val="20"/>
                <w:lang w:val="fr-CA"/>
              </w:rPr>
            </w:pPr>
            <w:r w:rsidRPr="00F02DF6">
              <w:rPr>
                <w:rFonts w:eastAsia="Calibri"/>
                <w:sz w:val="20"/>
                <w:lang w:val="fr-CA"/>
              </w:rPr>
              <w:t>Cour provinciale de l’Alberta</w:t>
            </w:r>
          </w:p>
          <w:p w:rsidR="00393657" w:rsidRPr="00F02DF6" w:rsidRDefault="00393657" w:rsidP="00C6299D">
            <w:pPr>
              <w:jc w:val="both"/>
              <w:rPr>
                <w:rFonts w:eastAsia="Calibri"/>
                <w:sz w:val="20"/>
                <w:lang w:val="fr-CA"/>
              </w:rPr>
            </w:pPr>
            <w:r w:rsidRPr="00F02DF6">
              <w:rPr>
                <w:rFonts w:eastAsia="Calibri"/>
                <w:sz w:val="20"/>
                <w:lang w:val="fr-CA"/>
              </w:rPr>
              <w:t>(Juge Day)</w:t>
            </w:r>
          </w:p>
          <w:p w:rsidR="00393657" w:rsidRPr="00F02DF6" w:rsidRDefault="00393657" w:rsidP="00C6299D">
            <w:pPr>
              <w:jc w:val="both"/>
              <w:rPr>
                <w:rFonts w:eastAsia="Calibri"/>
                <w:sz w:val="20"/>
                <w:lang w:val="fr-CA"/>
              </w:rPr>
            </w:pPr>
          </w:p>
        </w:tc>
        <w:tc>
          <w:tcPr>
            <w:tcW w:w="243" w:type="pct"/>
          </w:tcPr>
          <w:p w:rsidR="00393657" w:rsidRPr="00F02DF6" w:rsidRDefault="00393657" w:rsidP="00C6299D">
            <w:pPr>
              <w:jc w:val="both"/>
              <w:rPr>
                <w:rFonts w:eastAsia="Calibri"/>
                <w:sz w:val="20"/>
                <w:lang w:val="fr-CA"/>
              </w:rPr>
            </w:pPr>
          </w:p>
        </w:tc>
        <w:tc>
          <w:tcPr>
            <w:tcW w:w="2330" w:type="pct"/>
          </w:tcPr>
          <w:p w:rsidR="00393657" w:rsidRPr="00F02DF6" w:rsidRDefault="00393657" w:rsidP="00C6299D">
            <w:pPr>
              <w:jc w:val="both"/>
              <w:rPr>
                <w:rFonts w:eastAsia="Calibri"/>
                <w:i/>
                <w:sz w:val="20"/>
                <w:lang w:val="fr-CA"/>
              </w:rPr>
            </w:pPr>
            <w:r w:rsidRPr="00F02DF6">
              <w:rPr>
                <w:rFonts w:eastAsia="Calibri"/>
                <w:sz w:val="20"/>
                <w:lang w:val="fr-CA"/>
              </w:rPr>
              <w:t xml:space="preserve">Déclaration selon laquelle l’al. 10b) de la </w:t>
            </w:r>
            <w:r w:rsidRPr="00F02DF6">
              <w:rPr>
                <w:rFonts w:eastAsia="Calibri"/>
                <w:i/>
                <w:sz w:val="20"/>
                <w:lang w:val="fr-CA"/>
              </w:rPr>
              <w:t>Charte des droits et libertés</w:t>
            </w:r>
            <w:r w:rsidRPr="00F02DF6">
              <w:rPr>
                <w:rFonts w:eastAsia="Calibri"/>
                <w:sz w:val="20"/>
                <w:lang w:val="fr-CA"/>
              </w:rPr>
              <w:t xml:space="preserve"> n’avait pas été enfreint </w:t>
            </w:r>
          </w:p>
        </w:tc>
      </w:tr>
      <w:tr w:rsidR="00393657" w:rsidRPr="00D229C1" w:rsidTr="000B0443">
        <w:trPr>
          <w:cantSplit/>
        </w:trPr>
        <w:tc>
          <w:tcPr>
            <w:tcW w:w="2427" w:type="pct"/>
          </w:tcPr>
          <w:p w:rsidR="00393657" w:rsidRPr="00F02DF6" w:rsidRDefault="00393657" w:rsidP="00C6299D">
            <w:pPr>
              <w:jc w:val="both"/>
              <w:rPr>
                <w:rFonts w:eastAsia="Calibri"/>
                <w:sz w:val="20"/>
                <w:lang w:val="fr-CA"/>
              </w:rPr>
            </w:pPr>
            <w:r w:rsidRPr="00F02DF6">
              <w:rPr>
                <w:rFonts w:eastAsia="Calibri"/>
                <w:sz w:val="20"/>
                <w:lang w:val="fr-CA"/>
              </w:rPr>
              <w:t>13 février 2014</w:t>
            </w:r>
          </w:p>
          <w:p w:rsidR="00393657" w:rsidRPr="00F02DF6" w:rsidRDefault="00393657" w:rsidP="00C6299D">
            <w:pPr>
              <w:jc w:val="both"/>
              <w:rPr>
                <w:rFonts w:eastAsia="Calibri"/>
                <w:sz w:val="20"/>
                <w:lang w:val="fr-CA"/>
              </w:rPr>
            </w:pPr>
            <w:r w:rsidRPr="00F02DF6">
              <w:rPr>
                <w:rFonts w:eastAsia="Calibri"/>
                <w:sz w:val="20"/>
                <w:lang w:val="fr-CA"/>
              </w:rPr>
              <w:t>Cour provinciale de l’Alberta</w:t>
            </w:r>
          </w:p>
          <w:p w:rsidR="00393657" w:rsidRPr="00F02DF6" w:rsidRDefault="00393657" w:rsidP="00C6299D">
            <w:pPr>
              <w:jc w:val="both"/>
              <w:rPr>
                <w:rFonts w:eastAsia="Calibri"/>
                <w:sz w:val="20"/>
                <w:lang w:val="fr-CA"/>
              </w:rPr>
            </w:pPr>
            <w:r w:rsidRPr="00F02DF6">
              <w:rPr>
                <w:rFonts w:eastAsia="Calibri"/>
                <w:sz w:val="20"/>
                <w:lang w:val="fr-CA"/>
              </w:rPr>
              <w:t>(Juge Day)</w:t>
            </w:r>
          </w:p>
          <w:p w:rsidR="00393657" w:rsidRPr="00F02DF6" w:rsidRDefault="00393657" w:rsidP="00C6299D">
            <w:pPr>
              <w:jc w:val="both"/>
              <w:rPr>
                <w:rFonts w:eastAsia="Calibri"/>
                <w:sz w:val="20"/>
                <w:lang w:val="fr-CA"/>
              </w:rPr>
            </w:pPr>
          </w:p>
        </w:tc>
        <w:tc>
          <w:tcPr>
            <w:tcW w:w="243" w:type="pct"/>
          </w:tcPr>
          <w:p w:rsidR="00393657" w:rsidRPr="00F02DF6" w:rsidRDefault="00393657" w:rsidP="00C6299D">
            <w:pPr>
              <w:jc w:val="both"/>
              <w:rPr>
                <w:rFonts w:eastAsia="Calibri"/>
                <w:sz w:val="20"/>
                <w:lang w:val="fr-CA"/>
              </w:rPr>
            </w:pPr>
          </w:p>
        </w:tc>
        <w:tc>
          <w:tcPr>
            <w:tcW w:w="2330" w:type="pct"/>
          </w:tcPr>
          <w:p w:rsidR="00393657" w:rsidRPr="00F02DF6" w:rsidRDefault="00393657" w:rsidP="00C6299D">
            <w:pPr>
              <w:jc w:val="both"/>
              <w:rPr>
                <w:rFonts w:eastAsia="Calibri"/>
                <w:sz w:val="20"/>
                <w:lang w:val="fr-CA"/>
              </w:rPr>
            </w:pPr>
            <w:r w:rsidRPr="00F02DF6">
              <w:rPr>
                <w:rFonts w:eastAsia="Calibri"/>
                <w:sz w:val="20"/>
                <w:lang w:val="fr-CA"/>
              </w:rPr>
              <w:t xml:space="preserve">Déclaration de culpabilité pour conduite d’un véhicule à moteur avec une alcoolémie supérieure à 80 mg par 100 ml; Rejet de l’accusation de conduite avec capacité affaiblie </w:t>
            </w:r>
          </w:p>
          <w:p w:rsidR="00393657" w:rsidRPr="00F02DF6" w:rsidRDefault="00393657" w:rsidP="00C6299D">
            <w:pPr>
              <w:jc w:val="both"/>
              <w:rPr>
                <w:rFonts w:eastAsia="Calibri"/>
                <w:sz w:val="20"/>
                <w:lang w:val="fr-CA"/>
              </w:rPr>
            </w:pPr>
          </w:p>
        </w:tc>
      </w:tr>
      <w:tr w:rsidR="00393657" w:rsidRPr="00D229C1" w:rsidTr="000B0443">
        <w:trPr>
          <w:cantSplit/>
        </w:trPr>
        <w:tc>
          <w:tcPr>
            <w:tcW w:w="2427" w:type="pct"/>
          </w:tcPr>
          <w:p w:rsidR="00393657" w:rsidRPr="00F02DF6" w:rsidRDefault="00393657" w:rsidP="00C6299D">
            <w:pPr>
              <w:jc w:val="both"/>
              <w:rPr>
                <w:rFonts w:eastAsia="Calibri"/>
                <w:sz w:val="20"/>
                <w:lang w:val="fr-CA"/>
              </w:rPr>
            </w:pPr>
            <w:r w:rsidRPr="00F02DF6">
              <w:rPr>
                <w:rFonts w:eastAsia="Calibri"/>
                <w:sz w:val="20"/>
                <w:lang w:val="fr-CA"/>
              </w:rPr>
              <w:t>24 juillet 2014</w:t>
            </w:r>
          </w:p>
          <w:p w:rsidR="00393657" w:rsidRPr="00F02DF6" w:rsidRDefault="00393657" w:rsidP="00C6299D">
            <w:pPr>
              <w:jc w:val="both"/>
              <w:rPr>
                <w:rFonts w:eastAsia="Calibri"/>
                <w:sz w:val="20"/>
                <w:lang w:val="fr-CA"/>
              </w:rPr>
            </w:pPr>
            <w:r w:rsidRPr="00F02DF6">
              <w:rPr>
                <w:rFonts w:eastAsia="Calibri"/>
                <w:sz w:val="20"/>
                <w:lang w:val="fr-CA"/>
              </w:rPr>
              <w:t>Cour du Banc de la Reine de l’Alberta</w:t>
            </w:r>
          </w:p>
          <w:p w:rsidR="00393657" w:rsidRPr="00F02DF6" w:rsidRDefault="00393657" w:rsidP="00C6299D">
            <w:pPr>
              <w:jc w:val="both"/>
              <w:rPr>
                <w:rFonts w:eastAsia="Calibri"/>
                <w:sz w:val="20"/>
                <w:lang w:val="fr-CA"/>
              </w:rPr>
            </w:pPr>
            <w:r w:rsidRPr="00F02DF6">
              <w:rPr>
                <w:rFonts w:eastAsia="Calibri"/>
                <w:sz w:val="20"/>
                <w:lang w:val="fr-CA"/>
              </w:rPr>
              <w:t xml:space="preserve">(Juge Clackson) </w:t>
            </w:r>
          </w:p>
          <w:p w:rsidR="00393657" w:rsidRPr="00F02DF6" w:rsidRDefault="00393657" w:rsidP="00C6299D">
            <w:pPr>
              <w:jc w:val="both"/>
              <w:rPr>
                <w:rFonts w:eastAsia="Calibri"/>
                <w:sz w:val="20"/>
                <w:lang w:val="fr-CA"/>
              </w:rPr>
            </w:pPr>
          </w:p>
        </w:tc>
        <w:tc>
          <w:tcPr>
            <w:tcW w:w="243" w:type="pct"/>
          </w:tcPr>
          <w:p w:rsidR="00393657" w:rsidRPr="00F02DF6" w:rsidRDefault="00393657" w:rsidP="00C6299D">
            <w:pPr>
              <w:jc w:val="both"/>
              <w:rPr>
                <w:rFonts w:eastAsia="Calibri"/>
                <w:sz w:val="20"/>
                <w:lang w:val="fr-CA"/>
              </w:rPr>
            </w:pPr>
          </w:p>
        </w:tc>
        <w:tc>
          <w:tcPr>
            <w:tcW w:w="2330" w:type="pct"/>
          </w:tcPr>
          <w:p w:rsidR="00393657" w:rsidRPr="00F02DF6" w:rsidRDefault="00393657" w:rsidP="00C6299D">
            <w:pPr>
              <w:jc w:val="both"/>
              <w:rPr>
                <w:rFonts w:eastAsia="Calibri"/>
                <w:sz w:val="20"/>
                <w:lang w:val="fr-CA"/>
              </w:rPr>
            </w:pPr>
            <w:r w:rsidRPr="00F02DF6">
              <w:rPr>
                <w:rFonts w:eastAsia="Calibri"/>
                <w:sz w:val="20"/>
                <w:lang w:val="fr-CA"/>
              </w:rPr>
              <w:t>Rejet de l’appel de la déclaration de culpabilité par procédure sommaire</w:t>
            </w:r>
          </w:p>
          <w:p w:rsidR="00393657" w:rsidRPr="00F02DF6" w:rsidRDefault="00393657" w:rsidP="00C6299D">
            <w:pPr>
              <w:jc w:val="both"/>
              <w:rPr>
                <w:rFonts w:eastAsia="Calibri"/>
                <w:sz w:val="20"/>
                <w:lang w:val="fr-CA"/>
              </w:rPr>
            </w:pPr>
          </w:p>
        </w:tc>
      </w:tr>
      <w:tr w:rsidR="00393657" w:rsidRPr="00D229C1" w:rsidTr="000B0443">
        <w:trPr>
          <w:cantSplit/>
        </w:trPr>
        <w:tc>
          <w:tcPr>
            <w:tcW w:w="2427" w:type="pct"/>
          </w:tcPr>
          <w:p w:rsidR="00393657" w:rsidRPr="00F02DF6" w:rsidRDefault="00393657" w:rsidP="00C6299D">
            <w:pPr>
              <w:jc w:val="both"/>
              <w:rPr>
                <w:rFonts w:eastAsia="Calibri"/>
                <w:sz w:val="20"/>
                <w:lang w:val="fr-CA"/>
              </w:rPr>
            </w:pPr>
            <w:r w:rsidRPr="00F02DF6">
              <w:rPr>
                <w:rFonts w:eastAsia="Calibri"/>
                <w:sz w:val="20"/>
                <w:lang w:val="fr-CA"/>
              </w:rPr>
              <w:t>17 octobre 2014</w:t>
            </w:r>
          </w:p>
          <w:p w:rsidR="00393657" w:rsidRPr="00F02DF6" w:rsidRDefault="00393657" w:rsidP="00C6299D">
            <w:pPr>
              <w:jc w:val="both"/>
              <w:rPr>
                <w:rFonts w:eastAsia="Calibri"/>
                <w:sz w:val="20"/>
                <w:lang w:val="fr-CA"/>
              </w:rPr>
            </w:pPr>
            <w:r w:rsidRPr="00F02DF6">
              <w:rPr>
                <w:rFonts w:eastAsia="Calibri"/>
                <w:sz w:val="20"/>
                <w:lang w:val="fr-CA"/>
              </w:rPr>
              <w:t>Cour d’appel de l’Alberta (Edmonton)</w:t>
            </w:r>
          </w:p>
          <w:p w:rsidR="00393657" w:rsidRPr="00F02DF6" w:rsidRDefault="00393657" w:rsidP="00C6299D">
            <w:pPr>
              <w:jc w:val="both"/>
              <w:rPr>
                <w:rFonts w:eastAsia="Calibri"/>
                <w:sz w:val="20"/>
                <w:lang w:val="fr-CA"/>
              </w:rPr>
            </w:pPr>
            <w:r w:rsidRPr="00F02DF6">
              <w:rPr>
                <w:rFonts w:eastAsia="Calibri"/>
                <w:sz w:val="20"/>
                <w:lang w:val="fr-CA"/>
              </w:rPr>
              <w:t xml:space="preserve">(Juge Wakeling) </w:t>
            </w:r>
          </w:p>
          <w:p w:rsidR="00393657" w:rsidRPr="00F02DF6" w:rsidRDefault="00393657" w:rsidP="00C6299D">
            <w:pPr>
              <w:jc w:val="both"/>
              <w:rPr>
                <w:rFonts w:eastAsia="Calibri"/>
                <w:sz w:val="20"/>
                <w:lang w:val="fr-CA"/>
              </w:rPr>
            </w:pPr>
            <w:r w:rsidRPr="00F02DF6">
              <w:rPr>
                <w:rFonts w:eastAsia="Calibri"/>
                <w:sz w:val="20"/>
                <w:lang w:val="fr-CA"/>
              </w:rPr>
              <w:t>1403-0204-A; 2014 ABCA 339</w:t>
            </w:r>
          </w:p>
          <w:p w:rsidR="00393657" w:rsidRPr="00F02DF6" w:rsidRDefault="00393657" w:rsidP="00C6299D">
            <w:pPr>
              <w:jc w:val="both"/>
              <w:rPr>
                <w:rFonts w:eastAsia="Calibri"/>
                <w:sz w:val="20"/>
                <w:lang w:val="fr-CA"/>
              </w:rPr>
            </w:pPr>
          </w:p>
        </w:tc>
        <w:tc>
          <w:tcPr>
            <w:tcW w:w="243" w:type="pct"/>
          </w:tcPr>
          <w:p w:rsidR="00393657" w:rsidRPr="00F02DF6" w:rsidRDefault="00393657" w:rsidP="00C6299D">
            <w:pPr>
              <w:jc w:val="both"/>
              <w:rPr>
                <w:rFonts w:eastAsia="Calibri"/>
                <w:sz w:val="20"/>
                <w:lang w:val="fr-CA"/>
              </w:rPr>
            </w:pPr>
          </w:p>
        </w:tc>
        <w:tc>
          <w:tcPr>
            <w:tcW w:w="2330" w:type="pct"/>
          </w:tcPr>
          <w:p w:rsidR="00393657" w:rsidRPr="00F02DF6" w:rsidRDefault="00393657" w:rsidP="00C6299D">
            <w:pPr>
              <w:jc w:val="both"/>
              <w:rPr>
                <w:rFonts w:eastAsia="Calibri"/>
                <w:sz w:val="20"/>
                <w:lang w:val="fr-CA"/>
              </w:rPr>
            </w:pPr>
            <w:r w:rsidRPr="00F02DF6">
              <w:rPr>
                <w:rFonts w:eastAsia="Calibri"/>
                <w:sz w:val="20"/>
                <w:lang w:val="fr-CA"/>
              </w:rPr>
              <w:t>Rejet de la demande d’autorisation d’appel</w:t>
            </w:r>
          </w:p>
          <w:p w:rsidR="00393657" w:rsidRPr="00F02DF6" w:rsidRDefault="00393657" w:rsidP="00C6299D">
            <w:pPr>
              <w:jc w:val="both"/>
              <w:rPr>
                <w:rFonts w:eastAsia="Calibri"/>
                <w:sz w:val="20"/>
                <w:lang w:val="fr-CA"/>
              </w:rPr>
            </w:pPr>
          </w:p>
        </w:tc>
      </w:tr>
      <w:tr w:rsidR="00393657" w:rsidRPr="00D229C1" w:rsidTr="000B0443">
        <w:trPr>
          <w:cantSplit/>
        </w:trPr>
        <w:tc>
          <w:tcPr>
            <w:tcW w:w="2427" w:type="pct"/>
          </w:tcPr>
          <w:p w:rsidR="00393657" w:rsidRPr="00F02DF6" w:rsidRDefault="00393657" w:rsidP="00C6299D">
            <w:pPr>
              <w:jc w:val="both"/>
              <w:rPr>
                <w:rFonts w:eastAsia="Calibri"/>
                <w:sz w:val="20"/>
                <w:lang w:val="fr-CA"/>
              </w:rPr>
            </w:pPr>
            <w:r w:rsidRPr="00F02DF6">
              <w:rPr>
                <w:rFonts w:eastAsia="Calibri"/>
                <w:sz w:val="20"/>
                <w:lang w:val="fr-CA"/>
              </w:rPr>
              <w:t>12 décembre 2014</w:t>
            </w:r>
          </w:p>
          <w:p w:rsidR="00393657" w:rsidRPr="00F02DF6" w:rsidRDefault="00393657" w:rsidP="00C6299D">
            <w:pPr>
              <w:jc w:val="both"/>
              <w:rPr>
                <w:rFonts w:eastAsia="Calibri"/>
                <w:sz w:val="20"/>
                <w:lang w:val="fr-CA"/>
              </w:rPr>
            </w:pPr>
            <w:r w:rsidRPr="00F02DF6">
              <w:rPr>
                <w:rFonts w:eastAsia="Calibri"/>
                <w:sz w:val="20"/>
                <w:lang w:val="fr-CA"/>
              </w:rPr>
              <w:t>Cour suprême du Canada</w:t>
            </w:r>
          </w:p>
        </w:tc>
        <w:tc>
          <w:tcPr>
            <w:tcW w:w="243" w:type="pct"/>
          </w:tcPr>
          <w:p w:rsidR="00393657" w:rsidRPr="00F02DF6" w:rsidRDefault="00393657" w:rsidP="00C6299D">
            <w:pPr>
              <w:jc w:val="both"/>
              <w:rPr>
                <w:rFonts w:eastAsia="Calibri"/>
                <w:sz w:val="20"/>
                <w:lang w:val="fr-CA"/>
              </w:rPr>
            </w:pPr>
          </w:p>
        </w:tc>
        <w:tc>
          <w:tcPr>
            <w:tcW w:w="2330" w:type="pct"/>
          </w:tcPr>
          <w:p w:rsidR="00393657" w:rsidRPr="00F02DF6" w:rsidRDefault="00393657" w:rsidP="00C6299D">
            <w:pPr>
              <w:jc w:val="both"/>
              <w:rPr>
                <w:rFonts w:eastAsia="Calibri"/>
                <w:sz w:val="20"/>
                <w:lang w:val="fr-CA"/>
              </w:rPr>
            </w:pPr>
            <w:r w:rsidRPr="00F02DF6">
              <w:rPr>
                <w:rFonts w:eastAsia="Calibri"/>
                <w:sz w:val="20"/>
                <w:lang w:val="fr-CA"/>
              </w:rPr>
              <w:t>Dépôt de la demande d’autorisation d’appel</w:t>
            </w:r>
          </w:p>
          <w:p w:rsidR="00393657" w:rsidRPr="00F02DF6" w:rsidRDefault="00393657" w:rsidP="00C6299D">
            <w:pPr>
              <w:jc w:val="both"/>
              <w:rPr>
                <w:rFonts w:eastAsia="Calibri"/>
                <w:sz w:val="20"/>
                <w:lang w:val="fr-CA"/>
              </w:rPr>
            </w:pPr>
          </w:p>
        </w:tc>
      </w:tr>
    </w:tbl>
    <w:p w:rsidR="00A23156" w:rsidRPr="00393657" w:rsidRDefault="00A23156" w:rsidP="00A23156">
      <w:pPr>
        <w:rPr>
          <w:sz w:val="20"/>
          <w:szCs w:val="20"/>
          <w:lang w:val="fr-CA"/>
        </w:rPr>
      </w:pPr>
    </w:p>
    <w:p w:rsidR="00A23156" w:rsidRDefault="005B3B50" w:rsidP="00A23156">
      <w:pPr>
        <w:rPr>
          <w:sz w:val="20"/>
          <w:szCs w:val="20"/>
          <w:lang w:val="fr-CA"/>
        </w:rPr>
      </w:pPr>
      <w:r>
        <w:rPr>
          <w:sz w:val="20"/>
          <w:szCs w:val="20"/>
          <w:lang w:val="fr-CA"/>
        </w:rPr>
        <w:pict>
          <v:rect id="_x0000_i1052" style="width:2in;height:1pt" o:hrpct="0" o:hralign="center" o:hrstd="t" o:hrnoshade="t" o:hr="t" fillcolor="black [3213]" stroked="f"/>
        </w:pict>
      </w:r>
    </w:p>
    <w:p w:rsidR="00A23156" w:rsidRDefault="00A23156" w:rsidP="00A23156">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237ED" w:rsidRPr="00715263" w:rsidTr="008237ED">
        <w:trPr>
          <w:cantSplit/>
        </w:trPr>
        <w:tc>
          <w:tcPr>
            <w:tcW w:w="1458" w:type="dxa"/>
          </w:tcPr>
          <w:p w:rsidR="008237ED" w:rsidRPr="00715263" w:rsidRDefault="008237ED" w:rsidP="008237ED">
            <w:pPr>
              <w:rPr>
                <w:sz w:val="20"/>
                <w:szCs w:val="20"/>
              </w:rPr>
            </w:pPr>
            <w:r w:rsidRPr="00715263">
              <w:rPr>
                <w:rStyle w:val="SCCFileNumberChar"/>
                <w:sz w:val="20"/>
                <w:szCs w:val="20"/>
              </w:rPr>
              <w:t>36256</w:t>
            </w:r>
          </w:p>
          <w:p w:rsidR="008237ED" w:rsidRPr="00715263" w:rsidRDefault="008237ED" w:rsidP="008237ED">
            <w:pPr>
              <w:rPr>
                <w:b/>
                <w:sz w:val="20"/>
                <w:szCs w:val="20"/>
                <w:lang w:val="fr-CA"/>
              </w:rPr>
            </w:pPr>
          </w:p>
        </w:tc>
        <w:tc>
          <w:tcPr>
            <w:tcW w:w="8118" w:type="dxa"/>
          </w:tcPr>
          <w:p w:rsidR="008237ED" w:rsidRPr="00715263" w:rsidRDefault="008237ED" w:rsidP="008237ED">
            <w:pPr>
              <w:jc w:val="both"/>
              <w:rPr>
                <w:sz w:val="20"/>
                <w:szCs w:val="20"/>
              </w:rPr>
            </w:pPr>
            <w:r w:rsidRPr="00715263">
              <w:rPr>
                <w:rStyle w:val="SCCLsocChar"/>
                <w:sz w:val="20"/>
                <w:szCs w:val="20"/>
                <w:lang w:val="en-CA"/>
              </w:rPr>
              <w:t>EllisDon Corporation v. Ontario Sheet Metal Workers’ and Roofers’ Conference and International Brotherhood of Electrical Workers, Local 586</w:t>
            </w:r>
            <w:r w:rsidR="00E02EEE">
              <w:rPr>
                <w:rStyle w:val="SCCLsocChar"/>
                <w:sz w:val="20"/>
                <w:szCs w:val="20"/>
                <w:lang w:val="en-CA"/>
              </w:rPr>
              <w:t xml:space="preserve"> and</w:t>
            </w:r>
            <w:r w:rsidRPr="00715263">
              <w:rPr>
                <w:rStyle w:val="SCCLsocChar"/>
                <w:sz w:val="20"/>
                <w:szCs w:val="20"/>
                <w:lang w:val="en-CA"/>
              </w:rPr>
              <w:t xml:space="preserve"> Ontario Labour Relations Board</w:t>
            </w:r>
            <w:r w:rsidRPr="00715263">
              <w:rPr>
                <w:sz w:val="20"/>
                <w:szCs w:val="20"/>
              </w:rPr>
              <w:t xml:space="preserve"> (Ont.) (Civil) (By Leave)</w:t>
            </w:r>
          </w:p>
          <w:p w:rsidR="008237ED" w:rsidRPr="00715263" w:rsidRDefault="008237ED" w:rsidP="008237ED">
            <w:pPr>
              <w:jc w:val="both"/>
              <w:rPr>
                <w:sz w:val="20"/>
                <w:szCs w:val="20"/>
              </w:rPr>
            </w:pPr>
          </w:p>
        </w:tc>
      </w:tr>
      <w:tr w:rsidR="008237ED" w:rsidRPr="00D229C1" w:rsidTr="008237ED">
        <w:trPr>
          <w:cantSplit/>
        </w:trPr>
        <w:tc>
          <w:tcPr>
            <w:tcW w:w="1458" w:type="dxa"/>
          </w:tcPr>
          <w:p w:rsidR="008237ED" w:rsidRPr="00715263" w:rsidRDefault="008237ED" w:rsidP="008237ED">
            <w:pPr>
              <w:rPr>
                <w:sz w:val="20"/>
                <w:szCs w:val="20"/>
              </w:rPr>
            </w:pPr>
            <w:r w:rsidRPr="00715263">
              <w:rPr>
                <w:sz w:val="20"/>
                <w:szCs w:val="20"/>
              </w:rPr>
              <w:t>Coram :</w:t>
            </w:r>
          </w:p>
        </w:tc>
        <w:tc>
          <w:tcPr>
            <w:tcW w:w="8118" w:type="dxa"/>
          </w:tcPr>
          <w:p w:rsidR="008237ED" w:rsidRPr="00715263" w:rsidRDefault="008237ED" w:rsidP="008237ED">
            <w:pPr>
              <w:rPr>
                <w:sz w:val="20"/>
                <w:szCs w:val="20"/>
                <w:lang w:val="fr-CA"/>
              </w:rPr>
            </w:pPr>
            <w:r w:rsidRPr="00715263">
              <w:rPr>
                <w:rStyle w:val="SCCCoramChar"/>
                <w:sz w:val="20"/>
                <w:szCs w:val="20"/>
              </w:rPr>
              <w:t>Abella, Karakatsanis and Côté JJ.</w:t>
            </w:r>
          </w:p>
          <w:p w:rsidR="008237ED" w:rsidRPr="00715263" w:rsidRDefault="008237ED" w:rsidP="008237ED">
            <w:pPr>
              <w:rPr>
                <w:sz w:val="20"/>
                <w:szCs w:val="20"/>
                <w:u w:val="single"/>
                <w:lang w:val="fr-CA"/>
              </w:rPr>
            </w:pPr>
          </w:p>
        </w:tc>
      </w:tr>
      <w:tr w:rsidR="008237ED" w:rsidRPr="00D229C1" w:rsidTr="008237ED">
        <w:trPr>
          <w:cantSplit/>
        </w:trPr>
        <w:tc>
          <w:tcPr>
            <w:tcW w:w="9576" w:type="dxa"/>
            <w:gridSpan w:val="2"/>
          </w:tcPr>
          <w:p w:rsidR="008237ED" w:rsidRPr="00715263" w:rsidRDefault="008237ED" w:rsidP="008237ED">
            <w:pPr>
              <w:pStyle w:val="SCCShortJudgment"/>
              <w:rPr>
                <w:szCs w:val="20"/>
              </w:rPr>
            </w:pPr>
            <w:r w:rsidRPr="00715263">
              <w:rPr>
                <w:szCs w:val="20"/>
              </w:rPr>
              <w:t>The application for leave to appeal from the judgment of the Court of Appeal for Ontario, Number C58371, 2014 ONCA 801, dated November 17, 2014, is dismissed with costs to the respondents, the Ontario Sheet Metal Workers’ and Roofers’ Conference and the International Brotherhood of Eletrical Workers, Local 586.</w:t>
            </w:r>
          </w:p>
          <w:p w:rsidR="008237ED" w:rsidRPr="00715263" w:rsidRDefault="008237ED" w:rsidP="008237ED">
            <w:pPr>
              <w:pStyle w:val="SCCShortJudgment"/>
              <w:ind w:firstLine="0"/>
              <w:rPr>
                <w:szCs w:val="20"/>
              </w:rPr>
            </w:pPr>
          </w:p>
          <w:p w:rsidR="008237ED" w:rsidRPr="00715263" w:rsidRDefault="008237ED" w:rsidP="008237ED">
            <w:pPr>
              <w:pStyle w:val="SCCShortJudgment"/>
              <w:rPr>
                <w:szCs w:val="20"/>
                <w:lang w:val="fr-CA"/>
              </w:rPr>
            </w:pPr>
            <w:r w:rsidRPr="00715263">
              <w:rPr>
                <w:szCs w:val="20"/>
                <w:lang w:val="fr-CA"/>
              </w:rPr>
              <w:t>La demande d’autorisation d’appel de l’arrêt de la Cour d’appel de l’Ontario, numéro C58371, 2014 ONCA 801, daté du 17 novembre 2014, est rejetée avec dépens en faveur des intimés, Ontario Sheet Metal Workers’ and Roofers’ Conference et Fraternité internationale des ouvriers en électricité, section locale 586.</w:t>
            </w:r>
          </w:p>
        </w:tc>
      </w:tr>
    </w:tbl>
    <w:p w:rsidR="00A23156" w:rsidRPr="008237ED" w:rsidRDefault="00A23156" w:rsidP="00A23156">
      <w:pPr>
        <w:rPr>
          <w:sz w:val="20"/>
          <w:szCs w:val="20"/>
          <w:lang w:val="fr-CA"/>
        </w:rPr>
      </w:pPr>
    </w:p>
    <w:p w:rsidR="00A23156" w:rsidRPr="001B157C" w:rsidRDefault="00A23156" w:rsidP="00A23156">
      <w:pPr>
        <w:rPr>
          <w:sz w:val="20"/>
          <w:szCs w:val="20"/>
          <w:u w:val="single"/>
        </w:rPr>
      </w:pPr>
      <w:r w:rsidRPr="001B157C">
        <w:rPr>
          <w:sz w:val="20"/>
          <w:szCs w:val="20"/>
          <w:u w:val="single"/>
        </w:rPr>
        <w:t>CASE SUMMARY</w:t>
      </w:r>
    </w:p>
    <w:p w:rsidR="00A23156" w:rsidRDefault="00A23156" w:rsidP="00A2315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3657" w:rsidRPr="00F02DF6" w:rsidTr="00C6299D">
        <w:tc>
          <w:tcPr>
            <w:tcW w:w="5000" w:type="pct"/>
            <w:gridSpan w:val="3"/>
          </w:tcPr>
          <w:p w:rsidR="00393657" w:rsidRPr="00F02DF6" w:rsidRDefault="00393657" w:rsidP="00C6299D">
            <w:pPr>
              <w:jc w:val="both"/>
              <w:rPr>
                <w:rFonts w:eastAsia="Calibri"/>
                <w:sz w:val="20"/>
              </w:rPr>
            </w:pPr>
            <w:r w:rsidRPr="00F02DF6">
              <w:rPr>
                <w:rFonts w:eastAsia="Calibri"/>
                <w:sz w:val="20"/>
              </w:rPr>
              <w:t xml:space="preserve">Administrative law — Estoppel — Ontario Labour Relations Board — Working agreement entered into in 1958 — Agreement requiring EllisDon to hire only sheet metal and electrical contractors or sub-contractors whose employees are members of certain unions — Legislation in 1978 extended reach of such agreements to whole province — Legislative amendments sought to reduce reach of a similar agreement — Discussions regarding reducing reach of subject agreement also started — Representative of unions represented that subject agreement would not be actively promoted or relied upon — Discussions regarding reach of subject agreement abandoned — Respondent unions then sought to rely on subject agreement province-wide — Whether permanent or temporary estoppel is required — When reviewing courts should decline to endorse the remedy arrived at by an administrative body — Whether it was within the range of reasonable outcomes for the Board to grant a remedy which abdicates its own jurisdiction, fails to apply a legal principle, and instead requires a party to seek remedial legislation — Whether the harmed plaintiff or the delinquent defendant bears the onus of establishing that the harmful state of affairs has dissipated and the protection of the court or tribunal is no longer required. </w:t>
            </w:r>
          </w:p>
        </w:tc>
      </w:tr>
      <w:tr w:rsidR="00393657" w:rsidRPr="00F02DF6" w:rsidTr="00C6299D">
        <w:tc>
          <w:tcPr>
            <w:tcW w:w="5000" w:type="pct"/>
            <w:gridSpan w:val="3"/>
          </w:tcPr>
          <w:p w:rsidR="00393657" w:rsidRPr="00F02DF6" w:rsidRDefault="00393657" w:rsidP="00C6299D">
            <w:pPr>
              <w:jc w:val="both"/>
              <w:rPr>
                <w:rFonts w:eastAsia="Calibri"/>
                <w:sz w:val="20"/>
              </w:rPr>
            </w:pPr>
          </w:p>
        </w:tc>
      </w:tr>
      <w:tr w:rsidR="00393657" w:rsidRPr="00F02DF6" w:rsidTr="00C6299D">
        <w:tc>
          <w:tcPr>
            <w:tcW w:w="5000" w:type="pct"/>
            <w:gridSpan w:val="3"/>
          </w:tcPr>
          <w:p w:rsidR="00393657" w:rsidRPr="00F02DF6" w:rsidRDefault="00393657" w:rsidP="00C6299D">
            <w:pPr>
              <w:jc w:val="both"/>
              <w:rPr>
                <w:rFonts w:eastAsia="Calibri"/>
                <w:sz w:val="20"/>
              </w:rPr>
            </w:pPr>
            <w:r w:rsidRPr="00F02DF6">
              <w:rPr>
                <w:rFonts w:eastAsia="Calibri"/>
                <w:sz w:val="20"/>
              </w:rPr>
              <w:t xml:space="preserve">A copy of the Sarnia Working Agreement (“SWA”), signed in Sarnia by representatives of EllisDon and the Building and Construction Trades Council in 1958, was found in a box of files in the offices of a union associated with the Sarnia Building Trades Council. In the interim, a series of amendments were made to the </w:t>
            </w:r>
            <w:r w:rsidRPr="00F02DF6">
              <w:rPr>
                <w:rFonts w:eastAsia="Calibri"/>
                <w:i/>
                <w:sz w:val="20"/>
              </w:rPr>
              <w:t>Labour Relations Act</w:t>
            </w:r>
            <w:r w:rsidRPr="00F02DF6">
              <w:rPr>
                <w:rFonts w:eastAsia="Calibri"/>
                <w:sz w:val="20"/>
              </w:rPr>
              <w:t>, previously local agreements applying province-wide. Those amendments led to negotiations with the provincial government regarding restricting the reach of other similar working agreements. EllisDon stopped pursuing similar restrictions of the SWA after a representative of the building trade unions assured it that the unions would not actively promote or rely on the SWA. After the SWA was rediscovered, the Conference and the IBEW referred grievances complaining that EllisDon had breached the SWA. The Ontario Labour Relations Board found that EllisDon was bound by the SWA throughout the province, but imposed a two-year estoppel. The Divisional Court held that the estoppel should be permanent, but the Court of Appeal restored the two-year limitation on the estoppel.</w:t>
            </w:r>
          </w:p>
          <w:p w:rsidR="00393657" w:rsidRPr="00F02DF6" w:rsidRDefault="00393657" w:rsidP="00C6299D">
            <w:pPr>
              <w:jc w:val="both"/>
              <w:rPr>
                <w:rFonts w:eastAsia="Calibri"/>
                <w:sz w:val="20"/>
              </w:rPr>
            </w:pPr>
          </w:p>
        </w:tc>
      </w:tr>
      <w:tr w:rsidR="00393657" w:rsidRPr="00F02DF6" w:rsidTr="00C6299D">
        <w:tc>
          <w:tcPr>
            <w:tcW w:w="2427" w:type="pct"/>
          </w:tcPr>
          <w:p w:rsidR="00393657" w:rsidRPr="00F02DF6" w:rsidRDefault="00393657" w:rsidP="00C6299D">
            <w:pPr>
              <w:jc w:val="both"/>
              <w:rPr>
                <w:rFonts w:eastAsia="Calibri"/>
                <w:sz w:val="20"/>
              </w:rPr>
            </w:pPr>
            <w:r w:rsidRPr="00F02DF6">
              <w:rPr>
                <w:rFonts w:eastAsia="Calibri"/>
                <w:sz w:val="20"/>
              </w:rPr>
              <w:t>September 27, 2013</w:t>
            </w:r>
          </w:p>
          <w:p w:rsidR="00393657" w:rsidRPr="00F02DF6" w:rsidRDefault="00393657" w:rsidP="00C6299D">
            <w:pPr>
              <w:jc w:val="both"/>
              <w:rPr>
                <w:rFonts w:eastAsia="Calibri"/>
                <w:sz w:val="20"/>
              </w:rPr>
            </w:pPr>
            <w:r w:rsidRPr="00F02DF6">
              <w:rPr>
                <w:rFonts w:eastAsia="Calibri"/>
                <w:sz w:val="20"/>
              </w:rPr>
              <w:t>Divisional Court of Ontario</w:t>
            </w:r>
          </w:p>
          <w:p w:rsidR="00393657" w:rsidRPr="00F02DF6" w:rsidRDefault="00393657" w:rsidP="00C6299D">
            <w:pPr>
              <w:jc w:val="both"/>
              <w:rPr>
                <w:rFonts w:eastAsia="Calibri"/>
                <w:sz w:val="20"/>
              </w:rPr>
            </w:pPr>
            <w:r w:rsidRPr="00F02DF6">
              <w:rPr>
                <w:rFonts w:eastAsia="Calibri"/>
                <w:sz w:val="20"/>
              </w:rPr>
              <w:t>(Molloy, Lederer, Hourigan)</w:t>
            </w:r>
          </w:p>
          <w:p w:rsidR="00393657" w:rsidRPr="00F02DF6" w:rsidRDefault="005B3B50" w:rsidP="00C6299D">
            <w:pPr>
              <w:jc w:val="both"/>
              <w:rPr>
                <w:rFonts w:eastAsia="Calibri"/>
                <w:sz w:val="20"/>
              </w:rPr>
            </w:pPr>
            <w:hyperlink r:id="rId43" w:history="1">
              <w:r w:rsidR="00393657" w:rsidRPr="00F02DF6">
                <w:rPr>
                  <w:rFonts w:eastAsia="Calibri"/>
                  <w:color w:val="0000FF"/>
                  <w:sz w:val="20"/>
                  <w:u w:val="single"/>
                </w:rPr>
                <w:t>2013 ONSC 5808</w:t>
              </w:r>
            </w:hyperlink>
          </w:p>
          <w:p w:rsidR="00393657" w:rsidRPr="00F02DF6" w:rsidRDefault="00393657" w:rsidP="00C6299D">
            <w:pPr>
              <w:jc w:val="both"/>
              <w:rPr>
                <w:rFonts w:eastAsia="Calibri"/>
                <w:sz w:val="20"/>
              </w:rPr>
            </w:pPr>
          </w:p>
        </w:tc>
        <w:tc>
          <w:tcPr>
            <w:tcW w:w="243" w:type="pct"/>
          </w:tcPr>
          <w:p w:rsidR="00393657" w:rsidRPr="00F02DF6" w:rsidRDefault="00393657" w:rsidP="00C6299D">
            <w:pPr>
              <w:jc w:val="both"/>
              <w:rPr>
                <w:rFonts w:eastAsia="Calibri"/>
                <w:sz w:val="20"/>
              </w:rPr>
            </w:pPr>
          </w:p>
        </w:tc>
        <w:tc>
          <w:tcPr>
            <w:tcW w:w="2330" w:type="pct"/>
          </w:tcPr>
          <w:p w:rsidR="00393657" w:rsidRPr="00F02DF6" w:rsidRDefault="00393657" w:rsidP="00C6299D">
            <w:pPr>
              <w:jc w:val="both"/>
              <w:rPr>
                <w:rFonts w:eastAsia="Calibri"/>
                <w:sz w:val="20"/>
              </w:rPr>
            </w:pPr>
            <w:r w:rsidRPr="00F02DF6">
              <w:rPr>
                <w:rFonts w:eastAsia="Calibri"/>
                <w:sz w:val="20"/>
              </w:rPr>
              <w:t>Judicial review granted in part; finding that the working agreement between EllisDon and The Building and Construction Trades Council of Sarnia and Lambton County admissible set aside; two-year limitation on estoppel set aside; estoppel made permanent; grievances dismissed</w:t>
            </w:r>
          </w:p>
          <w:p w:rsidR="00393657" w:rsidRPr="00F02DF6" w:rsidRDefault="00393657" w:rsidP="00C6299D">
            <w:pPr>
              <w:jc w:val="both"/>
              <w:rPr>
                <w:rFonts w:eastAsia="Calibri"/>
                <w:sz w:val="20"/>
              </w:rPr>
            </w:pPr>
          </w:p>
        </w:tc>
      </w:tr>
      <w:tr w:rsidR="00393657" w:rsidRPr="00F02DF6" w:rsidTr="00C6299D">
        <w:tc>
          <w:tcPr>
            <w:tcW w:w="2427" w:type="pct"/>
          </w:tcPr>
          <w:p w:rsidR="00393657" w:rsidRPr="00F02DF6" w:rsidRDefault="00393657" w:rsidP="00C6299D">
            <w:pPr>
              <w:jc w:val="both"/>
              <w:rPr>
                <w:rFonts w:eastAsia="Calibri"/>
                <w:sz w:val="20"/>
              </w:rPr>
            </w:pPr>
            <w:r w:rsidRPr="00F02DF6">
              <w:rPr>
                <w:rFonts w:eastAsia="Calibri"/>
                <w:sz w:val="20"/>
              </w:rPr>
              <w:t>November 17, 2014; January 8, 2015</w:t>
            </w:r>
          </w:p>
          <w:p w:rsidR="00393657" w:rsidRPr="00F02DF6" w:rsidRDefault="00393657" w:rsidP="00C6299D">
            <w:pPr>
              <w:jc w:val="both"/>
              <w:rPr>
                <w:rFonts w:eastAsia="Calibri"/>
                <w:sz w:val="20"/>
              </w:rPr>
            </w:pPr>
            <w:r w:rsidRPr="00F02DF6">
              <w:rPr>
                <w:rFonts w:eastAsia="Calibri"/>
                <w:sz w:val="20"/>
              </w:rPr>
              <w:t>Court of Appeal for Ontario</w:t>
            </w:r>
          </w:p>
          <w:p w:rsidR="00393657" w:rsidRPr="00F02DF6" w:rsidRDefault="00393657" w:rsidP="00C6299D">
            <w:pPr>
              <w:jc w:val="both"/>
              <w:rPr>
                <w:rFonts w:eastAsia="Calibri"/>
                <w:sz w:val="20"/>
                <w:lang w:val="fr-CA"/>
              </w:rPr>
            </w:pPr>
            <w:r w:rsidRPr="00F02DF6">
              <w:rPr>
                <w:rFonts w:eastAsia="Calibri"/>
                <w:sz w:val="20"/>
                <w:lang w:val="fr-CA"/>
              </w:rPr>
              <w:t>(MacFarland, LaForme, Lauwers JJ.A.)</w:t>
            </w:r>
          </w:p>
          <w:p w:rsidR="00393657" w:rsidRPr="00F02DF6" w:rsidRDefault="005B3B50" w:rsidP="00C6299D">
            <w:pPr>
              <w:jc w:val="both"/>
              <w:rPr>
                <w:rFonts w:eastAsia="Calibri"/>
                <w:sz w:val="20"/>
              </w:rPr>
            </w:pPr>
            <w:hyperlink r:id="rId44" w:history="1">
              <w:r w:rsidR="00393657" w:rsidRPr="00F02DF6">
                <w:rPr>
                  <w:rFonts w:eastAsia="Calibri"/>
                  <w:color w:val="0000FF"/>
                  <w:sz w:val="20"/>
                  <w:u w:val="single"/>
                </w:rPr>
                <w:t>2014 ONCA 801</w:t>
              </w:r>
            </w:hyperlink>
            <w:r w:rsidR="00393657" w:rsidRPr="00F02DF6">
              <w:rPr>
                <w:rFonts w:eastAsia="Calibri"/>
                <w:sz w:val="20"/>
              </w:rPr>
              <w:t xml:space="preserve">; </w:t>
            </w:r>
            <w:hyperlink r:id="rId45" w:history="1">
              <w:r w:rsidR="00393657" w:rsidRPr="00F02DF6">
                <w:rPr>
                  <w:rFonts w:eastAsia="Calibri"/>
                  <w:color w:val="0000FF"/>
                  <w:sz w:val="20"/>
                  <w:u w:val="single"/>
                </w:rPr>
                <w:t>2015 ONCA 7</w:t>
              </w:r>
            </w:hyperlink>
          </w:p>
          <w:p w:rsidR="00393657" w:rsidRPr="00F02DF6" w:rsidRDefault="00393657" w:rsidP="00C6299D">
            <w:pPr>
              <w:jc w:val="both"/>
              <w:rPr>
                <w:rFonts w:eastAsia="Calibri"/>
                <w:sz w:val="20"/>
              </w:rPr>
            </w:pPr>
          </w:p>
        </w:tc>
        <w:tc>
          <w:tcPr>
            <w:tcW w:w="243" w:type="pct"/>
          </w:tcPr>
          <w:p w:rsidR="00393657" w:rsidRPr="00F02DF6" w:rsidRDefault="00393657" w:rsidP="00C6299D">
            <w:pPr>
              <w:jc w:val="both"/>
              <w:rPr>
                <w:rFonts w:eastAsia="Calibri"/>
                <w:sz w:val="20"/>
              </w:rPr>
            </w:pPr>
          </w:p>
        </w:tc>
        <w:tc>
          <w:tcPr>
            <w:tcW w:w="2330" w:type="pct"/>
          </w:tcPr>
          <w:p w:rsidR="00393657" w:rsidRPr="00F02DF6" w:rsidRDefault="00393657" w:rsidP="00C6299D">
            <w:pPr>
              <w:jc w:val="both"/>
              <w:rPr>
                <w:rFonts w:eastAsia="Calibri"/>
                <w:sz w:val="20"/>
              </w:rPr>
            </w:pPr>
            <w:r w:rsidRPr="00F02DF6">
              <w:rPr>
                <w:rFonts w:eastAsia="Calibri"/>
                <w:sz w:val="20"/>
              </w:rPr>
              <w:t xml:space="preserve">Appeal allowed; decisions of Ontario Labour Relations Board restored, with the two-year estoppel taking effect on the date of the order </w:t>
            </w:r>
          </w:p>
          <w:p w:rsidR="00393657" w:rsidRPr="00F02DF6" w:rsidRDefault="00393657" w:rsidP="00C6299D">
            <w:pPr>
              <w:jc w:val="both"/>
              <w:rPr>
                <w:rFonts w:eastAsia="Calibri"/>
                <w:sz w:val="20"/>
              </w:rPr>
            </w:pPr>
          </w:p>
        </w:tc>
      </w:tr>
      <w:tr w:rsidR="00393657" w:rsidRPr="00F02DF6" w:rsidTr="00C6299D">
        <w:tc>
          <w:tcPr>
            <w:tcW w:w="2427" w:type="pct"/>
          </w:tcPr>
          <w:p w:rsidR="00393657" w:rsidRPr="00F02DF6" w:rsidRDefault="00393657" w:rsidP="00C6299D">
            <w:pPr>
              <w:jc w:val="both"/>
              <w:rPr>
                <w:rFonts w:eastAsia="Calibri"/>
                <w:sz w:val="20"/>
              </w:rPr>
            </w:pPr>
            <w:r w:rsidRPr="00F02DF6">
              <w:rPr>
                <w:rFonts w:eastAsia="Calibri"/>
                <w:sz w:val="20"/>
              </w:rPr>
              <w:t>January 15, 2015</w:t>
            </w:r>
          </w:p>
          <w:p w:rsidR="00393657" w:rsidRPr="00F02DF6" w:rsidRDefault="00393657" w:rsidP="00C6299D">
            <w:pPr>
              <w:jc w:val="both"/>
              <w:rPr>
                <w:rFonts w:eastAsia="Calibri"/>
                <w:sz w:val="20"/>
              </w:rPr>
            </w:pPr>
            <w:r w:rsidRPr="00F02DF6">
              <w:rPr>
                <w:rFonts w:eastAsia="Calibri"/>
                <w:sz w:val="20"/>
              </w:rPr>
              <w:t>Supreme Court of Canada</w:t>
            </w:r>
          </w:p>
        </w:tc>
        <w:tc>
          <w:tcPr>
            <w:tcW w:w="243" w:type="pct"/>
          </w:tcPr>
          <w:p w:rsidR="00393657" w:rsidRPr="00F02DF6" w:rsidRDefault="00393657" w:rsidP="00C6299D">
            <w:pPr>
              <w:jc w:val="both"/>
              <w:rPr>
                <w:rFonts w:eastAsia="Calibri"/>
                <w:sz w:val="20"/>
              </w:rPr>
            </w:pPr>
          </w:p>
        </w:tc>
        <w:tc>
          <w:tcPr>
            <w:tcW w:w="2330" w:type="pct"/>
          </w:tcPr>
          <w:p w:rsidR="00393657" w:rsidRPr="00F02DF6" w:rsidRDefault="00393657" w:rsidP="00C6299D">
            <w:pPr>
              <w:jc w:val="both"/>
              <w:rPr>
                <w:rFonts w:eastAsia="Calibri"/>
                <w:sz w:val="20"/>
              </w:rPr>
            </w:pPr>
            <w:r w:rsidRPr="00F02DF6">
              <w:rPr>
                <w:rFonts w:eastAsia="Calibri"/>
                <w:sz w:val="20"/>
              </w:rPr>
              <w:t>Application for leave to appeal filed</w:t>
            </w:r>
          </w:p>
        </w:tc>
      </w:tr>
    </w:tbl>
    <w:p w:rsidR="00A23156" w:rsidRDefault="00A23156" w:rsidP="00A23156">
      <w:pPr>
        <w:rPr>
          <w:sz w:val="20"/>
          <w:szCs w:val="20"/>
        </w:rPr>
      </w:pPr>
    </w:p>
    <w:p w:rsidR="00A23156" w:rsidRPr="00C50A5C" w:rsidRDefault="005B3B50" w:rsidP="00A23156">
      <w:pPr>
        <w:rPr>
          <w:sz w:val="20"/>
          <w:szCs w:val="20"/>
        </w:rPr>
      </w:pPr>
      <w:r>
        <w:rPr>
          <w:sz w:val="20"/>
          <w:szCs w:val="20"/>
          <w:lang w:val="fr-CA"/>
        </w:rPr>
        <w:pict>
          <v:rect id="_x0000_i1053" style="width:2in;height:1pt" o:hrpct="0" o:hralign="center" o:hrstd="t" o:hrnoshade="t" o:hr="t" fillcolor="black [3213]" stroked="f"/>
        </w:pict>
      </w:r>
    </w:p>
    <w:p w:rsidR="00A23156" w:rsidRDefault="00A23156" w:rsidP="00A23156">
      <w:pPr>
        <w:rPr>
          <w:sz w:val="20"/>
          <w:szCs w:val="20"/>
        </w:rPr>
      </w:pPr>
    </w:p>
    <w:p w:rsidR="00A23156" w:rsidRPr="001B157C" w:rsidRDefault="00A23156" w:rsidP="00A23156">
      <w:pPr>
        <w:rPr>
          <w:sz w:val="20"/>
          <w:szCs w:val="20"/>
          <w:u w:val="single"/>
          <w:lang w:val="fr-CA"/>
        </w:rPr>
      </w:pPr>
      <w:r w:rsidRPr="001B157C">
        <w:rPr>
          <w:sz w:val="20"/>
          <w:szCs w:val="20"/>
          <w:u w:val="single"/>
          <w:lang w:val="fr-CA"/>
        </w:rPr>
        <w:t>RÉSUMÉ DE L’AFFAIRE</w:t>
      </w:r>
    </w:p>
    <w:p w:rsidR="00A23156" w:rsidRDefault="00A23156" w:rsidP="00A2315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3657" w:rsidRPr="00D229C1" w:rsidTr="00C6299D">
        <w:tc>
          <w:tcPr>
            <w:tcW w:w="5000" w:type="pct"/>
            <w:gridSpan w:val="3"/>
          </w:tcPr>
          <w:p w:rsidR="00393657" w:rsidRPr="00F02DF6" w:rsidRDefault="00393657" w:rsidP="00C6299D">
            <w:pPr>
              <w:jc w:val="both"/>
              <w:rPr>
                <w:rFonts w:eastAsia="Calibri"/>
                <w:sz w:val="20"/>
                <w:lang w:val="fr-CA"/>
              </w:rPr>
            </w:pPr>
            <w:r w:rsidRPr="00F02DF6">
              <w:rPr>
                <w:rFonts w:eastAsia="Calibri"/>
                <w:sz w:val="20"/>
                <w:lang w:val="fr-CA"/>
              </w:rPr>
              <w:t xml:space="preserve">Droit administratif — Préclusion — Commission des relations de travail de l’Ontario — Accord de fait conclu en 1958 — Aux termes de l’accord, EllisDon ne devait embaucher que les entrepreneurs ou sous-traitants en tôlerie et en électricité dont les employés étaient membres de certains syndicats — Des dispositions législatives adoptées en 1978 ont étendu la portée de tels accords pour qu’ils s’appliquent dans toute la province — Des modifications législatives visaient à réduire la portée d’un accord semblable — Des discussions portant sur la réduction de la portée de l’accord en cause ont également été entreprises — Le représentant des syndicats a déclaré que les syndicats ne feraient pas la promotion active de l’accord en cause et qu’ils ne s’appuieraient pas non plus sur lui — Les discussions sur la portée de l’accord en cause ont été abandonnées — Les syndicats intimés ont alors tenté de s’appuyer sur l’accord en cause à l’échelle de la province — La préclusion permanente ou temporaire est-elle nécessaire? — Dans quelles situations les cours de révision doivent-elles refuser d’entériner la réparation prescrite par un organisme administratif? — Le fait que la Commission ait ordonné une réparation par laquelle elle renonce à sa propre compétence, omet d’appliquer un principe de droit et oblige plutôt une partie à demander des dispositions législatives de nature réparatrice fait-elle partie des issues raisonnables possibles? — Le fardeau d’établir que la situation préjudiciable s’est résorbée et que la protection de la cour ou du tribunal administratif n’est plus nécessaire incombe-t-il à la demanderesse lésée ou au défendeur fautif? </w:t>
            </w:r>
          </w:p>
        </w:tc>
      </w:tr>
      <w:tr w:rsidR="00393657" w:rsidRPr="00D229C1" w:rsidTr="00C6299D">
        <w:tc>
          <w:tcPr>
            <w:tcW w:w="5000" w:type="pct"/>
            <w:gridSpan w:val="3"/>
          </w:tcPr>
          <w:p w:rsidR="00393657" w:rsidRPr="00F02DF6" w:rsidRDefault="00393657" w:rsidP="00C6299D">
            <w:pPr>
              <w:jc w:val="both"/>
              <w:rPr>
                <w:rFonts w:eastAsia="Calibri"/>
                <w:sz w:val="20"/>
                <w:lang w:val="fr-CA"/>
              </w:rPr>
            </w:pPr>
          </w:p>
        </w:tc>
      </w:tr>
      <w:tr w:rsidR="00393657" w:rsidRPr="00D229C1" w:rsidTr="00C6299D">
        <w:tc>
          <w:tcPr>
            <w:tcW w:w="5000" w:type="pct"/>
            <w:gridSpan w:val="3"/>
          </w:tcPr>
          <w:p w:rsidR="00393657" w:rsidRPr="00F02DF6" w:rsidRDefault="00393657" w:rsidP="00C6299D">
            <w:pPr>
              <w:jc w:val="both"/>
              <w:rPr>
                <w:rFonts w:eastAsia="Calibri"/>
                <w:sz w:val="20"/>
                <w:lang w:val="fr-CA"/>
              </w:rPr>
            </w:pPr>
            <w:r w:rsidRPr="00F02DF6">
              <w:rPr>
                <w:rFonts w:eastAsia="Calibri"/>
                <w:sz w:val="20"/>
                <w:lang w:val="fr-CA"/>
              </w:rPr>
              <w:t xml:space="preserve">Une copie de l’accord de fait intitulé « Sarnia Working Agreement » (« SWA »), qu’avaient signé en 1958 les représentants d’EllisDon et le Building and Construction Trades Council, a été trouvée dans une boîte de dossiers dans les bureaux d’un syndicat affilié au Sarnia Building Trades Council.  Dans l’intervalle, une série de modifications ont été apportées à la </w:t>
            </w:r>
            <w:r w:rsidRPr="00F02DF6">
              <w:rPr>
                <w:rFonts w:eastAsia="Calibri"/>
                <w:i/>
                <w:sz w:val="20"/>
                <w:lang w:val="fr-CA"/>
              </w:rPr>
              <w:t>Loi sur les relations de travail</w:t>
            </w:r>
            <w:r w:rsidRPr="00F02DF6">
              <w:rPr>
                <w:rFonts w:eastAsia="Calibri"/>
                <w:sz w:val="20"/>
                <w:lang w:val="fr-CA"/>
              </w:rPr>
              <w:t xml:space="preserve"> avait fait en sorte que des accords conclus localement s’appliqueraient dorénavant à l’échelle de la province.  Ces modifications ont mené à des négociations avec le gouvernement provincial visant à restreindre la portée d’accords de fait similaires.  EllisDon a cessé de demander des restrictions similaires au SWA après qu’un représentant des syndicats des métiers de la construction l’a assurée que les syndicats ne feraient pas la promotion active du SWA et qu’ils ne s’appuieraient pas non plus sur lui.  Après la redécouverte du SWA, les syndicats intimés ont déposé des griefs, se plaignant que EllisDon avait violé l’accord.  La Commission des relations de travail de l’Ontario a conclu qu’EllisDon était liée par le SWA à l’échelle de la province, mais a imposé une préclusion de deux ans.  La Cour divisionnaire a statué que la préclusion devait être permanente, mais la Cour d’appel a rétabli la limite de deux ans imposée à la préclusion.</w:t>
            </w:r>
          </w:p>
          <w:p w:rsidR="00393657" w:rsidRPr="00F02DF6" w:rsidRDefault="00393657" w:rsidP="00C6299D">
            <w:pPr>
              <w:jc w:val="both"/>
              <w:rPr>
                <w:rFonts w:eastAsia="Calibri"/>
                <w:sz w:val="20"/>
                <w:lang w:val="fr-CA"/>
              </w:rPr>
            </w:pPr>
          </w:p>
        </w:tc>
      </w:tr>
      <w:tr w:rsidR="00393657" w:rsidRPr="00D229C1" w:rsidTr="00C6299D">
        <w:tc>
          <w:tcPr>
            <w:tcW w:w="2427" w:type="pct"/>
          </w:tcPr>
          <w:p w:rsidR="00393657" w:rsidRPr="00F02DF6" w:rsidRDefault="00393657" w:rsidP="00C6299D">
            <w:pPr>
              <w:jc w:val="both"/>
              <w:rPr>
                <w:rFonts w:eastAsia="Calibri"/>
                <w:sz w:val="20"/>
                <w:lang w:val="fr-CA"/>
              </w:rPr>
            </w:pPr>
            <w:r w:rsidRPr="00F02DF6">
              <w:rPr>
                <w:rFonts w:eastAsia="Calibri"/>
                <w:sz w:val="20"/>
                <w:lang w:val="fr-CA"/>
              </w:rPr>
              <w:t>27 septembre 2013</w:t>
            </w:r>
          </w:p>
          <w:p w:rsidR="00393657" w:rsidRPr="00F02DF6" w:rsidRDefault="00393657" w:rsidP="00C6299D">
            <w:pPr>
              <w:jc w:val="both"/>
              <w:rPr>
                <w:rFonts w:eastAsia="Calibri"/>
                <w:sz w:val="20"/>
                <w:lang w:val="fr-CA"/>
              </w:rPr>
            </w:pPr>
            <w:r w:rsidRPr="00F02DF6">
              <w:rPr>
                <w:rFonts w:eastAsia="Calibri"/>
                <w:sz w:val="20"/>
                <w:lang w:val="fr-CA"/>
              </w:rPr>
              <w:t>Cour divisionnaire de l’Ontario</w:t>
            </w:r>
          </w:p>
          <w:p w:rsidR="00393657" w:rsidRPr="00F02DF6" w:rsidRDefault="00393657" w:rsidP="00C6299D">
            <w:pPr>
              <w:jc w:val="both"/>
              <w:rPr>
                <w:rFonts w:eastAsia="Calibri"/>
                <w:sz w:val="20"/>
                <w:lang w:val="fr-CA"/>
              </w:rPr>
            </w:pPr>
            <w:r w:rsidRPr="00F02DF6">
              <w:rPr>
                <w:rFonts w:eastAsia="Calibri"/>
                <w:sz w:val="20"/>
                <w:lang w:val="fr-CA"/>
              </w:rPr>
              <w:t>(Juges Molloy, Lederer et Hourigan)</w:t>
            </w:r>
          </w:p>
          <w:p w:rsidR="00393657" w:rsidRPr="00F02DF6" w:rsidRDefault="005B3B50" w:rsidP="00C6299D">
            <w:pPr>
              <w:jc w:val="both"/>
              <w:rPr>
                <w:rFonts w:eastAsia="Calibri"/>
                <w:sz w:val="20"/>
                <w:lang w:val="fr-CA"/>
              </w:rPr>
            </w:pPr>
            <w:hyperlink r:id="rId46" w:history="1">
              <w:r w:rsidR="00393657" w:rsidRPr="00F02DF6">
                <w:rPr>
                  <w:rFonts w:eastAsia="Calibri"/>
                  <w:color w:val="0000FF"/>
                  <w:sz w:val="20"/>
                  <w:u w:val="single"/>
                  <w:lang w:val="fr-CA"/>
                </w:rPr>
                <w:t>2013 ONSC 5808</w:t>
              </w:r>
            </w:hyperlink>
          </w:p>
          <w:p w:rsidR="00393657" w:rsidRPr="00F02DF6" w:rsidRDefault="00393657" w:rsidP="00C6299D">
            <w:pPr>
              <w:jc w:val="both"/>
              <w:rPr>
                <w:rFonts w:eastAsia="Calibri"/>
                <w:sz w:val="20"/>
                <w:lang w:val="fr-CA"/>
              </w:rPr>
            </w:pPr>
          </w:p>
        </w:tc>
        <w:tc>
          <w:tcPr>
            <w:tcW w:w="243" w:type="pct"/>
          </w:tcPr>
          <w:p w:rsidR="00393657" w:rsidRPr="00F02DF6" w:rsidRDefault="00393657" w:rsidP="00C6299D">
            <w:pPr>
              <w:jc w:val="both"/>
              <w:rPr>
                <w:rFonts w:eastAsia="Calibri"/>
                <w:sz w:val="20"/>
                <w:lang w:val="fr-CA"/>
              </w:rPr>
            </w:pPr>
          </w:p>
        </w:tc>
        <w:tc>
          <w:tcPr>
            <w:tcW w:w="2330" w:type="pct"/>
          </w:tcPr>
          <w:p w:rsidR="00393657" w:rsidRPr="00F02DF6" w:rsidRDefault="00393657" w:rsidP="00C6299D">
            <w:pPr>
              <w:jc w:val="both"/>
              <w:rPr>
                <w:rFonts w:eastAsia="Calibri"/>
                <w:sz w:val="20"/>
                <w:lang w:val="fr-CA"/>
              </w:rPr>
            </w:pPr>
            <w:r w:rsidRPr="00F02DF6">
              <w:rPr>
                <w:rFonts w:eastAsia="Calibri"/>
                <w:sz w:val="20"/>
                <w:lang w:val="fr-CA"/>
              </w:rPr>
              <w:t>Jugement accueillant en partie la demande de contrôle judiciaire; annulation de la conclusion selon laquelle l’accord de fait conclu entre EllisDon et le Building and Construction Trades Council of Sarnia et le comté de Lambton était recevable; annulation de la limite de temps imposée à la préclusion; jugement rendant la préclusion permanente; rejet des griefs</w:t>
            </w:r>
          </w:p>
          <w:p w:rsidR="00393657" w:rsidRPr="00F02DF6" w:rsidRDefault="00393657" w:rsidP="00C6299D">
            <w:pPr>
              <w:jc w:val="both"/>
              <w:rPr>
                <w:rFonts w:eastAsia="Calibri"/>
                <w:sz w:val="20"/>
                <w:lang w:val="fr-CA"/>
              </w:rPr>
            </w:pPr>
          </w:p>
        </w:tc>
      </w:tr>
      <w:tr w:rsidR="00393657" w:rsidRPr="00D229C1" w:rsidTr="00C6299D">
        <w:tc>
          <w:tcPr>
            <w:tcW w:w="2427" w:type="pct"/>
          </w:tcPr>
          <w:p w:rsidR="00393657" w:rsidRPr="00F02DF6" w:rsidRDefault="00393657" w:rsidP="00C6299D">
            <w:pPr>
              <w:jc w:val="both"/>
              <w:rPr>
                <w:rFonts w:eastAsia="Calibri"/>
                <w:sz w:val="20"/>
                <w:lang w:val="fr-CA"/>
              </w:rPr>
            </w:pPr>
            <w:r w:rsidRPr="00F02DF6">
              <w:rPr>
                <w:rFonts w:eastAsia="Calibri"/>
                <w:sz w:val="20"/>
                <w:lang w:val="fr-CA"/>
              </w:rPr>
              <w:t>17 novembre 2014; 8 janvier 2015</w:t>
            </w:r>
          </w:p>
          <w:p w:rsidR="00393657" w:rsidRPr="00F02DF6" w:rsidRDefault="00393657" w:rsidP="00C6299D">
            <w:pPr>
              <w:jc w:val="both"/>
              <w:rPr>
                <w:rFonts w:eastAsia="Calibri"/>
                <w:sz w:val="20"/>
                <w:lang w:val="fr-CA"/>
              </w:rPr>
            </w:pPr>
            <w:r w:rsidRPr="00F02DF6">
              <w:rPr>
                <w:rFonts w:eastAsia="Calibri"/>
                <w:sz w:val="20"/>
                <w:lang w:val="fr-CA"/>
              </w:rPr>
              <w:t>Cour d’appel de l’Ontario</w:t>
            </w:r>
          </w:p>
          <w:p w:rsidR="00393657" w:rsidRPr="00F02DF6" w:rsidRDefault="00393657" w:rsidP="00C6299D">
            <w:pPr>
              <w:jc w:val="both"/>
              <w:rPr>
                <w:rFonts w:eastAsia="Calibri"/>
                <w:sz w:val="20"/>
                <w:lang w:val="fr-CA"/>
              </w:rPr>
            </w:pPr>
            <w:r w:rsidRPr="00F02DF6">
              <w:rPr>
                <w:rFonts w:eastAsia="Calibri"/>
                <w:sz w:val="20"/>
                <w:lang w:val="fr-CA"/>
              </w:rPr>
              <w:t>(Juges MacFarland, LaForme et Lauwers)</w:t>
            </w:r>
          </w:p>
          <w:p w:rsidR="00393657" w:rsidRPr="00F02DF6" w:rsidRDefault="005B3B50" w:rsidP="00C6299D">
            <w:pPr>
              <w:jc w:val="both"/>
              <w:rPr>
                <w:rFonts w:eastAsia="Calibri"/>
                <w:sz w:val="20"/>
                <w:lang w:val="fr-CA"/>
              </w:rPr>
            </w:pPr>
            <w:hyperlink r:id="rId47" w:history="1">
              <w:r w:rsidR="00393657" w:rsidRPr="00F02DF6">
                <w:rPr>
                  <w:rFonts w:eastAsia="Calibri"/>
                  <w:color w:val="0000FF"/>
                  <w:sz w:val="20"/>
                  <w:u w:val="single"/>
                  <w:lang w:val="fr-CA"/>
                </w:rPr>
                <w:t>2014 ONCA 801</w:t>
              </w:r>
            </w:hyperlink>
            <w:r w:rsidR="00393657" w:rsidRPr="00F02DF6">
              <w:rPr>
                <w:rFonts w:eastAsia="Calibri"/>
                <w:sz w:val="20"/>
                <w:lang w:val="fr-CA"/>
              </w:rPr>
              <w:t xml:space="preserve">; </w:t>
            </w:r>
            <w:hyperlink r:id="rId48" w:history="1">
              <w:r w:rsidR="00393657" w:rsidRPr="00F02DF6">
                <w:rPr>
                  <w:rFonts w:eastAsia="Calibri"/>
                  <w:color w:val="0000FF"/>
                  <w:sz w:val="20"/>
                  <w:u w:val="single"/>
                  <w:lang w:val="fr-CA"/>
                </w:rPr>
                <w:t>2015 ONCA 7</w:t>
              </w:r>
            </w:hyperlink>
          </w:p>
          <w:p w:rsidR="00393657" w:rsidRPr="00F02DF6" w:rsidRDefault="00393657" w:rsidP="00C6299D">
            <w:pPr>
              <w:jc w:val="both"/>
              <w:rPr>
                <w:rFonts w:eastAsia="Calibri"/>
                <w:sz w:val="20"/>
                <w:lang w:val="fr-CA"/>
              </w:rPr>
            </w:pPr>
          </w:p>
        </w:tc>
        <w:tc>
          <w:tcPr>
            <w:tcW w:w="243" w:type="pct"/>
          </w:tcPr>
          <w:p w:rsidR="00393657" w:rsidRPr="00F02DF6" w:rsidRDefault="00393657" w:rsidP="00C6299D">
            <w:pPr>
              <w:jc w:val="both"/>
              <w:rPr>
                <w:rFonts w:eastAsia="Calibri"/>
                <w:sz w:val="20"/>
                <w:lang w:val="fr-CA"/>
              </w:rPr>
            </w:pPr>
          </w:p>
        </w:tc>
        <w:tc>
          <w:tcPr>
            <w:tcW w:w="2330" w:type="pct"/>
          </w:tcPr>
          <w:p w:rsidR="00393657" w:rsidRPr="00F02DF6" w:rsidRDefault="00393657" w:rsidP="00C6299D">
            <w:pPr>
              <w:jc w:val="both"/>
              <w:rPr>
                <w:rFonts w:eastAsia="Calibri"/>
                <w:sz w:val="20"/>
                <w:lang w:val="fr-CA"/>
              </w:rPr>
            </w:pPr>
            <w:r w:rsidRPr="00F02DF6">
              <w:rPr>
                <w:rFonts w:eastAsia="Calibri"/>
                <w:sz w:val="20"/>
                <w:lang w:val="fr-CA"/>
              </w:rPr>
              <w:t>Arrêt accueillant l’appel; rétablissement des décisions de la Commission des relations de travail de l’Ontario avec prise d’effet de la période de préclusion de deux ans à la date de l’ordonnance</w:t>
            </w:r>
          </w:p>
          <w:p w:rsidR="00393657" w:rsidRPr="00F02DF6" w:rsidRDefault="00393657" w:rsidP="00C6299D">
            <w:pPr>
              <w:jc w:val="both"/>
              <w:rPr>
                <w:rFonts w:eastAsia="Calibri"/>
                <w:sz w:val="20"/>
                <w:lang w:val="fr-CA"/>
              </w:rPr>
            </w:pPr>
          </w:p>
        </w:tc>
      </w:tr>
      <w:tr w:rsidR="00393657" w:rsidRPr="00D229C1" w:rsidTr="00C6299D">
        <w:tc>
          <w:tcPr>
            <w:tcW w:w="2427" w:type="pct"/>
          </w:tcPr>
          <w:p w:rsidR="00393657" w:rsidRPr="00F02DF6" w:rsidRDefault="00393657" w:rsidP="00C6299D">
            <w:pPr>
              <w:jc w:val="both"/>
              <w:rPr>
                <w:rFonts w:eastAsia="Calibri"/>
                <w:sz w:val="20"/>
                <w:lang w:val="fr-CA"/>
              </w:rPr>
            </w:pPr>
            <w:r w:rsidRPr="00F02DF6">
              <w:rPr>
                <w:rFonts w:eastAsia="Calibri"/>
                <w:sz w:val="20"/>
                <w:lang w:val="fr-CA"/>
              </w:rPr>
              <w:t>15 janvier 2015</w:t>
            </w:r>
          </w:p>
          <w:p w:rsidR="00393657" w:rsidRPr="00F02DF6" w:rsidRDefault="00393657" w:rsidP="00C6299D">
            <w:pPr>
              <w:jc w:val="both"/>
              <w:rPr>
                <w:rFonts w:eastAsia="Calibri"/>
                <w:sz w:val="20"/>
                <w:lang w:val="fr-CA"/>
              </w:rPr>
            </w:pPr>
            <w:r w:rsidRPr="00F02DF6">
              <w:rPr>
                <w:rFonts w:eastAsia="Calibri"/>
                <w:sz w:val="20"/>
                <w:lang w:val="fr-CA"/>
              </w:rPr>
              <w:t>Cour suprême du Canada</w:t>
            </w:r>
          </w:p>
        </w:tc>
        <w:tc>
          <w:tcPr>
            <w:tcW w:w="243" w:type="pct"/>
          </w:tcPr>
          <w:p w:rsidR="00393657" w:rsidRPr="00F02DF6" w:rsidRDefault="00393657" w:rsidP="00C6299D">
            <w:pPr>
              <w:jc w:val="both"/>
              <w:rPr>
                <w:rFonts w:eastAsia="Calibri"/>
                <w:sz w:val="20"/>
                <w:lang w:val="fr-CA"/>
              </w:rPr>
            </w:pPr>
          </w:p>
        </w:tc>
        <w:tc>
          <w:tcPr>
            <w:tcW w:w="2330" w:type="pct"/>
          </w:tcPr>
          <w:p w:rsidR="00393657" w:rsidRPr="00F02DF6" w:rsidRDefault="00393657" w:rsidP="00C6299D">
            <w:pPr>
              <w:jc w:val="both"/>
              <w:rPr>
                <w:rFonts w:eastAsia="Calibri"/>
                <w:sz w:val="20"/>
                <w:lang w:val="fr-CA"/>
              </w:rPr>
            </w:pPr>
            <w:r w:rsidRPr="00F02DF6">
              <w:rPr>
                <w:rFonts w:eastAsia="Calibri"/>
                <w:sz w:val="20"/>
                <w:lang w:val="fr-CA"/>
              </w:rPr>
              <w:t>Dépôt de la demande d’autorisation d’appel</w:t>
            </w:r>
          </w:p>
        </w:tc>
      </w:tr>
    </w:tbl>
    <w:p w:rsidR="00A23156" w:rsidRPr="00393657" w:rsidRDefault="00A23156" w:rsidP="00A23156">
      <w:pPr>
        <w:rPr>
          <w:sz w:val="20"/>
          <w:szCs w:val="20"/>
          <w:lang w:val="fr-CA"/>
        </w:rPr>
      </w:pPr>
    </w:p>
    <w:p w:rsidR="00A23156" w:rsidRDefault="005B3B50" w:rsidP="00A23156">
      <w:pPr>
        <w:rPr>
          <w:sz w:val="20"/>
          <w:szCs w:val="20"/>
          <w:lang w:val="fr-CA"/>
        </w:rPr>
      </w:pPr>
      <w:r>
        <w:rPr>
          <w:sz w:val="20"/>
          <w:szCs w:val="20"/>
          <w:lang w:val="fr-CA"/>
        </w:rPr>
        <w:pict>
          <v:rect id="_x0000_i1054" style="width:2in;height:1pt" o:hrpct="0" o:hralign="center" o:hrstd="t" o:hrnoshade="t" o:hr="t" fillcolor="black [3213]" stroked="f"/>
        </w:pict>
      </w:r>
    </w:p>
    <w:p w:rsidR="00A23156" w:rsidRDefault="00A23156" w:rsidP="00A23156">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237ED" w:rsidRPr="00715263" w:rsidTr="008237ED">
        <w:trPr>
          <w:cantSplit/>
        </w:trPr>
        <w:tc>
          <w:tcPr>
            <w:tcW w:w="1458" w:type="dxa"/>
          </w:tcPr>
          <w:p w:rsidR="008237ED" w:rsidRPr="00715263" w:rsidRDefault="008237ED" w:rsidP="008237ED">
            <w:pPr>
              <w:rPr>
                <w:sz w:val="20"/>
                <w:szCs w:val="20"/>
              </w:rPr>
            </w:pPr>
            <w:r w:rsidRPr="00715263">
              <w:rPr>
                <w:rStyle w:val="SCCFileNumberChar"/>
                <w:sz w:val="20"/>
                <w:szCs w:val="20"/>
              </w:rPr>
              <w:t>36266</w:t>
            </w:r>
          </w:p>
          <w:p w:rsidR="008237ED" w:rsidRPr="00715263" w:rsidRDefault="008237ED" w:rsidP="008237ED">
            <w:pPr>
              <w:rPr>
                <w:b/>
                <w:sz w:val="20"/>
                <w:szCs w:val="20"/>
                <w:lang w:val="fr-CA"/>
              </w:rPr>
            </w:pPr>
          </w:p>
        </w:tc>
        <w:tc>
          <w:tcPr>
            <w:tcW w:w="8118" w:type="dxa"/>
          </w:tcPr>
          <w:p w:rsidR="008237ED" w:rsidRPr="00715263" w:rsidRDefault="008237ED" w:rsidP="008237ED">
            <w:pPr>
              <w:jc w:val="both"/>
              <w:rPr>
                <w:sz w:val="20"/>
                <w:szCs w:val="20"/>
              </w:rPr>
            </w:pPr>
            <w:r w:rsidRPr="00715263">
              <w:rPr>
                <w:rStyle w:val="SCCLsocChar"/>
                <w:sz w:val="20"/>
                <w:szCs w:val="20"/>
                <w:lang w:val="en-CA"/>
              </w:rPr>
              <w:t>Robert E. MacKenzie v. John J. Rogalasky AND BETWEEN Arshdeep Singh Chandi, an infant by his father and Guardian Ad Litem, Jaswinder Singh Chandi v. Ebenezer Garvey Atwell, Harjinder Dhanju, Harjit Kaur Chandi, Mandy Hoi Man Chung and Chun Hang Wu</w:t>
            </w:r>
            <w:r w:rsidRPr="00715263">
              <w:rPr>
                <w:sz w:val="20"/>
                <w:szCs w:val="20"/>
              </w:rPr>
              <w:t xml:space="preserve"> (B.C.) (Civil) (By Leave)</w:t>
            </w:r>
          </w:p>
          <w:p w:rsidR="008237ED" w:rsidRPr="00715263" w:rsidRDefault="008237ED" w:rsidP="008237ED">
            <w:pPr>
              <w:jc w:val="both"/>
              <w:rPr>
                <w:sz w:val="20"/>
                <w:szCs w:val="20"/>
              </w:rPr>
            </w:pPr>
          </w:p>
        </w:tc>
      </w:tr>
      <w:tr w:rsidR="008237ED" w:rsidRPr="00D229C1" w:rsidTr="008237ED">
        <w:trPr>
          <w:cantSplit/>
        </w:trPr>
        <w:tc>
          <w:tcPr>
            <w:tcW w:w="1458" w:type="dxa"/>
          </w:tcPr>
          <w:p w:rsidR="008237ED" w:rsidRPr="00715263" w:rsidRDefault="008237ED" w:rsidP="008237ED">
            <w:pPr>
              <w:rPr>
                <w:sz w:val="20"/>
                <w:szCs w:val="20"/>
              </w:rPr>
            </w:pPr>
            <w:r w:rsidRPr="00715263">
              <w:rPr>
                <w:sz w:val="20"/>
                <w:szCs w:val="20"/>
              </w:rPr>
              <w:t>Coram :</w:t>
            </w:r>
          </w:p>
        </w:tc>
        <w:tc>
          <w:tcPr>
            <w:tcW w:w="8118" w:type="dxa"/>
          </w:tcPr>
          <w:p w:rsidR="008237ED" w:rsidRPr="00715263" w:rsidRDefault="008237ED" w:rsidP="008237ED">
            <w:pPr>
              <w:rPr>
                <w:sz w:val="20"/>
                <w:szCs w:val="20"/>
                <w:lang w:val="fr-CA"/>
              </w:rPr>
            </w:pPr>
            <w:r w:rsidRPr="00715263">
              <w:rPr>
                <w:rStyle w:val="SCCCoramChar"/>
                <w:sz w:val="20"/>
                <w:szCs w:val="20"/>
              </w:rPr>
              <w:t>Abella, Karakatsanis and Côté JJ.</w:t>
            </w:r>
          </w:p>
          <w:p w:rsidR="008237ED" w:rsidRPr="00715263" w:rsidRDefault="008237ED" w:rsidP="008237ED">
            <w:pPr>
              <w:rPr>
                <w:sz w:val="20"/>
                <w:szCs w:val="20"/>
                <w:u w:val="single"/>
                <w:lang w:val="fr-CA"/>
              </w:rPr>
            </w:pPr>
          </w:p>
        </w:tc>
      </w:tr>
      <w:tr w:rsidR="008237ED" w:rsidRPr="00D229C1" w:rsidTr="008237ED">
        <w:trPr>
          <w:cantSplit/>
        </w:trPr>
        <w:tc>
          <w:tcPr>
            <w:tcW w:w="9576" w:type="dxa"/>
            <w:gridSpan w:val="2"/>
          </w:tcPr>
          <w:p w:rsidR="008237ED" w:rsidRPr="00715263" w:rsidRDefault="008237ED" w:rsidP="008237ED">
            <w:pPr>
              <w:pStyle w:val="SCCShortJudgment"/>
              <w:rPr>
                <w:szCs w:val="20"/>
              </w:rPr>
            </w:pPr>
            <w:r w:rsidRPr="00715263">
              <w:rPr>
                <w:szCs w:val="20"/>
              </w:rPr>
              <w:t>The motion to file a joint application for leave to appeal is granted. The application for leave to appeal from the judgment of the Court of Appeal for British Columbia (Vancouver), Numbers CA040890 and CA040911, 2014 BCCA 446, dated November 17, 2014, is dismissed with costs.</w:t>
            </w:r>
          </w:p>
          <w:p w:rsidR="008237ED" w:rsidRPr="00715263" w:rsidRDefault="008237ED" w:rsidP="008237ED">
            <w:pPr>
              <w:pStyle w:val="SCCShortJudgment"/>
              <w:ind w:firstLine="0"/>
              <w:rPr>
                <w:szCs w:val="20"/>
              </w:rPr>
            </w:pPr>
          </w:p>
          <w:p w:rsidR="008237ED" w:rsidRPr="00715263" w:rsidRDefault="008237ED" w:rsidP="008237ED">
            <w:pPr>
              <w:pStyle w:val="SCCShortJudgment"/>
              <w:rPr>
                <w:szCs w:val="20"/>
                <w:lang w:val="fr-CA"/>
              </w:rPr>
            </w:pPr>
            <w:r w:rsidRPr="00715263">
              <w:rPr>
                <w:szCs w:val="20"/>
                <w:lang w:val="fr-CA"/>
              </w:rPr>
              <w:t>La requête sollicitant une demande d’autorisation conjointe est accordée. La demande d’autorisation d’appel de l’arrêt de la Cour d’appel de la Colombie-Britannique (Vancouver), numéros CA040890 et CA040911, 2014 BCCA 446, daté du 17 novembre 2014, est rejetée avec dépens.</w:t>
            </w:r>
          </w:p>
        </w:tc>
      </w:tr>
    </w:tbl>
    <w:p w:rsidR="00A23156" w:rsidRPr="008237ED" w:rsidRDefault="00A23156" w:rsidP="00A23156">
      <w:pPr>
        <w:rPr>
          <w:sz w:val="20"/>
          <w:szCs w:val="20"/>
          <w:lang w:val="fr-CA"/>
        </w:rPr>
      </w:pPr>
    </w:p>
    <w:p w:rsidR="00A23156" w:rsidRPr="001B157C" w:rsidRDefault="00A23156" w:rsidP="00A23156">
      <w:pPr>
        <w:rPr>
          <w:sz w:val="20"/>
          <w:szCs w:val="20"/>
          <w:u w:val="single"/>
        </w:rPr>
      </w:pPr>
      <w:r w:rsidRPr="001B157C">
        <w:rPr>
          <w:sz w:val="20"/>
          <w:szCs w:val="20"/>
          <w:u w:val="single"/>
        </w:rPr>
        <w:t>CASE SUMMARY</w:t>
      </w:r>
    </w:p>
    <w:p w:rsidR="00A23156" w:rsidRDefault="00A23156" w:rsidP="00A2315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3657" w:rsidRPr="00F02DF6" w:rsidTr="00C6299D">
        <w:tc>
          <w:tcPr>
            <w:tcW w:w="5000" w:type="pct"/>
            <w:gridSpan w:val="3"/>
          </w:tcPr>
          <w:p w:rsidR="00393657" w:rsidRPr="00F02DF6" w:rsidRDefault="00393657" w:rsidP="00C6299D">
            <w:pPr>
              <w:widowControl w:val="0"/>
              <w:jc w:val="both"/>
              <w:rPr>
                <w:rFonts w:eastAsia="Calibri"/>
                <w:sz w:val="20"/>
              </w:rPr>
            </w:pPr>
            <w:r w:rsidRPr="00F02DF6">
              <w:rPr>
                <w:rFonts w:eastAsia="Calibri"/>
                <w:sz w:val="20"/>
              </w:rPr>
              <w:t xml:space="preserve">Civil Procedure – Costs – Successful plaintiffs in two personal injury actions claiming interest accruing on monies borrowed to finance disbursements as recoverable costs on taxation – </w:t>
            </w:r>
            <w:r w:rsidRPr="00F02DF6">
              <w:rPr>
                <w:rFonts w:eastAsia="Calibri"/>
                <w:bCs/>
                <w:sz w:val="20"/>
              </w:rPr>
              <w:t xml:space="preserve">Is an out-of-pocket payment of interest necessarily or properly incurred by a successful litigant as an expense incurred in funding litigation disbursements recoverable as part of a costs award against an unsuccessful party?  </w:t>
            </w:r>
          </w:p>
        </w:tc>
      </w:tr>
      <w:tr w:rsidR="00393657" w:rsidRPr="00F02DF6" w:rsidTr="00C6299D">
        <w:tc>
          <w:tcPr>
            <w:tcW w:w="5000" w:type="pct"/>
            <w:gridSpan w:val="3"/>
          </w:tcPr>
          <w:p w:rsidR="00393657" w:rsidRPr="00F02DF6" w:rsidRDefault="00393657" w:rsidP="00C6299D">
            <w:pPr>
              <w:jc w:val="both"/>
              <w:rPr>
                <w:rFonts w:eastAsia="Calibri"/>
                <w:sz w:val="20"/>
              </w:rPr>
            </w:pPr>
          </w:p>
        </w:tc>
      </w:tr>
      <w:tr w:rsidR="00393657" w:rsidRPr="00F02DF6" w:rsidTr="00C6299D">
        <w:tc>
          <w:tcPr>
            <w:tcW w:w="5000" w:type="pct"/>
            <w:gridSpan w:val="3"/>
          </w:tcPr>
          <w:p w:rsidR="00393657" w:rsidRPr="00F02DF6" w:rsidRDefault="00393657" w:rsidP="00C6299D">
            <w:pPr>
              <w:jc w:val="both"/>
              <w:rPr>
                <w:rFonts w:eastAsia="Calibri"/>
                <w:sz w:val="20"/>
              </w:rPr>
            </w:pPr>
            <w:r w:rsidRPr="00F02DF6">
              <w:rPr>
                <w:rFonts w:eastAsia="Calibri"/>
                <w:sz w:val="20"/>
              </w:rPr>
              <w:t xml:space="preserve">The plaintiff in </w:t>
            </w:r>
            <w:r w:rsidRPr="00F02DF6">
              <w:rPr>
                <w:rFonts w:eastAsia="Calibri"/>
                <w:i/>
                <w:sz w:val="20"/>
              </w:rPr>
              <w:t>Chandi v. Atwell</w:t>
            </w:r>
            <w:r w:rsidRPr="00F02DF6">
              <w:rPr>
                <w:rFonts w:eastAsia="Calibri"/>
                <w:sz w:val="20"/>
              </w:rPr>
              <w:t xml:space="preserve"> was five years old when he was injured in a motor vehicle accident in 2004.  His case was settled before trial for a certain amount plus taxable costs and disbursements.  The plaintiff sought to include $25,668.92 owed in interest to a third party lender as a disbursement.  The loan was taken to fund the disbursements required to prove his case.  In </w:t>
            </w:r>
            <w:r w:rsidRPr="00F02DF6">
              <w:rPr>
                <w:rFonts w:eastAsia="Calibri"/>
                <w:i/>
                <w:sz w:val="20"/>
              </w:rPr>
              <w:t>MacKenzie v. Rogalasky</w:t>
            </w:r>
            <w:r w:rsidRPr="00F02DF6">
              <w:rPr>
                <w:rFonts w:eastAsia="Calibri"/>
                <w:sz w:val="20"/>
              </w:rPr>
              <w:t>, the plaintiff was also injured in a motor vehicle accident.  He did not have money to finance litigation and borrowed $25,000 from a specialized disbursement lender.  He collected his judgment and repaid the loan on which $11,324.71 in interest had accrued.  Both plaintiffs sought to claim the interest expense on their litigation loans as disbursements on taxation.</w:t>
            </w:r>
          </w:p>
          <w:p w:rsidR="00393657" w:rsidRPr="00F02DF6" w:rsidRDefault="00393657" w:rsidP="00C6299D">
            <w:pPr>
              <w:jc w:val="both"/>
              <w:rPr>
                <w:rFonts w:eastAsia="Calibri"/>
                <w:sz w:val="20"/>
              </w:rPr>
            </w:pPr>
          </w:p>
        </w:tc>
      </w:tr>
      <w:tr w:rsidR="00393657" w:rsidRPr="00F02DF6" w:rsidTr="00C6299D">
        <w:tc>
          <w:tcPr>
            <w:tcW w:w="2427" w:type="pct"/>
          </w:tcPr>
          <w:p w:rsidR="00393657" w:rsidRPr="00F02DF6" w:rsidRDefault="00393657" w:rsidP="00C6299D">
            <w:pPr>
              <w:jc w:val="both"/>
              <w:rPr>
                <w:rFonts w:eastAsia="Calibri"/>
                <w:sz w:val="20"/>
              </w:rPr>
            </w:pPr>
            <w:r w:rsidRPr="00F02DF6">
              <w:rPr>
                <w:rFonts w:eastAsia="Calibri"/>
                <w:sz w:val="20"/>
              </w:rPr>
              <w:t>November 4, 2011</w:t>
            </w:r>
          </w:p>
          <w:p w:rsidR="00393657" w:rsidRPr="00F02DF6" w:rsidRDefault="00393657" w:rsidP="00C6299D">
            <w:pPr>
              <w:jc w:val="both"/>
              <w:rPr>
                <w:rFonts w:eastAsia="Calibri"/>
                <w:sz w:val="20"/>
              </w:rPr>
            </w:pPr>
            <w:r w:rsidRPr="00F02DF6">
              <w:rPr>
                <w:rFonts w:eastAsia="Calibri"/>
                <w:sz w:val="20"/>
              </w:rPr>
              <w:t>Supreme Court of British Columbia</w:t>
            </w:r>
          </w:p>
          <w:p w:rsidR="00393657" w:rsidRPr="00F02DF6" w:rsidRDefault="00393657" w:rsidP="00C6299D">
            <w:pPr>
              <w:jc w:val="both"/>
              <w:rPr>
                <w:rFonts w:eastAsia="Calibri"/>
                <w:sz w:val="20"/>
              </w:rPr>
            </w:pPr>
            <w:r w:rsidRPr="00F02DF6">
              <w:rPr>
                <w:rFonts w:eastAsia="Calibri"/>
                <w:sz w:val="20"/>
              </w:rPr>
              <w:t>(District Registrar Cameron)</w:t>
            </w:r>
          </w:p>
          <w:p w:rsidR="00393657" w:rsidRPr="00F02DF6" w:rsidRDefault="005B3B50" w:rsidP="00C6299D">
            <w:pPr>
              <w:jc w:val="both"/>
              <w:rPr>
                <w:rFonts w:eastAsia="Calibri"/>
                <w:sz w:val="20"/>
              </w:rPr>
            </w:pPr>
            <w:hyperlink r:id="rId49" w:history="1">
              <w:r w:rsidR="00393657" w:rsidRPr="00F02DF6">
                <w:rPr>
                  <w:rFonts w:eastAsia="Calibri"/>
                  <w:color w:val="0000FF"/>
                  <w:sz w:val="20"/>
                  <w:u w:val="single"/>
                </w:rPr>
                <w:t>2011 BCSC 1498</w:t>
              </w:r>
            </w:hyperlink>
          </w:p>
          <w:p w:rsidR="00393657" w:rsidRPr="00F02DF6" w:rsidRDefault="00393657" w:rsidP="00C6299D">
            <w:pPr>
              <w:jc w:val="both"/>
              <w:rPr>
                <w:rFonts w:eastAsia="Calibri"/>
                <w:sz w:val="20"/>
              </w:rPr>
            </w:pPr>
          </w:p>
        </w:tc>
        <w:tc>
          <w:tcPr>
            <w:tcW w:w="243" w:type="pct"/>
          </w:tcPr>
          <w:p w:rsidR="00393657" w:rsidRPr="00F02DF6" w:rsidRDefault="00393657" w:rsidP="00C6299D">
            <w:pPr>
              <w:jc w:val="both"/>
              <w:rPr>
                <w:rFonts w:eastAsia="Calibri"/>
                <w:sz w:val="20"/>
              </w:rPr>
            </w:pPr>
          </w:p>
        </w:tc>
        <w:tc>
          <w:tcPr>
            <w:tcW w:w="2330" w:type="pct"/>
          </w:tcPr>
          <w:p w:rsidR="00393657" w:rsidRPr="00F02DF6" w:rsidRDefault="00393657" w:rsidP="00C6299D">
            <w:pPr>
              <w:jc w:val="both"/>
              <w:rPr>
                <w:rFonts w:eastAsia="Calibri"/>
                <w:sz w:val="20"/>
              </w:rPr>
            </w:pPr>
            <w:r w:rsidRPr="00F02DF6">
              <w:rPr>
                <w:rFonts w:eastAsia="Calibri"/>
                <w:sz w:val="20"/>
              </w:rPr>
              <w:t>Plaintiff’s claim for interest expense allowed in part in first action</w:t>
            </w:r>
          </w:p>
        </w:tc>
      </w:tr>
      <w:tr w:rsidR="00393657" w:rsidRPr="00F02DF6" w:rsidTr="00C6299D">
        <w:tc>
          <w:tcPr>
            <w:tcW w:w="2427" w:type="pct"/>
          </w:tcPr>
          <w:p w:rsidR="00393657" w:rsidRPr="00F02DF6" w:rsidRDefault="00393657" w:rsidP="00C6299D">
            <w:pPr>
              <w:jc w:val="both"/>
              <w:rPr>
                <w:rFonts w:eastAsia="Calibri"/>
                <w:sz w:val="20"/>
              </w:rPr>
            </w:pPr>
            <w:r w:rsidRPr="00F02DF6">
              <w:rPr>
                <w:rFonts w:eastAsia="Calibri"/>
                <w:sz w:val="20"/>
              </w:rPr>
              <w:t>January 17, 2012</w:t>
            </w:r>
          </w:p>
          <w:p w:rsidR="00393657" w:rsidRPr="00F02DF6" w:rsidRDefault="00393657" w:rsidP="00C6299D">
            <w:pPr>
              <w:jc w:val="both"/>
              <w:rPr>
                <w:rFonts w:eastAsia="Calibri"/>
                <w:sz w:val="20"/>
              </w:rPr>
            </w:pPr>
            <w:r w:rsidRPr="00F02DF6">
              <w:rPr>
                <w:rFonts w:eastAsia="Calibri"/>
                <w:sz w:val="20"/>
              </w:rPr>
              <w:t>Supreme Court of British Columbia</w:t>
            </w:r>
          </w:p>
          <w:p w:rsidR="00393657" w:rsidRPr="00F02DF6" w:rsidRDefault="00393657" w:rsidP="00C6299D">
            <w:pPr>
              <w:jc w:val="both"/>
              <w:rPr>
                <w:rFonts w:eastAsia="Calibri"/>
                <w:sz w:val="20"/>
              </w:rPr>
            </w:pPr>
            <w:r w:rsidRPr="00F02DF6">
              <w:rPr>
                <w:rFonts w:eastAsia="Calibri"/>
                <w:sz w:val="20"/>
              </w:rPr>
              <w:t>(Registrar Sainty)</w:t>
            </w:r>
          </w:p>
          <w:p w:rsidR="00393657" w:rsidRPr="00F02DF6" w:rsidRDefault="005B3B50" w:rsidP="00C6299D">
            <w:pPr>
              <w:jc w:val="both"/>
              <w:rPr>
                <w:rFonts w:eastAsia="Calibri"/>
                <w:sz w:val="20"/>
              </w:rPr>
            </w:pPr>
            <w:hyperlink r:id="rId50" w:history="1">
              <w:r w:rsidR="00393657" w:rsidRPr="00F02DF6">
                <w:rPr>
                  <w:rFonts w:eastAsia="Calibri"/>
                  <w:color w:val="0000FF"/>
                  <w:sz w:val="20"/>
                  <w:u w:val="single"/>
                </w:rPr>
                <w:t>2012 BCSC 156</w:t>
              </w:r>
            </w:hyperlink>
          </w:p>
          <w:p w:rsidR="00393657" w:rsidRPr="00F02DF6" w:rsidRDefault="00393657" w:rsidP="00C6299D">
            <w:pPr>
              <w:jc w:val="both"/>
              <w:rPr>
                <w:rFonts w:eastAsia="Calibri"/>
                <w:sz w:val="20"/>
              </w:rPr>
            </w:pPr>
          </w:p>
        </w:tc>
        <w:tc>
          <w:tcPr>
            <w:tcW w:w="243" w:type="pct"/>
          </w:tcPr>
          <w:p w:rsidR="00393657" w:rsidRPr="00F02DF6" w:rsidRDefault="00393657" w:rsidP="00C6299D">
            <w:pPr>
              <w:jc w:val="both"/>
              <w:rPr>
                <w:rFonts w:eastAsia="Calibri"/>
                <w:sz w:val="20"/>
              </w:rPr>
            </w:pPr>
          </w:p>
        </w:tc>
        <w:tc>
          <w:tcPr>
            <w:tcW w:w="2330" w:type="pct"/>
          </w:tcPr>
          <w:p w:rsidR="00393657" w:rsidRPr="00F02DF6" w:rsidRDefault="00393657" w:rsidP="00C6299D">
            <w:pPr>
              <w:jc w:val="both"/>
              <w:rPr>
                <w:rFonts w:eastAsia="Calibri"/>
                <w:sz w:val="20"/>
              </w:rPr>
            </w:pPr>
            <w:r w:rsidRPr="00F02DF6">
              <w:rPr>
                <w:rFonts w:eastAsia="Calibri"/>
                <w:sz w:val="20"/>
              </w:rPr>
              <w:t>Plaintiff’s claim for interest expense disallowed in second action</w:t>
            </w:r>
          </w:p>
        </w:tc>
      </w:tr>
      <w:tr w:rsidR="00393657" w:rsidRPr="00F02DF6" w:rsidTr="00C6299D">
        <w:tc>
          <w:tcPr>
            <w:tcW w:w="2427" w:type="pct"/>
          </w:tcPr>
          <w:p w:rsidR="00393657" w:rsidRPr="00F02DF6" w:rsidRDefault="00393657" w:rsidP="00C6299D">
            <w:pPr>
              <w:jc w:val="both"/>
              <w:rPr>
                <w:rFonts w:eastAsia="Calibri"/>
                <w:sz w:val="20"/>
              </w:rPr>
            </w:pPr>
            <w:r w:rsidRPr="00F02DF6">
              <w:rPr>
                <w:rFonts w:eastAsia="Calibri"/>
                <w:sz w:val="20"/>
              </w:rPr>
              <w:t>May 13, 2013</w:t>
            </w:r>
          </w:p>
          <w:p w:rsidR="00393657" w:rsidRPr="00F02DF6" w:rsidRDefault="00393657" w:rsidP="00C6299D">
            <w:pPr>
              <w:jc w:val="both"/>
              <w:rPr>
                <w:rFonts w:eastAsia="Calibri"/>
                <w:sz w:val="20"/>
              </w:rPr>
            </w:pPr>
            <w:r w:rsidRPr="00F02DF6">
              <w:rPr>
                <w:rFonts w:eastAsia="Calibri"/>
                <w:sz w:val="20"/>
              </w:rPr>
              <w:t>Supreme Court of British Columbia</w:t>
            </w:r>
          </w:p>
          <w:p w:rsidR="00393657" w:rsidRPr="00F02DF6" w:rsidRDefault="00393657" w:rsidP="00C6299D">
            <w:pPr>
              <w:jc w:val="both"/>
              <w:rPr>
                <w:rFonts w:eastAsia="Calibri"/>
                <w:sz w:val="20"/>
              </w:rPr>
            </w:pPr>
            <w:r w:rsidRPr="00F02DF6">
              <w:rPr>
                <w:rFonts w:eastAsia="Calibri"/>
                <w:sz w:val="20"/>
              </w:rPr>
              <w:t>(Savage J.)</w:t>
            </w:r>
          </w:p>
          <w:p w:rsidR="00393657" w:rsidRPr="00F02DF6" w:rsidRDefault="005B3B50" w:rsidP="00C6299D">
            <w:pPr>
              <w:jc w:val="both"/>
              <w:rPr>
                <w:rFonts w:eastAsia="Calibri"/>
                <w:sz w:val="20"/>
              </w:rPr>
            </w:pPr>
            <w:hyperlink r:id="rId51" w:history="1">
              <w:r w:rsidR="00393657" w:rsidRPr="00F02DF6">
                <w:rPr>
                  <w:rFonts w:eastAsia="Calibri"/>
                  <w:color w:val="0000FF"/>
                  <w:sz w:val="20"/>
                  <w:u w:val="single"/>
                </w:rPr>
                <w:t>2013 BCSC 830</w:t>
              </w:r>
            </w:hyperlink>
          </w:p>
          <w:p w:rsidR="00393657" w:rsidRPr="00F02DF6" w:rsidRDefault="00393657" w:rsidP="00C6299D">
            <w:pPr>
              <w:jc w:val="both"/>
              <w:rPr>
                <w:rFonts w:eastAsia="Calibri"/>
                <w:sz w:val="20"/>
              </w:rPr>
            </w:pPr>
          </w:p>
        </w:tc>
        <w:tc>
          <w:tcPr>
            <w:tcW w:w="243" w:type="pct"/>
          </w:tcPr>
          <w:p w:rsidR="00393657" w:rsidRPr="00F02DF6" w:rsidRDefault="00393657" w:rsidP="00C6299D">
            <w:pPr>
              <w:jc w:val="both"/>
              <w:rPr>
                <w:rFonts w:eastAsia="Calibri"/>
                <w:sz w:val="20"/>
              </w:rPr>
            </w:pPr>
          </w:p>
        </w:tc>
        <w:tc>
          <w:tcPr>
            <w:tcW w:w="2330" w:type="pct"/>
          </w:tcPr>
          <w:p w:rsidR="00393657" w:rsidRPr="00F02DF6" w:rsidRDefault="00393657" w:rsidP="00C6299D">
            <w:pPr>
              <w:jc w:val="both"/>
              <w:rPr>
                <w:rFonts w:eastAsia="Calibri"/>
                <w:sz w:val="20"/>
              </w:rPr>
            </w:pPr>
            <w:r w:rsidRPr="00F02DF6">
              <w:rPr>
                <w:rFonts w:eastAsia="Calibri"/>
                <w:sz w:val="20"/>
              </w:rPr>
              <w:t>Plaintiffs’ appeals allowed in part.  Matter referred back to Registrar to quantify reasonable interest</w:t>
            </w:r>
          </w:p>
          <w:p w:rsidR="00393657" w:rsidRPr="00F02DF6" w:rsidRDefault="00393657" w:rsidP="00C6299D">
            <w:pPr>
              <w:jc w:val="both"/>
              <w:rPr>
                <w:rFonts w:eastAsia="Calibri"/>
                <w:sz w:val="20"/>
              </w:rPr>
            </w:pPr>
          </w:p>
        </w:tc>
      </w:tr>
      <w:tr w:rsidR="00393657" w:rsidRPr="00F02DF6" w:rsidTr="00C6299D">
        <w:tc>
          <w:tcPr>
            <w:tcW w:w="2427" w:type="pct"/>
          </w:tcPr>
          <w:p w:rsidR="00393657" w:rsidRPr="00F02DF6" w:rsidRDefault="00393657" w:rsidP="00C6299D">
            <w:pPr>
              <w:jc w:val="both"/>
              <w:rPr>
                <w:rFonts w:eastAsia="Calibri"/>
                <w:sz w:val="20"/>
              </w:rPr>
            </w:pPr>
            <w:r w:rsidRPr="00F02DF6">
              <w:rPr>
                <w:rFonts w:eastAsia="Calibri"/>
                <w:sz w:val="20"/>
              </w:rPr>
              <w:t>November 17, 2014</w:t>
            </w:r>
          </w:p>
          <w:p w:rsidR="00393657" w:rsidRPr="00F02DF6" w:rsidRDefault="00393657" w:rsidP="00C6299D">
            <w:pPr>
              <w:jc w:val="both"/>
              <w:rPr>
                <w:rFonts w:eastAsia="Calibri"/>
                <w:sz w:val="20"/>
              </w:rPr>
            </w:pPr>
            <w:r w:rsidRPr="00F02DF6">
              <w:rPr>
                <w:rFonts w:eastAsia="Calibri"/>
                <w:sz w:val="20"/>
              </w:rPr>
              <w:t xml:space="preserve">Court of Appeal for British Columbia </w:t>
            </w:r>
          </w:p>
          <w:p w:rsidR="00393657" w:rsidRPr="00F02DF6" w:rsidRDefault="00393657" w:rsidP="00C6299D">
            <w:pPr>
              <w:jc w:val="both"/>
              <w:rPr>
                <w:rFonts w:eastAsia="Calibri"/>
                <w:sz w:val="20"/>
              </w:rPr>
            </w:pPr>
            <w:r w:rsidRPr="00F02DF6">
              <w:rPr>
                <w:rFonts w:eastAsia="Calibri"/>
                <w:sz w:val="20"/>
              </w:rPr>
              <w:t>(Vancouver)</w:t>
            </w:r>
          </w:p>
          <w:p w:rsidR="00393657" w:rsidRPr="00F02DF6" w:rsidRDefault="00393657" w:rsidP="00C6299D">
            <w:pPr>
              <w:jc w:val="both"/>
              <w:rPr>
                <w:rFonts w:eastAsia="Calibri"/>
                <w:sz w:val="20"/>
              </w:rPr>
            </w:pPr>
            <w:r w:rsidRPr="00F02DF6">
              <w:rPr>
                <w:rFonts w:eastAsia="Calibri"/>
                <w:sz w:val="20"/>
              </w:rPr>
              <w:t>(Smith, Bennett and Harris JJ.A.)</w:t>
            </w:r>
          </w:p>
          <w:p w:rsidR="00393657" w:rsidRPr="00F02DF6" w:rsidRDefault="005B3B50" w:rsidP="00C6299D">
            <w:pPr>
              <w:jc w:val="both"/>
              <w:rPr>
                <w:rFonts w:eastAsia="Calibri"/>
                <w:sz w:val="20"/>
              </w:rPr>
            </w:pPr>
            <w:hyperlink r:id="rId52" w:history="1">
              <w:r w:rsidR="00393657" w:rsidRPr="00F02DF6">
                <w:rPr>
                  <w:rFonts w:eastAsia="Calibri"/>
                  <w:color w:val="0000FF"/>
                  <w:sz w:val="20"/>
                  <w:u w:val="single"/>
                </w:rPr>
                <w:t>2014 BCCA 446</w:t>
              </w:r>
            </w:hyperlink>
          </w:p>
          <w:p w:rsidR="00393657" w:rsidRPr="00F02DF6" w:rsidRDefault="00393657" w:rsidP="00C6299D">
            <w:pPr>
              <w:jc w:val="both"/>
              <w:rPr>
                <w:rFonts w:eastAsia="Calibri"/>
                <w:sz w:val="20"/>
              </w:rPr>
            </w:pPr>
          </w:p>
        </w:tc>
        <w:tc>
          <w:tcPr>
            <w:tcW w:w="243" w:type="pct"/>
          </w:tcPr>
          <w:p w:rsidR="00393657" w:rsidRPr="00F02DF6" w:rsidRDefault="00393657" w:rsidP="00C6299D">
            <w:pPr>
              <w:jc w:val="both"/>
              <w:rPr>
                <w:rFonts w:eastAsia="Calibri"/>
                <w:sz w:val="20"/>
              </w:rPr>
            </w:pPr>
          </w:p>
        </w:tc>
        <w:tc>
          <w:tcPr>
            <w:tcW w:w="2330" w:type="pct"/>
          </w:tcPr>
          <w:p w:rsidR="00393657" w:rsidRPr="00F02DF6" w:rsidRDefault="00393657" w:rsidP="00C6299D">
            <w:pPr>
              <w:jc w:val="both"/>
              <w:rPr>
                <w:rFonts w:eastAsia="Calibri"/>
                <w:sz w:val="20"/>
              </w:rPr>
            </w:pPr>
            <w:r w:rsidRPr="00F02DF6">
              <w:rPr>
                <w:rFonts w:eastAsia="Calibri"/>
                <w:sz w:val="20"/>
              </w:rPr>
              <w:t xml:space="preserve">Respondents’ appeals allowed; Out-of-pocket interest expense incurred to finance disbursements not recoverable </w:t>
            </w:r>
          </w:p>
          <w:p w:rsidR="00393657" w:rsidRPr="00F02DF6" w:rsidRDefault="00393657" w:rsidP="00C6299D">
            <w:pPr>
              <w:jc w:val="both"/>
              <w:rPr>
                <w:rFonts w:eastAsia="Calibri"/>
                <w:sz w:val="20"/>
              </w:rPr>
            </w:pPr>
          </w:p>
        </w:tc>
      </w:tr>
      <w:tr w:rsidR="00393657" w:rsidRPr="00F02DF6" w:rsidTr="00C6299D">
        <w:tc>
          <w:tcPr>
            <w:tcW w:w="2427" w:type="pct"/>
          </w:tcPr>
          <w:p w:rsidR="00393657" w:rsidRPr="00F02DF6" w:rsidRDefault="00393657" w:rsidP="00C6299D">
            <w:pPr>
              <w:jc w:val="both"/>
              <w:rPr>
                <w:rFonts w:eastAsia="Calibri"/>
                <w:sz w:val="20"/>
              </w:rPr>
            </w:pPr>
            <w:r w:rsidRPr="00F02DF6">
              <w:rPr>
                <w:rFonts w:eastAsia="Calibri"/>
                <w:sz w:val="20"/>
              </w:rPr>
              <w:t>January 16, 2015</w:t>
            </w:r>
          </w:p>
          <w:p w:rsidR="00393657" w:rsidRPr="00F02DF6" w:rsidRDefault="00393657" w:rsidP="00C6299D">
            <w:pPr>
              <w:jc w:val="both"/>
              <w:rPr>
                <w:rFonts w:eastAsia="Calibri"/>
                <w:sz w:val="20"/>
              </w:rPr>
            </w:pPr>
            <w:r w:rsidRPr="00F02DF6">
              <w:rPr>
                <w:rFonts w:eastAsia="Calibri"/>
                <w:sz w:val="20"/>
              </w:rPr>
              <w:t>Supreme Court of Canada</w:t>
            </w:r>
          </w:p>
        </w:tc>
        <w:tc>
          <w:tcPr>
            <w:tcW w:w="243" w:type="pct"/>
          </w:tcPr>
          <w:p w:rsidR="00393657" w:rsidRPr="00F02DF6" w:rsidRDefault="00393657" w:rsidP="00C6299D">
            <w:pPr>
              <w:jc w:val="both"/>
              <w:rPr>
                <w:rFonts w:eastAsia="Calibri"/>
                <w:sz w:val="20"/>
              </w:rPr>
            </w:pPr>
          </w:p>
        </w:tc>
        <w:tc>
          <w:tcPr>
            <w:tcW w:w="2330" w:type="pct"/>
          </w:tcPr>
          <w:p w:rsidR="00393657" w:rsidRPr="00F02DF6" w:rsidRDefault="00393657" w:rsidP="00C6299D">
            <w:pPr>
              <w:jc w:val="both"/>
              <w:rPr>
                <w:rFonts w:eastAsia="Calibri"/>
                <w:sz w:val="20"/>
              </w:rPr>
            </w:pPr>
            <w:r w:rsidRPr="00F02DF6">
              <w:rPr>
                <w:rFonts w:eastAsia="Calibri"/>
                <w:sz w:val="20"/>
              </w:rPr>
              <w:t>Application for leave to appeal filed</w:t>
            </w:r>
          </w:p>
          <w:p w:rsidR="00393657" w:rsidRPr="00F02DF6" w:rsidRDefault="00393657" w:rsidP="00C6299D">
            <w:pPr>
              <w:jc w:val="both"/>
              <w:rPr>
                <w:rFonts w:eastAsia="Calibri"/>
                <w:sz w:val="20"/>
              </w:rPr>
            </w:pPr>
          </w:p>
        </w:tc>
      </w:tr>
    </w:tbl>
    <w:p w:rsidR="00A23156" w:rsidRDefault="00A23156" w:rsidP="00A23156">
      <w:pPr>
        <w:rPr>
          <w:sz w:val="20"/>
          <w:szCs w:val="20"/>
        </w:rPr>
      </w:pPr>
    </w:p>
    <w:p w:rsidR="00A23156" w:rsidRPr="00C50A5C" w:rsidRDefault="005B3B50" w:rsidP="00A23156">
      <w:pPr>
        <w:rPr>
          <w:sz w:val="20"/>
          <w:szCs w:val="20"/>
        </w:rPr>
      </w:pPr>
      <w:r>
        <w:rPr>
          <w:sz w:val="20"/>
          <w:szCs w:val="20"/>
          <w:lang w:val="fr-CA"/>
        </w:rPr>
        <w:pict>
          <v:rect id="_x0000_i1055" style="width:2in;height:1pt" o:hrpct="0" o:hralign="center" o:hrstd="t" o:hrnoshade="t" o:hr="t" fillcolor="black [3213]" stroked="f"/>
        </w:pict>
      </w:r>
    </w:p>
    <w:p w:rsidR="00A23156" w:rsidRDefault="00A23156" w:rsidP="00A23156">
      <w:pPr>
        <w:rPr>
          <w:sz w:val="20"/>
          <w:szCs w:val="20"/>
        </w:rPr>
      </w:pPr>
    </w:p>
    <w:p w:rsidR="00A23156" w:rsidRPr="001B157C" w:rsidRDefault="00A23156" w:rsidP="00A23156">
      <w:pPr>
        <w:rPr>
          <w:sz w:val="20"/>
          <w:szCs w:val="20"/>
          <w:u w:val="single"/>
          <w:lang w:val="fr-CA"/>
        </w:rPr>
      </w:pPr>
      <w:r w:rsidRPr="001B157C">
        <w:rPr>
          <w:sz w:val="20"/>
          <w:szCs w:val="20"/>
          <w:u w:val="single"/>
          <w:lang w:val="fr-CA"/>
        </w:rPr>
        <w:t>RÉSUMÉ DE L’AFFAIRE</w:t>
      </w:r>
    </w:p>
    <w:p w:rsidR="00A23156" w:rsidRDefault="00A23156" w:rsidP="00A2315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3657" w:rsidRPr="00D229C1" w:rsidTr="00C6299D">
        <w:tc>
          <w:tcPr>
            <w:tcW w:w="5000" w:type="pct"/>
            <w:gridSpan w:val="3"/>
          </w:tcPr>
          <w:p w:rsidR="00393657" w:rsidRPr="00F02DF6" w:rsidRDefault="00393657" w:rsidP="00C6299D">
            <w:pPr>
              <w:widowControl w:val="0"/>
              <w:jc w:val="both"/>
              <w:rPr>
                <w:rFonts w:eastAsia="Calibri"/>
                <w:sz w:val="20"/>
                <w:lang w:val="fr-CA"/>
              </w:rPr>
            </w:pPr>
            <w:r w:rsidRPr="00F02DF6">
              <w:rPr>
                <w:rFonts w:eastAsia="Calibri"/>
                <w:sz w:val="20"/>
                <w:lang w:val="fr-CA"/>
              </w:rPr>
              <w:t xml:space="preserve">Procédure civile – Dépens – Les demandeurs qui ont eu gain de cause dans deux actions pour blessures corporelles réclament les intérêts courus sur les sommes d’argent empruntées pour financer leurs débours en tant que dépens recouvrables à la taxation – </w:t>
            </w:r>
            <w:r w:rsidRPr="00F02DF6">
              <w:rPr>
                <w:rFonts w:eastAsia="Calibri"/>
                <w:bCs/>
                <w:sz w:val="20"/>
                <w:lang w:val="fr-CA"/>
              </w:rPr>
              <w:t>Les sommes d’argent versées pour payer les intérêts nécessairement ou légitimement contractés par la partie qui a eu gain de cause à titre de frais engagés pour financer les débours d’une action en justice sont-elles recouvrables en tant qu’élément des dépens auxquels est condamnée la partie déboutée?</w:t>
            </w:r>
          </w:p>
        </w:tc>
      </w:tr>
      <w:tr w:rsidR="00393657" w:rsidRPr="00D229C1" w:rsidTr="00C6299D">
        <w:tc>
          <w:tcPr>
            <w:tcW w:w="5000" w:type="pct"/>
            <w:gridSpan w:val="3"/>
          </w:tcPr>
          <w:p w:rsidR="00393657" w:rsidRPr="00F02DF6" w:rsidRDefault="00393657" w:rsidP="00C6299D">
            <w:pPr>
              <w:jc w:val="both"/>
              <w:rPr>
                <w:rFonts w:eastAsia="Calibri"/>
                <w:sz w:val="20"/>
                <w:lang w:val="fr-CA"/>
              </w:rPr>
            </w:pPr>
          </w:p>
        </w:tc>
      </w:tr>
      <w:tr w:rsidR="00393657" w:rsidRPr="002A1430" w:rsidTr="00C6299D">
        <w:tc>
          <w:tcPr>
            <w:tcW w:w="5000" w:type="pct"/>
            <w:gridSpan w:val="3"/>
          </w:tcPr>
          <w:p w:rsidR="00393657" w:rsidRPr="00F02DF6" w:rsidRDefault="00393657" w:rsidP="00C6299D">
            <w:pPr>
              <w:jc w:val="both"/>
              <w:rPr>
                <w:rFonts w:eastAsia="Calibri"/>
                <w:sz w:val="20"/>
                <w:lang w:val="fr-CA"/>
              </w:rPr>
            </w:pPr>
            <w:r w:rsidRPr="00F02DF6">
              <w:rPr>
                <w:rFonts w:eastAsia="Calibri"/>
                <w:sz w:val="20"/>
                <w:lang w:val="fr-CA"/>
              </w:rPr>
              <w:t xml:space="preserve">Le demandeur dans l’affaire </w:t>
            </w:r>
            <w:r w:rsidRPr="00F02DF6">
              <w:rPr>
                <w:rFonts w:eastAsia="Calibri"/>
                <w:i/>
                <w:sz w:val="20"/>
                <w:lang w:val="fr-CA"/>
              </w:rPr>
              <w:t>Chandi c. Atwell</w:t>
            </w:r>
            <w:r w:rsidRPr="00F02DF6">
              <w:rPr>
                <w:rFonts w:eastAsia="Calibri"/>
                <w:sz w:val="20"/>
                <w:lang w:val="fr-CA"/>
              </w:rPr>
              <w:t xml:space="preserve"> était âgé de cinq ans lorsqu’il a été blessé dans un accident de la route en 2004.  Sa demande a été réglée à l’amiable avant le procès pour un certain montant, majoré des dépens et des débours taxables.  Le demandeur a voulu inclure dans les débours la somme de 25 668,92 $ qu’il devait à un prêteur tiers à titre d’intérêts.  L’emprunt avait été contracté pour financer les débours nécessaires pour faire sa preuve.  Dans </w:t>
            </w:r>
            <w:r w:rsidRPr="00F02DF6">
              <w:rPr>
                <w:rFonts w:eastAsia="Calibri"/>
                <w:i/>
                <w:sz w:val="20"/>
                <w:lang w:val="fr-CA"/>
              </w:rPr>
              <w:t>MacKenzie c. Rogalasky</w:t>
            </w:r>
            <w:r w:rsidRPr="00F02DF6">
              <w:rPr>
                <w:rFonts w:eastAsia="Calibri"/>
                <w:sz w:val="20"/>
                <w:lang w:val="fr-CA"/>
              </w:rPr>
              <w:t>, le demandeur a lui-aussi été blessé dans un accident de la route.  Il n’avait pas l’argent pour financer son action en justice et il a emprunté la somme de 25 000 $ d’un prêteur qui se spécialisait dans le financement des débours.  Il a perçu la somme qu’il avait touchée par jugement et a remboursé l’emprunt, y compris la somme de 11 324,71 $ en intérêts courus.  Les deux demandeurs ont réclamé les frais d’intérêts sur les emprunts contractés pour financer leurs actions en justice en tant que débours à la taxation.</w:t>
            </w:r>
          </w:p>
          <w:p w:rsidR="00393657" w:rsidRPr="00F02DF6" w:rsidRDefault="00393657" w:rsidP="00C6299D">
            <w:pPr>
              <w:jc w:val="both"/>
              <w:rPr>
                <w:rFonts w:eastAsia="Calibri"/>
                <w:sz w:val="20"/>
                <w:lang w:val="fr-CA"/>
              </w:rPr>
            </w:pPr>
          </w:p>
        </w:tc>
      </w:tr>
      <w:tr w:rsidR="00393657" w:rsidRPr="002A1430" w:rsidTr="00C6299D">
        <w:tc>
          <w:tcPr>
            <w:tcW w:w="2427" w:type="pct"/>
          </w:tcPr>
          <w:p w:rsidR="00393657" w:rsidRPr="00F02DF6" w:rsidRDefault="00393657" w:rsidP="00C6299D">
            <w:pPr>
              <w:jc w:val="both"/>
              <w:rPr>
                <w:rFonts w:eastAsia="Calibri"/>
                <w:sz w:val="20"/>
                <w:lang w:val="fr-CA"/>
              </w:rPr>
            </w:pPr>
            <w:r w:rsidRPr="00F02DF6">
              <w:rPr>
                <w:rFonts w:eastAsia="Calibri"/>
                <w:sz w:val="20"/>
                <w:lang w:val="fr-CA"/>
              </w:rPr>
              <w:t>4 novembre 2011</w:t>
            </w:r>
          </w:p>
          <w:p w:rsidR="00393657" w:rsidRPr="00F02DF6" w:rsidRDefault="00393657" w:rsidP="00C6299D">
            <w:pPr>
              <w:jc w:val="both"/>
              <w:rPr>
                <w:rFonts w:eastAsia="Calibri"/>
                <w:sz w:val="20"/>
                <w:lang w:val="fr-CA"/>
              </w:rPr>
            </w:pPr>
            <w:r w:rsidRPr="00F02DF6">
              <w:rPr>
                <w:rFonts w:eastAsia="Calibri"/>
                <w:sz w:val="20"/>
                <w:lang w:val="fr-CA"/>
              </w:rPr>
              <w:t>Cour suprême de la Colombie-Britannique</w:t>
            </w:r>
          </w:p>
          <w:p w:rsidR="00393657" w:rsidRPr="00F02DF6" w:rsidRDefault="00393657" w:rsidP="00C6299D">
            <w:pPr>
              <w:jc w:val="both"/>
              <w:rPr>
                <w:rFonts w:eastAsia="Calibri"/>
                <w:sz w:val="20"/>
                <w:lang w:val="fr-CA"/>
              </w:rPr>
            </w:pPr>
            <w:r w:rsidRPr="00F02DF6">
              <w:rPr>
                <w:rFonts w:eastAsia="Calibri"/>
                <w:sz w:val="20"/>
                <w:lang w:val="fr-CA"/>
              </w:rPr>
              <w:t>(Greffier de district Cameron)</w:t>
            </w:r>
          </w:p>
          <w:p w:rsidR="00393657" w:rsidRPr="00F02DF6" w:rsidRDefault="005B3B50" w:rsidP="00C6299D">
            <w:pPr>
              <w:jc w:val="both"/>
              <w:rPr>
                <w:rFonts w:eastAsia="Calibri"/>
                <w:sz w:val="20"/>
                <w:lang w:val="fr-CA"/>
              </w:rPr>
            </w:pPr>
            <w:hyperlink r:id="rId53" w:history="1">
              <w:r w:rsidR="00393657" w:rsidRPr="00F02DF6">
                <w:rPr>
                  <w:rFonts w:eastAsia="Calibri"/>
                  <w:color w:val="0000FF"/>
                  <w:sz w:val="20"/>
                  <w:u w:val="single"/>
                  <w:lang w:val="fr-CA"/>
                </w:rPr>
                <w:t>2011 BCSC 1498</w:t>
              </w:r>
            </w:hyperlink>
          </w:p>
          <w:p w:rsidR="00393657" w:rsidRPr="00F02DF6" w:rsidRDefault="00393657" w:rsidP="00C6299D">
            <w:pPr>
              <w:jc w:val="both"/>
              <w:rPr>
                <w:rFonts w:eastAsia="Calibri"/>
                <w:sz w:val="20"/>
                <w:lang w:val="fr-CA"/>
              </w:rPr>
            </w:pPr>
          </w:p>
        </w:tc>
        <w:tc>
          <w:tcPr>
            <w:tcW w:w="243" w:type="pct"/>
          </w:tcPr>
          <w:p w:rsidR="00393657" w:rsidRPr="00F02DF6" w:rsidRDefault="00393657" w:rsidP="00C6299D">
            <w:pPr>
              <w:jc w:val="both"/>
              <w:rPr>
                <w:rFonts w:eastAsia="Calibri"/>
                <w:sz w:val="20"/>
                <w:lang w:val="fr-CA"/>
              </w:rPr>
            </w:pPr>
          </w:p>
        </w:tc>
        <w:tc>
          <w:tcPr>
            <w:tcW w:w="2330" w:type="pct"/>
          </w:tcPr>
          <w:p w:rsidR="00393657" w:rsidRPr="00F02DF6" w:rsidRDefault="00393657" w:rsidP="00C6299D">
            <w:pPr>
              <w:jc w:val="both"/>
              <w:rPr>
                <w:rFonts w:eastAsia="Calibri"/>
                <w:sz w:val="20"/>
                <w:lang w:val="fr-CA"/>
              </w:rPr>
            </w:pPr>
            <w:r w:rsidRPr="00F02DF6">
              <w:rPr>
                <w:rFonts w:eastAsia="Calibri"/>
                <w:sz w:val="20"/>
                <w:lang w:val="fr-CA"/>
              </w:rPr>
              <w:t>Décision autorisant en partie la réclamation du demandeur au titre des frais d’intérêts dans la première action</w:t>
            </w:r>
          </w:p>
        </w:tc>
      </w:tr>
      <w:tr w:rsidR="00393657" w:rsidRPr="002A1430" w:rsidTr="00C6299D">
        <w:tc>
          <w:tcPr>
            <w:tcW w:w="2427" w:type="pct"/>
          </w:tcPr>
          <w:p w:rsidR="00393657" w:rsidRPr="00F02DF6" w:rsidRDefault="00393657" w:rsidP="00C6299D">
            <w:pPr>
              <w:jc w:val="both"/>
              <w:rPr>
                <w:rFonts w:eastAsia="Calibri"/>
                <w:sz w:val="20"/>
                <w:lang w:val="fr-CA"/>
              </w:rPr>
            </w:pPr>
            <w:r w:rsidRPr="00F02DF6">
              <w:rPr>
                <w:rFonts w:eastAsia="Calibri"/>
                <w:sz w:val="20"/>
                <w:lang w:val="fr-CA"/>
              </w:rPr>
              <w:t>17 janvier 2012</w:t>
            </w:r>
          </w:p>
          <w:p w:rsidR="00393657" w:rsidRPr="00F02DF6" w:rsidRDefault="00393657" w:rsidP="00C6299D">
            <w:pPr>
              <w:jc w:val="both"/>
              <w:rPr>
                <w:rFonts w:eastAsia="Calibri"/>
                <w:sz w:val="20"/>
                <w:lang w:val="fr-CA"/>
              </w:rPr>
            </w:pPr>
            <w:r w:rsidRPr="00F02DF6">
              <w:rPr>
                <w:rFonts w:eastAsia="Calibri"/>
                <w:sz w:val="20"/>
                <w:lang w:val="fr-CA"/>
              </w:rPr>
              <w:t>Cour suprême de la Colombie-Britannique</w:t>
            </w:r>
          </w:p>
          <w:p w:rsidR="00393657" w:rsidRPr="00F02DF6" w:rsidRDefault="00393657" w:rsidP="00C6299D">
            <w:pPr>
              <w:jc w:val="both"/>
              <w:rPr>
                <w:rFonts w:eastAsia="Calibri"/>
                <w:sz w:val="20"/>
                <w:lang w:val="fr-CA"/>
              </w:rPr>
            </w:pPr>
            <w:r w:rsidRPr="00F02DF6">
              <w:rPr>
                <w:rFonts w:eastAsia="Calibri"/>
                <w:sz w:val="20"/>
                <w:lang w:val="fr-CA"/>
              </w:rPr>
              <w:t>(Greffier Sainty)</w:t>
            </w:r>
          </w:p>
          <w:p w:rsidR="00393657" w:rsidRPr="00F02DF6" w:rsidRDefault="005B3B50" w:rsidP="00C6299D">
            <w:pPr>
              <w:jc w:val="both"/>
              <w:rPr>
                <w:rFonts w:eastAsia="Calibri"/>
                <w:sz w:val="20"/>
                <w:lang w:val="fr-CA"/>
              </w:rPr>
            </w:pPr>
            <w:hyperlink r:id="rId54" w:history="1">
              <w:r w:rsidR="00393657" w:rsidRPr="00F02DF6">
                <w:rPr>
                  <w:rFonts w:eastAsia="Calibri"/>
                  <w:color w:val="0000FF"/>
                  <w:sz w:val="20"/>
                  <w:u w:val="single"/>
                  <w:lang w:val="fr-CA"/>
                </w:rPr>
                <w:t>2012 BCSC 156</w:t>
              </w:r>
            </w:hyperlink>
          </w:p>
          <w:p w:rsidR="00393657" w:rsidRPr="00F02DF6" w:rsidRDefault="00393657" w:rsidP="00C6299D">
            <w:pPr>
              <w:jc w:val="both"/>
              <w:rPr>
                <w:rFonts w:eastAsia="Calibri"/>
                <w:sz w:val="20"/>
                <w:lang w:val="fr-CA"/>
              </w:rPr>
            </w:pPr>
          </w:p>
        </w:tc>
        <w:tc>
          <w:tcPr>
            <w:tcW w:w="243" w:type="pct"/>
          </w:tcPr>
          <w:p w:rsidR="00393657" w:rsidRPr="00F02DF6" w:rsidRDefault="00393657" w:rsidP="00C6299D">
            <w:pPr>
              <w:jc w:val="both"/>
              <w:rPr>
                <w:rFonts w:eastAsia="Calibri"/>
                <w:sz w:val="20"/>
                <w:lang w:val="fr-CA"/>
              </w:rPr>
            </w:pPr>
          </w:p>
        </w:tc>
        <w:tc>
          <w:tcPr>
            <w:tcW w:w="2330" w:type="pct"/>
          </w:tcPr>
          <w:p w:rsidR="00393657" w:rsidRPr="00F02DF6" w:rsidRDefault="00393657" w:rsidP="00C6299D">
            <w:pPr>
              <w:jc w:val="both"/>
              <w:rPr>
                <w:rFonts w:eastAsia="Calibri"/>
                <w:sz w:val="20"/>
                <w:lang w:val="fr-CA"/>
              </w:rPr>
            </w:pPr>
            <w:r w:rsidRPr="00F02DF6">
              <w:rPr>
                <w:rFonts w:eastAsia="Calibri"/>
                <w:sz w:val="20"/>
                <w:lang w:val="fr-CA"/>
              </w:rPr>
              <w:t>Rejet de la réclamation du demandeur au titre des frais d’intérêts dans la deuxième action</w:t>
            </w:r>
          </w:p>
        </w:tc>
      </w:tr>
      <w:tr w:rsidR="00393657" w:rsidRPr="002A1430" w:rsidTr="00C6299D">
        <w:tc>
          <w:tcPr>
            <w:tcW w:w="2427" w:type="pct"/>
          </w:tcPr>
          <w:p w:rsidR="00393657" w:rsidRPr="00F02DF6" w:rsidRDefault="00393657" w:rsidP="00C6299D">
            <w:pPr>
              <w:jc w:val="both"/>
              <w:rPr>
                <w:rFonts w:eastAsia="Calibri"/>
                <w:sz w:val="20"/>
                <w:lang w:val="fr-CA"/>
              </w:rPr>
            </w:pPr>
            <w:r w:rsidRPr="00F02DF6">
              <w:rPr>
                <w:rFonts w:eastAsia="Calibri"/>
                <w:sz w:val="20"/>
                <w:lang w:val="fr-CA"/>
              </w:rPr>
              <w:t>13 mai 2013</w:t>
            </w:r>
          </w:p>
          <w:p w:rsidR="00393657" w:rsidRPr="00F02DF6" w:rsidRDefault="00393657" w:rsidP="00C6299D">
            <w:pPr>
              <w:jc w:val="both"/>
              <w:rPr>
                <w:rFonts w:eastAsia="Calibri"/>
                <w:sz w:val="20"/>
                <w:lang w:val="fr-CA"/>
              </w:rPr>
            </w:pPr>
            <w:r w:rsidRPr="00F02DF6">
              <w:rPr>
                <w:rFonts w:eastAsia="Calibri"/>
                <w:sz w:val="20"/>
                <w:lang w:val="fr-CA"/>
              </w:rPr>
              <w:t>Cour suprême de la Colombie-Britannique</w:t>
            </w:r>
          </w:p>
          <w:p w:rsidR="00393657" w:rsidRPr="00F02DF6" w:rsidRDefault="00393657" w:rsidP="00C6299D">
            <w:pPr>
              <w:jc w:val="both"/>
              <w:rPr>
                <w:rFonts w:eastAsia="Calibri"/>
                <w:sz w:val="20"/>
                <w:lang w:val="fr-CA"/>
              </w:rPr>
            </w:pPr>
            <w:r w:rsidRPr="00F02DF6">
              <w:rPr>
                <w:rFonts w:eastAsia="Calibri"/>
                <w:sz w:val="20"/>
                <w:lang w:val="fr-CA"/>
              </w:rPr>
              <w:t>(Juge Savage)</w:t>
            </w:r>
          </w:p>
          <w:p w:rsidR="00393657" w:rsidRPr="00F02DF6" w:rsidRDefault="005B3B50" w:rsidP="00C6299D">
            <w:pPr>
              <w:jc w:val="both"/>
              <w:rPr>
                <w:rFonts w:eastAsia="Calibri"/>
                <w:sz w:val="20"/>
                <w:lang w:val="fr-CA"/>
              </w:rPr>
            </w:pPr>
            <w:hyperlink r:id="rId55" w:history="1">
              <w:r w:rsidR="00393657" w:rsidRPr="00F02DF6">
                <w:rPr>
                  <w:rFonts w:eastAsia="Calibri"/>
                  <w:color w:val="0000FF"/>
                  <w:sz w:val="20"/>
                  <w:u w:val="single"/>
                  <w:lang w:val="fr-CA"/>
                </w:rPr>
                <w:t>2013 BCSC 830</w:t>
              </w:r>
            </w:hyperlink>
          </w:p>
          <w:p w:rsidR="00393657" w:rsidRPr="00F02DF6" w:rsidRDefault="00393657" w:rsidP="00C6299D">
            <w:pPr>
              <w:jc w:val="both"/>
              <w:rPr>
                <w:rFonts w:eastAsia="Calibri"/>
                <w:sz w:val="20"/>
                <w:lang w:val="fr-CA"/>
              </w:rPr>
            </w:pPr>
          </w:p>
        </w:tc>
        <w:tc>
          <w:tcPr>
            <w:tcW w:w="243" w:type="pct"/>
          </w:tcPr>
          <w:p w:rsidR="00393657" w:rsidRPr="00F02DF6" w:rsidRDefault="00393657" w:rsidP="00C6299D">
            <w:pPr>
              <w:jc w:val="both"/>
              <w:rPr>
                <w:rFonts w:eastAsia="Calibri"/>
                <w:sz w:val="20"/>
                <w:lang w:val="fr-CA"/>
              </w:rPr>
            </w:pPr>
          </w:p>
        </w:tc>
        <w:tc>
          <w:tcPr>
            <w:tcW w:w="2330" w:type="pct"/>
          </w:tcPr>
          <w:p w:rsidR="00393657" w:rsidRPr="00F02DF6" w:rsidRDefault="00393657" w:rsidP="00C6299D">
            <w:pPr>
              <w:jc w:val="both"/>
              <w:rPr>
                <w:rFonts w:eastAsia="Calibri"/>
                <w:sz w:val="20"/>
                <w:lang w:val="fr-CA"/>
              </w:rPr>
            </w:pPr>
            <w:r w:rsidRPr="00F02DF6">
              <w:rPr>
                <w:rFonts w:eastAsia="Calibri"/>
                <w:sz w:val="20"/>
                <w:lang w:val="fr-CA"/>
              </w:rPr>
              <w:t>Jugement accueillant en partie les appels des demandeurs.  Renvoi de l’affaire au greffier pour qu’il quantifie l’intérêt raisonnable</w:t>
            </w:r>
          </w:p>
          <w:p w:rsidR="00393657" w:rsidRPr="00F02DF6" w:rsidRDefault="00393657" w:rsidP="00C6299D">
            <w:pPr>
              <w:jc w:val="both"/>
              <w:rPr>
                <w:rFonts w:eastAsia="Calibri"/>
                <w:sz w:val="20"/>
                <w:lang w:val="fr-CA"/>
              </w:rPr>
            </w:pPr>
          </w:p>
        </w:tc>
      </w:tr>
      <w:tr w:rsidR="00393657" w:rsidRPr="002A1430" w:rsidTr="00C6299D">
        <w:tc>
          <w:tcPr>
            <w:tcW w:w="2427" w:type="pct"/>
          </w:tcPr>
          <w:p w:rsidR="00393657" w:rsidRPr="00F02DF6" w:rsidRDefault="00393657" w:rsidP="00C6299D">
            <w:pPr>
              <w:jc w:val="both"/>
              <w:rPr>
                <w:rFonts w:eastAsia="Calibri"/>
                <w:sz w:val="20"/>
                <w:lang w:val="fr-CA"/>
              </w:rPr>
            </w:pPr>
            <w:r w:rsidRPr="00F02DF6">
              <w:rPr>
                <w:rFonts w:eastAsia="Calibri"/>
                <w:sz w:val="20"/>
                <w:lang w:val="fr-CA"/>
              </w:rPr>
              <w:t>17 novembre 2014</w:t>
            </w:r>
          </w:p>
          <w:p w:rsidR="00393657" w:rsidRPr="00F02DF6" w:rsidRDefault="00393657" w:rsidP="00C6299D">
            <w:pPr>
              <w:jc w:val="both"/>
              <w:rPr>
                <w:rFonts w:eastAsia="Calibri"/>
                <w:sz w:val="20"/>
                <w:lang w:val="fr-CA"/>
              </w:rPr>
            </w:pPr>
            <w:r w:rsidRPr="00F02DF6">
              <w:rPr>
                <w:rFonts w:eastAsia="Calibri"/>
                <w:sz w:val="20"/>
                <w:lang w:val="fr-CA"/>
              </w:rPr>
              <w:t>Cour d’appel de la Colombie-Britannique</w:t>
            </w:r>
          </w:p>
          <w:p w:rsidR="00393657" w:rsidRPr="00F02DF6" w:rsidRDefault="00393657" w:rsidP="00C6299D">
            <w:pPr>
              <w:jc w:val="both"/>
              <w:rPr>
                <w:rFonts w:eastAsia="Calibri"/>
                <w:sz w:val="20"/>
                <w:lang w:val="fr-CA"/>
              </w:rPr>
            </w:pPr>
            <w:r w:rsidRPr="00F02DF6">
              <w:rPr>
                <w:rFonts w:eastAsia="Calibri"/>
                <w:sz w:val="20"/>
                <w:lang w:val="fr-CA"/>
              </w:rPr>
              <w:t>(Vancouver)</w:t>
            </w:r>
          </w:p>
          <w:p w:rsidR="00393657" w:rsidRPr="00F02DF6" w:rsidRDefault="00393657" w:rsidP="00C6299D">
            <w:pPr>
              <w:jc w:val="both"/>
              <w:rPr>
                <w:rFonts w:eastAsia="Calibri"/>
                <w:sz w:val="20"/>
                <w:lang w:val="fr-CA"/>
              </w:rPr>
            </w:pPr>
            <w:r w:rsidRPr="00F02DF6">
              <w:rPr>
                <w:rFonts w:eastAsia="Calibri"/>
                <w:sz w:val="20"/>
                <w:lang w:val="fr-CA"/>
              </w:rPr>
              <w:t>(Juges Smith, Bennett et Harris)</w:t>
            </w:r>
          </w:p>
          <w:p w:rsidR="00393657" w:rsidRPr="00F02DF6" w:rsidRDefault="005B3B50" w:rsidP="00C6299D">
            <w:pPr>
              <w:jc w:val="both"/>
              <w:rPr>
                <w:rFonts w:eastAsia="Calibri"/>
                <w:sz w:val="20"/>
              </w:rPr>
            </w:pPr>
            <w:hyperlink r:id="rId56" w:history="1">
              <w:r w:rsidR="00393657" w:rsidRPr="00F02DF6">
                <w:rPr>
                  <w:rFonts w:eastAsia="Calibri"/>
                  <w:color w:val="0000FF"/>
                  <w:sz w:val="20"/>
                  <w:u w:val="single"/>
                  <w:lang w:val="fr-CA"/>
                </w:rPr>
                <w:t>2014 BCCA 446</w:t>
              </w:r>
            </w:hyperlink>
          </w:p>
          <w:p w:rsidR="00393657" w:rsidRPr="00F02DF6" w:rsidRDefault="00393657" w:rsidP="00C6299D">
            <w:pPr>
              <w:jc w:val="both"/>
              <w:rPr>
                <w:rFonts w:eastAsia="Calibri"/>
                <w:sz w:val="20"/>
                <w:lang w:val="fr-CA"/>
              </w:rPr>
            </w:pPr>
          </w:p>
        </w:tc>
        <w:tc>
          <w:tcPr>
            <w:tcW w:w="243" w:type="pct"/>
          </w:tcPr>
          <w:p w:rsidR="00393657" w:rsidRPr="00F02DF6" w:rsidRDefault="00393657" w:rsidP="00C6299D">
            <w:pPr>
              <w:jc w:val="both"/>
              <w:rPr>
                <w:rFonts w:eastAsia="Calibri"/>
                <w:sz w:val="20"/>
                <w:lang w:val="fr-CA"/>
              </w:rPr>
            </w:pPr>
          </w:p>
        </w:tc>
        <w:tc>
          <w:tcPr>
            <w:tcW w:w="2330" w:type="pct"/>
          </w:tcPr>
          <w:p w:rsidR="00393657" w:rsidRPr="00F02DF6" w:rsidRDefault="00393657" w:rsidP="00C6299D">
            <w:pPr>
              <w:jc w:val="both"/>
              <w:rPr>
                <w:rFonts w:eastAsia="Calibri"/>
                <w:sz w:val="20"/>
                <w:lang w:val="fr-CA"/>
              </w:rPr>
            </w:pPr>
            <w:r w:rsidRPr="00F02DF6">
              <w:rPr>
                <w:rFonts w:eastAsia="Calibri"/>
                <w:sz w:val="20"/>
                <w:lang w:val="fr-CA"/>
              </w:rPr>
              <w:t xml:space="preserve">Arrêt accueillant les appels des intimés; la somme d’argent versée au titre des frais d’intérêts engagés pour financer les débours n’est pas recouvrable </w:t>
            </w:r>
          </w:p>
          <w:p w:rsidR="00393657" w:rsidRPr="00F02DF6" w:rsidRDefault="00393657" w:rsidP="00C6299D">
            <w:pPr>
              <w:jc w:val="both"/>
              <w:rPr>
                <w:rFonts w:eastAsia="Calibri"/>
                <w:sz w:val="20"/>
                <w:lang w:val="fr-CA"/>
              </w:rPr>
            </w:pPr>
          </w:p>
          <w:p w:rsidR="00393657" w:rsidRPr="00F02DF6" w:rsidRDefault="00393657" w:rsidP="00C6299D">
            <w:pPr>
              <w:jc w:val="both"/>
              <w:rPr>
                <w:rFonts w:eastAsia="Calibri"/>
                <w:sz w:val="20"/>
                <w:lang w:val="fr-CA"/>
              </w:rPr>
            </w:pPr>
          </w:p>
        </w:tc>
      </w:tr>
      <w:tr w:rsidR="00393657" w:rsidRPr="002A1430" w:rsidTr="00C6299D">
        <w:tc>
          <w:tcPr>
            <w:tcW w:w="2427" w:type="pct"/>
          </w:tcPr>
          <w:p w:rsidR="00393657" w:rsidRPr="00F02DF6" w:rsidRDefault="00393657" w:rsidP="00C6299D">
            <w:pPr>
              <w:jc w:val="both"/>
              <w:rPr>
                <w:rFonts w:eastAsia="Calibri"/>
                <w:sz w:val="20"/>
                <w:lang w:val="fr-CA"/>
              </w:rPr>
            </w:pPr>
            <w:r w:rsidRPr="00F02DF6">
              <w:rPr>
                <w:rFonts w:eastAsia="Calibri"/>
                <w:sz w:val="20"/>
                <w:lang w:val="fr-CA"/>
              </w:rPr>
              <w:t>16 janvier 2015</w:t>
            </w:r>
          </w:p>
          <w:p w:rsidR="00393657" w:rsidRPr="00F02DF6" w:rsidRDefault="00393657" w:rsidP="00C6299D">
            <w:pPr>
              <w:jc w:val="both"/>
              <w:rPr>
                <w:rFonts w:eastAsia="Calibri"/>
                <w:sz w:val="20"/>
                <w:lang w:val="fr-CA"/>
              </w:rPr>
            </w:pPr>
            <w:r w:rsidRPr="00F02DF6">
              <w:rPr>
                <w:rFonts w:eastAsia="Calibri"/>
                <w:sz w:val="20"/>
                <w:lang w:val="fr-CA"/>
              </w:rPr>
              <w:t>Cour suprême du Canada</w:t>
            </w:r>
          </w:p>
        </w:tc>
        <w:tc>
          <w:tcPr>
            <w:tcW w:w="243" w:type="pct"/>
          </w:tcPr>
          <w:p w:rsidR="00393657" w:rsidRPr="00F02DF6" w:rsidRDefault="00393657" w:rsidP="00C6299D">
            <w:pPr>
              <w:jc w:val="both"/>
              <w:rPr>
                <w:rFonts w:eastAsia="Calibri"/>
                <w:sz w:val="20"/>
                <w:lang w:val="fr-CA"/>
              </w:rPr>
            </w:pPr>
          </w:p>
        </w:tc>
        <w:tc>
          <w:tcPr>
            <w:tcW w:w="2330" w:type="pct"/>
          </w:tcPr>
          <w:p w:rsidR="00393657" w:rsidRPr="00F02DF6" w:rsidRDefault="00393657" w:rsidP="00C6299D">
            <w:pPr>
              <w:jc w:val="both"/>
              <w:rPr>
                <w:rFonts w:eastAsia="Calibri"/>
                <w:sz w:val="20"/>
                <w:lang w:val="fr-CA"/>
              </w:rPr>
            </w:pPr>
            <w:r w:rsidRPr="00F02DF6">
              <w:rPr>
                <w:rFonts w:eastAsia="Calibri"/>
                <w:sz w:val="20"/>
                <w:lang w:val="fr-CA"/>
              </w:rPr>
              <w:t>Dépôt de la demande d’autorisation d’appel</w:t>
            </w:r>
          </w:p>
          <w:p w:rsidR="00393657" w:rsidRPr="00F02DF6" w:rsidRDefault="00393657" w:rsidP="00C6299D">
            <w:pPr>
              <w:jc w:val="both"/>
              <w:rPr>
                <w:rFonts w:eastAsia="Calibri"/>
                <w:sz w:val="20"/>
                <w:lang w:val="fr-CA"/>
              </w:rPr>
            </w:pPr>
          </w:p>
        </w:tc>
      </w:tr>
    </w:tbl>
    <w:p w:rsidR="00A23156" w:rsidRPr="00393657" w:rsidRDefault="00A23156" w:rsidP="00A23156">
      <w:pPr>
        <w:rPr>
          <w:sz w:val="20"/>
          <w:szCs w:val="20"/>
          <w:lang w:val="fr-CA"/>
        </w:rPr>
      </w:pPr>
    </w:p>
    <w:p w:rsidR="00A23156" w:rsidRDefault="005B3B50" w:rsidP="00A23156">
      <w:pPr>
        <w:rPr>
          <w:sz w:val="20"/>
          <w:szCs w:val="20"/>
          <w:lang w:val="fr-CA"/>
        </w:rPr>
      </w:pPr>
      <w:r>
        <w:rPr>
          <w:sz w:val="20"/>
          <w:szCs w:val="20"/>
          <w:lang w:val="fr-CA"/>
        </w:rPr>
        <w:pict>
          <v:rect id="_x0000_i1056" style="width:2in;height:1pt" o:hrpct="0" o:hralign="center" o:hrstd="t" o:hrnoshade="t" o:hr="t" fillcolor="black [3213]" stroked="f"/>
        </w:pict>
      </w:r>
    </w:p>
    <w:p w:rsidR="00A23156" w:rsidRDefault="00A23156" w:rsidP="00A23156">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B0443" w:rsidRPr="00643EC8" w:rsidTr="006623D5">
        <w:trPr>
          <w:cantSplit/>
        </w:trPr>
        <w:tc>
          <w:tcPr>
            <w:tcW w:w="1458" w:type="dxa"/>
          </w:tcPr>
          <w:p w:rsidR="000B0443" w:rsidRPr="00643EC8" w:rsidRDefault="000B0443" w:rsidP="006623D5">
            <w:pPr>
              <w:rPr>
                <w:sz w:val="20"/>
                <w:szCs w:val="20"/>
              </w:rPr>
            </w:pPr>
            <w:r w:rsidRPr="00643EC8">
              <w:rPr>
                <w:rStyle w:val="SCCFileNumberChar"/>
                <w:sz w:val="20"/>
                <w:szCs w:val="20"/>
              </w:rPr>
              <w:t>36268</w:t>
            </w:r>
          </w:p>
          <w:p w:rsidR="000B0443" w:rsidRPr="00643EC8" w:rsidRDefault="000B0443" w:rsidP="006623D5">
            <w:pPr>
              <w:rPr>
                <w:b/>
                <w:sz w:val="20"/>
                <w:szCs w:val="20"/>
                <w:lang w:val="fr-CA"/>
              </w:rPr>
            </w:pPr>
          </w:p>
        </w:tc>
        <w:tc>
          <w:tcPr>
            <w:tcW w:w="8118" w:type="dxa"/>
          </w:tcPr>
          <w:p w:rsidR="000B0443" w:rsidRPr="00643EC8" w:rsidRDefault="000B0443" w:rsidP="006623D5">
            <w:pPr>
              <w:jc w:val="both"/>
              <w:rPr>
                <w:sz w:val="20"/>
                <w:szCs w:val="20"/>
              </w:rPr>
            </w:pPr>
            <w:r w:rsidRPr="00643EC8">
              <w:rPr>
                <w:rStyle w:val="SCCLsocChar"/>
                <w:sz w:val="20"/>
                <w:szCs w:val="20"/>
                <w:lang w:val="en-CA"/>
              </w:rPr>
              <w:t>Haruyo Taucar v. Human Rights Tribunal of Ontario, University of Western Ontario, Kenneth Paul Swan and Kenneth P. Swan Arbitration Ltd.</w:t>
            </w:r>
            <w:r w:rsidRPr="00643EC8">
              <w:rPr>
                <w:sz w:val="20"/>
                <w:szCs w:val="20"/>
              </w:rPr>
              <w:t xml:space="preserve"> (Ont.) (Civil) (By Leave)</w:t>
            </w:r>
          </w:p>
          <w:p w:rsidR="000B0443" w:rsidRPr="00643EC8" w:rsidRDefault="000B0443" w:rsidP="006623D5">
            <w:pPr>
              <w:jc w:val="both"/>
              <w:rPr>
                <w:sz w:val="20"/>
                <w:szCs w:val="20"/>
              </w:rPr>
            </w:pPr>
          </w:p>
        </w:tc>
      </w:tr>
      <w:tr w:rsidR="000B0443" w:rsidRPr="00643EC8" w:rsidTr="006623D5">
        <w:trPr>
          <w:cantSplit/>
        </w:trPr>
        <w:tc>
          <w:tcPr>
            <w:tcW w:w="1458" w:type="dxa"/>
          </w:tcPr>
          <w:p w:rsidR="000B0443" w:rsidRPr="00643EC8" w:rsidRDefault="000B0443" w:rsidP="006623D5">
            <w:pPr>
              <w:rPr>
                <w:sz w:val="20"/>
                <w:szCs w:val="20"/>
              </w:rPr>
            </w:pPr>
            <w:r w:rsidRPr="00643EC8">
              <w:rPr>
                <w:sz w:val="20"/>
                <w:szCs w:val="20"/>
              </w:rPr>
              <w:t>Coram :</w:t>
            </w:r>
          </w:p>
        </w:tc>
        <w:tc>
          <w:tcPr>
            <w:tcW w:w="8118" w:type="dxa"/>
          </w:tcPr>
          <w:p w:rsidR="000B0443" w:rsidRPr="00643EC8" w:rsidRDefault="000B0443" w:rsidP="006623D5">
            <w:pPr>
              <w:rPr>
                <w:sz w:val="20"/>
                <w:szCs w:val="20"/>
              </w:rPr>
            </w:pPr>
            <w:r w:rsidRPr="00643EC8">
              <w:rPr>
                <w:rStyle w:val="SCCCoramChar"/>
                <w:sz w:val="20"/>
                <w:szCs w:val="20"/>
                <w:lang w:val="en-CA"/>
              </w:rPr>
              <w:t>Rothstein, Cromwell and Moldaver JJ.</w:t>
            </w:r>
          </w:p>
          <w:p w:rsidR="000B0443" w:rsidRPr="00643EC8" w:rsidRDefault="000B0443" w:rsidP="006623D5">
            <w:pPr>
              <w:rPr>
                <w:sz w:val="20"/>
                <w:szCs w:val="20"/>
                <w:u w:val="single"/>
              </w:rPr>
            </w:pPr>
          </w:p>
        </w:tc>
      </w:tr>
      <w:tr w:rsidR="000B0443" w:rsidRPr="002A1430" w:rsidTr="006623D5">
        <w:trPr>
          <w:cantSplit/>
        </w:trPr>
        <w:tc>
          <w:tcPr>
            <w:tcW w:w="9576" w:type="dxa"/>
            <w:gridSpan w:val="2"/>
          </w:tcPr>
          <w:p w:rsidR="000B0443" w:rsidRPr="00643EC8" w:rsidRDefault="000B0443" w:rsidP="006623D5">
            <w:pPr>
              <w:pStyle w:val="SCCShortJudgment"/>
              <w:rPr>
                <w:szCs w:val="20"/>
              </w:rPr>
            </w:pPr>
            <w:r w:rsidRPr="00643EC8">
              <w:rPr>
                <w:szCs w:val="20"/>
              </w:rPr>
              <w:t>The application for leave to appeal from the judgment of the Court of Appeal for Ontario, Number M43652, dated November 21, 2014, is dismissed with costs to the respondents, the University of Western Ontario, Kenneth Paul Swan and Kenneth P. Swan Arbitration Ltd.</w:t>
            </w:r>
          </w:p>
          <w:p w:rsidR="000B0443" w:rsidRPr="00643EC8" w:rsidRDefault="000B0443" w:rsidP="006623D5">
            <w:pPr>
              <w:pStyle w:val="SCCShortJudgment"/>
              <w:ind w:firstLine="0"/>
              <w:rPr>
                <w:szCs w:val="20"/>
              </w:rPr>
            </w:pPr>
          </w:p>
          <w:p w:rsidR="000B0443" w:rsidRPr="00643EC8" w:rsidRDefault="000B0443" w:rsidP="006623D5">
            <w:pPr>
              <w:pStyle w:val="SCCShortJudgment"/>
              <w:rPr>
                <w:szCs w:val="20"/>
                <w:lang w:val="fr-CA"/>
              </w:rPr>
            </w:pPr>
            <w:r w:rsidRPr="00643EC8">
              <w:rPr>
                <w:szCs w:val="20"/>
                <w:lang w:val="fr-CA"/>
              </w:rPr>
              <w:t>La demande d’autorisation d’appel de l’arrêt de la Cour d’appel de l’Ontario, numéro M43652, daté du 21 novembre 2014, est rejetée avec dépens aux intimés, l’University of Western Ontario, Kenneth Paul Swan et Kenneth P. Swan Arbitration Ltd.</w:t>
            </w:r>
          </w:p>
        </w:tc>
      </w:tr>
    </w:tbl>
    <w:p w:rsidR="00A23156" w:rsidRPr="000B0443" w:rsidRDefault="00A23156" w:rsidP="00A23156">
      <w:pPr>
        <w:rPr>
          <w:sz w:val="20"/>
          <w:szCs w:val="20"/>
          <w:lang w:val="fr-CA"/>
        </w:rPr>
      </w:pPr>
    </w:p>
    <w:p w:rsidR="00A23156" w:rsidRPr="001B157C" w:rsidRDefault="00A23156" w:rsidP="00A23156">
      <w:pPr>
        <w:rPr>
          <w:sz w:val="20"/>
          <w:szCs w:val="20"/>
          <w:u w:val="single"/>
        </w:rPr>
      </w:pPr>
      <w:r w:rsidRPr="001B157C">
        <w:rPr>
          <w:sz w:val="20"/>
          <w:szCs w:val="20"/>
          <w:u w:val="single"/>
        </w:rPr>
        <w:t>CASE SUMMARY</w:t>
      </w:r>
    </w:p>
    <w:p w:rsidR="00A23156" w:rsidRDefault="00A23156" w:rsidP="00A2315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E6AE9" w:rsidRPr="00F02DF6" w:rsidTr="00C6299D">
        <w:tc>
          <w:tcPr>
            <w:tcW w:w="5000" w:type="pct"/>
            <w:gridSpan w:val="3"/>
          </w:tcPr>
          <w:p w:rsidR="00EE6AE9" w:rsidRPr="00F02DF6" w:rsidRDefault="00EE6AE9" w:rsidP="00C6299D">
            <w:pPr>
              <w:jc w:val="both"/>
              <w:rPr>
                <w:rFonts w:eastAsia="Calibri"/>
                <w:smallCaps/>
                <w:sz w:val="20"/>
              </w:rPr>
            </w:pPr>
            <w:r w:rsidRPr="00F02DF6">
              <w:rPr>
                <w:rFonts w:eastAsia="Calibri"/>
                <w:i/>
                <w:sz w:val="20"/>
              </w:rPr>
              <w:t>Charter of rights</w:t>
            </w:r>
            <w:r w:rsidRPr="00F02DF6">
              <w:rPr>
                <w:rFonts w:eastAsia="Calibri"/>
                <w:sz w:val="20"/>
              </w:rPr>
              <w:t xml:space="preserve"> — Right to equality — Divisional Court dismissing application for judicial review of decision of Human Rights Tribunal —Whether decision of Divisional Court was contrary to s. 15(1) of </w:t>
            </w:r>
            <w:r w:rsidRPr="00F02DF6">
              <w:rPr>
                <w:rFonts w:eastAsia="Calibri"/>
                <w:i/>
                <w:sz w:val="20"/>
              </w:rPr>
              <w:t>Charter</w:t>
            </w:r>
            <w:r w:rsidRPr="00F02DF6">
              <w:rPr>
                <w:rFonts w:eastAsia="Calibri"/>
                <w:sz w:val="20"/>
              </w:rPr>
              <w:t xml:space="preserve"> — Whether Court of Appeal erred in denying leave to appeal — </w:t>
            </w:r>
            <w:r w:rsidRPr="00F02DF6">
              <w:rPr>
                <w:rFonts w:eastAsia="Calibri"/>
                <w:i/>
                <w:sz w:val="20"/>
              </w:rPr>
              <w:t>Charter</w:t>
            </w:r>
            <w:r w:rsidRPr="00F02DF6">
              <w:rPr>
                <w:rFonts w:eastAsia="Calibri"/>
                <w:sz w:val="20"/>
              </w:rPr>
              <w:t>, ss. 15(1) and 27.</w:t>
            </w:r>
          </w:p>
        </w:tc>
      </w:tr>
      <w:tr w:rsidR="00EE6AE9" w:rsidRPr="00F02DF6" w:rsidTr="00C6299D">
        <w:tc>
          <w:tcPr>
            <w:tcW w:w="5000" w:type="pct"/>
            <w:gridSpan w:val="3"/>
          </w:tcPr>
          <w:p w:rsidR="00EE6AE9" w:rsidRPr="00F02DF6" w:rsidRDefault="00EE6AE9" w:rsidP="00C6299D">
            <w:pPr>
              <w:jc w:val="both"/>
              <w:rPr>
                <w:rFonts w:eastAsia="Calibri"/>
                <w:sz w:val="20"/>
              </w:rPr>
            </w:pPr>
          </w:p>
        </w:tc>
      </w:tr>
      <w:tr w:rsidR="00EE6AE9" w:rsidRPr="00F02DF6" w:rsidTr="00C6299D">
        <w:tc>
          <w:tcPr>
            <w:tcW w:w="5000" w:type="pct"/>
            <w:gridSpan w:val="3"/>
          </w:tcPr>
          <w:p w:rsidR="00EE6AE9" w:rsidRPr="00F02DF6" w:rsidRDefault="00EE6AE9" w:rsidP="00C6299D">
            <w:pPr>
              <w:jc w:val="both"/>
              <w:rPr>
                <w:rFonts w:eastAsia="Calibri"/>
                <w:sz w:val="20"/>
              </w:rPr>
            </w:pPr>
            <w:r w:rsidRPr="00F02DF6">
              <w:rPr>
                <w:rFonts w:eastAsia="Calibri"/>
                <w:sz w:val="20"/>
              </w:rPr>
              <w:t xml:space="preserve">The applicant, a member of the faculty at the University of Western Ontario, filed a complaint with the University alleging harassment on the basis of race, ethnic or national origin and discrimination on the part of a colleague.  The University and the parties involved agreed to submit the complaint to an external investigator rather than to a Panel of Inquiry, the procedure foreseen by the collective agreement governing the University’s faculty.  The investigator issued a report concluding that the evidence did not support a conclusion that there had been discrimination or harassment as defined under the collective agreement.  The University subsequently communicated to the applicant its decision to dismiss her complaint. </w:t>
            </w:r>
          </w:p>
          <w:p w:rsidR="00EE6AE9" w:rsidRPr="00F02DF6" w:rsidRDefault="00EE6AE9" w:rsidP="00C6299D">
            <w:pPr>
              <w:jc w:val="both"/>
              <w:rPr>
                <w:rFonts w:eastAsia="Calibri"/>
                <w:sz w:val="20"/>
              </w:rPr>
            </w:pPr>
          </w:p>
          <w:p w:rsidR="00EE6AE9" w:rsidRPr="00F02DF6" w:rsidRDefault="00EE6AE9" w:rsidP="00C6299D">
            <w:pPr>
              <w:jc w:val="both"/>
              <w:rPr>
                <w:rFonts w:eastAsia="Calibri"/>
                <w:sz w:val="20"/>
              </w:rPr>
            </w:pPr>
            <w:r w:rsidRPr="00F02DF6">
              <w:rPr>
                <w:rFonts w:eastAsia="Calibri"/>
                <w:sz w:val="20"/>
              </w:rPr>
              <w:t xml:space="preserve">The applicant filed two applications with the Human Rights Tribunal of Ontario, one against the University and another against the external investigator.  In those applications, she alleged that the external investigator had discriminated against her in the preparation of his report by conducting an unfair investigation of her complaint and that the University had discriminated against her by accepting the allegedly discriminatory conclusions contained in that report.  The applicant also claimed that the University had failed to accommodate her disability and reprised against her contrary to the </w:t>
            </w:r>
            <w:r w:rsidRPr="00F02DF6">
              <w:rPr>
                <w:rFonts w:eastAsia="Calibri"/>
                <w:i/>
                <w:sz w:val="20"/>
              </w:rPr>
              <w:t>Human Rights Code</w:t>
            </w:r>
            <w:r w:rsidRPr="00F02DF6">
              <w:rPr>
                <w:rFonts w:eastAsia="Calibri"/>
                <w:sz w:val="20"/>
              </w:rPr>
              <w:t xml:space="preserve">, R.S.O. 1990, c. H.19.  The applications were consolidated. </w:t>
            </w:r>
          </w:p>
          <w:p w:rsidR="00EE6AE9" w:rsidRPr="00F02DF6" w:rsidRDefault="00EE6AE9" w:rsidP="00C6299D">
            <w:pPr>
              <w:jc w:val="both"/>
              <w:rPr>
                <w:rFonts w:eastAsia="Calibri"/>
                <w:sz w:val="20"/>
              </w:rPr>
            </w:pPr>
          </w:p>
        </w:tc>
      </w:tr>
      <w:tr w:rsidR="00EE6AE9" w:rsidRPr="00F02DF6" w:rsidTr="00C6299D">
        <w:tc>
          <w:tcPr>
            <w:tcW w:w="2427" w:type="pct"/>
          </w:tcPr>
          <w:p w:rsidR="00EE6AE9" w:rsidRPr="00F02DF6" w:rsidRDefault="00EE6AE9" w:rsidP="00C6299D">
            <w:pPr>
              <w:jc w:val="both"/>
              <w:rPr>
                <w:rFonts w:eastAsia="Calibri"/>
                <w:sz w:val="20"/>
              </w:rPr>
            </w:pPr>
            <w:r w:rsidRPr="00F02DF6">
              <w:rPr>
                <w:rFonts w:eastAsia="Calibri"/>
                <w:sz w:val="20"/>
              </w:rPr>
              <w:t>April 10, 2013</w:t>
            </w:r>
          </w:p>
          <w:p w:rsidR="00EE6AE9" w:rsidRPr="00F02DF6" w:rsidRDefault="00EE6AE9" w:rsidP="00C6299D">
            <w:pPr>
              <w:jc w:val="both"/>
              <w:rPr>
                <w:rFonts w:eastAsia="Calibri"/>
                <w:sz w:val="20"/>
              </w:rPr>
            </w:pPr>
            <w:r w:rsidRPr="00F02DF6">
              <w:rPr>
                <w:rFonts w:eastAsia="Calibri"/>
                <w:sz w:val="20"/>
              </w:rPr>
              <w:t xml:space="preserve">Human Rights Tribunal of Ontario </w:t>
            </w:r>
          </w:p>
          <w:p w:rsidR="00EE6AE9" w:rsidRPr="00F02DF6" w:rsidRDefault="00EE6AE9" w:rsidP="00C6299D">
            <w:pPr>
              <w:jc w:val="both"/>
              <w:rPr>
                <w:rFonts w:eastAsia="Calibri"/>
                <w:sz w:val="20"/>
              </w:rPr>
            </w:pPr>
            <w:r w:rsidRPr="00F02DF6">
              <w:rPr>
                <w:rFonts w:eastAsia="Calibri"/>
                <w:sz w:val="20"/>
              </w:rPr>
              <w:t>(J. Pickel, adjudicator)</w:t>
            </w:r>
          </w:p>
          <w:p w:rsidR="00EE6AE9" w:rsidRPr="00F02DF6" w:rsidRDefault="005B3B50" w:rsidP="00C6299D">
            <w:pPr>
              <w:jc w:val="both"/>
              <w:rPr>
                <w:rFonts w:eastAsia="Calibri"/>
                <w:sz w:val="20"/>
              </w:rPr>
            </w:pPr>
            <w:hyperlink r:id="rId57" w:history="1">
              <w:r w:rsidR="00EE6AE9" w:rsidRPr="00F02DF6">
                <w:rPr>
                  <w:rFonts w:eastAsia="Calibri"/>
                  <w:color w:val="0000FF"/>
                  <w:sz w:val="20"/>
                  <w:u w:val="single"/>
                </w:rPr>
                <w:t>2013 HRTO 597</w:t>
              </w:r>
            </w:hyperlink>
          </w:p>
          <w:p w:rsidR="00EE6AE9" w:rsidRPr="00F02DF6" w:rsidRDefault="00EE6AE9" w:rsidP="00C6299D">
            <w:pPr>
              <w:jc w:val="both"/>
              <w:rPr>
                <w:rFonts w:eastAsia="Calibri"/>
                <w:sz w:val="20"/>
              </w:rPr>
            </w:pPr>
          </w:p>
        </w:tc>
        <w:tc>
          <w:tcPr>
            <w:tcW w:w="243" w:type="pct"/>
          </w:tcPr>
          <w:p w:rsidR="00EE6AE9" w:rsidRPr="00F02DF6" w:rsidRDefault="00EE6AE9" w:rsidP="00C6299D">
            <w:pPr>
              <w:jc w:val="both"/>
              <w:rPr>
                <w:rFonts w:eastAsia="Calibri"/>
                <w:sz w:val="20"/>
              </w:rPr>
            </w:pPr>
          </w:p>
        </w:tc>
        <w:tc>
          <w:tcPr>
            <w:tcW w:w="2330" w:type="pct"/>
          </w:tcPr>
          <w:p w:rsidR="00EE6AE9" w:rsidRPr="00F02DF6" w:rsidRDefault="00EE6AE9" w:rsidP="00C6299D">
            <w:pPr>
              <w:jc w:val="both"/>
              <w:rPr>
                <w:rFonts w:eastAsia="Calibri"/>
                <w:sz w:val="20"/>
              </w:rPr>
            </w:pPr>
            <w:r w:rsidRPr="00F02DF6">
              <w:rPr>
                <w:rFonts w:eastAsia="Calibri"/>
                <w:sz w:val="20"/>
              </w:rPr>
              <w:t xml:space="preserve">Applications pursuant to the </w:t>
            </w:r>
            <w:r w:rsidRPr="00F02DF6">
              <w:rPr>
                <w:rFonts w:eastAsia="Calibri"/>
                <w:i/>
                <w:sz w:val="20"/>
              </w:rPr>
              <w:t>Human Rights Code</w:t>
            </w:r>
            <w:r w:rsidRPr="00F02DF6">
              <w:rPr>
                <w:rFonts w:eastAsia="Calibri"/>
                <w:sz w:val="20"/>
              </w:rPr>
              <w:t>, R.S.O.  1990, c. H.19, dismissed</w:t>
            </w:r>
          </w:p>
        </w:tc>
      </w:tr>
      <w:tr w:rsidR="00EE6AE9" w:rsidRPr="00F02DF6" w:rsidTr="00C6299D">
        <w:tc>
          <w:tcPr>
            <w:tcW w:w="2427" w:type="pct"/>
          </w:tcPr>
          <w:p w:rsidR="00EE6AE9" w:rsidRPr="00F02DF6" w:rsidRDefault="00EE6AE9" w:rsidP="00C6299D">
            <w:pPr>
              <w:jc w:val="both"/>
              <w:rPr>
                <w:rFonts w:eastAsia="Calibri"/>
                <w:sz w:val="20"/>
              </w:rPr>
            </w:pPr>
            <w:r w:rsidRPr="00F02DF6">
              <w:rPr>
                <w:rFonts w:eastAsia="Calibri"/>
                <w:sz w:val="20"/>
              </w:rPr>
              <w:t>March 20, 2014</w:t>
            </w:r>
          </w:p>
          <w:p w:rsidR="00EE6AE9" w:rsidRPr="00F02DF6" w:rsidRDefault="00EE6AE9" w:rsidP="00C6299D">
            <w:pPr>
              <w:jc w:val="both"/>
              <w:rPr>
                <w:rFonts w:eastAsia="Calibri"/>
                <w:sz w:val="20"/>
              </w:rPr>
            </w:pPr>
            <w:r w:rsidRPr="00F02DF6">
              <w:rPr>
                <w:rFonts w:eastAsia="Calibri"/>
                <w:sz w:val="20"/>
              </w:rPr>
              <w:t>Divisional Court of the Ontario Superior Court of Justice</w:t>
            </w:r>
          </w:p>
          <w:p w:rsidR="00EE6AE9" w:rsidRPr="00F02DF6" w:rsidRDefault="00EE6AE9" w:rsidP="00C6299D">
            <w:pPr>
              <w:jc w:val="both"/>
              <w:rPr>
                <w:rFonts w:eastAsia="Calibri"/>
                <w:sz w:val="20"/>
              </w:rPr>
            </w:pPr>
            <w:r w:rsidRPr="00F02DF6">
              <w:rPr>
                <w:rFonts w:eastAsia="Calibri"/>
                <w:sz w:val="20"/>
              </w:rPr>
              <w:t>(Heeney, Parfett and Varpio JJ. )</w:t>
            </w:r>
          </w:p>
          <w:p w:rsidR="00EE6AE9" w:rsidRPr="00F02DF6" w:rsidRDefault="005B3B50" w:rsidP="00C6299D">
            <w:pPr>
              <w:jc w:val="both"/>
              <w:rPr>
                <w:rFonts w:eastAsia="Calibri"/>
                <w:sz w:val="20"/>
              </w:rPr>
            </w:pPr>
            <w:hyperlink r:id="rId58" w:history="1">
              <w:r w:rsidR="00EE6AE9" w:rsidRPr="00F02DF6">
                <w:rPr>
                  <w:rFonts w:eastAsia="Calibri"/>
                  <w:color w:val="0000FF"/>
                  <w:sz w:val="20"/>
                  <w:u w:val="single"/>
                </w:rPr>
                <w:t>2014 ONSC 1818</w:t>
              </w:r>
            </w:hyperlink>
          </w:p>
          <w:p w:rsidR="00EE6AE9" w:rsidRPr="00F02DF6" w:rsidRDefault="00EE6AE9" w:rsidP="00C6299D">
            <w:pPr>
              <w:jc w:val="both"/>
              <w:rPr>
                <w:rFonts w:eastAsia="Calibri"/>
                <w:sz w:val="20"/>
              </w:rPr>
            </w:pPr>
          </w:p>
        </w:tc>
        <w:tc>
          <w:tcPr>
            <w:tcW w:w="243" w:type="pct"/>
          </w:tcPr>
          <w:p w:rsidR="00EE6AE9" w:rsidRPr="00F02DF6" w:rsidRDefault="00EE6AE9" w:rsidP="00C6299D">
            <w:pPr>
              <w:jc w:val="both"/>
              <w:rPr>
                <w:rFonts w:eastAsia="Calibri"/>
                <w:sz w:val="20"/>
              </w:rPr>
            </w:pPr>
          </w:p>
        </w:tc>
        <w:tc>
          <w:tcPr>
            <w:tcW w:w="2330" w:type="pct"/>
          </w:tcPr>
          <w:p w:rsidR="00EE6AE9" w:rsidRPr="00F02DF6" w:rsidRDefault="00EE6AE9" w:rsidP="00C6299D">
            <w:pPr>
              <w:jc w:val="both"/>
              <w:rPr>
                <w:rFonts w:eastAsia="Calibri"/>
                <w:sz w:val="20"/>
              </w:rPr>
            </w:pPr>
            <w:r w:rsidRPr="00F02DF6">
              <w:rPr>
                <w:rFonts w:eastAsia="Calibri"/>
                <w:sz w:val="20"/>
              </w:rPr>
              <w:t>Application for judicial review, dismissed</w:t>
            </w:r>
          </w:p>
          <w:p w:rsidR="00EE6AE9" w:rsidRPr="00F02DF6" w:rsidRDefault="00EE6AE9" w:rsidP="00C6299D">
            <w:pPr>
              <w:jc w:val="both"/>
              <w:rPr>
                <w:rFonts w:eastAsia="Calibri"/>
                <w:sz w:val="20"/>
              </w:rPr>
            </w:pPr>
          </w:p>
          <w:p w:rsidR="00EE6AE9" w:rsidRPr="00F02DF6" w:rsidRDefault="00EE6AE9" w:rsidP="00C6299D">
            <w:pPr>
              <w:jc w:val="both"/>
              <w:rPr>
                <w:rFonts w:eastAsia="Calibri"/>
                <w:sz w:val="20"/>
              </w:rPr>
            </w:pPr>
          </w:p>
        </w:tc>
      </w:tr>
      <w:tr w:rsidR="00EE6AE9" w:rsidRPr="00F02DF6" w:rsidTr="00C6299D">
        <w:tc>
          <w:tcPr>
            <w:tcW w:w="2427" w:type="pct"/>
          </w:tcPr>
          <w:p w:rsidR="00EE6AE9" w:rsidRPr="00F02DF6" w:rsidRDefault="00EE6AE9" w:rsidP="00C6299D">
            <w:pPr>
              <w:jc w:val="both"/>
              <w:rPr>
                <w:rFonts w:eastAsia="Calibri"/>
                <w:sz w:val="20"/>
              </w:rPr>
            </w:pPr>
            <w:r w:rsidRPr="00F02DF6">
              <w:rPr>
                <w:rFonts w:eastAsia="Calibri"/>
                <w:sz w:val="20"/>
              </w:rPr>
              <w:t>June 26, 2014</w:t>
            </w:r>
          </w:p>
          <w:p w:rsidR="00EE6AE9" w:rsidRPr="00F02DF6" w:rsidRDefault="00EE6AE9" w:rsidP="00C6299D">
            <w:pPr>
              <w:jc w:val="both"/>
              <w:rPr>
                <w:rFonts w:eastAsia="Calibri"/>
                <w:sz w:val="20"/>
              </w:rPr>
            </w:pPr>
            <w:r w:rsidRPr="00F02DF6">
              <w:rPr>
                <w:rFonts w:eastAsia="Calibri"/>
                <w:sz w:val="20"/>
              </w:rPr>
              <w:t>Divisional Court of the Ontario Superior Court of Justice</w:t>
            </w:r>
          </w:p>
          <w:p w:rsidR="00EE6AE9" w:rsidRPr="00F02DF6" w:rsidRDefault="00EE6AE9" w:rsidP="00C6299D">
            <w:pPr>
              <w:jc w:val="both"/>
              <w:rPr>
                <w:rFonts w:eastAsia="Calibri"/>
                <w:sz w:val="20"/>
              </w:rPr>
            </w:pPr>
            <w:r w:rsidRPr="00F02DF6">
              <w:rPr>
                <w:rFonts w:eastAsia="Calibri"/>
                <w:sz w:val="20"/>
              </w:rPr>
              <w:t>(Heeney, Parfett and Varpio JJ. )</w:t>
            </w:r>
          </w:p>
          <w:p w:rsidR="00EE6AE9" w:rsidRPr="00F02DF6" w:rsidRDefault="005B3B50" w:rsidP="00C6299D">
            <w:pPr>
              <w:jc w:val="both"/>
              <w:rPr>
                <w:rFonts w:eastAsia="Calibri"/>
                <w:sz w:val="20"/>
              </w:rPr>
            </w:pPr>
            <w:hyperlink r:id="rId59" w:history="1">
              <w:r w:rsidR="00EE6AE9" w:rsidRPr="00F02DF6">
                <w:rPr>
                  <w:rFonts w:eastAsia="Calibri"/>
                  <w:color w:val="0000FF"/>
                  <w:sz w:val="20"/>
                  <w:u w:val="single"/>
                </w:rPr>
                <w:t>2014 ONSC 2960</w:t>
              </w:r>
            </w:hyperlink>
          </w:p>
          <w:p w:rsidR="00EE6AE9" w:rsidRPr="00F02DF6" w:rsidRDefault="00EE6AE9" w:rsidP="00C6299D">
            <w:pPr>
              <w:jc w:val="both"/>
              <w:rPr>
                <w:rFonts w:eastAsia="Calibri"/>
                <w:sz w:val="20"/>
              </w:rPr>
            </w:pPr>
          </w:p>
        </w:tc>
        <w:tc>
          <w:tcPr>
            <w:tcW w:w="243" w:type="pct"/>
          </w:tcPr>
          <w:p w:rsidR="00EE6AE9" w:rsidRPr="00F02DF6" w:rsidRDefault="00EE6AE9" w:rsidP="00C6299D">
            <w:pPr>
              <w:jc w:val="both"/>
              <w:rPr>
                <w:rFonts w:eastAsia="Calibri"/>
                <w:sz w:val="20"/>
              </w:rPr>
            </w:pPr>
          </w:p>
        </w:tc>
        <w:tc>
          <w:tcPr>
            <w:tcW w:w="2330" w:type="pct"/>
          </w:tcPr>
          <w:p w:rsidR="00EE6AE9" w:rsidRPr="00F02DF6" w:rsidRDefault="00EE6AE9" w:rsidP="00C6299D">
            <w:pPr>
              <w:jc w:val="both"/>
              <w:rPr>
                <w:rFonts w:eastAsia="Calibri"/>
                <w:sz w:val="20"/>
              </w:rPr>
            </w:pPr>
            <w:r w:rsidRPr="00F02DF6">
              <w:rPr>
                <w:rFonts w:eastAsia="Calibri"/>
                <w:sz w:val="20"/>
              </w:rPr>
              <w:t>Applicant ordered to pay costs on a substantial indemnity basis</w:t>
            </w:r>
          </w:p>
        </w:tc>
      </w:tr>
      <w:tr w:rsidR="00EE6AE9" w:rsidRPr="00F02DF6" w:rsidTr="00C6299D">
        <w:tc>
          <w:tcPr>
            <w:tcW w:w="2427" w:type="pct"/>
          </w:tcPr>
          <w:p w:rsidR="00EE6AE9" w:rsidRPr="00F02DF6" w:rsidRDefault="00EE6AE9" w:rsidP="00C6299D">
            <w:pPr>
              <w:jc w:val="both"/>
              <w:rPr>
                <w:rFonts w:eastAsia="Calibri"/>
                <w:sz w:val="20"/>
              </w:rPr>
            </w:pPr>
            <w:r w:rsidRPr="00F02DF6">
              <w:rPr>
                <w:rFonts w:eastAsia="Calibri"/>
                <w:sz w:val="20"/>
              </w:rPr>
              <w:t>November 21, 2014</w:t>
            </w:r>
          </w:p>
          <w:p w:rsidR="00EE6AE9" w:rsidRPr="00F02DF6" w:rsidRDefault="00EE6AE9" w:rsidP="00C6299D">
            <w:pPr>
              <w:jc w:val="both"/>
              <w:rPr>
                <w:rFonts w:eastAsia="Calibri"/>
                <w:sz w:val="20"/>
              </w:rPr>
            </w:pPr>
            <w:r w:rsidRPr="00F02DF6">
              <w:rPr>
                <w:rFonts w:eastAsia="Calibri"/>
                <w:sz w:val="20"/>
              </w:rPr>
              <w:t>Court of Appeal for Ontario</w:t>
            </w:r>
          </w:p>
          <w:p w:rsidR="00EE6AE9" w:rsidRPr="00F02DF6" w:rsidRDefault="00EE6AE9" w:rsidP="00C6299D">
            <w:pPr>
              <w:jc w:val="both"/>
              <w:rPr>
                <w:rFonts w:eastAsia="Calibri"/>
                <w:sz w:val="20"/>
              </w:rPr>
            </w:pPr>
            <w:r w:rsidRPr="00F02DF6">
              <w:rPr>
                <w:rFonts w:eastAsia="Calibri"/>
                <w:sz w:val="20"/>
              </w:rPr>
              <w:t>(Simmons, MacFarland and Benotto JJ.A.)</w:t>
            </w:r>
          </w:p>
          <w:p w:rsidR="00EE6AE9" w:rsidRPr="00F02DF6" w:rsidRDefault="00EE6AE9" w:rsidP="00C6299D">
            <w:pPr>
              <w:jc w:val="both"/>
              <w:rPr>
                <w:rFonts w:eastAsia="Calibri"/>
                <w:sz w:val="20"/>
              </w:rPr>
            </w:pPr>
            <w:r w:rsidRPr="00F02DF6">
              <w:rPr>
                <w:rFonts w:eastAsia="Calibri"/>
                <w:sz w:val="20"/>
              </w:rPr>
              <w:t>Court File Nos. M43652 and M43989</w:t>
            </w:r>
          </w:p>
          <w:p w:rsidR="00EE6AE9" w:rsidRPr="00F02DF6" w:rsidRDefault="00EE6AE9" w:rsidP="00C6299D">
            <w:pPr>
              <w:jc w:val="both"/>
              <w:rPr>
                <w:rFonts w:eastAsia="Calibri"/>
                <w:sz w:val="20"/>
              </w:rPr>
            </w:pPr>
          </w:p>
        </w:tc>
        <w:tc>
          <w:tcPr>
            <w:tcW w:w="243" w:type="pct"/>
          </w:tcPr>
          <w:p w:rsidR="00EE6AE9" w:rsidRPr="00F02DF6" w:rsidRDefault="00EE6AE9" w:rsidP="00C6299D">
            <w:pPr>
              <w:jc w:val="both"/>
              <w:rPr>
                <w:rFonts w:eastAsia="Calibri"/>
                <w:sz w:val="20"/>
              </w:rPr>
            </w:pPr>
          </w:p>
        </w:tc>
        <w:tc>
          <w:tcPr>
            <w:tcW w:w="2330" w:type="pct"/>
          </w:tcPr>
          <w:p w:rsidR="00EE6AE9" w:rsidRPr="00F02DF6" w:rsidRDefault="00EE6AE9" w:rsidP="00C6299D">
            <w:pPr>
              <w:jc w:val="both"/>
              <w:rPr>
                <w:rFonts w:eastAsia="Calibri"/>
                <w:sz w:val="20"/>
              </w:rPr>
            </w:pPr>
            <w:r w:rsidRPr="00F02DF6">
              <w:rPr>
                <w:rFonts w:eastAsia="Calibri"/>
                <w:sz w:val="20"/>
              </w:rPr>
              <w:t>Motions for leave to appeal order dismissing application for judicial review and costs order, dismissed</w:t>
            </w:r>
          </w:p>
          <w:p w:rsidR="00EE6AE9" w:rsidRPr="00F02DF6" w:rsidRDefault="00EE6AE9" w:rsidP="00C6299D">
            <w:pPr>
              <w:jc w:val="both"/>
              <w:rPr>
                <w:rFonts w:eastAsia="Calibri"/>
                <w:sz w:val="20"/>
              </w:rPr>
            </w:pPr>
          </w:p>
        </w:tc>
      </w:tr>
      <w:tr w:rsidR="00EE6AE9" w:rsidRPr="00F02DF6" w:rsidTr="00C6299D">
        <w:tc>
          <w:tcPr>
            <w:tcW w:w="2427" w:type="pct"/>
          </w:tcPr>
          <w:p w:rsidR="00EE6AE9" w:rsidRPr="00F02DF6" w:rsidRDefault="00EE6AE9" w:rsidP="00C6299D">
            <w:pPr>
              <w:jc w:val="both"/>
              <w:rPr>
                <w:rFonts w:eastAsia="Calibri"/>
                <w:sz w:val="20"/>
              </w:rPr>
            </w:pPr>
            <w:r w:rsidRPr="00F02DF6">
              <w:rPr>
                <w:rFonts w:eastAsia="Calibri"/>
                <w:sz w:val="20"/>
              </w:rPr>
              <w:t>January 20, 2015</w:t>
            </w:r>
          </w:p>
          <w:p w:rsidR="00EE6AE9" w:rsidRPr="00F02DF6" w:rsidRDefault="00EE6AE9" w:rsidP="00C6299D">
            <w:pPr>
              <w:jc w:val="both"/>
              <w:rPr>
                <w:rFonts w:eastAsia="Calibri"/>
                <w:sz w:val="20"/>
              </w:rPr>
            </w:pPr>
            <w:r w:rsidRPr="00F02DF6">
              <w:rPr>
                <w:rFonts w:eastAsia="Calibri"/>
                <w:sz w:val="20"/>
              </w:rPr>
              <w:t>Supreme Court of Canada</w:t>
            </w:r>
          </w:p>
        </w:tc>
        <w:tc>
          <w:tcPr>
            <w:tcW w:w="243" w:type="pct"/>
          </w:tcPr>
          <w:p w:rsidR="00EE6AE9" w:rsidRPr="00F02DF6" w:rsidRDefault="00EE6AE9" w:rsidP="00C6299D">
            <w:pPr>
              <w:jc w:val="both"/>
              <w:rPr>
                <w:rFonts w:eastAsia="Calibri"/>
                <w:sz w:val="20"/>
              </w:rPr>
            </w:pPr>
          </w:p>
        </w:tc>
        <w:tc>
          <w:tcPr>
            <w:tcW w:w="2330" w:type="pct"/>
          </w:tcPr>
          <w:p w:rsidR="00EE6AE9" w:rsidRPr="00F02DF6" w:rsidRDefault="00EE6AE9" w:rsidP="00C6299D">
            <w:pPr>
              <w:jc w:val="both"/>
              <w:rPr>
                <w:rFonts w:eastAsia="Calibri"/>
                <w:sz w:val="20"/>
              </w:rPr>
            </w:pPr>
            <w:r w:rsidRPr="00F02DF6">
              <w:rPr>
                <w:rFonts w:eastAsia="Calibri"/>
                <w:sz w:val="20"/>
              </w:rPr>
              <w:t>Application for leave to appeal filed</w:t>
            </w:r>
          </w:p>
          <w:p w:rsidR="00EE6AE9" w:rsidRPr="00F02DF6" w:rsidRDefault="00EE6AE9" w:rsidP="00C6299D">
            <w:pPr>
              <w:jc w:val="both"/>
              <w:rPr>
                <w:rFonts w:eastAsia="Calibri"/>
                <w:sz w:val="20"/>
              </w:rPr>
            </w:pPr>
          </w:p>
        </w:tc>
      </w:tr>
    </w:tbl>
    <w:p w:rsidR="00A23156" w:rsidRDefault="00A23156" w:rsidP="00A23156">
      <w:pPr>
        <w:rPr>
          <w:sz w:val="20"/>
          <w:szCs w:val="20"/>
        </w:rPr>
      </w:pPr>
    </w:p>
    <w:p w:rsidR="00A23156" w:rsidRPr="00C50A5C" w:rsidRDefault="005B3B50" w:rsidP="00A23156">
      <w:pPr>
        <w:rPr>
          <w:sz w:val="20"/>
          <w:szCs w:val="20"/>
        </w:rPr>
      </w:pPr>
      <w:r>
        <w:rPr>
          <w:sz w:val="20"/>
          <w:szCs w:val="20"/>
          <w:lang w:val="fr-CA"/>
        </w:rPr>
        <w:pict>
          <v:rect id="_x0000_i1057" style="width:2in;height:1pt" o:hrpct="0" o:hralign="center" o:hrstd="t" o:hrnoshade="t" o:hr="t" fillcolor="black [3213]" stroked="f"/>
        </w:pict>
      </w:r>
    </w:p>
    <w:p w:rsidR="00A23156" w:rsidRDefault="00A23156" w:rsidP="00A23156">
      <w:pPr>
        <w:rPr>
          <w:sz w:val="20"/>
          <w:szCs w:val="20"/>
        </w:rPr>
      </w:pPr>
    </w:p>
    <w:p w:rsidR="00A23156" w:rsidRPr="001B157C" w:rsidRDefault="00A23156" w:rsidP="00A23156">
      <w:pPr>
        <w:rPr>
          <w:sz w:val="20"/>
          <w:szCs w:val="20"/>
          <w:u w:val="single"/>
          <w:lang w:val="fr-CA"/>
        </w:rPr>
      </w:pPr>
      <w:r w:rsidRPr="001B157C">
        <w:rPr>
          <w:sz w:val="20"/>
          <w:szCs w:val="20"/>
          <w:u w:val="single"/>
          <w:lang w:val="fr-CA"/>
        </w:rPr>
        <w:t>RÉSUMÉ DE L’AFFAIRE</w:t>
      </w:r>
    </w:p>
    <w:p w:rsidR="00A23156" w:rsidRDefault="00A23156" w:rsidP="00A2315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E6AE9" w:rsidRPr="002A1430" w:rsidTr="00C6299D">
        <w:tc>
          <w:tcPr>
            <w:tcW w:w="5000" w:type="pct"/>
            <w:gridSpan w:val="3"/>
          </w:tcPr>
          <w:p w:rsidR="00EE6AE9" w:rsidRPr="00F02DF6" w:rsidRDefault="00EE6AE9" w:rsidP="00C6299D">
            <w:pPr>
              <w:jc w:val="both"/>
              <w:rPr>
                <w:rFonts w:eastAsia="Calibri"/>
                <w:smallCaps/>
                <w:sz w:val="20"/>
                <w:lang w:val="fr-CA"/>
              </w:rPr>
            </w:pPr>
            <w:r w:rsidRPr="00F02DF6">
              <w:rPr>
                <w:rFonts w:eastAsia="Calibri"/>
                <w:i/>
                <w:sz w:val="20"/>
                <w:lang w:val="fr-CA"/>
              </w:rPr>
              <w:t>Charte des droits</w:t>
            </w:r>
            <w:r w:rsidRPr="00F02DF6">
              <w:rPr>
                <w:rFonts w:eastAsia="Calibri"/>
                <w:sz w:val="20"/>
                <w:lang w:val="fr-CA"/>
              </w:rPr>
              <w:t xml:space="preserve"> — Droit à l’égalité — La Cour divisionnaire a rejeté la demande de contrôle judiciaire d’une décision du Tribunal des droits de la personne — La décision de la Cour divisionnaire contrevenait-elle au par. 15(1) de la </w:t>
            </w:r>
            <w:r w:rsidRPr="00F02DF6">
              <w:rPr>
                <w:rFonts w:eastAsia="Calibri"/>
                <w:i/>
                <w:sz w:val="20"/>
                <w:lang w:val="fr-CA"/>
              </w:rPr>
              <w:t>Charte</w:t>
            </w:r>
            <w:r w:rsidRPr="00F02DF6">
              <w:rPr>
                <w:rFonts w:eastAsia="Calibri"/>
                <w:sz w:val="20"/>
                <w:lang w:val="fr-CA"/>
              </w:rPr>
              <w:t xml:space="preserve">? — La Cour d’appel a-t-elle eu tort de refuser l’autorisation d’appel? — </w:t>
            </w:r>
            <w:r w:rsidRPr="00F02DF6">
              <w:rPr>
                <w:rFonts w:eastAsia="Calibri"/>
                <w:i/>
                <w:sz w:val="20"/>
                <w:lang w:val="fr-CA"/>
              </w:rPr>
              <w:t>Charte</w:t>
            </w:r>
            <w:r w:rsidRPr="00F02DF6">
              <w:rPr>
                <w:rFonts w:eastAsia="Calibri"/>
                <w:sz w:val="20"/>
                <w:lang w:val="fr-CA"/>
              </w:rPr>
              <w:t>, par. 15(1) et art. 27.</w:t>
            </w:r>
          </w:p>
        </w:tc>
      </w:tr>
      <w:tr w:rsidR="00EE6AE9" w:rsidRPr="002A1430" w:rsidTr="00C6299D">
        <w:tc>
          <w:tcPr>
            <w:tcW w:w="5000" w:type="pct"/>
            <w:gridSpan w:val="3"/>
          </w:tcPr>
          <w:p w:rsidR="00EE6AE9" w:rsidRPr="00F02DF6" w:rsidRDefault="00EE6AE9" w:rsidP="00C6299D">
            <w:pPr>
              <w:jc w:val="both"/>
              <w:rPr>
                <w:rFonts w:eastAsia="Calibri"/>
                <w:sz w:val="20"/>
                <w:lang w:val="fr-CA"/>
              </w:rPr>
            </w:pPr>
          </w:p>
        </w:tc>
      </w:tr>
      <w:tr w:rsidR="00EE6AE9" w:rsidRPr="00F02DF6" w:rsidTr="00C6299D">
        <w:tc>
          <w:tcPr>
            <w:tcW w:w="5000" w:type="pct"/>
            <w:gridSpan w:val="3"/>
          </w:tcPr>
          <w:p w:rsidR="00EE6AE9" w:rsidRPr="00F02DF6" w:rsidRDefault="00EE6AE9" w:rsidP="00C6299D">
            <w:pPr>
              <w:jc w:val="both"/>
              <w:rPr>
                <w:rFonts w:eastAsia="Calibri"/>
                <w:sz w:val="20"/>
                <w:lang w:val="fr-CA"/>
              </w:rPr>
            </w:pPr>
            <w:r w:rsidRPr="00F02DF6">
              <w:rPr>
                <w:rFonts w:eastAsia="Calibri"/>
                <w:sz w:val="20"/>
                <w:lang w:val="fr-CA"/>
              </w:rPr>
              <w:t xml:space="preserve">La demanderesse, une membre du corps professoral de l’University of Western Ontario, a déposé une plainte auprès de l’Université, alléguant le harcèlement sur le fondement de la race et de l’origine ethnique ou nationale et la discrimination de la part d’un collègue.  L’Université et les parties en cause ont accepté de soumettre la plainte à un enquêteur externe, plutôt qu’à un comité d’enquête, la procédure prévue dans la convention collective régissant le corps professoral de l’Université.  L’enquêteur a présenté un rapport dans lequel il a conclu que la preuve ne permettait pas de conclure qu’il y avait eu discrimination ou harcèlement au sens de la convention collective.  L’Université a subséquemment communiqué à la demanderesse la décision de rejeter sa plainte. </w:t>
            </w:r>
          </w:p>
          <w:p w:rsidR="00EE6AE9" w:rsidRPr="00F02DF6" w:rsidRDefault="00EE6AE9" w:rsidP="00C6299D">
            <w:pPr>
              <w:jc w:val="both"/>
              <w:rPr>
                <w:rFonts w:eastAsia="Calibri"/>
                <w:sz w:val="20"/>
                <w:lang w:val="fr-CA"/>
              </w:rPr>
            </w:pPr>
          </w:p>
          <w:p w:rsidR="00EE6AE9" w:rsidRPr="00F02DF6" w:rsidRDefault="00EE6AE9" w:rsidP="00C6299D">
            <w:pPr>
              <w:jc w:val="both"/>
              <w:rPr>
                <w:rFonts w:eastAsia="Calibri"/>
                <w:sz w:val="20"/>
                <w:lang w:val="fr-CA"/>
              </w:rPr>
            </w:pPr>
            <w:r w:rsidRPr="00F02DF6">
              <w:rPr>
                <w:rFonts w:eastAsia="Calibri"/>
                <w:sz w:val="20"/>
                <w:lang w:val="fr-CA"/>
              </w:rPr>
              <w:t xml:space="preserve">La demanderesse a déposé deux demandes au Tribunal des droits de la personne de l’Ontario, soit une contre l’Université et une autre contre l’enquêteur externe.  Dans ces demandes, elle a allégué que l’enquêteur externe avait fait preuve de discrimination à son endroit dans la rédaction de son rapport en menant une enquête injuste sur sa plainte et que l’Université avait fait preuve de discrimination à son endroit en acceptant les conclusions censément discriminatoires contenues dans ce rapport.  La demanderesse a également allégué que l’Université avait omis de prendre des mesures d’accommodement à l’égard de son invalidité et avait exercé des représailles contre elle, contrairement au </w:t>
            </w:r>
            <w:r w:rsidRPr="00F02DF6">
              <w:rPr>
                <w:rFonts w:eastAsia="Calibri"/>
                <w:i/>
                <w:sz w:val="20"/>
                <w:lang w:val="fr-CA"/>
              </w:rPr>
              <w:t>Code des droits de la personne</w:t>
            </w:r>
            <w:r w:rsidRPr="00F02DF6">
              <w:rPr>
                <w:rFonts w:eastAsia="Calibri"/>
                <w:sz w:val="20"/>
                <w:lang w:val="fr-CA"/>
              </w:rPr>
              <w:t xml:space="preserve">, L.R.O. 1990, ch. H.19.  Les demandes ont été réunies. </w:t>
            </w:r>
          </w:p>
          <w:p w:rsidR="00EE6AE9" w:rsidRPr="00F02DF6" w:rsidRDefault="00EE6AE9" w:rsidP="00C6299D">
            <w:pPr>
              <w:jc w:val="both"/>
              <w:rPr>
                <w:rFonts w:eastAsia="Calibri"/>
                <w:sz w:val="20"/>
                <w:lang w:val="fr-CA"/>
              </w:rPr>
            </w:pPr>
          </w:p>
        </w:tc>
      </w:tr>
      <w:tr w:rsidR="00EE6AE9" w:rsidRPr="00F02DF6" w:rsidTr="00C6299D">
        <w:tc>
          <w:tcPr>
            <w:tcW w:w="2427" w:type="pct"/>
          </w:tcPr>
          <w:p w:rsidR="00EE6AE9" w:rsidRPr="00F02DF6" w:rsidRDefault="00EE6AE9" w:rsidP="00C6299D">
            <w:pPr>
              <w:jc w:val="both"/>
              <w:rPr>
                <w:rFonts w:eastAsia="Calibri"/>
                <w:sz w:val="20"/>
                <w:lang w:val="fr-CA"/>
              </w:rPr>
            </w:pPr>
            <w:r w:rsidRPr="00F02DF6">
              <w:rPr>
                <w:rFonts w:eastAsia="Calibri"/>
                <w:sz w:val="20"/>
                <w:lang w:val="fr-CA"/>
              </w:rPr>
              <w:t>10 avril 2013</w:t>
            </w:r>
          </w:p>
          <w:p w:rsidR="00EE6AE9" w:rsidRPr="00F02DF6" w:rsidRDefault="00EE6AE9" w:rsidP="00C6299D">
            <w:pPr>
              <w:jc w:val="both"/>
              <w:rPr>
                <w:rFonts w:eastAsia="Calibri"/>
                <w:sz w:val="20"/>
                <w:lang w:val="fr-CA"/>
              </w:rPr>
            </w:pPr>
            <w:r w:rsidRPr="00F02DF6">
              <w:rPr>
                <w:rFonts w:eastAsia="Calibri"/>
                <w:sz w:val="20"/>
                <w:lang w:val="fr-CA"/>
              </w:rPr>
              <w:t xml:space="preserve">Tribunal des droits de la personne de l’Ontario </w:t>
            </w:r>
          </w:p>
          <w:p w:rsidR="00EE6AE9" w:rsidRPr="00F02DF6" w:rsidRDefault="00EE6AE9" w:rsidP="00C6299D">
            <w:pPr>
              <w:jc w:val="both"/>
              <w:rPr>
                <w:rFonts w:eastAsia="Calibri"/>
                <w:sz w:val="20"/>
                <w:lang w:val="fr-CA"/>
              </w:rPr>
            </w:pPr>
            <w:r w:rsidRPr="00F02DF6">
              <w:rPr>
                <w:rFonts w:eastAsia="Calibri"/>
                <w:sz w:val="20"/>
                <w:lang w:val="fr-CA"/>
              </w:rPr>
              <w:t>(Arbitre Pickel)</w:t>
            </w:r>
          </w:p>
          <w:p w:rsidR="00EE6AE9" w:rsidRPr="00F02DF6" w:rsidRDefault="005B3B50" w:rsidP="00C6299D">
            <w:pPr>
              <w:jc w:val="both"/>
              <w:rPr>
                <w:rFonts w:eastAsia="Calibri"/>
                <w:sz w:val="20"/>
                <w:lang w:val="fr-CA"/>
              </w:rPr>
            </w:pPr>
            <w:hyperlink r:id="rId60" w:history="1">
              <w:r w:rsidR="00EE6AE9" w:rsidRPr="00F02DF6">
                <w:rPr>
                  <w:rFonts w:eastAsia="Calibri"/>
                  <w:color w:val="0000FF"/>
                  <w:sz w:val="20"/>
                  <w:u w:val="single"/>
                  <w:lang w:val="fr-CA"/>
                </w:rPr>
                <w:t>2013 HRTO 597</w:t>
              </w:r>
            </w:hyperlink>
          </w:p>
          <w:p w:rsidR="00EE6AE9" w:rsidRPr="00F02DF6" w:rsidRDefault="00EE6AE9" w:rsidP="00C6299D">
            <w:pPr>
              <w:jc w:val="both"/>
              <w:rPr>
                <w:rFonts w:eastAsia="Calibri"/>
                <w:sz w:val="20"/>
                <w:lang w:val="fr-CA"/>
              </w:rPr>
            </w:pPr>
          </w:p>
        </w:tc>
        <w:tc>
          <w:tcPr>
            <w:tcW w:w="243" w:type="pct"/>
          </w:tcPr>
          <w:p w:rsidR="00EE6AE9" w:rsidRPr="00F02DF6" w:rsidRDefault="00EE6AE9" w:rsidP="00C6299D">
            <w:pPr>
              <w:jc w:val="both"/>
              <w:rPr>
                <w:rFonts w:eastAsia="Calibri"/>
                <w:sz w:val="20"/>
                <w:lang w:val="fr-CA"/>
              </w:rPr>
            </w:pPr>
          </w:p>
        </w:tc>
        <w:tc>
          <w:tcPr>
            <w:tcW w:w="2330" w:type="pct"/>
          </w:tcPr>
          <w:p w:rsidR="00EE6AE9" w:rsidRPr="00F02DF6" w:rsidRDefault="00EE6AE9" w:rsidP="00C6299D">
            <w:pPr>
              <w:jc w:val="both"/>
              <w:rPr>
                <w:rFonts w:eastAsia="Calibri"/>
                <w:sz w:val="20"/>
                <w:lang w:val="fr-CA"/>
              </w:rPr>
            </w:pPr>
            <w:r w:rsidRPr="00F02DF6">
              <w:rPr>
                <w:rFonts w:eastAsia="Calibri"/>
                <w:sz w:val="20"/>
                <w:lang w:val="fr-CA"/>
              </w:rPr>
              <w:t xml:space="preserve">Rejet des demandes fondées sur le </w:t>
            </w:r>
            <w:r w:rsidRPr="00F02DF6">
              <w:rPr>
                <w:rFonts w:eastAsia="Calibri"/>
                <w:i/>
                <w:sz w:val="20"/>
                <w:lang w:val="fr-CA"/>
              </w:rPr>
              <w:t>Code des droits de la personne</w:t>
            </w:r>
            <w:r w:rsidRPr="00F02DF6">
              <w:rPr>
                <w:rFonts w:eastAsia="Calibri"/>
                <w:sz w:val="20"/>
                <w:lang w:val="fr-CA"/>
              </w:rPr>
              <w:t>, L.R.O. 1990, ch. H.19</w:t>
            </w:r>
          </w:p>
        </w:tc>
      </w:tr>
      <w:tr w:rsidR="00EE6AE9" w:rsidRPr="002A1430" w:rsidTr="00C6299D">
        <w:tc>
          <w:tcPr>
            <w:tcW w:w="2427" w:type="pct"/>
          </w:tcPr>
          <w:p w:rsidR="00EE6AE9" w:rsidRPr="00F02DF6" w:rsidRDefault="00EE6AE9" w:rsidP="00C6299D">
            <w:pPr>
              <w:jc w:val="both"/>
              <w:rPr>
                <w:rFonts w:eastAsia="Calibri"/>
                <w:sz w:val="20"/>
                <w:lang w:val="fr-CA"/>
              </w:rPr>
            </w:pPr>
            <w:r w:rsidRPr="00F02DF6">
              <w:rPr>
                <w:rFonts w:eastAsia="Calibri"/>
                <w:sz w:val="20"/>
                <w:lang w:val="fr-CA"/>
              </w:rPr>
              <w:t>20 mars 2014</w:t>
            </w:r>
          </w:p>
          <w:p w:rsidR="00EE6AE9" w:rsidRPr="00F02DF6" w:rsidRDefault="00EE6AE9" w:rsidP="00C6299D">
            <w:pPr>
              <w:jc w:val="both"/>
              <w:rPr>
                <w:rFonts w:eastAsia="Calibri"/>
                <w:sz w:val="20"/>
                <w:lang w:val="fr-CA"/>
              </w:rPr>
            </w:pPr>
            <w:r w:rsidRPr="00F02DF6">
              <w:rPr>
                <w:rFonts w:eastAsia="Calibri"/>
                <w:sz w:val="20"/>
                <w:lang w:val="fr-CA"/>
              </w:rPr>
              <w:t>Cour divisionnaire de la Cour supérieure de justice de l’Ontario</w:t>
            </w:r>
          </w:p>
          <w:p w:rsidR="00EE6AE9" w:rsidRPr="00F02DF6" w:rsidRDefault="00EE6AE9" w:rsidP="00C6299D">
            <w:pPr>
              <w:jc w:val="both"/>
              <w:rPr>
                <w:rFonts w:eastAsia="Calibri"/>
                <w:sz w:val="20"/>
                <w:lang w:val="fr-CA"/>
              </w:rPr>
            </w:pPr>
            <w:r w:rsidRPr="00F02DF6">
              <w:rPr>
                <w:rFonts w:eastAsia="Calibri"/>
                <w:sz w:val="20"/>
                <w:lang w:val="fr-CA"/>
              </w:rPr>
              <w:t>(Juges Heeney, Parfett et Varpio)</w:t>
            </w:r>
          </w:p>
          <w:p w:rsidR="00EE6AE9" w:rsidRPr="00F02DF6" w:rsidRDefault="005B3B50" w:rsidP="00C6299D">
            <w:pPr>
              <w:jc w:val="both"/>
              <w:rPr>
                <w:rFonts w:eastAsia="Calibri"/>
                <w:sz w:val="20"/>
                <w:lang w:val="fr-CA"/>
              </w:rPr>
            </w:pPr>
            <w:hyperlink r:id="rId61" w:history="1">
              <w:r w:rsidR="00EE6AE9" w:rsidRPr="00F02DF6">
                <w:rPr>
                  <w:rFonts w:eastAsia="Calibri"/>
                  <w:color w:val="0000FF"/>
                  <w:sz w:val="20"/>
                  <w:u w:val="single"/>
                  <w:lang w:val="fr-CA"/>
                </w:rPr>
                <w:t>2014 ONSC 1818</w:t>
              </w:r>
            </w:hyperlink>
          </w:p>
          <w:p w:rsidR="00EE6AE9" w:rsidRPr="00F02DF6" w:rsidRDefault="00EE6AE9" w:rsidP="00C6299D">
            <w:pPr>
              <w:jc w:val="both"/>
              <w:rPr>
                <w:rFonts w:eastAsia="Calibri"/>
                <w:sz w:val="20"/>
                <w:lang w:val="fr-CA"/>
              </w:rPr>
            </w:pPr>
          </w:p>
        </w:tc>
        <w:tc>
          <w:tcPr>
            <w:tcW w:w="243" w:type="pct"/>
          </w:tcPr>
          <w:p w:rsidR="00EE6AE9" w:rsidRPr="00F02DF6" w:rsidRDefault="00EE6AE9" w:rsidP="00C6299D">
            <w:pPr>
              <w:jc w:val="both"/>
              <w:rPr>
                <w:rFonts w:eastAsia="Calibri"/>
                <w:sz w:val="20"/>
                <w:lang w:val="fr-CA"/>
              </w:rPr>
            </w:pPr>
          </w:p>
        </w:tc>
        <w:tc>
          <w:tcPr>
            <w:tcW w:w="2330" w:type="pct"/>
          </w:tcPr>
          <w:p w:rsidR="00EE6AE9" w:rsidRPr="00F02DF6" w:rsidRDefault="00EE6AE9" w:rsidP="00C6299D">
            <w:pPr>
              <w:jc w:val="both"/>
              <w:rPr>
                <w:rFonts w:eastAsia="Calibri"/>
                <w:sz w:val="20"/>
                <w:lang w:val="fr-CA"/>
              </w:rPr>
            </w:pPr>
            <w:r w:rsidRPr="00F02DF6">
              <w:rPr>
                <w:rFonts w:eastAsia="Calibri"/>
                <w:sz w:val="20"/>
                <w:lang w:val="fr-CA"/>
              </w:rPr>
              <w:t>Rejet de la demande de contrôle judiciaire</w:t>
            </w:r>
          </w:p>
          <w:p w:rsidR="00EE6AE9" w:rsidRPr="00F02DF6" w:rsidRDefault="00EE6AE9" w:rsidP="00C6299D">
            <w:pPr>
              <w:jc w:val="both"/>
              <w:rPr>
                <w:rFonts w:eastAsia="Calibri"/>
                <w:sz w:val="20"/>
                <w:lang w:val="fr-CA"/>
              </w:rPr>
            </w:pPr>
          </w:p>
          <w:p w:rsidR="00EE6AE9" w:rsidRPr="00F02DF6" w:rsidRDefault="00EE6AE9" w:rsidP="00C6299D">
            <w:pPr>
              <w:jc w:val="both"/>
              <w:rPr>
                <w:rFonts w:eastAsia="Calibri"/>
                <w:sz w:val="20"/>
                <w:lang w:val="fr-CA"/>
              </w:rPr>
            </w:pPr>
          </w:p>
        </w:tc>
      </w:tr>
      <w:tr w:rsidR="00EE6AE9" w:rsidRPr="002A1430" w:rsidTr="00C6299D">
        <w:tc>
          <w:tcPr>
            <w:tcW w:w="2427" w:type="pct"/>
          </w:tcPr>
          <w:p w:rsidR="00EE6AE9" w:rsidRPr="00F02DF6" w:rsidRDefault="00EE6AE9" w:rsidP="00C6299D">
            <w:pPr>
              <w:jc w:val="both"/>
              <w:rPr>
                <w:rFonts w:eastAsia="Calibri"/>
                <w:sz w:val="20"/>
                <w:lang w:val="fr-CA"/>
              </w:rPr>
            </w:pPr>
            <w:r w:rsidRPr="00F02DF6">
              <w:rPr>
                <w:rFonts w:eastAsia="Calibri"/>
                <w:sz w:val="20"/>
                <w:lang w:val="fr-CA"/>
              </w:rPr>
              <w:t>26 juin 2014</w:t>
            </w:r>
          </w:p>
          <w:p w:rsidR="00EE6AE9" w:rsidRPr="00F02DF6" w:rsidRDefault="00EE6AE9" w:rsidP="00C6299D">
            <w:pPr>
              <w:jc w:val="both"/>
              <w:rPr>
                <w:rFonts w:eastAsia="Calibri"/>
                <w:sz w:val="20"/>
                <w:lang w:val="fr-CA"/>
              </w:rPr>
            </w:pPr>
            <w:r w:rsidRPr="00F02DF6">
              <w:rPr>
                <w:rFonts w:eastAsia="Calibri"/>
                <w:sz w:val="20"/>
                <w:lang w:val="fr-CA"/>
              </w:rPr>
              <w:t>Cour divisionnaire de la Cour supérieure de justice de l’Ontario</w:t>
            </w:r>
          </w:p>
          <w:p w:rsidR="00EE6AE9" w:rsidRPr="00F02DF6" w:rsidRDefault="00EE6AE9" w:rsidP="00C6299D">
            <w:pPr>
              <w:jc w:val="both"/>
              <w:rPr>
                <w:rFonts w:eastAsia="Calibri"/>
                <w:sz w:val="20"/>
                <w:lang w:val="fr-CA"/>
              </w:rPr>
            </w:pPr>
            <w:r w:rsidRPr="00F02DF6">
              <w:rPr>
                <w:rFonts w:eastAsia="Calibri"/>
                <w:sz w:val="20"/>
                <w:lang w:val="fr-CA"/>
              </w:rPr>
              <w:t xml:space="preserve"> (Juges Heeney, Parfett et Varpio)</w:t>
            </w:r>
          </w:p>
          <w:p w:rsidR="00EE6AE9" w:rsidRPr="00F02DF6" w:rsidRDefault="005B3B50" w:rsidP="00C6299D">
            <w:pPr>
              <w:jc w:val="both"/>
              <w:rPr>
                <w:rFonts w:eastAsia="Calibri"/>
                <w:sz w:val="20"/>
                <w:lang w:val="fr-CA"/>
              </w:rPr>
            </w:pPr>
            <w:hyperlink r:id="rId62" w:history="1">
              <w:r w:rsidR="00EE6AE9" w:rsidRPr="00F02DF6">
                <w:rPr>
                  <w:rFonts w:eastAsia="Calibri"/>
                  <w:color w:val="0000FF"/>
                  <w:sz w:val="20"/>
                  <w:u w:val="single"/>
                  <w:lang w:val="fr-CA"/>
                </w:rPr>
                <w:t>2014 ONSC 2960</w:t>
              </w:r>
            </w:hyperlink>
          </w:p>
          <w:p w:rsidR="00EE6AE9" w:rsidRPr="00F02DF6" w:rsidRDefault="00EE6AE9" w:rsidP="00C6299D">
            <w:pPr>
              <w:jc w:val="both"/>
              <w:rPr>
                <w:rFonts w:eastAsia="Calibri"/>
                <w:sz w:val="20"/>
                <w:lang w:val="fr-CA"/>
              </w:rPr>
            </w:pPr>
          </w:p>
        </w:tc>
        <w:tc>
          <w:tcPr>
            <w:tcW w:w="243" w:type="pct"/>
          </w:tcPr>
          <w:p w:rsidR="00EE6AE9" w:rsidRPr="00F02DF6" w:rsidRDefault="00EE6AE9" w:rsidP="00C6299D">
            <w:pPr>
              <w:jc w:val="both"/>
              <w:rPr>
                <w:rFonts w:eastAsia="Calibri"/>
                <w:sz w:val="20"/>
                <w:lang w:val="fr-CA"/>
              </w:rPr>
            </w:pPr>
          </w:p>
        </w:tc>
        <w:tc>
          <w:tcPr>
            <w:tcW w:w="2330" w:type="pct"/>
          </w:tcPr>
          <w:p w:rsidR="00EE6AE9" w:rsidRPr="00F02DF6" w:rsidRDefault="00EE6AE9" w:rsidP="00C6299D">
            <w:pPr>
              <w:jc w:val="both"/>
              <w:rPr>
                <w:rFonts w:eastAsia="Calibri"/>
                <w:sz w:val="20"/>
                <w:lang w:val="fr-CA"/>
              </w:rPr>
            </w:pPr>
            <w:r w:rsidRPr="00F02DF6">
              <w:rPr>
                <w:rFonts w:eastAsia="Calibri"/>
                <w:sz w:val="20"/>
                <w:lang w:val="fr-CA"/>
              </w:rPr>
              <w:t>Condamnation de la demanderesse aux dépens d’indemnisation substantielle</w:t>
            </w:r>
          </w:p>
        </w:tc>
      </w:tr>
      <w:tr w:rsidR="00EE6AE9" w:rsidRPr="002A1430" w:rsidTr="00C6299D">
        <w:tc>
          <w:tcPr>
            <w:tcW w:w="2427" w:type="pct"/>
          </w:tcPr>
          <w:p w:rsidR="00EE6AE9" w:rsidRPr="00F02DF6" w:rsidRDefault="00EE6AE9" w:rsidP="00C6299D">
            <w:pPr>
              <w:jc w:val="both"/>
              <w:rPr>
                <w:rFonts w:eastAsia="Calibri"/>
                <w:sz w:val="20"/>
                <w:lang w:val="fr-CA"/>
              </w:rPr>
            </w:pPr>
            <w:r w:rsidRPr="00F02DF6">
              <w:rPr>
                <w:rFonts w:eastAsia="Calibri"/>
                <w:sz w:val="20"/>
                <w:lang w:val="fr-CA"/>
              </w:rPr>
              <w:t>21 novembre 2014</w:t>
            </w:r>
          </w:p>
          <w:p w:rsidR="00EE6AE9" w:rsidRPr="00F02DF6" w:rsidRDefault="00EE6AE9" w:rsidP="00C6299D">
            <w:pPr>
              <w:jc w:val="both"/>
              <w:rPr>
                <w:rFonts w:eastAsia="Calibri"/>
                <w:sz w:val="20"/>
                <w:lang w:val="fr-CA"/>
              </w:rPr>
            </w:pPr>
            <w:r w:rsidRPr="00F02DF6">
              <w:rPr>
                <w:rFonts w:eastAsia="Calibri"/>
                <w:sz w:val="20"/>
                <w:lang w:val="fr-CA"/>
              </w:rPr>
              <w:t>Cour d’appel de l’Ontario</w:t>
            </w:r>
          </w:p>
          <w:p w:rsidR="00EE6AE9" w:rsidRPr="00F02DF6" w:rsidRDefault="00EE6AE9" w:rsidP="00C6299D">
            <w:pPr>
              <w:jc w:val="both"/>
              <w:rPr>
                <w:rFonts w:eastAsia="Calibri"/>
                <w:sz w:val="20"/>
                <w:lang w:val="fr-CA"/>
              </w:rPr>
            </w:pPr>
            <w:r w:rsidRPr="00F02DF6">
              <w:rPr>
                <w:rFonts w:eastAsia="Calibri"/>
                <w:sz w:val="20"/>
                <w:lang w:val="fr-CA"/>
              </w:rPr>
              <w:t>(Juges Simmons, MacFarland et Benotto)</w:t>
            </w:r>
          </w:p>
          <w:p w:rsidR="00EE6AE9" w:rsidRPr="00F02DF6" w:rsidRDefault="00EE6AE9" w:rsidP="00C6299D">
            <w:pPr>
              <w:jc w:val="both"/>
              <w:rPr>
                <w:rFonts w:eastAsia="Calibri"/>
                <w:sz w:val="20"/>
                <w:lang w:val="fr-CA"/>
              </w:rPr>
            </w:pPr>
            <w:r w:rsidRPr="00F02DF6">
              <w:rPr>
                <w:rFonts w:eastAsia="Calibri"/>
                <w:sz w:val="20"/>
                <w:lang w:val="fr-CA"/>
              </w:rPr>
              <w:t>N</w:t>
            </w:r>
            <w:r w:rsidRPr="00F02DF6">
              <w:rPr>
                <w:rFonts w:eastAsia="Calibri"/>
                <w:sz w:val="20"/>
                <w:vertAlign w:val="superscript"/>
                <w:lang w:val="fr-CA"/>
              </w:rPr>
              <w:t>os</w:t>
            </w:r>
            <w:r w:rsidRPr="00F02DF6">
              <w:rPr>
                <w:rFonts w:eastAsia="Calibri"/>
                <w:sz w:val="20"/>
                <w:lang w:val="fr-CA"/>
              </w:rPr>
              <w:t xml:space="preserve"> du greffe M43652 et M43989</w:t>
            </w:r>
          </w:p>
          <w:p w:rsidR="00EE6AE9" w:rsidRPr="00F02DF6" w:rsidRDefault="00EE6AE9" w:rsidP="00C6299D">
            <w:pPr>
              <w:jc w:val="both"/>
              <w:rPr>
                <w:rFonts w:eastAsia="Calibri"/>
                <w:sz w:val="20"/>
                <w:lang w:val="fr-CA"/>
              </w:rPr>
            </w:pPr>
          </w:p>
        </w:tc>
        <w:tc>
          <w:tcPr>
            <w:tcW w:w="243" w:type="pct"/>
          </w:tcPr>
          <w:p w:rsidR="00EE6AE9" w:rsidRPr="00F02DF6" w:rsidRDefault="00EE6AE9" w:rsidP="00C6299D">
            <w:pPr>
              <w:jc w:val="both"/>
              <w:rPr>
                <w:rFonts w:eastAsia="Calibri"/>
                <w:sz w:val="20"/>
                <w:lang w:val="fr-CA"/>
              </w:rPr>
            </w:pPr>
          </w:p>
        </w:tc>
        <w:tc>
          <w:tcPr>
            <w:tcW w:w="2330" w:type="pct"/>
          </w:tcPr>
          <w:p w:rsidR="00EE6AE9" w:rsidRPr="00F02DF6" w:rsidRDefault="00EE6AE9" w:rsidP="00C6299D">
            <w:pPr>
              <w:jc w:val="both"/>
              <w:rPr>
                <w:rFonts w:eastAsia="Calibri"/>
                <w:sz w:val="20"/>
                <w:lang w:val="fr-CA"/>
              </w:rPr>
            </w:pPr>
            <w:r w:rsidRPr="00F02DF6">
              <w:rPr>
                <w:rFonts w:eastAsia="Calibri"/>
                <w:sz w:val="20"/>
                <w:lang w:val="fr-CA"/>
              </w:rPr>
              <w:t>Rejet des motions en autorisation d’appel de l’ordonnance rejetant la demande de contrôle judiciaire et de la condamnation aux dépens</w:t>
            </w:r>
          </w:p>
          <w:p w:rsidR="00EE6AE9" w:rsidRPr="00F02DF6" w:rsidRDefault="00EE6AE9" w:rsidP="00C6299D">
            <w:pPr>
              <w:jc w:val="both"/>
              <w:rPr>
                <w:rFonts w:eastAsia="Calibri"/>
                <w:sz w:val="20"/>
                <w:lang w:val="fr-CA"/>
              </w:rPr>
            </w:pPr>
          </w:p>
        </w:tc>
      </w:tr>
      <w:tr w:rsidR="00EE6AE9" w:rsidRPr="002A1430" w:rsidTr="00C6299D">
        <w:tc>
          <w:tcPr>
            <w:tcW w:w="2427" w:type="pct"/>
          </w:tcPr>
          <w:p w:rsidR="00EE6AE9" w:rsidRPr="00F02DF6" w:rsidRDefault="00EE6AE9" w:rsidP="00C6299D">
            <w:pPr>
              <w:jc w:val="both"/>
              <w:rPr>
                <w:rFonts w:eastAsia="Calibri"/>
                <w:sz w:val="20"/>
                <w:lang w:val="fr-CA"/>
              </w:rPr>
            </w:pPr>
            <w:r w:rsidRPr="00F02DF6">
              <w:rPr>
                <w:rFonts w:eastAsia="Calibri"/>
                <w:sz w:val="20"/>
                <w:lang w:val="fr-CA"/>
              </w:rPr>
              <w:t>20 janvier 2015</w:t>
            </w:r>
          </w:p>
          <w:p w:rsidR="00EE6AE9" w:rsidRPr="00F02DF6" w:rsidRDefault="00EE6AE9" w:rsidP="00C6299D">
            <w:pPr>
              <w:jc w:val="both"/>
              <w:rPr>
                <w:rFonts w:eastAsia="Calibri"/>
                <w:sz w:val="20"/>
                <w:lang w:val="fr-CA"/>
              </w:rPr>
            </w:pPr>
            <w:r w:rsidRPr="00F02DF6">
              <w:rPr>
                <w:rFonts w:eastAsia="Calibri"/>
                <w:sz w:val="20"/>
                <w:lang w:val="fr-CA"/>
              </w:rPr>
              <w:t>Cour suprême du Canada</w:t>
            </w:r>
          </w:p>
        </w:tc>
        <w:tc>
          <w:tcPr>
            <w:tcW w:w="243" w:type="pct"/>
          </w:tcPr>
          <w:p w:rsidR="00EE6AE9" w:rsidRPr="00F02DF6" w:rsidRDefault="00EE6AE9" w:rsidP="00C6299D">
            <w:pPr>
              <w:jc w:val="both"/>
              <w:rPr>
                <w:rFonts w:eastAsia="Calibri"/>
                <w:sz w:val="20"/>
                <w:lang w:val="fr-CA"/>
              </w:rPr>
            </w:pPr>
          </w:p>
        </w:tc>
        <w:tc>
          <w:tcPr>
            <w:tcW w:w="2330" w:type="pct"/>
          </w:tcPr>
          <w:p w:rsidR="00EE6AE9" w:rsidRPr="00F02DF6" w:rsidRDefault="00EE6AE9" w:rsidP="00C6299D">
            <w:pPr>
              <w:jc w:val="both"/>
              <w:rPr>
                <w:rFonts w:eastAsia="Calibri"/>
                <w:sz w:val="20"/>
                <w:lang w:val="fr-CA"/>
              </w:rPr>
            </w:pPr>
            <w:r w:rsidRPr="00F02DF6">
              <w:rPr>
                <w:rFonts w:eastAsia="Calibri"/>
                <w:sz w:val="20"/>
                <w:lang w:val="fr-CA"/>
              </w:rPr>
              <w:t>Dépôt de la demande d’autorisation d’appel</w:t>
            </w:r>
          </w:p>
          <w:p w:rsidR="00EE6AE9" w:rsidRPr="00F02DF6" w:rsidRDefault="00EE6AE9" w:rsidP="00C6299D">
            <w:pPr>
              <w:jc w:val="both"/>
              <w:rPr>
                <w:rFonts w:eastAsia="Calibri"/>
                <w:sz w:val="20"/>
                <w:lang w:val="fr-CA"/>
              </w:rPr>
            </w:pPr>
          </w:p>
        </w:tc>
      </w:tr>
    </w:tbl>
    <w:p w:rsidR="00A23156" w:rsidRPr="00EE6AE9" w:rsidRDefault="00A23156" w:rsidP="00A23156">
      <w:pPr>
        <w:rPr>
          <w:sz w:val="20"/>
          <w:szCs w:val="20"/>
          <w:lang w:val="fr-CA"/>
        </w:rPr>
      </w:pPr>
    </w:p>
    <w:p w:rsidR="00A23156" w:rsidRDefault="005B3B50" w:rsidP="00A23156">
      <w:pPr>
        <w:rPr>
          <w:sz w:val="20"/>
          <w:szCs w:val="20"/>
          <w:lang w:val="fr-CA"/>
        </w:rPr>
      </w:pPr>
      <w:r>
        <w:rPr>
          <w:sz w:val="20"/>
          <w:szCs w:val="20"/>
          <w:lang w:val="fr-CA"/>
        </w:rPr>
        <w:pict>
          <v:rect id="_x0000_i1058" style="width:2in;height:1pt" o:hrpct="0" o:hralign="center" o:hrstd="t" o:hrnoshade="t" o:hr="t" fillcolor="black [3213]" stroked="f"/>
        </w:pict>
      </w:r>
    </w:p>
    <w:p w:rsidR="00A23156" w:rsidRDefault="00A23156" w:rsidP="00A23156">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237ED" w:rsidRPr="00715263" w:rsidTr="000B0443">
        <w:tc>
          <w:tcPr>
            <w:tcW w:w="1458" w:type="dxa"/>
          </w:tcPr>
          <w:p w:rsidR="008237ED" w:rsidRPr="00715263" w:rsidRDefault="008237ED" w:rsidP="008237ED">
            <w:pPr>
              <w:rPr>
                <w:sz w:val="20"/>
                <w:szCs w:val="20"/>
              </w:rPr>
            </w:pPr>
            <w:r w:rsidRPr="00715263">
              <w:rPr>
                <w:rStyle w:val="SCCFileNumberChar"/>
                <w:sz w:val="20"/>
                <w:szCs w:val="20"/>
              </w:rPr>
              <w:t>36273</w:t>
            </w:r>
          </w:p>
          <w:p w:rsidR="008237ED" w:rsidRPr="00715263" w:rsidRDefault="008237ED" w:rsidP="008237ED">
            <w:pPr>
              <w:rPr>
                <w:b/>
                <w:sz w:val="20"/>
                <w:szCs w:val="20"/>
                <w:lang w:val="fr-CA"/>
              </w:rPr>
            </w:pPr>
          </w:p>
        </w:tc>
        <w:tc>
          <w:tcPr>
            <w:tcW w:w="8118" w:type="dxa"/>
          </w:tcPr>
          <w:p w:rsidR="008237ED" w:rsidRPr="00715263" w:rsidRDefault="008237ED" w:rsidP="008237ED">
            <w:pPr>
              <w:jc w:val="both"/>
              <w:rPr>
                <w:sz w:val="20"/>
                <w:szCs w:val="20"/>
              </w:rPr>
            </w:pPr>
            <w:r w:rsidRPr="00715263">
              <w:rPr>
                <w:rStyle w:val="SCCLsocChar"/>
                <w:sz w:val="20"/>
                <w:szCs w:val="20"/>
                <w:lang w:val="en-CA"/>
              </w:rPr>
              <w:t>Robert Warren Joseph Taylor v. Murray Summerville; London Police Department, PC. Dave Poustie #30529</w:t>
            </w:r>
            <w:r w:rsidR="006623D5">
              <w:rPr>
                <w:rStyle w:val="SCCLsocChar"/>
                <w:sz w:val="20"/>
                <w:szCs w:val="20"/>
                <w:lang w:val="en-CA"/>
              </w:rPr>
              <w:t xml:space="preserve"> and</w:t>
            </w:r>
            <w:r w:rsidRPr="00715263">
              <w:rPr>
                <w:rStyle w:val="SCCLsocChar"/>
                <w:sz w:val="20"/>
                <w:szCs w:val="20"/>
                <w:lang w:val="en-CA"/>
              </w:rPr>
              <w:t xml:space="preserve"> PC. Richard Wilkinson #4145 AND BETWEEN Robert Warren Joseph Taylor v. Ministry of the Attorney General of Ontario, Crown Attorney Toronto Region, (Former) Chief of Police -Julian Fantino (OPP. Commissioner) Toronto Police Service, Detective Greig #773, Police Constable Somers #90023 and Detective Bob Macdonald #6555 AND BETWEEN Robert Warren Joseph Taylor v. London Police Service, (Former) Chief of Police - Julian Fantino, Jennifer Gage and Murray Summerville</w:t>
            </w:r>
            <w:r w:rsidRPr="00715263">
              <w:rPr>
                <w:sz w:val="20"/>
                <w:szCs w:val="20"/>
              </w:rPr>
              <w:t xml:space="preserve"> (Ont.) (Civil) (By Leave)</w:t>
            </w:r>
          </w:p>
          <w:p w:rsidR="008237ED" w:rsidRPr="00715263" w:rsidRDefault="008237ED" w:rsidP="008237ED">
            <w:pPr>
              <w:jc w:val="both"/>
              <w:rPr>
                <w:sz w:val="20"/>
                <w:szCs w:val="20"/>
              </w:rPr>
            </w:pPr>
          </w:p>
        </w:tc>
      </w:tr>
      <w:tr w:rsidR="008237ED" w:rsidRPr="00715263" w:rsidTr="000B0443">
        <w:tc>
          <w:tcPr>
            <w:tcW w:w="1458" w:type="dxa"/>
          </w:tcPr>
          <w:p w:rsidR="008237ED" w:rsidRPr="00715263" w:rsidRDefault="008237ED" w:rsidP="008237ED">
            <w:pPr>
              <w:rPr>
                <w:sz w:val="20"/>
                <w:szCs w:val="20"/>
              </w:rPr>
            </w:pPr>
            <w:r w:rsidRPr="00715263">
              <w:rPr>
                <w:sz w:val="20"/>
                <w:szCs w:val="20"/>
              </w:rPr>
              <w:t>Coram :</w:t>
            </w:r>
          </w:p>
        </w:tc>
        <w:tc>
          <w:tcPr>
            <w:tcW w:w="8118" w:type="dxa"/>
          </w:tcPr>
          <w:p w:rsidR="008237ED" w:rsidRPr="00715263" w:rsidRDefault="008237ED" w:rsidP="008237ED">
            <w:pPr>
              <w:rPr>
                <w:sz w:val="20"/>
                <w:szCs w:val="20"/>
              </w:rPr>
            </w:pPr>
            <w:r w:rsidRPr="00715263">
              <w:rPr>
                <w:rStyle w:val="SCCCoramChar"/>
                <w:sz w:val="20"/>
                <w:szCs w:val="20"/>
                <w:lang w:val="en-CA"/>
              </w:rPr>
              <w:t>McLachlin C.J. and Wagner and Gascon JJ.</w:t>
            </w:r>
          </w:p>
          <w:p w:rsidR="008237ED" w:rsidRPr="00715263" w:rsidRDefault="008237ED" w:rsidP="008237ED">
            <w:pPr>
              <w:rPr>
                <w:sz w:val="20"/>
                <w:szCs w:val="20"/>
                <w:u w:val="single"/>
              </w:rPr>
            </w:pPr>
          </w:p>
        </w:tc>
      </w:tr>
      <w:tr w:rsidR="008237ED" w:rsidRPr="002A1430" w:rsidTr="000B0443">
        <w:tc>
          <w:tcPr>
            <w:tcW w:w="9576" w:type="dxa"/>
            <w:gridSpan w:val="2"/>
          </w:tcPr>
          <w:p w:rsidR="008237ED" w:rsidRPr="00715263" w:rsidRDefault="008237ED" w:rsidP="008237ED">
            <w:pPr>
              <w:pStyle w:val="SCCShortJudgment"/>
              <w:rPr>
                <w:szCs w:val="20"/>
              </w:rPr>
            </w:pPr>
            <w:r w:rsidRPr="00715263">
              <w:rPr>
                <w:szCs w:val="20"/>
              </w:rPr>
              <w:t>The motion for an extension of time to serve and file the application for leave to appeal is dismissed with costs to the Ministry of the Attorney General of Ontario, the Crown Attorney Toronto Region, the London Police Services Board, the Toronto Police Service, Detective Greig, Police Constable Somers and Detective McDonald. Had the Court considered it, the application for leave to appeal from the judgment of the Court of Appeal for Ontario, Number M39011, dated August 24, 2010, would have been quashed for want of jurisdiction.</w:t>
            </w:r>
          </w:p>
          <w:p w:rsidR="008237ED" w:rsidRPr="00715263" w:rsidRDefault="008237ED" w:rsidP="008237ED">
            <w:pPr>
              <w:pStyle w:val="SCCShortJudgment"/>
              <w:ind w:firstLine="0"/>
              <w:rPr>
                <w:szCs w:val="20"/>
              </w:rPr>
            </w:pPr>
          </w:p>
          <w:p w:rsidR="008237ED" w:rsidRPr="00715263" w:rsidRDefault="008237ED" w:rsidP="008237ED">
            <w:pPr>
              <w:pStyle w:val="SCCShortJudgment"/>
              <w:rPr>
                <w:szCs w:val="20"/>
                <w:lang w:val="fr-CA"/>
              </w:rPr>
            </w:pPr>
            <w:r w:rsidRPr="00715263">
              <w:rPr>
                <w:szCs w:val="20"/>
                <w:lang w:val="fr-CA"/>
              </w:rPr>
              <w:t>La requête en prorogation du délai de signification et de dépôt de la demande d’autorisation d’appel est rejetée avec dépens en faveur des intimés Ministère du procureur général de l’Ontario, procureur de la Couronne de la région de Toronto, Conseil des Services policiers de London, le Service de police de Toronto, le détective Greig, agent de police Somers et le détective McDonald.  Si la cour l’avait considéré, la demande d’autorisation d’appel de l’arrêt de la Cour d’appel de l’Ontario, numéro M39011, daté du 24 août 2010, aurait été cassée pour cause d’absence de compétence.</w:t>
            </w:r>
          </w:p>
        </w:tc>
      </w:tr>
    </w:tbl>
    <w:p w:rsidR="00A23156" w:rsidRPr="008237ED" w:rsidRDefault="00A23156" w:rsidP="00A23156">
      <w:pPr>
        <w:rPr>
          <w:sz w:val="20"/>
          <w:szCs w:val="20"/>
          <w:lang w:val="fr-CA"/>
        </w:rPr>
      </w:pPr>
    </w:p>
    <w:p w:rsidR="00A23156" w:rsidRPr="001B157C" w:rsidRDefault="00A23156" w:rsidP="00A23156">
      <w:pPr>
        <w:rPr>
          <w:sz w:val="20"/>
          <w:szCs w:val="20"/>
          <w:u w:val="single"/>
        </w:rPr>
      </w:pPr>
      <w:r w:rsidRPr="001B157C">
        <w:rPr>
          <w:sz w:val="20"/>
          <w:szCs w:val="20"/>
          <w:u w:val="single"/>
        </w:rPr>
        <w:t>CASE SUMMARY</w:t>
      </w:r>
    </w:p>
    <w:p w:rsidR="00A23156" w:rsidRDefault="00A23156" w:rsidP="00A2315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E6AE9" w:rsidRPr="00F02DF6" w:rsidTr="00C6299D">
        <w:tc>
          <w:tcPr>
            <w:tcW w:w="5000" w:type="pct"/>
            <w:gridSpan w:val="3"/>
          </w:tcPr>
          <w:p w:rsidR="00EE6AE9" w:rsidRPr="00F02DF6" w:rsidRDefault="00EE6AE9" w:rsidP="00C6299D">
            <w:pPr>
              <w:jc w:val="both"/>
              <w:rPr>
                <w:rFonts w:eastAsia="Calibri"/>
                <w:sz w:val="20"/>
              </w:rPr>
            </w:pPr>
            <w:r w:rsidRPr="00F02DF6">
              <w:rPr>
                <w:rFonts w:eastAsia="Calibri"/>
                <w:sz w:val="20"/>
              </w:rPr>
              <w:t>Civil procedure — Applicant filing motion for an extension of time to appeal judgment dismissing actions against various respondents — Motion dismissed — Whether the Court of Appeal erred in dismissing the applicant’s motion for an extension of time?</w:t>
            </w:r>
          </w:p>
        </w:tc>
      </w:tr>
      <w:tr w:rsidR="00EE6AE9" w:rsidRPr="00F02DF6" w:rsidTr="00C6299D">
        <w:tc>
          <w:tcPr>
            <w:tcW w:w="5000" w:type="pct"/>
            <w:gridSpan w:val="3"/>
          </w:tcPr>
          <w:p w:rsidR="00EE6AE9" w:rsidRPr="00F02DF6" w:rsidRDefault="00EE6AE9" w:rsidP="00C6299D">
            <w:pPr>
              <w:jc w:val="both"/>
              <w:rPr>
                <w:rFonts w:eastAsia="Calibri"/>
                <w:sz w:val="20"/>
              </w:rPr>
            </w:pPr>
          </w:p>
        </w:tc>
      </w:tr>
      <w:tr w:rsidR="00EE6AE9" w:rsidRPr="00F02DF6" w:rsidTr="00C6299D">
        <w:tc>
          <w:tcPr>
            <w:tcW w:w="5000" w:type="pct"/>
            <w:gridSpan w:val="3"/>
          </w:tcPr>
          <w:p w:rsidR="00EE6AE9" w:rsidRPr="00F02DF6" w:rsidRDefault="00EE6AE9" w:rsidP="00C6299D">
            <w:pPr>
              <w:jc w:val="both"/>
              <w:rPr>
                <w:rFonts w:eastAsia="Calibri"/>
                <w:sz w:val="20"/>
              </w:rPr>
            </w:pPr>
            <w:r w:rsidRPr="00F02DF6">
              <w:rPr>
                <w:rFonts w:eastAsia="Calibri"/>
                <w:sz w:val="20"/>
              </w:rPr>
              <w:t xml:space="preserve">The applicant is the plaintiff in three actions commenced in Ontario.  One action was commenced in 2000 while the remaining two were initiated in 2008.  The actions sought millions of dollars in damages for various alleged wrongdoings having occurred between 1997 and 2004.  His initial action, against the London Police Service and its constables, was dismissed as statute barred in 2000.  One defendant to that action did not participate in the proceedings.  Accordingly, the action was not dismissed with respect to that individual. </w:t>
            </w:r>
          </w:p>
          <w:p w:rsidR="00EE6AE9" w:rsidRPr="00F02DF6" w:rsidRDefault="00EE6AE9" w:rsidP="00C6299D">
            <w:pPr>
              <w:jc w:val="both"/>
              <w:rPr>
                <w:rFonts w:eastAsia="Calibri"/>
                <w:sz w:val="20"/>
              </w:rPr>
            </w:pPr>
          </w:p>
          <w:p w:rsidR="00EE6AE9" w:rsidRPr="00F02DF6" w:rsidRDefault="00EE6AE9" w:rsidP="00C6299D">
            <w:pPr>
              <w:jc w:val="both"/>
              <w:rPr>
                <w:rFonts w:eastAsia="Calibri"/>
                <w:sz w:val="20"/>
              </w:rPr>
            </w:pPr>
            <w:r w:rsidRPr="00F02DF6">
              <w:rPr>
                <w:rFonts w:eastAsia="Calibri"/>
                <w:sz w:val="20"/>
              </w:rPr>
              <w:t>The defendants to the two actions filed in 2008 filed motions for summary judgment, as did the one remaining defendant to the 2000 action.  Those motions were heard together by the Superior Court of Justice.</w:t>
            </w:r>
          </w:p>
          <w:p w:rsidR="00EE6AE9" w:rsidRPr="00F02DF6" w:rsidRDefault="00EE6AE9" w:rsidP="00C6299D">
            <w:pPr>
              <w:jc w:val="both"/>
              <w:rPr>
                <w:rFonts w:eastAsia="Calibri"/>
                <w:sz w:val="20"/>
              </w:rPr>
            </w:pPr>
          </w:p>
        </w:tc>
      </w:tr>
      <w:tr w:rsidR="00EE6AE9" w:rsidRPr="00F02DF6" w:rsidTr="00C6299D">
        <w:tc>
          <w:tcPr>
            <w:tcW w:w="2427" w:type="pct"/>
          </w:tcPr>
          <w:p w:rsidR="00EE6AE9" w:rsidRPr="00F02DF6" w:rsidRDefault="00EE6AE9" w:rsidP="00C6299D">
            <w:pPr>
              <w:jc w:val="both"/>
              <w:rPr>
                <w:rFonts w:eastAsia="Calibri"/>
                <w:sz w:val="20"/>
              </w:rPr>
            </w:pPr>
            <w:r w:rsidRPr="00F02DF6">
              <w:rPr>
                <w:rFonts w:eastAsia="Calibri"/>
                <w:sz w:val="20"/>
              </w:rPr>
              <w:t>October 2, 2009</w:t>
            </w:r>
          </w:p>
          <w:p w:rsidR="00EE6AE9" w:rsidRPr="00F02DF6" w:rsidRDefault="00EE6AE9" w:rsidP="00C6299D">
            <w:pPr>
              <w:jc w:val="both"/>
              <w:rPr>
                <w:rFonts w:eastAsia="Calibri"/>
                <w:sz w:val="20"/>
              </w:rPr>
            </w:pPr>
            <w:r w:rsidRPr="00F02DF6">
              <w:rPr>
                <w:rFonts w:eastAsia="Calibri"/>
                <w:sz w:val="20"/>
              </w:rPr>
              <w:t>Superior Court of Justice</w:t>
            </w:r>
          </w:p>
          <w:p w:rsidR="00EE6AE9" w:rsidRPr="00F02DF6" w:rsidRDefault="00EE6AE9" w:rsidP="00C6299D">
            <w:pPr>
              <w:jc w:val="both"/>
              <w:rPr>
                <w:rFonts w:eastAsia="Calibri"/>
                <w:sz w:val="20"/>
              </w:rPr>
            </w:pPr>
            <w:r w:rsidRPr="00F02DF6">
              <w:rPr>
                <w:rFonts w:eastAsia="Calibri"/>
                <w:sz w:val="20"/>
              </w:rPr>
              <w:t>(Templeton J.)</w:t>
            </w:r>
          </w:p>
          <w:p w:rsidR="00EE6AE9" w:rsidRPr="00F02DF6" w:rsidRDefault="00EE6AE9" w:rsidP="00C6299D">
            <w:pPr>
              <w:jc w:val="both"/>
              <w:rPr>
                <w:rFonts w:eastAsia="Calibri"/>
                <w:sz w:val="20"/>
              </w:rPr>
            </w:pPr>
            <w:r w:rsidRPr="00F02DF6">
              <w:rPr>
                <w:rFonts w:eastAsia="Calibri"/>
                <w:sz w:val="20"/>
              </w:rPr>
              <w:t>Court File Nos.  34412, 58769 and 58842</w:t>
            </w:r>
          </w:p>
        </w:tc>
        <w:tc>
          <w:tcPr>
            <w:tcW w:w="243" w:type="pct"/>
          </w:tcPr>
          <w:p w:rsidR="00EE6AE9" w:rsidRPr="00F02DF6" w:rsidRDefault="00EE6AE9" w:rsidP="00C6299D">
            <w:pPr>
              <w:jc w:val="both"/>
              <w:rPr>
                <w:rFonts w:eastAsia="Calibri"/>
                <w:sz w:val="20"/>
              </w:rPr>
            </w:pPr>
          </w:p>
        </w:tc>
        <w:tc>
          <w:tcPr>
            <w:tcW w:w="2330" w:type="pct"/>
          </w:tcPr>
          <w:p w:rsidR="00EE6AE9" w:rsidRPr="00F02DF6" w:rsidRDefault="00EE6AE9" w:rsidP="00C6299D">
            <w:pPr>
              <w:jc w:val="both"/>
              <w:rPr>
                <w:rFonts w:eastAsia="Calibri"/>
                <w:sz w:val="20"/>
              </w:rPr>
            </w:pPr>
            <w:r w:rsidRPr="00F02DF6">
              <w:rPr>
                <w:rFonts w:eastAsia="Calibri"/>
                <w:sz w:val="20"/>
              </w:rPr>
              <w:t xml:space="preserve">Motions for summary judgment granted; Action against the remaining defendant to the 2000 action, dismissed; Action against the London Police Service </w:t>
            </w:r>
            <w:r w:rsidRPr="00F02DF6">
              <w:rPr>
                <w:rFonts w:eastAsia="Calibri"/>
                <w:i/>
                <w:sz w:val="20"/>
              </w:rPr>
              <w:t>et al</w:t>
            </w:r>
            <w:r w:rsidRPr="00F02DF6">
              <w:rPr>
                <w:rFonts w:eastAsia="Calibri"/>
                <w:sz w:val="20"/>
              </w:rPr>
              <w:t xml:space="preserve">., dismissed in its entirety, without leave to amend; Action against Ministry of Attorney General of Ontario </w:t>
            </w:r>
            <w:r w:rsidRPr="00F02DF6">
              <w:rPr>
                <w:rFonts w:eastAsia="Calibri"/>
                <w:i/>
                <w:sz w:val="20"/>
              </w:rPr>
              <w:t>et al.,</w:t>
            </w:r>
            <w:r w:rsidRPr="00F02DF6">
              <w:rPr>
                <w:rFonts w:eastAsia="Calibri"/>
                <w:sz w:val="20"/>
              </w:rPr>
              <w:t xml:space="preserve"> dismissed in its entirety without leave to amend.</w:t>
            </w:r>
          </w:p>
          <w:p w:rsidR="00EE6AE9" w:rsidRPr="00F02DF6" w:rsidRDefault="00EE6AE9" w:rsidP="00C6299D">
            <w:pPr>
              <w:jc w:val="both"/>
              <w:rPr>
                <w:rFonts w:eastAsia="Calibri"/>
                <w:sz w:val="20"/>
              </w:rPr>
            </w:pPr>
          </w:p>
        </w:tc>
      </w:tr>
      <w:tr w:rsidR="00EE6AE9" w:rsidRPr="00F02DF6" w:rsidTr="00C6299D">
        <w:tc>
          <w:tcPr>
            <w:tcW w:w="2427" w:type="pct"/>
          </w:tcPr>
          <w:p w:rsidR="00EE6AE9" w:rsidRPr="00F02DF6" w:rsidRDefault="00EE6AE9" w:rsidP="00C6299D">
            <w:pPr>
              <w:jc w:val="both"/>
              <w:rPr>
                <w:rFonts w:eastAsia="Calibri"/>
                <w:sz w:val="20"/>
              </w:rPr>
            </w:pPr>
            <w:r w:rsidRPr="00F02DF6">
              <w:rPr>
                <w:rFonts w:eastAsia="Calibri"/>
                <w:sz w:val="20"/>
              </w:rPr>
              <w:t>August 24, 2010</w:t>
            </w:r>
          </w:p>
          <w:p w:rsidR="00EE6AE9" w:rsidRPr="00F02DF6" w:rsidRDefault="00EE6AE9" w:rsidP="00C6299D">
            <w:pPr>
              <w:jc w:val="both"/>
              <w:rPr>
                <w:rFonts w:eastAsia="Calibri"/>
                <w:sz w:val="20"/>
              </w:rPr>
            </w:pPr>
            <w:r w:rsidRPr="00F02DF6">
              <w:rPr>
                <w:rFonts w:eastAsia="Calibri"/>
                <w:sz w:val="20"/>
              </w:rPr>
              <w:t>Court of Appeal for Ontario</w:t>
            </w:r>
          </w:p>
          <w:p w:rsidR="00EE6AE9" w:rsidRPr="00F02DF6" w:rsidRDefault="00EE6AE9" w:rsidP="00C6299D">
            <w:pPr>
              <w:jc w:val="both"/>
              <w:rPr>
                <w:rFonts w:eastAsia="Calibri"/>
                <w:sz w:val="20"/>
              </w:rPr>
            </w:pPr>
            <w:r w:rsidRPr="00F02DF6">
              <w:rPr>
                <w:rFonts w:eastAsia="Calibri"/>
                <w:sz w:val="20"/>
              </w:rPr>
              <w:t>(Watt J.A.)</w:t>
            </w:r>
          </w:p>
          <w:p w:rsidR="00EE6AE9" w:rsidRPr="00F02DF6" w:rsidRDefault="00EE6AE9" w:rsidP="00C6299D">
            <w:pPr>
              <w:jc w:val="both"/>
              <w:rPr>
                <w:rFonts w:eastAsia="Calibri"/>
                <w:sz w:val="20"/>
              </w:rPr>
            </w:pPr>
            <w:r w:rsidRPr="00F02DF6">
              <w:rPr>
                <w:rFonts w:eastAsia="Calibri"/>
                <w:sz w:val="20"/>
              </w:rPr>
              <w:t>Court file no. M39011</w:t>
            </w:r>
          </w:p>
          <w:p w:rsidR="00EE6AE9" w:rsidRPr="00F02DF6" w:rsidRDefault="00EE6AE9" w:rsidP="00C6299D">
            <w:pPr>
              <w:jc w:val="both"/>
              <w:rPr>
                <w:rFonts w:eastAsia="Calibri"/>
                <w:sz w:val="20"/>
              </w:rPr>
            </w:pPr>
          </w:p>
        </w:tc>
        <w:tc>
          <w:tcPr>
            <w:tcW w:w="243" w:type="pct"/>
          </w:tcPr>
          <w:p w:rsidR="00EE6AE9" w:rsidRPr="00F02DF6" w:rsidRDefault="00EE6AE9" w:rsidP="00C6299D">
            <w:pPr>
              <w:jc w:val="both"/>
              <w:rPr>
                <w:rFonts w:eastAsia="Calibri"/>
                <w:sz w:val="20"/>
              </w:rPr>
            </w:pPr>
          </w:p>
        </w:tc>
        <w:tc>
          <w:tcPr>
            <w:tcW w:w="2330" w:type="pct"/>
          </w:tcPr>
          <w:p w:rsidR="00EE6AE9" w:rsidRPr="00F02DF6" w:rsidRDefault="00EE6AE9" w:rsidP="00C6299D">
            <w:pPr>
              <w:jc w:val="both"/>
              <w:rPr>
                <w:rFonts w:eastAsia="Calibri"/>
                <w:sz w:val="20"/>
              </w:rPr>
            </w:pPr>
            <w:r w:rsidRPr="00F02DF6">
              <w:rPr>
                <w:rFonts w:eastAsia="Calibri"/>
                <w:sz w:val="20"/>
              </w:rPr>
              <w:t xml:space="preserve">Motion for an extension of time to appeal, dismissed. </w:t>
            </w:r>
          </w:p>
          <w:p w:rsidR="00EE6AE9" w:rsidRPr="00F02DF6" w:rsidRDefault="00EE6AE9" w:rsidP="00C6299D">
            <w:pPr>
              <w:jc w:val="both"/>
              <w:rPr>
                <w:rFonts w:eastAsia="Calibri"/>
                <w:sz w:val="20"/>
              </w:rPr>
            </w:pPr>
          </w:p>
        </w:tc>
      </w:tr>
      <w:tr w:rsidR="00EE6AE9" w:rsidRPr="00F02DF6" w:rsidTr="00C6299D">
        <w:trPr>
          <w:trHeight w:val="80"/>
        </w:trPr>
        <w:tc>
          <w:tcPr>
            <w:tcW w:w="2427" w:type="pct"/>
          </w:tcPr>
          <w:p w:rsidR="00EE6AE9" w:rsidRPr="00F02DF6" w:rsidRDefault="00EE6AE9" w:rsidP="00C6299D">
            <w:pPr>
              <w:jc w:val="both"/>
              <w:rPr>
                <w:rFonts w:eastAsia="Calibri"/>
                <w:sz w:val="20"/>
              </w:rPr>
            </w:pPr>
            <w:r w:rsidRPr="00F02DF6">
              <w:rPr>
                <w:rFonts w:eastAsia="Calibri"/>
                <w:sz w:val="20"/>
              </w:rPr>
              <w:t>January 12, 2015</w:t>
            </w:r>
          </w:p>
          <w:p w:rsidR="00EE6AE9" w:rsidRPr="00F02DF6" w:rsidRDefault="00EE6AE9" w:rsidP="00C6299D">
            <w:pPr>
              <w:jc w:val="both"/>
              <w:rPr>
                <w:rFonts w:eastAsia="Calibri"/>
                <w:sz w:val="20"/>
              </w:rPr>
            </w:pPr>
            <w:r w:rsidRPr="00F02DF6">
              <w:rPr>
                <w:rFonts w:eastAsia="Calibri"/>
                <w:sz w:val="20"/>
              </w:rPr>
              <w:t>Supreme Court of Canada</w:t>
            </w:r>
          </w:p>
        </w:tc>
        <w:tc>
          <w:tcPr>
            <w:tcW w:w="243" w:type="pct"/>
          </w:tcPr>
          <w:p w:rsidR="00EE6AE9" w:rsidRPr="00F02DF6" w:rsidRDefault="00EE6AE9" w:rsidP="00C6299D">
            <w:pPr>
              <w:jc w:val="both"/>
              <w:rPr>
                <w:rFonts w:eastAsia="Calibri"/>
                <w:sz w:val="20"/>
              </w:rPr>
            </w:pPr>
          </w:p>
        </w:tc>
        <w:tc>
          <w:tcPr>
            <w:tcW w:w="2330" w:type="pct"/>
          </w:tcPr>
          <w:p w:rsidR="00EE6AE9" w:rsidRPr="00F02DF6" w:rsidRDefault="00EE6AE9" w:rsidP="00C6299D">
            <w:pPr>
              <w:jc w:val="both"/>
              <w:rPr>
                <w:rFonts w:eastAsia="Calibri"/>
                <w:sz w:val="20"/>
              </w:rPr>
            </w:pPr>
            <w:r w:rsidRPr="00F02DF6">
              <w:rPr>
                <w:rFonts w:eastAsia="Calibri"/>
                <w:sz w:val="20"/>
              </w:rPr>
              <w:t>Motion for an extension of time to serve and file an application for leave to appeal, filed; Motion to consolidate actions referred to as lower court files 34412 and 58842 and for leave to file amended statements of claim, filed; and application for leave to appeal, filed.</w:t>
            </w:r>
          </w:p>
        </w:tc>
      </w:tr>
    </w:tbl>
    <w:p w:rsidR="00A23156" w:rsidRDefault="00A23156" w:rsidP="00A23156">
      <w:pPr>
        <w:rPr>
          <w:sz w:val="20"/>
          <w:szCs w:val="20"/>
        </w:rPr>
      </w:pPr>
    </w:p>
    <w:p w:rsidR="00A23156" w:rsidRPr="00C50A5C" w:rsidRDefault="005B3B50" w:rsidP="00A23156">
      <w:pPr>
        <w:rPr>
          <w:sz w:val="20"/>
          <w:szCs w:val="20"/>
        </w:rPr>
      </w:pPr>
      <w:r>
        <w:rPr>
          <w:sz w:val="20"/>
          <w:szCs w:val="20"/>
          <w:lang w:val="fr-CA"/>
        </w:rPr>
        <w:pict>
          <v:rect id="_x0000_i1059" style="width:2in;height:1pt" o:hrpct="0" o:hralign="center" o:hrstd="t" o:hrnoshade="t" o:hr="t" fillcolor="black [3213]" stroked="f"/>
        </w:pict>
      </w:r>
    </w:p>
    <w:p w:rsidR="00A23156" w:rsidRDefault="00A23156" w:rsidP="00A23156">
      <w:pPr>
        <w:rPr>
          <w:sz w:val="20"/>
          <w:szCs w:val="20"/>
        </w:rPr>
      </w:pPr>
    </w:p>
    <w:p w:rsidR="00A23156" w:rsidRPr="001B157C" w:rsidRDefault="00A23156" w:rsidP="00A23156">
      <w:pPr>
        <w:rPr>
          <w:sz w:val="20"/>
          <w:szCs w:val="20"/>
          <w:u w:val="single"/>
          <w:lang w:val="fr-CA"/>
        </w:rPr>
      </w:pPr>
      <w:r w:rsidRPr="001B157C">
        <w:rPr>
          <w:sz w:val="20"/>
          <w:szCs w:val="20"/>
          <w:u w:val="single"/>
          <w:lang w:val="fr-CA"/>
        </w:rPr>
        <w:t>RÉSUMÉ DE L’AFFAIRE</w:t>
      </w:r>
    </w:p>
    <w:p w:rsidR="00A23156" w:rsidRDefault="00A23156" w:rsidP="00A2315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E6AE9" w:rsidRPr="002A1430" w:rsidTr="00C6299D">
        <w:tc>
          <w:tcPr>
            <w:tcW w:w="5000" w:type="pct"/>
            <w:gridSpan w:val="3"/>
          </w:tcPr>
          <w:p w:rsidR="00EE6AE9" w:rsidRPr="00F02DF6" w:rsidRDefault="00EE6AE9" w:rsidP="00C6299D">
            <w:pPr>
              <w:jc w:val="both"/>
              <w:rPr>
                <w:rFonts w:eastAsia="Calibri"/>
                <w:sz w:val="20"/>
                <w:lang w:val="fr-CA"/>
              </w:rPr>
            </w:pPr>
            <w:r w:rsidRPr="00F02DF6">
              <w:rPr>
                <w:rFonts w:eastAsia="Calibri"/>
                <w:sz w:val="20"/>
                <w:lang w:val="fr-CA"/>
              </w:rPr>
              <w:t>Procédure civile — Le demandeur a déposé une motion en prorogation du délai d’appel d’un jugement rejetant des actions contre divers intimés — Motion rejetée — La Cour d’appel a-t-elle eu tort de rejeter la motion du demandeur en prorogation de délai?</w:t>
            </w:r>
          </w:p>
        </w:tc>
      </w:tr>
      <w:tr w:rsidR="00EE6AE9" w:rsidRPr="002A1430" w:rsidTr="00C6299D">
        <w:tc>
          <w:tcPr>
            <w:tcW w:w="5000" w:type="pct"/>
            <w:gridSpan w:val="3"/>
          </w:tcPr>
          <w:p w:rsidR="00EE6AE9" w:rsidRPr="00F02DF6" w:rsidRDefault="00EE6AE9" w:rsidP="00C6299D">
            <w:pPr>
              <w:jc w:val="both"/>
              <w:rPr>
                <w:rFonts w:eastAsia="Calibri"/>
                <w:sz w:val="20"/>
                <w:lang w:val="fr-CA"/>
              </w:rPr>
            </w:pPr>
          </w:p>
        </w:tc>
      </w:tr>
      <w:tr w:rsidR="00EE6AE9" w:rsidRPr="002A1430" w:rsidTr="00C6299D">
        <w:tc>
          <w:tcPr>
            <w:tcW w:w="5000" w:type="pct"/>
            <w:gridSpan w:val="3"/>
          </w:tcPr>
          <w:p w:rsidR="00EE6AE9" w:rsidRPr="00F02DF6" w:rsidRDefault="00EE6AE9" w:rsidP="00C6299D">
            <w:pPr>
              <w:jc w:val="both"/>
              <w:rPr>
                <w:rFonts w:eastAsia="Calibri"/>
                <w:sz w:val="20"/>
                <w:lang w:val="fr-CA"/>
              </w:rPr>
            </w:pPr>
            <w:r w:rsidRPr="00F02DF6">
              <w:rPr>
                <w:rFonts w:eastAsia="Calibri"/>
                <w:sz w:val="20"/>
                <w:lang w:val="fr-CA"/>
              </w:rPr>
              <w:t xml:space="preserve">Le demandeur a intenté trois actions en Ontario.  Une des actions a été intentée en 2000, alors que les deux autres ont été intentées en 2008.  Dans ces actions, le demandeur réclamait des millions de dollars en dommages-intérêts pour diverses fautes qui auraient été commises entre 1997 et 2004.  Sa première action, contre le service de police de London et ses policiers, a été rejetée pour cause de prescription en 2000.  Un des défendeurs à cette action n’avait pas participé à l’instance.  En conséquence, l’action n’avait pas été rejetée à l’égard de cette personne. </w:t>
            </w:r>
          </w:p>
          <w:p w:rsidR="00EE6AE9" w:rsidRPr="00F02DF6" w:rsidRDefault="00EE6AE9" w:rsidP="00C6299D">
            <w:pPr>
              <w:jc w:val="both"/>
              <w:rPr>
                <w:rFonts w:eastAsia="Calibri"/>
                <w:sz w:val="20"/>
                <w:lang w:val="fr-CA"/>
              </w:rPr>
            </w:pPr>
          </w:p>
          <w:p w:rsidR="00EE6AE9" w:rsidRPr="00F02DF6" w:rsidRDefault="00EE6AE9" w:rsidP="00C6299D">
            <w:pPr>
              <w:jc w:val="both"/>
              <w:rPr>
                <w:rFonts w:eastAsia="Calibri"/>
                <w:sz w:val="20"/>
                <w:lang w:val="fr-CA"/>
              </w:rPr>
            </w:pPr>
            <w:r w:rsidRPr="00F02DF6">
              <w:rPr>
                <w:rFonts w:eastAsia="Calibri"/>
                <w:sz w:val="20"/>
                <w:lang w:val="fr-CA"/>
              </w:rPr>
              <w:t>Les défendeurs aux deux actions intentées en 2008 ont déposé des motions en jugement sommaire, tout comme le dernier défendeur à l’action de 2000.  La Cour supérieure de justice a instruit ensemble ces motions.</w:t>
            </w:r>
          </w:p>
          <w:p w:rsidR="00EE6AE9" w:rsidRPr="00F02DF6" w:rsidRDefault="00EE6AE9" w:rsidP="00C6299D">
            <w:pPr>
              <w:jc w:val="both"/>
              <w:rPr>
                <w:rFonts w:eastAsia="Calibri"/>
                <w:sz w:val="20"/>
                <w:lang w:val="fr-CA"/>
              </w:rPr>
            </w:pPr>
          </w:p>
        </w:tc>
      </w:tr>
      <w:tr w:rsidR="00EE6AE9" w:rsidRPr="002A1430" w:rsidTr="00C6299D">
        <w:tc>
          <w:tcPr>
            <w:tcW w:w="2427" w:type="pct"/>
          </w:tcPr>
          <w:p w:rsidR="00EE6AE9" w:rsidRPr="00F02DF6" w:rsidRDefault="00EE6AE9" w:rsidP="00C6299D">
            <w:pPr>
              <w:jc w:val="both"/>
              <w:rPr>
                <w:rFonts w:eastAsia="Calibri"/>
                <w:sz w:val="20"/>
                <w:lang w:val="fr-CA"/>
              </w:rPr>
            </w:pPr>
            <w:r w:rsidRPr="00F02DF6">
              <w:rPr>
                <w:rFonts w:eastAsia="Calibri"/>
                <w:sz w:val="20"/>
                <w:lang w:val="fr-CA"/>
              </w:rPr>
              <w:t>2 octobre 2009</w:t>
            </w:r>
          </w:p>
          <w:p w:rsidR="00EE6AE9" w:rsidRPr="00F02DF6" w:rsidRDefault="00EE6AE9" w:rsidP="00C6299D">
            <w:pPr>
              <w:jc w:val="both"/>
              <w:rPr>
                <w:rFonts w:eastAsia="Calibri"/>
                <w:sz w:val="20"/>
                <w:lang w:val="fr-CA"/>
              </w:rPr>
            </w:pPr>
            <w:r w:rsidRPr="00F02DF6">
              <w:rPr>
                <w:rFonts w:eastAsia="Calibri"/>
                <w:sz w:val="20"/>
                <w:lang w:val="fr-CA"/>
              </w:rPr>
              <w:t>Cour supérieure de justice</w:t>
            </w:r>
          </w:p>
          <w:p w:rsidR="00EE6AE9" w:rsidRPr="00F02DF6" w:rsidRDefault="00EE6AE9" w:rsidP="00C6299D">
            <w:pPr>
              <w:jc w:val="both"/>
              <w:rPr>
                <w:rFonts w:eastAsia="Calibri"/>
                <w:sz w:val="20"/>
                <w:lang w:val="fr-CA"/>
              </w:rPr>
            </w:pPr>
            <w:r w:rsidRPr="00F02DF6">
              <w:rPr>
                <w:rFonts w:eastAsia="Calibri"/>
                <w:sz w:val="20"/>
                <w:lang w:val="fr-CA"/>
              </w:rPr>
              <w:t>(Juge Templeton)</w:t>
            </w:r>
          </w:p>
          <w:p w:rsidR="00EE6AE9" w:rsidRPr="00F02DF6" w:rsidRDefault="00EE6AE9" w:rsidP="00C6299D">
            <w:pPr>
              <w:jc w:val="both"/>
              <w:rPr>
                <w:rFonts w:eastAsia="Calibri"/>
                <w:sz w:val="20"/>
                <w:lang w:val="fr-CA"/>
              </w:rPr>
            </w:pPr>
            <w:r w:rsidRPr="00F02DF6">
              <w:rPr>
                <w:rFonts w:eastAsia="Calibri"/>
                <w:sz w:val="20"/>
                <w:lang w:val="fr-CA"/>
              </w:rPr>
              <w:t>N</w:t>
            </w:r>
            <w:r w:rsidRPr="00F02DF6">
              <w:rPr>
                <w:rFonts w:eastAsia="Calibri"/>
                <w:sz w:val="20"/>
                <w:vertAlign w:val="superscript"/>
                <w:lang w:val="fr-CA"/>
              </w:rPr>
              <w:t>os</w:t>
            </w:r>
            <w:r w:rsidRPr="00F02DF6">
              <w:rPr>
                <w:rFonts w:eastAsia="Calibri"/>
                <w:sz w:val="20"/>
                <w:lang w:val="fr-CA"/>
              </w:rPr>
              <w:t xml:space="preserve"> du greffe  34412, 58769 et 58842</w:t>
            </w:r>
          </w:p>
        </w:tc>
        <w:tc>
          <w:tcPr>
            <w:tcW w:w="243" w:type="pct"/>
          </w:tcPr>
          <w:p w:rsidR="00EE6AE9" w:rsidRPr="00F02DF6" w:rsidRDefault="00EE6AE9" w:rsidP="00C6299D">
            <w:pPr>
              <w:jc w:val="both"/>
              <w:rPr>
                <w:rFonts w:eastAsia="Calibri"/>
                <w:sz w:val="20"/>
                <w:lang w:val="fr-CA"/>
              </w:rPr>
            </w:pPr>
          </w:p>
        </w:tc>
        <w:tc>
          <w:tcPr>
            <w:tcW w:w="2330" w:type="pct"/>
          </w:tcPr>
          <w:p w:rsidR="00EE6AE9" w:rsidRPr="00F02DF6" w:rsidRDefault="00EE6AE9" w:rsidP="00C6299D">
            <w:pPr>
              <w:jc w:val="both"/>
              <w:rPr>
                <w:rFonts w:eastAsia="Calibri"/>
                <w:sz w:val="20"/>
                <w:lang w:val="fr-CA"/>
              </w:rPr>
            </w:pPr>
            <w:r w:rsidRPr="00F02DF6">
              <w:rPr>
                <w:rFonts w:eastAsia="Calibri"/>
                <w:sz w:val="20"/>
                <w:lang w:val="fr-CA"/>
              </w:rPr>
              <w:t xml:space="preserve">Jugement accueillant les motions en jugement sommaire; rejet de l’action contre le dernier défendeur à l’action de 2000; rejet au complet de l’action contre le service de police de London </w:t>
            </w:r>
            <w:r w:rsidRPr="00F02DF6">
              <w:rPr>
                <w:rFonts w:eastAsia="Calibri"/>
                <w:i/>
                <w:sz w:val="20"/>
                <w:lang w:val="fr-CA"/>
              </w:rPr>
              <w:t>et al</w:t>
            </w:r>
            <w:r w:rsidRPr="00F02DF6">
              <w:rPr>
                <w:rFonts w:eastAsia="Calibri"/>
                <w:sz w:val="20"/>
                <w:lang w:val="fr-CA"/>
              </w:rPr>
              <w:t xml:space="preserve">., sans autorisation de la modifier; rejet au complet de l’action contre le ministère du Procureur général de l’Ontario </w:t>
            </w:r>
            <w:r w:rsidRPr="00F02DF6">
              <w:rPr>
                <w:rFonts w:eastAsia="Calibri"/>
                <w:i/>
                <w:sz w:val="20"/>
                <w:lang w:val="fr-CA"/>
              </w:rPr>
              <w:t>et al.,</w:t>
            </w:r>
            <w:r w:rsidRPr="00F02DF6">
              <w:rPr>
                <w:rFonts w:eastAsia="Calibri"/>
                <w:sz w:val="20"/>
                <w:lang w:val="fr-CA"/>
              </w:rPr>
              <w:t xml:space="preserve"> sans autorisation de la modifier.</w:t>
            </w:r>
          </w:p>
          <w:p w:rsidR="00EE6AE9" w:rsidRPr="00F02DF6" w:rsidRDefault="00EE6AE9" w:rsidP="00C6299D">
            <w:pPr>
              <w:jc w:val="both"/>
              <w:rPr>
                <w:rFonts w:eastAsia="Calibri"/>
                <w:sz w:val="20"/>
                <w:lang w:val="fr-CA"/>
              </w:rPr>
            </w:pPr>
          </w:p>
        </w:tc>
      </w:tr>
      <w:tr w:rsidR="00EE6AE9" w:rsidRPr="002A1430" w:rsidTr="00C6299D">
        <w:tc>
          <w:tcPr>
            <w:tcW w:w="2427" w:type="pct"/>
          </w:tcPr>
          <w:p w:rsidR="00EE6AE9" w:rsidRPr="00F02DF6" w:rsidRDefault="00EE6AE9" w:rsidP="00C6299D">
            <w:pPr>
              <w:jc w:val="both"/>
              <w:rPr>
                <w:rFonts w:eastAsia="Calibri"/>
                <w:sz w:val="20"/>
                <w:lang w:val="fr-CA"/>
              </w:rPr>
            </w:pPr>
            <w:r w:rsidRPr="00F02DF6">
              <w:rPr>
                <w:rFonts w:eastAsia="Calibri"/>
                <w:sz w:val="20"/>
                <w:lang w:val="fr-CA"/>
              </w:rPr>
              <w:t>24 août 2010</w:t>
            </w:r>
          </w:p>
          <w:p w:rsidR="00EE6AE9" w:rsidRPr="00F02DF6" w:rsidRDefault="00EE6AE9" w:rsidP="00C6299D">
            <w:pPr>
              <w:jc w:val="both"/>
              <w:rPr>
                <w:rFonts w:eastAsia="Calibri"/>
                <w:sz w:val="20"/>
                <w:lang w:val="fr-CA"/>
              </w:rPr>
            </w:pPr>
            <w:r w:rsidRPr="00F02DF6">
              <w:rPr>
                <w:rFonts w:eastAsia="Calibri"/>
                <w:sz w:val="20"/>
                <w:lang w:val="fr-CA"/>
              </w:rPr>
              <w:t>Cour d’appel de l’Ontario</w:t>
            </w:r>
          </w:p>
          <w:p w:rsidR="00EE6AE9" w:rsidRPr="00F02DF6" w:rsidRDefault="00EE6AE9" w:rsidP="00C6299D">
            <w:pPr>
              <w:jc w:val="both"/>
              <w:rPr>
                <w:rFonts w:eastAsia="Calibri"/>
                <w:sz w:val="20"/>
                <w:lang w:val="fr-CA"/>
              </w:rPr>
            </w:pPr>
            <w:r w:rsidRPr="00F02DF6">
              <w:rPr>
                <w:rFonts w:eastAsia="Calibri"/>
                <w:sz w:val="20"/>
                <w:lang w:val="fr-CA"/>
              </w:rPr>
              <w:t>(Juge Watt)</w:t>
            </w:r>
          </w:p>
          <w:p w:rsidR="00EE6AE9" w:rsidRPr="00F02DF6" w:rsidRDefault="00EE6AE9" w:rsidP="00C6299D">
            <w:pPr>
              <w:jc w:val="both"/>
              <w:rPr>
                <w:rFonts w:eastAsia="Calibri"/>
                <w:sz w:val="20"/>
                <w:lang w:val="fr-CA"/>
              </w:rPr>
            </w:pPr>
            <w:r w:rsidRPr="00F02DF6">
              <w:rPr>
                <w:rFonts w:eastAsia="Calibri"/>
                <w:sz w:val="20"/>
                <w:lang w:val="fr-CA"/>
              </w:rPr>
              <w:t>N</w:t>
            </w:r>
            <w:r w:rsidRPr="00F02DF6">
              <w:rPr>
                <w:rFonts w:eastAsia="Calibri"/>
                <w:sz w:val="20"/>
                <w:vertAlign w:val="superscript"/>
                <w:lang w:val="fr-CA"/>
              </w:rPr>
              <w:t>o</w:t>
            </w:r>
            <w:r w:rsidRPr="00F02DF6">
              <w:rPr>
                <w:rFonts w:eastAsia="Calibri"/>
                <w:sz w:val="20"/>
                <w:lang w:val="fr-CA"/>
              </w:rPr>
              <w:t xml:space="preserve"> du greffe M39011</w:t>
            </w:r>
          </w:p>
          <w:p w:rsidR="00EE6AE9" w:rsidRPr="00F02DF6" w:rsidRDefault="00EE6AE9" w:rsidP="00C6299D">
            <w:pPr>
              <w:jc w:val="both"/>
              <w:rPr>
                <w:rFonts w:eastAsia="Calibri"/>
                <w:sz w:val="20"/>
                <w:lang w:val="fr-CA"/>
              </w:rPr>
            </w:pPr>
          </w:p>
        </w:tc>
        <w:tc>
          <w:tcPr>
            <w:tcW w:w="243" w:type="pct"/>
          </w:tcPr>
          <w:p w:rsidR="00EE6AE9" w:rsidRPr="00F02DF6" w:rsidRDefault="00EE6AE9" w:rsidP="00C6299D">
            <w:pPr>
              <w:jc w:val="both"/>
              <w:rPr>
                <w:rFonts w:eastAsia="Calibri"/>
                <w:sz w:val="20"/>
                <w:lang w:val="fr-CA"/>
              </w:rPr>
            </w:pPr>
          </w:p>
        </w:tc>
        <w:tc>
          <w:tcPr>
            <w:tcW w:w="2330" w:type="pct"/>
          </w:tcPr>
          <w:p w:rsidR="00EE6AE9" w:rsidRPr="00F02DF6" w:rsidRDefault="00EE6AE9" w:rsidP="00C6299D">
            <w:pPr>
              <w:jc w:val="both"/>
              <w:rPr>
                <w:rFonts w:eastAsia="Calibri"/>
                <w:sz w:val="20"/>
                <w:lang w:val="fr-CA"/>
              </w:rPr>
            </w:pPr>
            <w:r w:rsidRPr="00F02DF6">
              <w:rPr>
                <w:rFonts w:eastAsia="Calibri"/>
                <w:sz w:val="20"/>
                <w:lang w:val="fr-CA"/>
              </w:rPr>
              <w:t xml:space="preserve">Rejet de la motion en prorogation du délai d’appel. </w:t>
            </w:r>
          </w:p>
          <w:p w:rsidR="00EE6AE9" w:rsidRPr="00F02DF6" w:rsidRDefault="00EE6AE9" w:rsidP="00C6299D">
            <w:pPr>
              <w:jc w:val="both"/>
              <w:rPr>
                <w:rFonts w:eastAsia="Calibri"/>
                <w:sz w:val="20"/>
                <w:lang w:val="fr-CA"/>
              </w:rPr>
            </w:pPr>
          </w:p>
        </w:tc>
      </w:tr>
      <w:tr w:rsidR="00EE6AE9" w:rsidRPr="002A1430" w:rsidTr="00C6299D">
        <w:trPr>
          <w:trHeight w:val="80"/>
        </w:trPr>
        <w:tc>
          <w:tcPr>
            <w:tcW w:w="2427" w:type="pct"/>
          </w:tcPr>
          <w:p w:rsidR="00EE6AE9" w:rsidRPr="00F02DF6" w:rsidRDefault="00EE6AE9" w:rsidP="00C6299D">
            <w:pPr>
              <w:jc w:val="both"/>
              <w:rPr>
                <w:rFonts w:eastAsia="Calibri"/>
                <w:sz w:val="20"/>
                <w:lang w:val="fr-CA"/>
              </w:rPr>
            </w:pPr>
            <w:r w:rsidRPr="00F02DF6">
              <w:rPr>
                <w:rFonts w:eastAsia="Calibri"/>
                <w:sz w:val="20"/>
                <w:lang w:val="fr-CA"/>
              </w:rPr>
              <w:t>12 janvier 2015</w:t>
            </w:r>
          </w:p>
          <w:p w:rsidR="00EE6AE9" w:rsidRPr="00F02DF6" w:rsidRDefault="00EE6AE9" w:rsidP="00C6299D">
            <w:pPr>
              <w:jc w:val="both"/>
              <w:rPr>
                <w:rFonts w:eastAsia="Calibri"/>
                <w:sz w:val="20"/>
                <w:lang w:val="fr-CA"/>
              </w:rPr>
            </w:pPr>
            <w:r w:rsidRPr="00F02DF6">
              <w:rPr>
                <w:rFonts w:eastAsia="Calibri"/>
                <w:sz w:val="20"/>
                <w:lang w:val="fr-CA"/>
              </w:rPr>
              <w:t>Cour suprême du Canada</w:t>
            </w:r>
          </w:p>
        </w:tc>
        <w:tc>
          <w:tcPr>
            <w:tcW w:w="243" w:type="pct"/>
          </w:tcPr>
          <w:p w:rsidR="00EE6AE9" w:rsidRPr="00F02DF6" w:rsidRDefault="00EE6AE9" w:rsidP="00C6299D">
            <w:pPr>
              <w:jc w:val="both"/>
              <w:rPr>
                <w:rFonts w:eastAsia="Calibri"/>
                <w:sz w:val="20"/>
                <w:lang w:val="fr-CA"/>
              </w:rPr>
            </w:pPr>
          </w:p>
        </w:tc>
        <w:tc>
          <w:tcPr>
            <w:tcW w:w="2330" w:type="pct"/>
          </w:tcPr>
          <w:p w:rsidR="00EE6AE9" w:rsidRPr="00F02DF6" w:rsidRDefault="00EE6AE9" w:rsidP="00C6299D">
            <w:pPr>
              <w:jc w:val="both"/>
              <w:rPr>
                <w:rFonts w:eastAsia="Calibri"/>
                <w:sz w:val="20"/>
                <w:lang w:val="fr-CA"/>
              </w:rPr>
            </w:pPr>
            <w:r w:rsidRPr="00F02DF6">
              <w:rPr>
                <w:rFonts w:eastAsia="Calibri"/>
                <w:sz w:val="20"/>
                <w:lang w:val="fr-CA"/>
              </w:rPr>
              <w:t>Dépôt de la requête en prorogation du délai de signification et de dépôt d’une demande d’autorisation d’appel; dépôt d’une requête en réunion des actions portant les numéros de dossier 34412 et 58842 dans les juridictions inférieures et en autorisation de déposer des déclarations; dépôt de la demande d’autorisation d’appel.</w:t>
            </w:r>
          </w:p>
        </w:tc>
      </w:tr>
    </w:tbl>
    <w:p w:rsidR="00A23156" w:rsidRPr="00EE6AE9" w:rsidRDefault="00A23156" w:rsidP="00A23156">
      <w:pPr>
        <w:rPr>
          <w:sz w:val="20"/>
          <w:szCs w:val="20"/>
          <w:lang w:val="fr-CA"/>
        </w:rPr>
      </w:pPr>
    </w:p>
    <w:p w:rsidR="00A23156" w:rsidRDefault="005B3B50" w:rsidP="00A23156">
      <w:pPr>
        <w:rPr>
          <w:sz w:val="20"/>
          <w:szCs w:val="20"/>
          <w:lang w:val="fr-CA"/>
        </w:rPr>
      </w:pPr>
      <w:r>
        <w:rPr>
          <w:sz w:val="20"/>
          <w:szCs w:val="20"/>
          <w:lang w:val="fr-CA"/>
        </w:rPr>
        <w:pict>
          <v:rect id="_x0000_i1060" style="width:2in;height:1pt" o:hrpct="0" o:hralign="center" o:hrstd="t" o:hrnoshade="t" o:hr="t" fillcolor="black [3213]" stroked="f"/>
        </w:pict>
      </w:r>
    </w:p>
    <w:p w:rsidR="00A23156" w:rsidRDefault="00A23156" w:rsidP="00A23156">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237ED" w:rsidRPr="00715263" w:rsidTr="008237ED">
        <w:trPr>
          <w:cantSplit/>
        </w:trPr>
        <w:tc>
          <w:tcPr>
            <w:tcW w:w="1458" w:type="dxa"/>
          </w:tcPr>
          <w:p w:rsidR="008237ED" w:rsidRPr="00715263" w:rsidRDefault="008237ED" w:rsidP="008237ED">
            <w:pPr>
              <w:rPr>
                <w:sz w:val="20"/>
                <w:szCs w:val="20"/>
              </w:rPr>
            </w:pPr>
            <w:r w:rsidRPr="00715263">
              <w:rPr>
                <w:rStyle w:val="SCCFileNumberChar"/>
                <w:sz w:val="20"/>
                <w:szCs w:val="20"/>
              </w:rPr>
              <w:t>36276</w:t>
            </w:r>
          </w:p>
          <w:p w:rsidR="008237ED" w:rsidRPr="00715263" w:rsidRDefault="008237ED" w:rsidP="008237ED">
            <w:pPr>
              <w:rPr>
                <w:b/>
                <w:sz w:val="20"/>
                <w:szCs w:val="20"/>
                <w:lang w:val="fr-CA"/>
              </w:rPr>
            </w:pPr>
          </w:p>
        </w:tc>
        <w:tc>
          <w:tcPr>
            <w:tcW w:w="8118" w:type="dxa"/>
          </w:tcPr>
          <w:p w:rsidR="008237ED" w:rsidRPr="00715263" w:rsidRDefault="008237ED" w:rsidP="008237ED">
            <w:pPr>
              <w:jc w:val="both"/>
              <w:rPr>
                <w:sz w:val="20"/>
                <w:szCs w:val="20"/>
              </w:rPr>
            </w:pPr>
            <w:r w:rsidRPr="00715263">
              <w:rPr>
                <w:rStyle w:val="SCCLsocChar"/>
                <w:sz w:val="20"/>
                <w:szCs w:val="20"/>
                <w:lang w:val="en-CA"/>
              </w:rPr>
              <w:t>Diana Zabanah v. Capital Direct Lending Corp.,</w:t>
            </w:r>
            <w:r w:rsidR="006623D5">
              <w:rPr>
                <w:rStyle w:val="SCCLsocChar"/>
                <w:sz w:val="20"/>
                <w:szCs w:val="20"/>
                <w:lang w:val="en-CA"/>
              </w:rPr>
              <w:t xml:space="preserve"> and</w:t>
            </w:r>
            <w:r w:rsidRPr="00715263">
              <w:rPr>
                <w:rStyle w:val="SCCLsocChar"/>
                <w:sz w:val="20"/>
                <w:szCs w:val="20"/>
                <w:lang w:val="en-CA"/>
              </w:rPr>
              <w:t xml:space="preserve"> Chicago Title Insurance Company</w:t>
            </w:r>
            <w:r w:rsidRPr="00715263">
              <w:rPr>
                <w:sz w:val="20"/>
                <w:szCs w:val="20"/>
              </w:rPr>
              <w:t xml:space="preserve"> (Ont.) (Civil) (By Leave)</w:t>
            </w:r>
          </w:p>
          <w:p w:rsidR="008237ED" w:rsidRPr="00715263" w:rsidRDefault="008237ED" w:rsidP="008237ED">
            <w:pPr>
              <w:jc w:val="both"/>
              <w:rPr>
                <w:sz w:val="20"/>
                <w:szCs w:val="20"/>
              </w:rPr>
            </w:pPr>
          </w:p>
        </w:tc>
      </w:tr>
      <w:tr w:rsidR="008237ED" w:rsidRPr="00715263" w:rsidTr="008237ED">
        <w:trPr>
          <w:cantSplit/>
        </w:trPr>
        <w:tc>
          <w:tcPr>
            <w:tcW w:w="1458" w:type="dxa"/>
          </w:tcPr>
          <w:p w:rsidR="008237ED" w:rsidRPr="00715263" w:rsidRDefault="008237ED" w:rsidP="008237ED">
            <w:pPr>
              <w:rPr>
                <w:sz w:val="20"/>
                <w:szCs w:val="20"/>
              </w:rPr>
            </w:pPr>
            <w:r w:rsidRPr="00715263">
              <w:rPr>
                <w:sz w:val="20"/>
                <w:szCs w:val="20"/>
              </w:rPr>
              <w:t>Coram :</w:t>
            </w:r>
          </w:p>
        </w:tc>
        <w:tc>
          <w:tcPr>
            <w:tcW w:w="8118" w:type="dxa"/>
          </w:tcPr>
          <w:p w:rsidR="008237ED" w:rsidRPr="00715263" w:rsidRDefault="008237ED" w:rsidP="008237ED">
            <w:pPr>
              <w:rPr>
                <w:sz w:val="20"/>
                <w:szCs w:val="20"/>
              </w:rPr>
            </w:pPr>
            <w:r w:rsidRPr="00715263">
              <w:rPr>
                <w:rStyle w:val="SCCCoramChar"/>
                <w:sz w:val="20"/>
                <w:szCs w:val="20"/>
                <w:lang w:val="en-CA"/>
              </w:rPr>
              <w:t>Rothstein, Cromwell and Moldaver JJ.</w:t>
            </w:r>
          </w:p>
          <w:p w:rsidR="008237ED" w:rsidRPr="00715263" w:rsidRDefault="008237ED" w:rsidP="008237ED">
            <w:pPr>
              <w:rPr>
                <w:sz w:val="20"/>
                <w:szCs w:val="20"/>
                <w:u w:val="single"/>
              </w:rPr>
            </w:pPr>
          </w:p>
        </w:tc>
      </w:tr>
      <w:tr w:rsidR="008237ED" w:rsidRPr="002A1430" w:rsidTr="008237ED">
        <w:trPr>
          <w:cantSplit/>
        </w:trPr>
        <w:tc>
          <w:tcPr>
            <w:tcW w:w="9576" w:type="dxa"/>
            <w:gridSpan w:val="2"/>
          </w:tcPr>
          <w:p w:rsidR="008237ED" w:rsidRPr="00715263" w:rsidRDefault="008237ED" w:rsidP="008237ED">
            <w:pPr>
              <w:pStyle w:val="SCCShortJudgment"/>
              <w:rPr>
                <w:szCs w:val="20"/>
              </w:rPr>
            </w:pPr>
            <w:r w:rsidRPr="00715263">
              <w:rPr>
                <w:szCs w:val="20"/>
              </w:rPr>
              <w:t>The application for leave to appeal from the judgment of the Court of Appeal for Ontario, Number C58755, 2014 ONCA 872, dated December 5, 2014, is dismissed with costs.</w:t>
            </w:r>
          </w:p>
          <w:p w:rsidR="008237ED" w:rsidRPr="00715263" w:rsidRDefault="008237ED" w:rsidP="008237ED">
            <w:pPr>
              <w:pStyle w:val="SCCShortJudgment"/>
              <w:ind w:firstLine="0"/>
              <w:rPr>
                <w:szCs w:val="20"/>
              </w:rPr>
            </w:pPr>
          </w:p>
          <w:p w:rsidR="008237ED" w:rsidRPr="00715263" w:rsidRDefault="008237ED" w:rsidP="008237ED">
            <w:pPr>
              <w:pStyle w:val="SCCShortJudgment"/>
              <w:rPr>
                <w:szCs w:val="20"/>
                <w:lang w:val="fr-CA"/>
              </w:rPr>
            </w:pPr>
            <w:r w:rsidRPr="00715263">
              <w:rPr>
                <w:szCs w:val="20"/>
                <w:lang w:val="fr-CA"/>
              </w:rPr>
              <w:t>La demande d’autorisation d’appel de l’arrêt de la Cour d’appel de l’Ontario, numéro C58755, 2014 ONCA 872, daté du 5 décembre 2014, est rejetée avec dépens.</w:t>
            </w:r>
          </w:p>
        </w:tc>
      </w:tr>
    </w:tbl>
    <w:p w:rsidR="00A23156" w:rsidRPr="008237ED" w:rsidRDefault="00A23156" w:rsidP="00A23156">
      <w:pPr>
        <w:rPr>
          <w:sz w:val="20"/>
          <w:szCs w:val="20"/>
          <w:lang w:val="fr-CA"/>
        </w:rPr>
      </w:pPr>
    </w:p>
    <w:p w:rsidR="00A23156" w:rsidRPr="001B157C" w:rsidRDefault="00A23156" w:rsidP="00A23156">
      <w:pPr>
        <w:rPr>
          <w:sz w:val="20"/>
          <w:szCs w:val="20"/>
          <w:u w:val="single"/>
        </w:rPr>
      </w:pPr>
      <w:r w:rsidRPr="001B157C">
        <w:rPr>
          <w:sz w:val="20"/>
          <w:szCs w:val="20"/>
          <w:u w:val="single"/>
        </w:rPr>
        <w:t>CASE SUMMARY</w:t>
      </w:r>
    </w:p>
    <w:p w:rsidR="00A23156" w:rsidRDefault="00A23156" w:rsidP="00A2315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E6AE9" w:rsidRPr="00F02DF6" w:rsidTr="00C6299D">
        <w:tc>
          <w:tcPr>
            <w:tcW w:w="5000" w:type="pct"/>
            <w:gridSpan w:val="3"/>
          </w:tcPr>
          <w:p w:rsidR="00EE6AE9" w:rsidRPr="00F02DF6" w:rsidRDefault="00EE6AE9" w:rsidP="00C6299D">
            <w:pPr>
              <w:autoSpaceDE w:val="0"/>
              <w:autoSpaceDN w:val="0"/>
              <w:adjustRightInd w:val="0"/>
              <w:jc w:val="both"/>
              <w:rPr>
                <w:rFonts w:eastAsia="Calibri"/>
                <w:color w:val="000000"/>
                <w:sz w:val="20"/>
              </w:rPr>
            </w:pPr>
            <w:r w:rsidRPr="00F02DF6">
              <w:rPr>
                <w:rFonts w:eastAsia="Calibri"/>
                <w:color w:val="000000"/>
                <w:sz w:val="20"/>
              </w:rPr>
              <w:t>Judgments and orders – Summary judgments – Respondents’ motions for summary judgment granted – How should a judge on a motion for summary judgment proceed when material facts are in dispute? – Is a claim for damages against a vendor of a mortgage a claim that “affects land”? – How are new limitation statutes in Ontario and other provinces to be interpreted regarding commencement of limitation period? – Is it a reversible error if on a motion for summary judgment relative costs are not analyzed, and when should such analysis be made?</w:t>
            </w:r>
          </w:p>
        </w:tc>
      </w:tr>
      <w:tr w:rsidR="00EE6AE9" w:rsidRPr="00F02DF6" w:rsidTr="00C6299D">
        <w:tc>
          <w:tcPr>
            <w:tcW w:w="5000" w:type="pct"/>
            <w:gridSpan w:val="3"/>
          </w:tcPr>
          <w:p w:rsidR="00EE6AE9" w:rsidRPr="00F02DF6" w:rsidRDefault="00EE6AE9" w:rsidP="00C6299D">
            <w:pPr>
              <w:jc w:val="both"/>
              <w:rPr>
                <w:rFonts w:eastAsia="Calibri"/>
                <w:sz w:val="20"/>
              </w:rPr>
            </w:pPr>
          </w:p>
        </w:tc>
      </w:tr>
      <w:tr w:rsidR="00EE6AE9" w:rsidRPr="00F02DF6" w:rsidTr="00C6299D">
        <w:tc>
          <w:tcPr>
            <w:tcW w:w="5000" w:type="pct"/>
            <w:gridSpan w:val="3"/>
          </w:tcPr>
          <w:p w:rsidR="00EE6AE9" w:rsidRPr="00F02DF6" w:rsidRDefault="00EE6AE9" w:rsidP="00C6299D">
            <w:pPr>
              <w:jc w:val="both"/>
              <w:rPr>
                <w:rFonts w:eastAsia="Calibri"/>
                <w:sz w:val="20"/>
              </w:rPr>
            </w:pPr>
            <w:r w:rsidRPr="00F02DF6">
              <w:rPr>
                <w:rFonts w:eastAsia="Calibri"/>
                <w:sz w:val="20"/>
              </w:rPr>
              <w:t xml:space="preserve">In 2007, Ms. Zabanah purchased a second mortgage on a property from the respondent, Capital Direct Lending Corp. (“Capital”), as an investment.  The mortgagor had fraudulently informed Capital that the balance of the first mortgage on her home was about $83,000, when in reality it exceeded $200,000.  The property was appraised at approximately $210,000.  Ms. Zabanah advanced about $83,000 to the mortgagor through the broker, Capital.  Capital bought title insurance on the second mortgage from the respondent, Chicago Title Insurance Co. (“Chicago”), and assigned the insurance policy to Ms. Zabanah when she purchased the mortgage.  In February 2008, when Capital became aware of the mortgagor’s fraud, it advised her to get legal advice and offered to pay $500 in legal fees on her behalf.  Capital also advised her that Capital itself could be liable to her for the loss in the value of her security.  She nonetheless renewed the second mortgage in 2008, 2009 and 2010.  The mortgagor made an assignment in bankruptcy in 2010.  The first mortgagee exercised its rights under power of sale in February, 2011.  The proceeds of sale were insufficient to pay off the first mortgage, leaving nothing for Ms. Zabanah as the second mortgagee.  Ms. Zabanah issued the statement of claim on November 23, 2011, seeking damages for negligence, breach of contract and breach of fiduciary duty against Capital, and requested an order that Chicago cover her loss under the title insurance policy.  Capital moved for summary judgment on the basis that the action was commenced after the two-year limitation period in the </w:t>
            </w:r>
            <w:r w:rsidRPr="00F02DF6">
              <w:rPr>
                <w:rFonts w:eastAsia="Calibri"/>
                <w:i/>
                <w:iCs/>
                <w:sz w:val="20"/>
              </w:rPr>
              <w:t>Limitations Act, 2002</w:t>
            </w:r>
            <w:r w:rsidRPr="00F02DF6">
              <w:rPr>
                <w:rFonts w:eastAsia="Calibri"/>
                <w:sz w:val="20"/>
              </w:rPr>
              <w:t>, S.O. 2002, c. 24 had expired.  Chicago also moved for summary judgment based upon the exclusion clause in the title insurance policy that excluded coverage for any actions arising from the first mortgage.</w:t>
            </w:r>
          </w:p>
          <w:p w:rsidR="00EE6AE9" w:rsidRPr="00F02DF6" w:rsidRDefault="00EE6AE9" w:rsidP="00C6299D">
            <w:pPr>
              <w:jc w:val="both"/>
              <w:rPr>
                <w:rFonts w:eastAsia="Calibri"/>
                <w:sz w:val="20"/>
              </w:rPr>
            </w:pPr>
          </w:p>
        </w:tc>
      </w:tr>
      <w:tr w:rsidR="00EE6AE9" w:rsidRPr="00F02DF6" w:rsidTr="00C6299D">
        <w:tc>
          <w:tcPr>
            <w:tcW w:w="2427" w:type="pct"/>
          </w:tcPr>
          <w:p w:rsidR="00EE6AE9" w:rsidRPr="00F02DF6" w:rsidRDefault="00EE6AE9" w:rsidP="00C6299D">
            <w:pPr>
              <w:jc w:val="both"/>
              <w:rPr>
                <w:rFonts w:eastAsia="Calibri"/>
                <w:sz w:val="20"/>
              </w:rPr>
            </w:pPr>
            <w:r w:rsidRPr="00F02DF6">
              <w:rPr>
                <w:rFonts w:eastAsia="Calibri"/>
                <w:sz w:val="20"/>
              </w:rPr>
              <w:t>April 22, 2014</w:t>
            </w:r>
          </w:p>
          <w:p w:rsidR="00EE6AE9" w:rsidRPr="00F02DF6" w:rsidRDefault="00EE6AE9" w:rsidP="00C6299D">
            <w:pPr>
              <w:jc w:val="both"/>
              <w:rPr>
                <w:rFonts w:eastAsia="Calibri"/>
                <w:sz w:val="20"/>
              </w:rPr>
            </w:pPr>
            <w:r w:rsidRPr="00F02DF6">
              <w:rPr>
                <w:rFonts w:eastAsia="Calibri"/>
                <w:sz w:val="20"/>
              </w:rPr>
              <w:t>Ontario Superior Court of Justice</w:t>
            </w:r>
          </w:p>
          <w:p w:rsidR="00EE6AE9" w:rsidRPr="00F02DF6" w:rsidRDefault="00EE6AE9" w:rsidP="00C6299D">
            <w:pPr>
              <w:jc w:val="both"/>
              <w:rPr>
                <w:rFonts w:eastAsia="Calibri"/>
                <w:sz w:val="20"/>
              </w:rPr>
            </w:pPr>
            <w:r w:rsidRPr="00F02DF6">
              <w:rPr>
                <w:rFonts w:eastAsia="Calibri"/>
                <w:sz w:val="20"/>
              </w:rPr>
              <w:t>(Himel J.)</w:t>
            </w:r>
          </w:p>
          <w:p w:rsidR="00EE6AE9" w:rsidRPr="00F02DF6" w:rsidRDefault="005B3B50" w:rsidP="00C6299D">
            <w:pPr>
              <w:jc w:val="both"/>
              <w:rPr>
                <w:rFonts w:eastAsia="Calibri"/>
                <w:sz w:val="20"/>
              </w:rPr>
            </w:pPr>
            <w:hyperlink r:id="rId63" w:history="1">
              <w:r w:rsidR="00EE6AE9" w:rsidRPr="00F02DF6">
                <w:rPr>
                  <w:rFonts w:eastAsia="Calibri"/>
                  <w:color w:val="0000FF"/>
                  <w:sz w:val="20"/>
                  <w:u w:val="single"/>
                </w:rPr>
                <w:t>2014 ONSC 2219</w:t>
              </w:r>
            </w:hyperlink>
          </w:p>
          <w:p w:rsidR="00EE6AE9" w:rsidRPr="00F02DF6" w:rsidRDefault="00EE6AE9" w:rsidP="00C6299D">
            <w:pPr>
              <w:jc w:val="both"/>
              <w:rPr>
                <w:rFonts w:eastAsia="Calibri"/>
                <w:sz w:val="20"/>
              </w:rPr>
            </w:pPr>
          </w:p>
        </w:tc>
        <w:tc>
          <w:tcPr>
            <w:tcW w:w="243" w:type="pct"/>
          </w:tcPr>
          <w:p w:rsidR="00EE6AE9" w:rsidRPr="00F02DF6" w:rsidRDefault="00EE6AE9" w:rsidP="00C6299D">
            <w:pPr>
              <w:jc w:val="both"/>
              <w:rPr>
                <w:rFonts w:eastAsia="Calibri"/>
                <w:sz w:val="20"/>
              </w:rPr>
            </w:pPr>
          </w:p>
        </w:tc>
        <w:tc>
          <w:tcPr>
            <w:tcW w:w="2330" w:type="pct"/>
          </w:tcPr>
          <w:p w:rsidR="00EE6AE9" w:rsidRPr="00F02DF6" w:rsidRDefault="00EE6AE9" w:rsidP="00C6299D">
            <w:pPr>
              <w:jc w:val="both"/>
              <w:rPr>
                <w:rFonts w:eastAsia="Calibri"/>
                <w:sz w:val="20"/>
              </w:rPr>
            </w:pPr>
            <w:r w:rsidRPr="00F02DF6">
              <w:rPr>
                <w:rFonts w:eastAsia="Calibri"/>
                <w:sz w:val="20"/>
              </w:rPr>
              <w:t>Applicant’s action for negligence, breach of contract and breach of fiduciary duty dismissed</w:t>
            </w:r>
          </w:p>
          <w:p w:rsidR="00EE6AE9" w:rsidRPr="00F02DF6" w:rsidRDefault="00EE6AE9" w:rsidP="00C6299D">
            <w:pPr>
              <w:jc w:val="both"/>
              <w:rPr>
                <w:rFonts w:eastAsia="Calibri"/>
                <w:sz w:val="20"/>
              </w:rPr>
            </w:pPr>
          </w:p>
          <w:p w:rsidR="00EE6AE9" w:rsidRPr="00F02DF6" w:rsidRDefault="00EE6AE9" w:rsidP="00C6299D">
            <w:pPr>
              <w:jc w:val="both"/>
              <w:rPr>
                <w:rFonts w:eastAsia="Calibri"/>
                <w:sz w:val="20"/>
              </w:rPr>
            </w:pPr>
          </w:p>
        </w:tc>
      </w:tr>
      <w:tr w:rsidR="00EE6AE9" w:rsidRPr="00F02DF6" w:rsidTr="00C6299D">
        <w:tc>
          <w:tcPr>
            <w:tcW w:w="2427" w:type="pct"/>
          </w:tcPr>
          <w:p w:rsidR="00EE6AE9" w:rsidRPr="00F02DF6" w:rsidRDefault="00EE6AE9" w:rsidP="00C6299D">
            <w:pPr>
              <w:jc w:val="both"/>
              <w:rPr>
                <w:rFonts w:eastAsia="Calibri"/>
                <w:sz w:val="20"/>
              </w:rPr>
            </w:pPr>
            <w:r w:rsidRPr="00F02DF6">
              <w:rPr>
                <w:rFonts w:eastAsia="Calibri"/>
                <w:sz w:val="20"/>
              </w:rPr>
              <w:t>December 5, 2014</w:t>
            </w:r>
          </w:p>
          <w:p w:rsidR="00EE6AE9" w:rsidRPr="00F02DF6" w:rsidRDefault="00EE6AE9" w:rsidP="00C6299D">
            <w:pPr>
              <w:jc w:val="both"/>
              <w:rPr>
                <w:rFonts w:eastAsia="Calibri"/>
                <w:sz w:val="20"/>
              </w:rPr>
            </w:pPr>
            <w:r w:rsidRPr="00F02DF6">
              <w:rPr>
                <w:rFonts w:eastAsia="Calibri"/>
                <w:sz w:val="20"/>
              </w:rPr>
              <w:t>Court of Appeal for Ontario</w:t>
            </w:r>
          </w:p>
          <w:p w:rsidR="00EE6AE9" w:rsidRPr="00F02DF6" w:rsidRDefault="00EE6AE9" w:rsidP="00C6299D">
            <w:pPr>
              <w:jc w:val="both"/>
              <w:rPr>
                <w:rFonts w:eastAsia="Calibri"/>
                <w:sz w:val="20"/>
              </w:rPr>
            </w:pPr>
            <w:r w:rsidRPr="00F02DF6">
              <w:rPr>
                <w:rFonts w:eastAsia="Calibri"/>
                <w:sz w:val="20"/>
              </w:rPr>
              <w:t>(Blair, Watt and Lauwers JJ.A.)</w:t>
            </w:r>
          </w:p>
          <w:p w:rsidR="00EE6AE9" w:rsidRPr="00F02DF6" w:rsidRDefault="005B3B50" w:rsidP="00C6299D">
            <w:pPr>
              <w:jc w:val="both"/>
              <w:rPr>
                <w:rFonts w:eastAsia="Calibri"/>
                <w:sz w:val="20"/>
              </w:rPr>
            </w:pPr>
            <w:hyperlink r:id="rId64" w:history="1">
              <w:r w:rsidR="00EE6AE9" w:rsidRPr="00F02DF6">
                <w:rPr>
                  <w:rFonts w:eastAsia="Calibri"/>
                  <w:color w:val="0000FF"/>
                  <w:sz w:val="20"/>
                  <w:u w:val="single"/>
                </w:rPr>
                <w:t>2014 ONCA 872</w:t>
              </w:r>
            </w:hyperlink>
          </w:p>
          <w:p w:rsidR="00EE6AE9" w:rsidRPr="00F02DF6" w:rsidRDefault="00EE6AE9" w:rsidP="00C6299D">
            <w:pPr>
              <w:jc w:val="both"/>
              <w:rPr>
                <w:rFonts w:eastAsia="Calibri"/>
                <w:sz w:val="20"/>
              </w:rPr>
            </w:pPr>
          </w:p>
        </w:tc>
        <w:tc>
          <w:tcPr>
            <w:tcW w:w="243" w:type="pct"/>
          </w:tcPr>
          <w:p w:rsidR="00EE6AE9" w:rsidRPr="00F02DF6" w:rsidRDefault="00EE6AE9" w:rsidP="00C6299D">
            <w:pPr>
              <w:jc w:val="both"/>
              <w:rPr>
                <w:rFonts w:eastAsia="Calibri"/>
                <w:sz w:val="20"/>
              </w:rPr>
            </w:pPr>
          </w:p>
        </w:tc>
        <w:tc>
          <w:tcPr>
            <w:tcW w:w="2330" w:type="pct"/>
          </w:tcPr>
          <w:p w:rsidR="00EE6AE9" w:rsidRPr="00F02DF6" w:rsidRDefault="00EE6AE9" w:rsidP="00C6299D">
            <w:pPr>
              <w:jc w:val="both"/>
              <w:rPr>
                <w:rFonts w:eastAsia="Calibri"/>
                <w:sz w:val="20"/>
              </w:rPr>
            </w:pPr>
            <w:r w:rsidRPr="00F02DF6">
              <w:rPr>
                <w:rFonts w:eastAsia="Calibri"/>
                <w:sz w:val="20"/>
              </w:rPr>
              <w:t>Applicant’s appeal dismissed</w:t>
            </w:r>
          </w:p>
          <w:p w:rsidR="00EE6AE9" w:rsidRPr="00F02DF6" w:rsidRDefault="00EE6AE9" w:rsidP="00C6299D">
            <w:pPr>
              <w:jc w:val="both"/>
              <w:rPr>
                <w:rFonts w:eastAsia="Calibri"/>
                <w:sz w:val="20"/>
              </w:rPr>
            </w:pPr>
          </w:p>
        </w:tc>
      </w:tr>
      <w:tr w:rsidR="00EE6AE9" w:rsidRPr="00F02DF6" w:rsidTr="00C6299D">
        <w:tc>
          <w:tcPr>
            <w:tcW w:w="2427" w:type="pct"/>
          </w:tcPr>
          <w:p w:rsidR="00EE6AE9" w:rsidRPr="00F02DF6" w:rsidRDefault="00EE6AE9" w:rsidP="00C6299D">
            <w:pPr>
              <w:jc w:val="both"/>
              <w:rPr>
                <w:rFonts w:eastAsia="Calibri"/>
                <w:sz w:val="20"/>
              </w:rPr>
            </w:pPr>
            <w:r w:rsidRPr="00F02DF6">
              <w:rPr>
                <w:rFonts w:eastAsia="Calibri"/>
                <w:sz w:val="20"/>
              </w:rPr>
              <w:t>January 22, 2015</w:t>
            </w:r>
          </w:p>
          <w:p w:rsidR="00EE6AE9" w:rsidRPr="00F02DF6" w:rsidRDefault="00EE6AE9" w:rsidP="00C6299D">
            <w:pPr>
              <w:jc w:val="both"/>
              <w:rPr>
                <w:rFonts w:eastAsia="Calibri"/>
                <w:sz w:val="20"/>
              </w:rPr>
            </w:pPr>
            <w:r w:rsidRPr="00F02DF6">
              <w:rPr>
                <w:rFonts w:eastAsia="Calibri"/>
                <w:sz w:val="20"/>
              </w:rPr>
              <w:t>Supreme Court of Canada</w:t>
            </w:r>
          </w:p>
        </w:tc>
        <w:tc>
          <w:tcPr>
            <w:tcW w:w="243" w:type="pct"/>
          </w:tcPr>
          <w:p w:rsidR="00EE6AE9" w:rsidRPr="00F02DF6" w:rsidRDefault="00EE6AE9" w:rsidP="00C6299D">
            <w:pPr>
              <w:jc w:val="both"/>
              <w:rPr>
                <w:rFonts w:eastAsia="Calibri"/>
                <w:sz w:val="20"/>
              </w:rPr>
            </w:pPr>
          </w:p>
        </w:tc>
        <w:tc>
          <w:tcPr>
            <w:tcW w:w="2330" w:type="pct"/>
          </w:tcPr>
          <w:p w:rsidR="00EE6AE9" w:rsidRPr="00F02DF6" w:rsidRDefault="00EE6AE9" w:rsidP="00C6299D">
            <w:pPr>
              <w:jc w:val="both"/>
              <w:rPr>
                <w:rFonts w:eastAsia="Calibri"/>
                <w:sz w:val="20"/>
              </w:rPr>
            </w:pPr>
            <w:r w:rsidRPr="00F02DF6">
              <w:rPr>
                <w:rFonts w:eastAsia="Calibri"/>
                <w:sz w:val="20"/>
              </w:rPr>
              <w:t>Application for leave to appeal filed</w:t>
            </w:r>
          </w:p>
          <w:p w:rsidR="00EE6AE9" w:rsidRPr="00F02DF6" w:rsidRDefault="00EE6AE9" w:rsidP="00C6299D">
            <w:pPr>
              <w:jc w:val="both"/>
              <w:rPr>
                <w:rFonts w:eastAsia="Calibri"/>
                <w:sz w:val="20"/>
              </w:rPr>
            </w:pPr>
          </w:p>
        </w:tc>
      </w:tr>
    </w:tbl>
    <w:p w:rsidR="00A23156" w:rsidRDefault="00A23156" w:rsidP="00A23156">
      <w:pPr>
        <w:rPr>
          <w:sz w:val="20"/>
          <w:szCs w:val="20"/>
        </w:rPr>
      </w:pPr>
    </w:p>
    <w:p w:rsidR="00A23156" w:rsidRPr="00C50A5C" w:rsidRDefault="005B3B50" w:rsidP="00A23156">
      <w:pPr>
        <w:rPr>
          <w:sz w:val="20"/>
          <w:szCs w:val="20"/>
        </w:rPr>
      </w:pPr>
      <w:r>
        <w:rPr>
          <w:sz w:val="20"/>
          <w:szCs w:val="20"/>
          <w:lang w:val="fr-CA"/>
        </w:rPr>
        <w:pict>
          <v:rect id="_x0000_i1061" style="width:2in;height:1pt" o:hrpct="0" o:hralign="center" o:hrstd="t" o:hrnoshade="t" o:hr="t" fillcolor="black [3213]" stroked="f"/>
        </w:pict>
      </w:r>
    </w:p>
    <w:p w:rsidR="00A23156" w:rsidRDefault="00A23156" w:rsidP="00A23156">
      <w:pPr>
        <w:rPr>
          <w:sz w:val="20"/>
          <w:szCs w:val="20"/>
        </w:rPr>
      </w:pPr>
    </w:p>
    <w:p w:rsidR="00A23156" w:rsidRPr="001B157C" w:rsidRDefault="00A23156" w:rsidP="00A23156">
      <w:pPr>
        <w:rPr>
          <w:sz w:val="20"/>
          <w:szCs w:val="20"/>
          <w:u w:val="single"/>
          <w:lang w:val="fr-CA"/>
        </w:rPr>
      </w:pPr>
      <w:r w:rsidRPr="001B157C">
        <w:rPr>
          <w:sz w:val="20"/>
          <w:szCs w:val="20"/>
          <w:u w:val="single"/>
          <w:lang w:val="fr-CA"/>
        </w:rPr>
        <w:t>RÉSUMÉ DE L’AFFAIRE</w:t>
      </w:r>
    </w:p>
    <w:p w:rsidR="00A23156" w:rsidRDefault="00A23156" w:rsidP="00A2315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E6AE9" w:rsidRPr="002A1430" w:rsidTr="00C6299D">
        <w:tc>
          <w:tcPr>
            <w:tcW w:w="5000" w:type="pct"/>
            <w:gridSpan w:val="3"/>
          </w:tcPr>
          <w:p w:rsidR="00EE6AE9" w:rsidRPr="00F02DF6" w:rsidRDefault="00EE6AE9" w:rsidP="00C6299D">
            <w:pPr>
              <w:autoSpaceDE w:val="0"/>
              <w:autoSpaceDN w:val="0"/>
              <w:adjustRightInd w:val="0"/>
              <w:jc w:val="both"/>
              <w:rPr>
                <w:rFonts w:eastAsia="Calibri"/>
                <w:color w:val="000000"/>
                <w:sz w:val="20"/>
                <w:lang w:val="fr-CA"/>
              </w:rPr>
            </w:pPr>
            <w:r w:rsidRPr="00F02DF6">
              <w:rPr>
                <w:rFonts w:eastAsia="Calibri"/>
                <w:color w:val="000000"/>
                <w:sz w:val="20"/>
                <w:lang w:val="fr-CA"/>
              </w:rPr>
              <w:t>Jugements et ordonnances – Jugements sommaires – Les motions des intimées en jugement sommaire ont été accueillies – Comment le juge saisi d’une motion en jugement sommaire doit-il procéder lorsque les faits pertinents sont en litige? – Un recours en dommages-intérêts contre le vendeur d’une créance hypothécaire est-il un recours qui [</w:t>
            </w:r>
            <w:r w:rsidRPr="00F02DF6">
              <w:rPr>
                <w:rFonts w:eastAsia="Calibri"/>
                <w:smallCaps/>
                <w:color w:val="000000"/>
                <w:sz w:val="20"/>
                <w:lang w:val="fr-CA"/>
              </w:rPr>
              <w:t>traduction</w:t>
            </w:r>
            <w:r w:rsidRPr="00F02DF6">
              <w:rPr>
                <w:rFonts w:eastAsia="Calibri"/>
                <w:color w:val="000000"/>
                <w:sz w:val="20"/>
                <w:lang w:val="fr-CA"/>
              </w:rPr>
              <w:t>] « a une incidence sur un bien-fonds »? – Comment doit-on interpréter les nouvelles lois sur la prescription en Ontario et dans les autres provinces en ce qui a trait au point de départ d’un délai de prescription? – Le fait de ne pas avoir analysé les dépens relatifs au stade d’une motion en jugement sommaire constitue-t-il une erreur justifiant l’infirmation de la décision et à quel stade cette analyse doit-elle être faite?</w:t>
            </w:r>
          </w:p>
        </w:tc>
      </w:tr>
      <w:tr w:rsidR="00EE6AE9" w:rsidRPr="002A1430" w:rsidTr="00C6299D">
        <w:tc>
          <w:tcPr>
            <w:tcW w:w="5000" w:type="pct"/>
            <w:gridSpan w:val="3"/>
          </w:tcPr>
          <w:p w:rsidR="00EE6AE9" w:rsidRPr="00F02DF6" w:rsidRDefault="00EE6AE9" w:rsidP="00C6299D">
            <w:pPr>
              <w:jc w:val="both"/>
              <w:rPr>
                <w:rFonts w:eastAsia="Calibri"/>
                <w:sz w:val="20"/>
                <w:lang w:val="fr-CA"/>
              </w:rPr>
            </w:pPr>
          </w:p>
        </w:tc>
      </w:tr>
      <w:tr w:rsidR="00EE6AE9" w:rsidRPr="002A1430" w:rsidTr="00C6299D">
        <w:tc>
          <w:tcPr>
            <w:tcW w:w="5000" w:type="pct"/>
            <w:gridSpan w:val="3"/>
          </w:tcPr>
          <w:p w:rsidR="00EE6AE9" w:rsidRPr="00F02DF6" w:rsidRDefault="00EE6AE9" w:rsidP="00C6299D">
            <w:pPr>
              <w:jc w:val="both"/>
              <w:rPr>
                <w:rFonts w:eastAsia="Calibri"/>
                <w:sz w:val="20"/>
                <w:lang w:val="fr-CA"/>
              </w:rPr>
            </w:pPr>
            <w:r w:rsidRPr="00F02DF6">
              <w:rPr>
                <w:rFonts w:eastAsia="Calibri"/>
                <w:sz w:val="20"/>
                <w:lang w:val="fr-CA"/>
              </w:rPr>
              <w:t xml:space="preserve">En 2007, Mme Zabanah a acheté une créance hypothécaire de deuxième rang de l’intimée, Capital Direct Lending Corp. (« Capital »), comme placement.  La débitrice hypothécaire avait frauduleusement informé Capital que le solde de l’emprunt hypothécaire de premier rang grevant sa maison était de 83 000 $, alors qu’en réalité, il dépassait 200 000 $.  La valeur d’évaluation du bien avait été fixée à environ 210 000 $.  Madame Zabanah a prêté environ 83 000 $ à la débitrice hypothécaire par le courtier, Capital.  Capital a souscrit une assurance-titre sur la créance hypothécaire de deuxième rang auprès de l’intimée Chicago Title Insurance Co. (« Chicago »), et a cédé la police d’assurance à Mme Zabanah lorsque cette dernière a acheté la créance hypothécaire.  En février 2008, lorsque Capital a appris la fraude commise par la débitrice hypothécaire, Capital a conseillé à Mme Zabanah d’obtenir un avis juridique et a offert de payer 500 $ en honoraires d’avocat pour son compte.  Capital a également informé Mme Zabanah que Capital elle-même pourrait être responsable envers elle au titre de la perte de valeur de sa sûreté.  Madame Zabanah a néanmoins renouvelé le prêt hypothécaire de deuxième rang en 2008, 2009 et 2010.  La débitrice hypothécaire a fait une cession de faillite en 2010.  Le créancier hypothécaire de premier rang a exercé ses droits par pouvoir de vente en février 2011.  Le produit de la vente était insuffisant pour rembourser l’emprunt hypothécaire de premier rang, ce qui ne laissait rien à Mme Zabanah à titre de créancière hypothécaire de deuxième rang.  Madame Zabanah a déposé une déclaration le 23 novembre 2011, sollicitant des dommages-intérêts pour négligence, rupture de contrat et violation d’obligation fiduciaire contre Capital, et elle a demandé une ordonnance pour que Chicago indemnise sa perte en vertu de la police d’assurance-titre.  Par motion, Capital a demandé un jugement sommaire, plaidant que l’action avait été intentée après l’expiration du délai de prescription de deux ans prévu dans la </w:t>
            </w:r>
            <w:r w:rsidRPr="00F02DF6">
              <w:rPr>
                <w:rFonts w:eastAsia="Calibri"/>
                <w:i/>
                <w:iCs/>
                <w:sz w:val="20"/>
                <w:lang w:val="fr-CA"/>
              </w:rPr>
              <w:t>Loi de 2002 sur la prescription des actions</w:t>
            </w:r>
            <w:r w:rsidRPr="00F02DF6">
              <w:rPr>
                <w:rFonts w:eastAsia="Calibri"/>
                <w:sz w:val="20"/>
                <w:lang w:val="fr-CA"/>
              </w:rPr>
              <w:t>, L.O. 2002, ch. 24.  Chicago a également demandé un jugement sommaire sur le fondement de la clause d’exclusion dans la police d’assurance-titre qui excluait la couverture pour toute action découlant de la créance hypothécaire de premier rang.</w:t>
            </w:r>
          </w:p>
          <w:p w:rsidR="00EE6AE9" w:rsidRPr="00F02DF6" w:rsidRDefault="00EE6AE9" w:rsidP="00C6299D">
            <w:pPr>
              <w:jc w:val="both"/>
              <w:rPr>
                <w:rFonts w:eastAsia="Calibri"/>
                <w:sz w:val="20"/>
                <w:lang w:val="fr-CA"/>
              </w:rPr>
            </w:pPr>
          </w:p>
        </w:tc>
      </w:tr>
      <w:tr w:rsidR="00EE6AE9" w:rsidRPr="002A1430" w:rsidTr="00C6299D">
        <w:tc>
          <w:tcPr>
            <w:tcW w:w="2427" w:type="pct"/>
          </w:tcPr>
          <w:p w:rsidR="00EE6AE9" w:rsidRPr="00F02DF6" w:rsidRDefault="00EE6AE9" w:rsidP="00C6299D">
            <w:pPr>
              <w:jc w:val="both"/>
              <w:rPr>
                <w:rFonts w:eastAsia="Calibri"/>
                <w:sz w:val="20"/>
                <w:lang w:val="fr-CA"/>
              </w:rPr>
            </w:pPr>
            <w:r w:rsidRPr="00F02DF6">
              <w:rPr>
                <w:rFonts w:eastAsia="Calibri"/>
                <w:sz w:val="20"/>
                <w:lang w:val="fr-CA"/>
              </w:rPr>
              <w:t>22 avril 2014</w:t>
            </w:r>
          </w:p>
          <w:p w:rsidR="00EE6AE9" w:rsidRPr="00F02DF6" w:rsidRDefault="00EE6AE9" w:rsidP="00C6299D">
            <w:pPr>
              <w:jc w:val="both"/>
              <w:rPr>
                <w:rFonts w:eastAsia="Calibri"/>
                <w:sz w:val="20"/>
                <w:lang w:val="fr-CA"/>
              </w:rPr>
            </w:pPr>
            <w:r w:rsidRPr="00F02DF6">
              <w:rPr>
                <w:rFonts w:eastAsia="Calibri"/>
                <w:sz w:val="20"/>
                <w:lang w:val="fr-CA"/>
              </w:rPr>
              <w:t>Cour supérieure de justice de l’Ontario</w:t>
            </w:r>
          </w:p>
          <w:p w:rsidR="00EE6AE9" w:rsidRPr="00F02DF6" w:rsidRDefault="00EE6AE9" w:rsidP="00C6299D">
            <w:pPr>
              <w:jc w:val="both"/>
              <w:rPr>
                <w:rFonts w:eastAsia="Calibri"/>
                <w:sz w:val="20"/>
                <w:lang w:val="fr-CA"/>
              </w:rPr>
            </w:pPr>
            <w:r w:rsidRPr="00F02DF6">
              <w:rPr>
                <w:rFonts w:eastAsia="Calibri"/>
                <w:sz w:val="20"/>
                <w:lang w:val="fr-CA"/>
              </w:rPr>
              <w:t>(Juge Himel)</w:t>
            </w:r>
          </w:p>
          <w:p w:rsidR="00EE6AE9" w:rsidRPr="00F02DF6" w:rsidRDefault="005B3B50" w:rsidP="00C6299D">
            <w:pPr>
              <w:jc w:val="both"/>
              <w:rPr>
                <w:rFonts w:eastAsia="Calibri"/>
                <w:sz w:val="20"/>
                <w:lang w:val="fr-CA"/>
              </w:rPr>
            </w:pPr>
            <w:hyperlink r:id="rId65" w:history="1">
              <w:r w:rsidR="00EE6AE9" w:rsidRPr="00F02DF6">
                <w:rPr>
                  <w:rFonts w:eastAsia="Calibri"/>
                  <w:color w:val="0000FF"/>
                  <w:sz w:val="20"/>
                  <w:u w:val="single"/>
                  <w:lang w:val="fr-CA"/>
                </w:rPr>
                <w:t>2014 ONSC 2219</w:t>
              </w:r>
            </w:hyperlink>
          </w:p>
          <w:p w:rsidR="00EE6AE9" w:rsidRPr="00F02DF6" w:rsidRDefault="00EE6AE9" w:rsidP="00C6299D">
            <w:pPr>
              <w:jc w:val="both"/>
              <w:rPr>
                <w:rFonts w:eastAsia="Calibri"/>
                <w:sz w:val="20"/>
                <w:lang w:val="fr-CA"/>
              </w:rPr>
            </w:pPr>
          </w:p>
        </w:tc>
        <w:tc>
          <w:tcPr>
            <w:tcW w:w="243" w:type="pct"/>
          </w:tcPr>
          <w:p w:rsidR="00EE6AE9" w:rsidRPr="00F02DF6" w:rsidRDefault="00EE6AE9" w:rsidP="00C6299D">
            <w:pPr>
              <w:jc w:val="both"/>
              <w:rPr>
                <w:rFonts w:eastAsia="Calibri"/>
                <w:sz w:val="20"/>
                <w:lang w:val="fr-CA"/>
              </w:rPr>
            </w:pPr>
          </w:p>
        </w:tc>
        <w:tc>
          <w:tcPr>
            <w:tcW w:w="2330" w:type="pct"/>
          </w:tcPr>
          <w:p w:rsidR="00EE6AE9" w:rsidRPr="00F02DF6" w:rsidRDefault="00EE6AE9" w:rsidP="00C6299D">
            <w:pPr>
              <w:jc w:val="both"/>
              <w:rPr>
                <w:rFonts w:eastAsia="Calibri"/>
                <w:sz w:val="20"/>
                <w:lang w:val="fr-CA"/>
              </w:rPr>
            </w:pPr>
            <w:r w:rsidRPr="00F02DF6">
              <w:rPr>
                <w:rFonts w:eastAsia="Calibri"/>
                <w:sz w:val="20"/>
                <w:lang w:val="fr-CA"/>
              </w:rPr>
              <w:t>Rejet de l’action de la demanderesse en négligence, rupture de contrat et violation d’un obligation fiduciaire</w:t>
            </w:r>
          </w:p>
          <w:p w:rsidR="00EE6AE9" w:rsidRPr="00F02DF6" w:rsidRDefault="00EE6AE9" w:rsidP="00C6299D">
            <w:pPr>
              <w:jc w:val="both"/>
              <w:rPr>
                <w:rFonts w:eastAsia="Calibri"/>
                <w:sz w:val="20"/>
                <w:lang w:val="fr-CA"/>
              </w:rPr>
            </w:pPr>
          </w:p>
          <w:p w:rsidR="00EE6AE9" w:rsidRPr="00F02DF6" w:rsidRDefault="00EE6AE9" w:rsidP="00C6299D">
            <w:pPr>
              <w:jc w:val="both"/>
              <w:rPr>
                <w:rFonts w:eastAsia="Calibri"/>
                <w:sz w:val="20"/>
                <w:lang w:val="fr-CA"/>
              </w:rPr>
            </w:pPr>
          </w:p>
        </w:tc>
      </w:tr>
      <w:tr w:rsidR="00EE6AE9" w:rsidRPr="002A1430" w:rsidTr="00C6299D">
        <w:tc>
          <w:tcPr>
            <w:tcW w:w="2427" w:type="pct"/>
          </w:tcPr>
          <w:p w:rsidR="00EE6AE9" w:rsidRPr="00F02DF6" w:rsidRDefault="00EE6AE9" w:rsidP="00C6299D">
            <w:pPr>
              <w:jc w:val="both"/>
              <w:rPr>
                <w:rFonts w:eastAsia="Calibri"/>
                <w:sz w:val="20"/>
                <w:lang w:val="fr-CA"/>
              </w:rPr>
            </w:pPr>
            <w:r w:rsidRPr="00F02DF6">
              <w:rPr>
                <w:rFonts w:eastAsia="Calibri"/>
                <w:sz w:val="20"/>
                <w:lang w:val="fr-CA"/>
              </w:rPr>
              <w:t>5 décembre 2014</w:t>
            </w:r>
          </w:p>
          <w:p w:rsidR="00EE6AE9" w:rsidRPr="00F02DF6" w:rsidRDefault="00EE6AE9" w:rsidP="00C6299D">
            <w:pPr>
              <w:jc w:val="both"/>
              <w:rPr>
                <w:rFonts w:eastAsia="Calibri"/>
                <w:sz w:val="20"/>
                <w:lang w:val="fr-CA"/>
              </w:rPr>
            </w:pPr>
            <w:r w:rsidRPr="00F02DF6">
              <w:rPr>
                <w:rFonts w:eastAsia="Calibri"/>
                <w:sz w:val="20"/>
                <w:lang w:val="fr-CA"/>
              </w:rPr>
              <w:t>Cour d’appel de l’Ontario</w:t>
            </w:r>
          </w:p>
          <w:p w:rsidR="00EE6AE9" w:rsidRPr="00F02DF6" w:rsidRDefault="00EE6AE9" w:rsidP="00C6299D">
            <w:pPr>
              <w:jc w:val="both"/>
              <w:rPr>
                <w:rFonts w:eastAsia="Calibri"/>
                <w:sz w:val="20"/>
                <w:lang w:val="fr-CA"/>
              </w:rPr>
            </w:pPr>
            <w:r w:rsidRPr="00F02DF6">
              <w:rPr>
                <w:rFonts w:eastAsia="Calibri"/>
                <w:sz w:val="20"/>
                <w:lang w:val="fr-CA"/>
              </w:rPr>
              <w:t>(Juges Blair, Watt et Lauwers)</w:t>
            </w:r>
          </w:p>
          <w:p w:rsidR="00EE6AE9" w:rsidRPr="00F02DF6" w:rsidRDefault="005B3B50" w:rsidP="00C6299D">
            <w:pPr>
              <w:jc w:val="both"/>
              <w:rPr>
                <w:rFonts w:eastAsia="Calibri"/>
                <w:sz w:val="20"/>
                <w:lang w:val="fr-CA"/>
              </w:rPr>
            </w:pPr>
            <w:hyperlink r:id="rId66" w:history="1">
              <w:r w:rsidR="00EE6AE9" w:rsidRPr="00F02DF6">
                <w:rPr>
                  <w:rFonts w:eastAsia="Calibri"/>
                  <w:color w:val="0000FF"/>
                  <w:sz w:val="20"/>
                  <w:u w:val="single"/>
                  <w:lang w:val="fr-CA"/>
                </w:rPr>
                <w:t>2014 ONCA 872</w:t>
              </w:r>
            </w:hyperlink>
          </w:p>
          <w:p w:rsidR="00EE6AE9" w:rsidRPr="00F02DF6" w:rsidRDefault="00EE6AE9" w:rsidP="00C6299D">
            <w:pPr>
              <w:jc w:val="both"/>
              <w:rPr>
                <w:rFonts w:eastAsia="Calibri"/>
                <w:sz w:val="20"/>
                <w:lang w:val="fr-CA"/>
              </w:rPr>
            </w:pPr>
          </w:p>
        </w:tc>
        <w:tc>
          <w:tcPr>
            <w:tcW w:w="243" w:type="pct"/>
          </w:tcPr>
          <w:p w:rsidR="00EE6AE9" w:rsidRPr="00F02DF6" w:rsidRDefault="00EE6AE9" w:rsidP="00C6299D">
            <w:pPr>
              <w:jc w:val="both"/>
              <w:rPr>
                <w:rFonts w:eastAsia="Calibri"/>
                <w:sz w:val="20"/>
                <w:lang w:val="fr-CA"/>
              </w:rPr>
            </w:pPr>
          </w:p>
        </w:tc>
        <w:tc>
          <w:tcPr>
            <w:tcW w:w="2330" w:type="pct"/>
          </w:tcPr>
          <w:p w:rsidR="00EE6AE9" w:rsidRPr="00F02DF6" w:rsidRDefault="00EE6AE9" w:rsidP="00C6299D">
            <w:pPr>
              <w:jc w:val="both"/>
              <w:rPr>
                <w:rFonts w:eastAsia="Calibri"/>
                <w:sz w:val="20"/>
                <w:lang w:val="fr-CA"/>
              </w:rPr>
            </w:pPr>
            <w:r w:rsidRPr="00F02DF6">
              <w:rPr>
                <w:rFonts w:eastAsia="Calibri"/>
                <w:sz w:val="20"/>
                <w:lang w:val="fr-CA"/>
              </w:rPr>
              <w:t>Rejet de l’appel de la demanderesse</w:t>
            </w:r>
          </w:p>
          <w:p w:rsidR="00EE6AE9" w:rsidRPr="00F02DF6" w:rsidRDefault="00EE6AE9" w:rsidP="00C6299D">
            <w:pPr>
              <w:jc w:val="both"/>
              <w:rPr>
                <w:rFonts w:eastAsia="Calibri"/>
                <w:sz w:val="20"/>
                <w:lang w:val="fr-CA"/>
              </w:rPr>
            </w:pPr>
          </w:p>
        </w:tc>
      </w:tr>
      <w:tr w:rsidR="00EE6AE9" w:rsidRPr="002A1430" w:rsidTr="00C6299D">
        <w:tc>
          <w:tcPr>
            <w:tcW w:w="2427" w:type="pct"/>
          </w:tcPr>
          <w:p w:rsidR="00EE6AE9" w:rsidRPr="00F02DF6" w:rsidRDefault="00EE6AE9" w:rsidP="00C6299D">
            <w:pPr>
              <w:jc w:val="both"/>
              <w:rPr>
                <w:rFonts w:eastAsia="Calibri"/>
                <w:sz w:val="20"/>
                <w:lang w:val="fr-CA"/>
              </w:rPr>
            </w:pPr>
            <w:r w:rsidRPr="00F02DF6">
              <w:rPr>
                <w:rFonts w:eastAsia="Calibri"/>
                <w:sz w:val="20"/>
                <w:lang w:val="fr-CA"/>
              </w:rPr>
              <w:t>22 janvier 2015</w:t>
            </w:r>
          </w:p>
          <w:p w:rsidR="00EE6AE9" w:rsidRPr="00F02DF6" w:rsidRDefault="00EE6AE9" w:rsidP="00C6299D">
            <w:pPr>
              <w:jc w:val="both"/>
              <w:rPr>
                <w:rFonts w:eastAsia="Calibri"/>
                <w:sz w:val="20"/>
                <w:lang w:val="fr-CA"/>
              </w:rPr>
            </w:pPr>
            <w:r w:rsidRPr="00F02DF6">
              <w:rPr>
                <w:rFonts w:eastAsia="Calibri"/>
                <w:sz w:val="20"/>
                <w:lang w:val="fr-CA"/>
              </w:rPr>
              <w:t>Cour suprême du Canada</w:t>
            </w:r>
          </w:p>
        </w:tc>
        <w:tc>
          <w:tcPr>
            <w:tcW w:w="243" w:type="pct"/>
          </w:tcPr>
          <w:p w:rsidR="00EE6AE9" w:rsidRPr="00F02DF6" w:rsidRDefault="00EE6AE9" w:rsidP="00C6299D">
            <w:pPr>
              <w:jc w:val="both"/>
              <w:rPr>
                <w:rFonts w:eastAsia="Calibri"/>
                <w:sz w:val="20"/>
                <w:lang w:val="fr-CA"/>
              </w:rPr>
            </w:pPr>
          </w:p>
        </w:tc>
        <w:tc>
          <w:tcPr>
            <w:tcW w:w="2330" w:type="pct"/>
          </w:tcPr>
          <w:p w:rsidR="00EE6AE9" w:rsidRPr="00F02DF6" w:rsidRDefault="00EE6AE9" w:rsidP="00C6299D">
            <w:pPr>
              <w:jc w:val="both"/>
              <w:rPr>
                <w:rFonts w:eastAsia="Calibri"/>
                <w:sz w:val="20"/>
                <w:lang w:val="fr-CA"/>
              </w:rPr>
            </w:pPr>
            <w:r w:rsidRPr="00F02DF6">
              <w:rPr>
                <w:rFonts w:eastAsia="Calibri"/>
                <w:sz w:val="20"/>
                <w:lang w:val="fr-CA"/>
              </w:rPr>
              <w:t>Dépôt de la demande d’autorisation d’appel</w:t>
            </w:r>
          </w:p>
          <w:p w:rsidR="00EE6AE9" w:rsidRPr="00F02DF6" w:rsidRDefault="00EE6AE9" w:rsidP="00C6299D">
            <w:pPr>
              <w:jc w:val="both"/>
              <w:rPr>
                <w:rFonts w:eastAsia="Calibri"/>
                <w:sz w:val="20"/>
                <w:lang w:val="fr-CA"/>
              </w:rPr>
            </w:pPr>
          </w:p>
        </w:tc>
      </w:tr>
    </w:tbl>
    <w:p w:rsidR="00A23156" w:rsidRPr="00EE6AE9" w:rsidRDefault="00A23156" w:rsidP="00A23156">
      <w:pPr>
        <w:rPr>
          <w:sz w:val="20"/>
          <w:szCs w:val="20"/>
          <w:lang w:val="fr-CA"/>
        </w:rPr>
      </w:pPr>
    </w:p>
    <w:p w:rsidR="00A23156" w:rsidRDefault="005B3B50" w:rsidP="00A23156">
      <w:pPr>
        <w:rPr>
          <w:sz w:val="20"/>
          <w:szCs w:val="20"/>
          <w:lang w:val="fr-CA"/>
        </w:rPr>
      </w:pPr>
      <w:r>
        <w:rPr>
          <w:sz w:val="20"/>
          <w:szCs w:val="20"/>
          <w:lang w:val="fr-CA"/>
        </w:rPr>
        <w:pict>
          <v:rect id="_x0000_i1062" style="width:2in;height:1pt" o:hrpct="0" o:hralign="center" o:hrstd="t" o:hrnoshade="t" o:hr="t" fillcolor="black [3213]" stroked="f"/>
        </w:pict>
      </w:r>
    </w:p>
    <w:p w:rsidR="00A23156" w:rsidRDefault="00A23156" w:rsidP="00A23156">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237ED" w:rsidRPr="00715263" w:rsidTr="008237ED">
        <w:trPr>
          <w:cantSplit/>
        </w:trPr>
        <w:tc>
          <w:tcPr>
            <w:tcW w:w="1458" w:type="dxa"/>
          </w:tcPr>
          <w:p w:rsidR="008237ED" w:rsidRPr="00715263" w:rsidRDefault="008237ED" w:rsidP="008237ED">
            <w:pPr>
              <w:rPr>
                <w:sz w:val="20"/>
                <w:szCs w:val="20"/>
              </w:rPr>
            </w:pPr>
            <w:r w:rsidRPr="00715263">
              <w:rPr>
                <w:rStyle w:val="SCCFileNumberChar"/>
                <w:sz w:val="20"/>
                <w:szCs w:val="20"/>
              </w:rPr>
              <w:t>36287</w:t>
            </w:r>
          </w:p>
          <w:p w:rsidR="008237ED" w:rsidRPr="00715263" w:rsidRDefault="008237ED" w:rsidP="008237ED">
            <w:pPr>
              <w:rPr>
                <w:b/>
                <w:sz w:val="20"/>
                <w:szCs w:val="20"/>
                <w:lang w:val="fr-CA"/>
              </w:rPr>
            </w:pPr>
          </w:p>
        </w:tc>
        <w:tc>
          <w:tcPr>
            <w:tcW w:w="8118" w:type="dxa"/>
          </w:tcPr>
          <w:p w:rsidR="008237ED" w:rsidRPr="00715263" w:rsidRDefault="008237ED" w:rsidP="008237ED">
            <w:pPr>
              <w:rPr>
                <w:sz w:val="20"/>
                <w:szCs w:val="20"/>
              </w:rPr>
            </w:pPr>
            <w:r w:rsidRPr="00715263">
              <w:rPr>
                <w:rStyle w:val="SCCLsocChar"/>
                <w:sz w:val="20"/>
                <w:szCs w:val="20"/>
                <w:lang w:val="en-CA"/>
              </w:rPr>
              <w:t>Karl-Heinz Arthur Lilgert v. Her Majesty the Queen</w:t>
            </w:r>
            <w:r w:rsidRPr="00715263">
              <w:rPr>
                <w:sz w:val="20"/>
                <w:szCs w:val="20"/>
              </w:rPr>
              <w:t xml:space="preserve"> (B.C.) (Criminal) (By Leave)</w:t>
            </w:r>
          </w:p>
          <w:p w:rsidR="008237ED" w:rsidRPr="00715263" w:rsidRDefault="008237ED" w:rsidP="008237ED">
            <w:pPr>
              <w:rPr>
                <w:sz w:val="20"/>
                <w:szCs w:val="20"/>
              </w:rPr>
            </w:pPr>
          </w:p>
        </w:tc>
      </w:tr>
      <w:tr w:rsidR="008237ED" w:rsidRPr="00715263" w:rsidTr="008237ED">
        <w:trPr>
          <w:cantSplit/>
        </w:trPr>
        <w:tc>
          <w:tcPr>
            <w:tcW w:w="1458" w:type="dxa"/>
          </w:tcPr>
          <w:p w:rsidR="008237ED" w:rsidRPr="00715263" w:rsidRDefault="008237ED" w:rsidP="008237ED">
            <w:pPr>
              <w:rPr>
                <w:sz w:val="20"/>
                <w:szCs w:val="20"/>
              </w:rPr>
            </w:pPr>
            <w:r w:rsidRPr="00715263">
              <w:rPr>
                <w:sz w:val="20"/>
                <w:szCs w:val="20"/>
              </w:rPr>
              <w:t>Coram :</w:t>
            </w:r>
          </w:p>
        </w:tc>
        <w:tc>
          <w:tcPr>
            <w:tcW w:w="8118" w:type="dxa"/>
          </w:tcPr>
          <w:p w:rsidR="008237ED" w:rsidRPr="00715263" w:rsidRDefault="008237ED" w:rsidP="008237ED">
            <w:pPr>
              <w:rPr>
                <w:sz w:val="20"/>
                <w:szCs w:val="20"/>
              </w:rPr>
            </w:pPr>
            <w:r w:rsidRPr="00715263">
              <w:rPr>
                <w:rStyle w:val="SCCCoramChar"/>
                <w:sz w:val="20"/>
                <w:szCs w:val="20"/>
                <w:lang w:val="en-CA"/>
              </w:rPr>
              <w:t>McLachlin C.J. and Wagner and Gascon JJ.</w:t>
            </w:r>
          </w:p>
          <w:p w:rsidR="008237ED" w:rsidRPr="00715263" w:rsidRDefault="008237ED" w:rsidP="008237ED">
            <w:pPr>
              <w:rPr>
                <w:sz w:val="20"/>
                <w:szCs w:val="20"/>
                <w:u w:val="single"/>
              </w:rPr>
            </w:pPr>
          </w:p>
        </w:tc>
      </w:tr>
      <w:tr w:rsidR="008237ED" w:rsidRPr="002A1430" w:rsidTr="008237ED">
        <w:trPr>
          <w:cantSplit/>
        </w:trPr>
        <w:tc>
          <w:tcPr>
            <w:tcW w:w="9576" w:type="dxa"/>
            <w:gridSpan w:val="2"/>
          </w:tcPr>
          <w:p w:rsidR="008237ED" w:rsidRPr="00715263" w:rsidRDefault="008237ED" w:rsidP="008237ED">
            <w:pPr>
              <w:pStyle w:val="SCCShortJudgment"/>
              <w:rPr>
                <w:szCs w:val="20"/>
              </w:rPr>
            </w:pPr>
            <w:r w:rsidRPr="00715263">
              <w:rPr>
                <w:szCs w:val="20"/>
              </w:rPr>
              <w:t>The application for leave to appeal from the judgment of the Court of Appeal for British Columbia (Vancouver), Number CA040990, 2014 BCCA 493, dated December 16, 2014, is dismissed.</w:t>
            </w:r>
          </w:p>
          <w:p w:rsidR="008237ED" w:rsidRPr="00715263" w:rsidRDefault="008237ED" w:rsidP="008237ED">
            <w:pPr>
              <w:pStyle w:val="SCCShortJudgment"/>
              <w:ind w:firstLine="0"/>
              <w:rPr>
                <w:szCs w:val="20"/>
              </w:rPr>
            </w:pPr>
          </w:p>
          <w:p w:rsidR="008237ED" w:rsidRPr="00715263" w:rsidRDefault="008237ED" w:rsidP="008237ED">
            <w:pPr>
              <w:pStyle w:val="SCCShortJudgment"/>
              <w:rPr>
                <w:szCs w:val="20"/>
                <w:lang w:val="fr-CA"/>
              </w:rPr>
            </w:pPr>
            <w:r w:rsidRPr="00715263">
              <w:rPr>
                <w:szCs w:val="20"/>
                <w:lang w:val="fr-CA"/>
              </w:rPr>
              <w:t>La demande d’autorisation d’appel de l’arrêt de la Cour d’appel de la Colombie-Britannique (Vancouver), numéro CA040990, 2014 BCCA 493, daté du 16 décembre 2014, est rejetée.</w:t>
            </w:r>
          </w:p>
        </w:tc>
      </w:tr>
    </w:tbl>
    <w:p w:rsidR="00A23156" w:rsidRPr="008237ED" w:rsidRDefault="00A23156" w:rsidP="00A23156">
      <w:pPr>
        <w:rPr>
          <w:sz w:val="20"/>
          <w:szCs w:val="20"/>
          <w:lang w:val="fr-CA"/>
        </w:rPr>
      </w:pPr>
    </w:p>
    <w:p w:rsidR="00A23156" w:rsidRPr="001B157C" w:rsidRDefault="00A23156" w:rsidP="00A23156">
      <w:pPr>
        <w:rPr>
          <w:sz w:val="20"/>
          <w:szCs w:val="20"/>
          <w:u w:val="single"/>
        </w:rPr>
      </w:pPr>
      <w:r w:rsidRPr="001B157C">
        <w:rPr>
          <w:sz w:val="20"/>
          <w:szCs w:val="20"/>
          <w:u w:val="single"/>
        </w:rPr>
        <w:t>CASE SUMMARY</w:t>
      </w:r>
    </w:p>
    <w:p w:rsidR="00A23156" w:rsidRDefault="00A23156" w:rsidP="00A2315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10164" w:rsidRPr="00F02DF6" w:rsidTr="00C6299D">
        <w:tc>
          <w:tcPr>
            <w:tcW w:w="5000" w:type="pct"/>
            <w:gridSpan w:val="3"/>
          </w:tcPr>
          <w:p w:rsidR="00F10164" w:rsidRPr="00F02DF6" w:rsidRDefault="00F10164" w:rsidP="00C6299D">
            <w:pPr>
              <w:jc w:val="both"/>
              <w:rPr>
                <w:rFonts w:eastAsia="Calibri"/>
                <w:sz w:val="20"/>
              </w:rPr>
            </w:pPr>
            <w:r w:rsidRPr="00F02DF6">
              <w:rPr>
                <w:rFonts w:eastAsia="Calibri"/>
                <w:i/>
                <w:sz w:val="20"/>
              </w:rPr>
              <w:t>Charter of Rights and Freedoms</w:t>
            </w:r>
            <w:r w:rsidRPr="00F02DF6">
              <w:rPr>
                <w:rFonts w:eastAsia="Calibri"/>
                <w:sz w:val="20"/>
              </w:rPr>
              <w:t xml:space="preserve"> – Criminal Law – Liberty – Principles of Fundamental Justice – Presumption of Innocence – Offences – Elements of offence – Criminal negligence – Whether law of criminal negligence is in a state of confusion – Whether courts endorse conflicting interpretations of legal analysis required for criminal negligence – Whether standard applied in British Columbia offends presumption of innocence – Whether morally innocent will be subjected to criminal liability despite reasonable, honest but mistaken view of facts.</w:t>
            </w:r>
          </w:p>
        </w:tc>
      </w:tr>
      <w:tr w:rsidR="00F10164" w:rsidRPr="00F02DF6" w:rsidTr="00C6299D">
        <w:tc>
          <w:tcPr>
            <w:tcW w:w="5000" w:type="pct"/>
            <w:gridSpan w:val="3"/>
          </w:tcPr>
          <w:p w:rsidR="00F10164" w:rsidRPr="00F02DF6" w:rsidRDefault="00F10164" w:rsidP="00C6299D">
            <w:pPr>
              <w:jc w:val="both"/>
              <w:rPr>
                <w:rFonts w:eastAsia="Calibri"/>
                <w:sz w:val="20"/>
              </w:rPr>
            </w:pPr>
          </w:p>
        </w:tc>
      </w:tr>
      <w:tr w:rsidR="00F10164" w:rsidRPr="00F02DF6" w:rsidTr="00C6299D">
        <w:tc>
          <w:tcPr>
            <w:tcW w:w="5000" w:type="pct"/>
            <w:gridSpan w:val="3"/>
          </w:tcPr>
          <w:p w:rsidR="00F10164" w:rsidRPr="00F02DF6" w:rsidRDefault="00F10164" w:rsidP="00C6299D">
            <w:pPr>
              <w:jc w:val="both"/>
              <w:rPr>
                <w:rFonts w:eastAsia="Calibri"/>
                <w:sz w:val="20"/>
              </w:rPr>
            </w:pPr>
            <w:r w:rsidRPr="00F02DF6">
              <w:rPr>
                <w:rFonts w:eastAsia="Calibri"/>
                <w:sz w:val="20"/>
              </w:rPr>
              <w:t xml:space="preserve">Mr. Lilgert was the officer in charge of the operation and navigation of the Queen of the North, a ferry that ran aground off Gil Island and sank. Two passengers were killed.  Mr. Lilgert was charged with two counts of causing death by criminal negligence.  The ferry’s route required a turn in Wright Sound.  Based on an expert’s opinion interpreting navigational data recorded by the ferry’s Electronic Chart System, Crown counsel argued that the ferry failed to turn and it followed a straight course at a high speed directly towards Gil Island without any course change.  Mr. Lilgert testified in part that he delayed turning and he then made course changes in response to the circumstances at the time, including weather and the presence of another boat. </w:t>
            </w:r>
          </w:p>
          <w:p w:rsidR="00F10164" w:rsidRPr="00F02DF6" w:rsidRDefault="00F10164" w:rsidP="00C6299D">
            <w:pPr>
              <w:jc w:val="both"/>
              <w:rPr>
                <w:rFonts w:eastAsia="Calibri"/>
                <w:sz w:val="20"/>
              </w:rPr>
            </w:pPr>
          </w:p>
        </w:tc>
      </w:tr>
      <w:tr w:rsidR="00F10164" w:rsidRPr="00F02DF6" w:rsidTr="00C6299D">
        <w:tc>
          <w:tcPr>
            <w:tcW w:w="2427" w:type="pct"/>
          </w:tcPr>
          <w:p w:rsidR="00F10164" w:rsidRPr="00F02DF6" w:rsidRDefault="00F10164" w:rsidP="00C6299D">
            <w:pPr>
              <w:jc w:val="both"/>
              <w:rPr>
                <w:rFonts w:eastAsia="Calibri"/>
                <w:sz w:val="20"/>
              </w:rPr>
            </w:pPr>
            <w:r w:rsidRPr="00F02DF6">
              <w:rPr>
                <w:rFonts w:eastAsia="Calibri"/>
                <w:sz w:val="20"/>
              </w:rPr>
              <w:t>June 24, 2013</w:t>
            </w:r>
          </w:p>
          <w:p w:rsidR="00F10164" w:rsidRPr="00F02DF6" w:rsidRDefault="00F10164" w:rsidP="00C6299D">
            <w:pPr>
              <w:jc w:val="both"/>
              <w:rPr>
                <w:rFonts w:eastAsia="Calibri"/>
                <w:sz w:val="20"/>
              </w:rPr>
            </w:pPr>
            <w:r w:rsidRPr="00F02DF6">
              <w:rPr>
                <w:rFonts w:eastAsia="Calibri"/>
                <w:sz w:val="20"/>
              </w:rPr>
              <w:t>Supreme Court of British Columbia</w:t>
            </w:r>
          </w:p>
          <w:p w:rsidR="00F10164" w:rsidRPr="00F02DF6" w:rsidRDefault="00F10164" w:rsidP="00C6299D">
            <w:pPr>
              <w:spacing w:after="240"/>
              <w:jc w:val="both"/>
              <w:rPr>
                <w:rFonts w:eastAsia="Calibri"/>
                <w:sz w:val="20"/>
              </w:rPr>
            </w:pPr>
            <w:r w:rsidRPr="00F02DF6">
              <w:rPr>
                <w:rFonts w:eastAsia="Calibri"/>
                <w:sz w:val="20"/>
              </w:rPr>
              <w:t>(Stromberg-Stein J.)</w:t>
            </w:r>
          </w:p>
        </w:tc>
        <w:tc>
          <w:tcPr>
            <w:tcW w:w="243" w:type="pct"/>
          </w:tcPr>
          <w:p w:rsidR="00F10164" w:rsidRPr="00F02DF6" w:rsidRDefault="00F10164" w:rsidP="00C6299D">
            <w:pPr>
              <w:jc w:val="both"/>
              <w:rPr>
                <w:rFonts w:eastAsia="Calibri"/>
                <w:sz w:val="20"/>
              </w:rPr>
            </w:pPr>
          </w:p>
        </w:tc>
        <w:tc>
          <w:tcPr>
            <w:tcW w:w="2330" w:type="pct"/>
          </w:tcPr>
          <w:p w:rsidR="00F10164" w:rsidRPr="00F02DF6" w:rsidRDefault="00F10164" w:rsidP="00C6299D">
            <w:pPr>
              <w:jc w:val="both"/>
              <w:rPr>
                <w:rFonts w:eastAsia="Calibri"/>
                <w:sz w:val="20"/>
              </w:rPr>
            </w:pPr>
            <w:r w:rsidRPr="00F02DF6">
              <w:rPr>
                <w:rFonts w:eastAsia="Calibri"/>
                <w:sz w:val="20"/>
              </w:rPr>
              <w:t>Conviction by jury on two counts of criminal negligence causing death</w:t>
            </w:r>
          </w:p>
          <w:p w:rsidR="00F10164" w:rsidRPr="00F02DF6" w:rsidRDefault="00F10164" w:rsidP="00C6299D">
            <w:pPr>
              <w:jc w:val="both"/>
              <w:rPr>
                <w:rFonts w:eastAsia="Calibri"/>
                <w:sz w:val="20"/>
              </w:rPr>
            </w:pPr>
          </w:p>
        </w:tc>
      </w:tr>
      <w:tr w:rsidR="00F10164" w:rsidRPr="00F02DF6" w:rsidTr="00C6299D">
        <w:tc>
          <w:tcPr>
            <w:tcW w:w="2427" w:type="pct"/>
          </w:tcPr>
          <w:p w:rsidR="00F10164" w:rsidRPr="00F02DF6" w:rsidRDefault="00F10164" w:rsidP="00C6299D">
            <w:pPr>
              <w:jc w:val="both"/>
              <w:rPr>
                <w:rFonts w:eastAsia="Calibri"/>
                <w:sz w:val="20"/>
              </w:rPr>
            </w:pPr>
            <w:r w:rsidRPr="00F02DF6">
              <w:rPr>
                <w:rFonts w:eastAsia="Calibri"/>
                <w:sz w:val="20"/>
              </w:rPr>
              <w:t>December 16, 2014</w:t>
            </w:r>
          </w:p>
          <w:p w:rsidR="00F10164" w:rsidRPr="00F02DF6" w:rsidRDefault="00F10164" w:rsidP="00C6299D">
            <w:pPr>
              <w:jc w:val="both"/>
              <w:rPr>
                <w:rFonts w:eastAsia="Calibri"/>
                <w:sz w:val="20"/>
              </w:rPr>
            </w:pPr>
            <w:r w:rsidRPr="00F02DF6">
              <w:rPr>
                <w:rFonts w:eastAsia="Calibri"/>
                <w:sz w:val="20"/>
              </w:rPr>
              <w:t xml:space="preserve">Court of Appeal for British Columbia </w:t>
            </w:r>
          </w:p>
          <w:p w:rsidR="00F10164" w:rsidRPr="00F02DF6" w:rsidRDefault="00F10164" w:rsidP="00C6299D">
            <w:pPr>
              <w:jc w:val="both"/>
              <w:rPr>
                <w:rFonts w:eastAsia="Calibri"/>
                <w:sz w:val="20"/>
              </w:rPr>
            </w:pPr>
            <w:r w:rsidRPr="00F02DF6">
              <w:rPr>
                <w:rFonts w:eastAsia="Calibri"/>
                <w:sz w:val="20"/>
              </w:rPr>
              <w:t>(Vancouver)</w:t>
            </w:r>
          </w:p>
          <w:p w:rsidR="00F10164" w:rsidRPr="00F02DF6" w:rsidRDefault="00F10164" w:rsidP="00C6299D">
            <w:pPr>
              <w:jc w:val="both"/>
              <w:rPr>
                <w:rFonts w:eastAsia="Calibri"/>
                <w:sz w:val="20"/>
              </w:rPr>
            </w:pPr>
            <w:r w:rsidRPr="00F02DF6">
              <w:rPr>
                <w:rFonts w:eastAsia="Calibri"/>
                <w:sz w:val="20"/>
              </w:rPr>
              <w:t>(Donald, Newbury, MacKenzie JJ.A.)</w:t>
            </w:r>
          </w:p>
          <w:p w:rsidR="00F10164" w:rsidRPr="00F02DF6" w:rsidRDefault="00F10164" w:rsidP="00C6299D">
            <w:pPr>
              <w:spacing w:after="240"/>
              <w:jc w:val="both"/>
              <w:rPr>
                <w:rFonts w:eastAsia="Calibri"/>
                <w:sz w:val="20"/>
              </w:rPr>
            </w:pPr>
            <w:r w:rsidRPr="00F02DF6">
              <w:rPr>
                <w:rFonts w:eastAsia="Calibri"/>
                <w:sz w:val="20"/>
              </w:rPr>
              <w:t xml:space="preserve">CA040990; </w:t>
            </w:r>
            <w:hyperlink r:id="rId67" w:history="1">
              <w:r w:rsidRPr="00F02DF6">
                <w:rPr>
                  <w:rFonts w:eastAsia="Calibri"/>
                  <w:color w:val="0000FF"/>
                  <w:sz w:val="20"/>
                  <w:u w:val="single"/>
                </w:rPr>
                <w:t>2014 BCCA 493</w:t>
              </w:r>
            </w:hyperlink>
          </w:p>
        </w:tc>
        <w:tc>
          <w:tcPr>
            <w:tcW w:w="243" w:type="pct"/>
          </w:tcPr>
          <w:p w:rsidR="00F10164" w:rsidRPr="00F02DF6" w:rsidRDefault="00F10164" w:rsidP="00C6299D">
            <w:pPr>
              <w:jc w:val="both"/>
              <w:rPr>
                <w:rFonts w:eastAsia="Calibri"/>
                <w:sz w:val="20"/>
              </w:rPr>
            </w:pPr>
          </w:p>
        </w:tc>
        <w:tc>
          <w:tcPr>
            <w:tcW w:w="2330" w:type="pct"/>
          </w:tcPr>
          <w:p w:rsidR="00F10164" w:rsidRPr="00F02DF6" w:rsidRDefault="00F10164" w:rsidP="00C6299D">
            <w:pPr>
              <w:jc w:val="both"/>
              <w:rPr>
                <w:rFonts w:eastAsia="Calibri"/>
                <w:sz w:val="20"/>
              </w:rPr>
            </w:pPr>
            <w:r w:rsidRPr="00F02DF6">
              <w:rPr>
                <w:rFonts w:eastAsia="Calibri"/>
                <w:sz w:val="20"/>
              </w:rPr>
              <w:t>Appeal dismissed</w:t>
            </w:r>
          </w:p>
          <w:p w:rsidR="00F10164" w:rsidRPr="00F02DF6" w:rsidRDefault="00F10164" w:rsidP="00C6299D">
            <w:pPr>
              <w:jc w:val="both"/>
              <w:rPr>
                <w:rFonts w:eastAsia="Calibri"/>
                <w:sz w:val="20"/>
              </w:rPr>
            </w:pPr>
          </w:p>
        </w:tc>
      </w:tr>
      <w:tr w:rsidR="00F10164" w:rsidRPr="00F02DF6" w:rsidTr="00C6299D">
        <w:tc>
          <w:tcPr>
            <w:tcW w:w="2427" w:type="pct"/>
          </w:tcPr>
          <w:p w:rsidR="00F10164" w:rsidRPr="00F02DF6" w:rsidRDefault="00F10164" w:rsidP="00C6299D">
            <w:pPr>
              <w:jc w:val="both"/>
              <w:rPr>
                <w:rFonts w:eastAsia="Calibri"/>
                <w:sz w:val="20"/>
              </w:rPr>
            </w:pPr>
            <w:r w:rsidRPr="00F02DF6">
              <w:rPr>
                <w:rFonts w:eastAsia="Calibri"/>
                <w:sz w:val="20"/>
              </w:rPr>
              <w:t>February 3, 2015</w:t>
            </w:r>
          </w:p>
          <w:p w:rsidR="00F10164" w:rsidRPr="00F02DF6" w:rsidRDefault="00F10164" w:rsidP="00C6299D">
            <w:pPr>
              <w:jc w:val="both"/>
              <w:rPr>
                <w:rFonts w:eastAsia="Calibri"/>
                <w:sz w:val="20"/>
              </w:rPr>
            </w:pPr>
            <w:r w:rsidRPr="00F02DF6">
              <w:rPr>
                <w:rFonts w:eastAsia="Calibri"/>
                <w:sz w:val="20"/>
              </w:rPr>
              <w:t>Supreme Court of Canada</w:t>
            </w:r>
          </w:p>
        </w:tc>
        <w:tc>
          <w:tcPr>
            <w:tcW w:w="243" w:type="pct"/>
          </w:tcPr>
          <w:p w:rsidR="00F10164" w:rsidRPr="00F02DF6" w:rsidRDefault="00F10164" w:rsidP="00C6299D">
            <w:pPr>
              <w:jc w:val="both"/>
              <w:rPr>
                <w:rFonts w:eastAsia="Calibri"/>
                <w:sz w:val="20"/>
              </w:rPr>
            </w:pPr>
          </w:p>
        </w:tc>
        <w:tc>
          <w:tcPr>
            <w:tcW w:w="2330" w:type="pct"/>
          </w:tcPr>
          <w:p w:rsidR="00F10164" w:rsidRPr="00F02DF6" w:rsidRDefault="00F10164" w:rsidP="00C6299D">
            <w:pPr>
              <w:jc w:val="both"/>
              <w:rPr>
                <w:rFonts w:eastAsia="Calibri"/>
                <w:sz w:val="20"/>
              </w:rPr>
            </w:pPr>
            <w:r w:rsidRPr="00F02DF6">
              <w:rPr>
                <w:rFonts w:eastAsia="Calibri"/>
                <w:sz w:val="20"/>
              </w:rPr>
              <w:t>Application for leave to appeal filed</w:t>
            </w:r>
          </w:p>
          <w:p w:rsidR="00F10164" w:rsidRPr="00F02DF6" w:rsidRDefault="00F10164" w:rsidP="00C6299D">
            <w:pPr>
              <w:jc w:val="both"/>
              <w:rPr>
                <w:rFonts w:eastAsia="Calibri"/>
                <w:sz w:val="20"/>
              </w:rPr>
            </w:pPr>
          </w:p>
        </w:tc>
      </w:tr>
    </w:tbl>
    <w:p w:rsidR="00A23156" w:rsidRDefault="00A23156" w:rsidP="00A23156">
      <w:pPr>
        <w:rPr>
          <w:sz w:val="20"/>
          <w:szCs w:val="20"/>
        </w:rPr>
      </w:pPr>
    </w:p>
    <w:p w:rsidR="00A23156" w:rsidRPr="00C50A5C" w:rsidRDefault="005B3B50" w:rsidP="00A23156">
      <w:pPr>
        <w:rPr>
          <w:sz w:val="20"/>
          <w:szCs w:val="20"/>
        </w:rPr>
      </w:pPr>
      <w:r>
        <w:rPr>
          <w:sz w:val="20"/>
          <w:szCs w:val="20"/>
          <w:lang w:val="fr-CA"/>
        </w:rPr>
        <w:pict>
          <v:rect id="_x0000_i1063" style="width:2in;height:1pt" o:hrpct="0" o:hralign="center" o:hrstd="t" o:hrnoshade="t" o:hr="t" fillcolor="black [3213]" stroked="f"/>
        </w:pict>
      </w:r>
    </w:p>
    <w:p w:rsidR="00A23156" w:rsidRDefault="00A23156" w:rsidP="00A23156">
      <w:pPr>
        <w:rPr>
          <w:sz w:val="20"/>
          <w:szCs w:val="20"/>
        </w:rPr>
      </w:pPr>
    </w:p>
    <w:p w:rsidR="00A23156" w:rsidRPr="001B157C" w:rsidRDefault="00A23156" w:rsidP="00A23156">
      <w:pPr>
        <w:rPr>
          <w:sz w:val="20"/>
          <w:szCs w:val="20"/>
          <w:u w:val="single"/>
          <w:lang w:val="fr-CA"/>
        </w:rPr>
      </w:pPr>
      <w:r w:rsidRPr="001B157C">
        <w:rPr>
          <w:sz w:val="20"/>
          <w:szCs w:val="20"/>
          <w:u w:val="single"/>
          <w:lang w:val="fr-CA"/>
        </w:rPr>
        <w:t>RÉSUMÉ DE L’AFFAIRE</w:t>
      </w:r>
    </w:p>
    <w:p w:rsidR="00A23156" w:rsidRDefault="00A23156" w:rsidP="00A2315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10164" w:rsidRPr="002A1430" w:rsidTr="00C6299D">
        <w:tc>
          <w:tcPr>
            <w:tcW w:w="5000" w:type="pct"/>
            <w:gridSpan w:val="3"/>
          </w:tcPr>
          <w:p w:rsidR="00F10164" w:rsidRPr="00F02DF6" w:rsidRDefault="00F10164" w:rsidP="00C6299D">
            <w:pPr>
              <w:jc w:val="both"/>
              <w:rPr>
                <w:rFonts w:eastAsia="Calibri"/>
                <w:sz w:val="20"/>
                <w:lang w:val="fr-CA"/>
              </w:rPr>
            </w:pPr>
            <w:r w:rsidRPr="00F02DF6">
              <w:rPr>
                <w:rFonts w:eastAsia="Calibri"/>
                <w:i/>
                <w:sz w:val="20"/>
                <w:lang w:val="fr-CA"/>
              </w:rPr>
              <w:t>Charte des droits et libertés</w:t>
            </w:r>
            <w:r w:rsidRPr="00F02DF6">
              <w:rPr>
                <w:rFonts w:eastAsia="Calibri"/>
                <w:sz w:val="20"/>
                <w:lang w:val="fr-CA"/>
              </w:rPr>
              <w:t xml:space="preserve"> – Droit criminel – Liberté – Principes de justice fondamentale – Présomption d’innocence – Infractions – Éléments de l’infraction – Négligence criminelle – Le droit en matière de négligence criminelle est-il dans un état de confusion? – Les tribunaux entérinent-ils des interprétations contradictoires de l’analyse juridique qu’il faut faire en matière de négligence criminelle? – La norme appliquée en Colombie-Britannique contrevient-elle à la présomption d’innocence? – Des personnes moralement innocentes seront-elles tenues criminellement responsables même si leur appréciation erronée des faits est raisonnable et honnête?</w:t>
            </w:r>
          </w:p>
        </w:tc>
      </w:tr>
      <w:tr w:rsidR="00F10164" w:rsidRPr="002A1430" w:rsidTr="00C6299D">
        <w:tc>
          <w:tcPr>
            <w:tcW w:w="5000" w:type="pct"/>
            <w:gridSpan w:val="3"/>
          </w:tcPr>
          <w:p w:rsidR="00F10164" w:rsidRPr="00F02DF6" w:rsidRDefault="00F10164" w:rsidP="00C6299D">
            <w:pPr>
              <w:jc w:val="both"/>
              <w:rPr>
                <w:rFonts w:eastAsia="Calibri"/>
                <w:sz w:val="20"/>
                <w:lang w:val="fr-CA"/>
              </w:rPr>
            </w:pPr>
          </w:p>
        </w:tc>
      </w:tr>
      <w:tr w:rsidR="00F10164" w:rsidRPr="002A1430" w:rsidTr="00C6299D">
        <w:tc>
          <w:tcPr>
            <w:tcW w:w="5000" w:type="pct"/>
            <w:gridSpan w:val="3"/>
          </w:tcPr>
          <w:p w:rsidR="00F10164" w:rsidRPr="00F02DF6" w:rsidRDefault="00F10164" w:rsidP="00C6299D">
            <w:pPr>
              <w:jc w:val="both"/>
              <w:rPr>
                <w:rFonts w:eastAsia="Calibri"/>
                <w:sz w:val="20"/>
                <w:lang w:val="fr-CA"/>
              </w:rPr>
            </w:pPr>
            <w:r w:rsidRPr="00F02DF6">
              <w:rPr>
                <w:rFonts w:eastAsia="Calibri"/>
                <w:sz w:val="20"/>
                <w:lang w:val="fr-CA"/>
              </w:rPr>
              <w:t>Monsieur Lilgert était l’officier maître à bord du Queen of the North, un traversier qui s’est échoué au large de Gil Island, puis a coulé.  Deux passagers ont péri.  Monsieur Lilgert a été accusé sous deux chefs de négligence criminelle causant la mort.  Le trajet du traversier l’obligeait à faire un virage dans Wright Sound.  S’appuyant sur l’avis d’un expert qui a interprété les données de navigation enregistrées par le Système électronique de visualisation des cartes marines, l’avocat du ministère public a plaidé que le traversier n’avait pas fait de virage et qu’il avait poursuivi son parcours droit devant à haute vitesse directement vers Gil Island, sans changement de cap.  Dans son témoignage, M. Lilgert a notamment affirmé qu’il avait retardé une manoeuvre de virage, puis fait des changements de cap en réaction aux circonstances qui prévalaient au moment du naufrage, notamment les conditions météorologiques et la présence d’un autre bateau.</w:t>
            </w:r>
          </w:p>
          <w:p w:rsidR="00F10164" w:rsidRPr="00F02DF6" w:rsidRDefault="00F10164" w:rsidP="00C6299D">
            <w:pPr>
              <w:jc w:val="both"/>
              <w:rPr>
                <w:rFonts w:eastAsia="Calibri"/>
                <w:sz w:val="20"/>
                <w:lang w:val="fr-CA"/>
              </w:rPr>
            </w:pPr>
          </w:p>
        </w:tc>
      </w:tr>
      <w:tr w:rsidR="00F10164" w:rsidRPr="002A1430" w:rsidTr="00C6299D">
        <w:trPr>
          <w:trHeight w:val="20"/>
        </w:trPr>
        <w:tc>
          <w:tcPr>
            <w:tcW w:w="2427" w:type="pct"/>
          </w:tcPr>
          <w:p w:rsidR="00F10164" w:rsidRPr="00F02DF6" w:rsidRDefault="00F10164" w:rsidP="00C6299D">
            <w:pPr>
              <w:jc w:val="both"/>
              <w:rPr>
                <w:rFonts w:eastAsia="Calibri"/>
                <w:sz w:val="20"/>
                <w:lang w:val="fr-CA"/>
              </w:rPr>
            </w:pPr>
            <w:r w:rsidRPr="00F02DF6">
              <w:rPr>
                <w:rFonts w:eastAsia="Calibri"/>
                <w:sz w:val="20"/>
                <w:lang w:val="fr-CA"/>
              </w:rPr>
              <w:t>24 juin 2013</w:t>
            </w:r>
          </w:p>
          <w:p w:rsidR="00F10164" w:rsidRPr="00F02DF6" w:rsidRDefault="00F10164" w:rsidP="00C6299D">
            <w:pPr>
              <w:jc w:val="both"/>
              <w:rPr>
                <w:rFonts w:eastAsia="Calibri"/>
                <w:sz w:val="20"/>
                <w:lang w:val="fr-CA"/>
              </w:rPr>
            </w:pPr>
            <w:r w:rsidRPr="00F02DF6">
              <w:rPr>
                <w:rFonts w:eastAsia="Calibri"/>
                <w:sz w:val="20"/>
                <w:lang w:val="fr-CA"/>
              </w:rPr>
              <w:t>Cour suprême de la Colombie-Britannique</w:t>
            </w:r>
          </w:p>
          <w:p w:rsidR="00F10164" w:rsidRPr="00F02DF6" w:rsidRDefault="00F10164" w:rsidP="00C6299D">
            <w:pPr>
              <w:jc w:val="both"/>
              <w:rPr>
                <w:rFonts w:eastAsia="Calibri"/>
                <w:sz w:val="20"/>
                <w:lang w:val="fr-CA"/>
              </w:rPr>
            </w:pPr>
            <w:r w:rsidRPr="00F02DF6">
              <w:rPr>
                <w:rFonts w:eastAsia="Calibri"/>
                <w:sz w:val="20"/>
                <w:lang w:val="fr-CA"/>
              </w:rPr>
              <w:t>(Juge Stromberg-Stein)</w:t>
            </w:r>
          </w:p>
          <w:p w:rsidR="00F10164" w:rsidRPr="00F02DF6" w:rsidRDefault="00F10164" w:rsidP="00C6299D">
            <w:pPr>
              <w:jc w:val="both"/>
              <w:rPr>
                <w:rFonts w:eastAsia="Calibri"/>
                <w:sz w:val="20"/>
                <w:lang w:val="fr-CA"/>
              </w:rPr>
            </w:pPr>
          </w:p>
        </w:tc>
        <w:tc>
          <w:tcPr>
            <w:tcW w:w="243" w:type="pct"/>
          </w:tcPr>
          <w:p w:rsidR="00F10164" w:rsidRPr="00F02DF6" w:rsidRDefault="00F10164" w:rsidP="00C6299D">
            <w:pPr>
              <w:jc w:val="both"/>
              <w:rPr>
                <w:rFonts w:eastAsia="Calibri"/>
                <w:sz w:val="20"/>
                <w:lang w:val="fr-CA"/>
              </w:rPr>
            </w:pPr>
          </w:p>
        </w:tc>
        <w:tc>
          <w:tcPr>
            <w:tcW w:w="2330" w:type="pct"/>
          </w:tcPr>
          <w:p w:rsidR="00F10164" w:rsidRPr="00F02DF6" w:rsidRDefault="00F10164" w:rsidP="00C6299D">
            <w:pPr>
              <w:jc w:val="both"/>
              <w:rPr>
                <w:rFonts w:eastAsia="Calibri"/>
                <w:sz w:val="20"/>
                <w:lang w:val="fr-CA"/>
              </w:rPr>
            </w:pPr>
            <w:r w:rsidRPr="00F02DF6">
              <w:rPr>
                <w:rFonts w:eastAsia="Calibri"/>
                <w:sz w:val="20"/>
                <w:lang w:val="fr-CA"/>
              </w:rPr>
              <w:t>Déclaration de culpabilité par un jury sous deux chefs de négligence criminelle causant la mort</w:t>
            </w:r>
          </w:p>
          <w:p w:rsidR="00F10164" w:rsidRPr="00F02DF6" w:rsidRDefault="00F10164" w:rsidP="00C6299D">
            <w:pPr>
              <w:jc w:val="both"/>
              <w:rPr>
                <w:rFonts w:eastAsia="Calibri"/>
                <w:sz w:val="20"/>
                <w:lang w:val="fr-CA"/>
              </w:rPr>
            </w:pPr>
          </w:p>
        </w:tc>
      </w:tr>
      <w:tr w:rsidR="00F10164" w:rsidRPr="00F02DF6" w:rsidTr="000B0443">
        <w:trPr>
          <w:cantSplit/>
        </w:trPr>
        <w:tc>
          <w:tcPr>
            <w:tcW w:w="2427" w:type="pct"/>
          </w:tcPr>
          <w:p w:rsidR="00F10164" w:rsidRPr="00F02DF6" w:rsidRDefault="00F10164" w:rsidP="00C6299D">
            <w:pPr>
              <w:jc w:val="both"/>
              <w:rPr>
                <w:rFonts w:eastAsia="Calibri"/>
                <w:sz w:val="20"/>
                <w:lang w:val="fr-CA"/>
              </w:rPr>
            </w:pPr>
            <w:r w:rsidRPr="00F02DF6">
              <w:rPr>
                <w:rFonts w:eastAsia="Calibri"/>
                <w:sz w:val="20"/>
                <w:lang w:val="fr-CA"/>
              </w:rPr>
              <w:t>16 décembre 2014</w:t>
            </w:r>
          </w:p>
          <w:p w:rsidR="00F10164" w:rsidRPr="00F02DF6" w:rsidRDefault="00F10164" w:rsidP="00C6299D">
            <w:pPr>
              <w:jc w:val="both"/>
              <w:rPr>
                <w:rFonts w:eastAsia="Calibri"/>
                <w:sz w:val="20"/>
                <w:lang w:val="fr-CA"/>
              </w:rPr>
            </w:pPr>
            <w:r w:rsidRPr="00F02DF6">
              <w:rPr>
                <w:rFonts w:eastAsia="Calibri"/>
                <w:sz w:val="20"/>
                <w:lang w:val="fr-CA"/>
              </w:rPr>
              <w:t>Cour d’appel de la Colombie-Britannique</w:t>
            </w:r>
          </w:p>
          <w:p w:rsidR="00F10164" w:rsidRPr="00F02DF6" w:rsidRDefault="00F10164" w:rsidP="00C6299D">
            <w:pPr>
              <w:jc w:val="both"/>
              <w:rPr>
                <w:rFonts w:eastAsia="Calibri"/>
                <w:sz w:val="20"/>
                <w:lang w:val="fr-CA"/>
              </w:rPr>
            </w:pPr>
            <w:r w:rsidRPr="00F02DF6">
              <w:rPr>
                <w:rFonts w:eastAsia="Calibri"/>
                <w:sz w:val="20"/>
                <w:lang w:val="fr-CA"/>
              </w:rPr>
              <w:t>(Vancouver)</w:t>
            </w:r>
          </w:p>
          <w:p w:rsidR="00F10164" w:rsidRPr="00F02DF6" w:rsidRDefault="00F10164" w:rsidP="00C6299D">
            <w:pPr>
              <w:jc w:val="both"/>
              <w:rPr>
                <w:rFonts w:eastAsia="Calibri"/>
                <w:sz w:val="20"/>
                <w:lang w:val="fr-CA"/>
              </w:rPr>
            </w:pPr>
            <w:r w:rsidRPr="00F02DF6">
              <w:rPr>
                <w:rFonts w:eastAsia="Calibri"/>
                <w:sz w:val="20"/>
                <w:lang w:val="fr-CA"/>
              </w:rPr>
              <w:t>(Juges Donald, Newbury et MacKenzie)</w:t>
            </w:r>
          </w:p>
          <w:p w:rsidR="00F10164" w:rsidRPr="00F02DF6" w:rsidRDefault="00F10164" w:rsidP="00C6299D">
            <w:pPr>
              <w:jc w:val="both"/>
              <w:rPr>
                <w:rFonts w:eastAsia="Calibri"/>
                <w:sz w:val="20"/>
              </w:rPr>
            </w:pPr>
            <w:r w:rsidRPr="00F02DF6">
              <w:rPr>
                <w:rFonts w:eastAsia="Calibri"/>
                <w:sz w:val="20"/>
                <w:lang w:val="fr-CA"/>
              </w:rPr>
              <w:t xml:space="preserve">CA040990; </w:t>
            </w:r>
            <w:hyperlink r:id="rId68" w:history="1">
              <w:r w:rsidRPr="00F02DF6">
                <w:rPr>
                  <w:rFonts w:eastAsia="Calibri"/>
                  <w:color w:val="0000FF"/>
                  <w:sz w:val="20"/>
                  <w:u w:val="single"/>
                  <w:lang w:val="fr-CA"/>
                </w:rPr>
                <w:t>2014 BCCA 493</w:t>
              </w:r>
            </w:hyperlink>
          </w:p>
          <w:p w:rsidR="00F10164" w:rsidRPr="00F02DF6" w:rsidRDefault="00F10164" w:rsidP="00C6299D">
            <w:pPr>
              <w:jc w:val="both"/>
              <w:rPr>
                <w:rFonts w:eastAsia="Calibri"/>
                <w:sz w:val="20"/>
                <w:lang w:val="fr-CA"/>
              </w:rPr>
            </w:pPr>
          </w:p>
        </w:tc>
        <w:tc>
          <w:tcPr>
            <w:tcW w:w="243" w:type="pct"/>
          </w:tcPr>
          <w:p w:rsidR="00F10164" w:rsidRPr="00F02DF6" w:rsidRDefault="00F10164" w:rsidP="00C6299D">
            <w:pPr>
              <w:jc w:val="both"/>
              <w:rPr>
                <w:rFonts w:eastAsia="Calibri"/>
                <w:sz w:val="20"/>
                <w:lang w:val="fr-CA"/>
              </w:rPr>
            </w:pPr>
          </w:p>
        </w:tc>
        <w:tc>
          <w:tcPr>
            <w:tcW w:w="2330" w:type="pct"/>
          </w:tcPr>
          <w:p w:rsidR="00F10164" w:rsidRPr="00F02DF6" w:rsidRDefault="00F10164" w:rsidP="00C6299D">
            <w:pPr>
              <w:jc w:val="both"/>
              <w:rPr>
                <w:rFonts w:eastAsia="Calibri"/>
                <w:sz w:val="20"/>
                <w:lang w:val="fr-CA"/>
              </w:rPr>
            </w:pPr>
            <w:r w:rsidRPr="00F02DF6">
              <w:rPr>
                <w:rFonts w:eastAsia="Calibri"/>
                <w:sz w:val="20"/>
                <w:lang w:val="fr-CA"/>
              </w:rPr>
              <w:t>Rejet de l’appel</w:t>
            </w:r>
          </w:p>
          <w:p w:rsidR="00F10164" w:rsidRPr="00F02DF6" w:rsidRDefault="00F10164" w:rsidP="00C6299D">
            <w:pPr>
              <w:jc w:val="both"/>
              <w:rPr>
                <w:rFonts w:eastAsia="Calibri"/>
                <w:sz w:val="20"/>
                <w:lang w:val="fr-CA"/>
              </w:rPr>
            </w:pPr>
          </w:p>
        </w:tc>
      </w:tr>
      <w:tr w:rsidR="00F10164" w:rsidRPr="002A1430" w:rsidTr="000B0443">
        <w:trPr>
          <w:cantSplit/>
        </w:trPr>
        <w:tc>
          <w:tcPr>
            <w:tcW w:w="2427" w:type="pct"/>
          </w:tcPr>
          <w:p w:rsidR="00F10164" w:rsidRPr="00F02DF6" w:rsidRDefault="00F10164" w:rsidP="00C6299D">
            <w:pPr>
              <w:jc w:val="both"/>
              <w:rPr>
                <w:rFonts w:eastAsia="Calibri"/>
                <w:sz w:val="20"/>
                <w:lang w:val="fr-CA"/>
              </w:rPr>
            </w:pPr>
            <w:r w:rsidRPr="00F02DF6">
              <w:rPr>
                <w:rFonts w:eastAsia="Calibri"/>
                <w:sz w:val="20"/>
                <w:lang w:val="fr-CA"/>
              </w:rPr>
              <w:t>3 février 2015</w:t>
            </w:r>
          </w:p>
          <w:p w:rsidR="00F10164" w:rsidRPr="00F02DF6" w:rsidRDefault="00F10164" w:rsidP="00C6299D">
            <w:pPr>
              <w:jc w:val="both"/>
              <w:rPr>
                <w:rFonts w:eastAsia="Calibri"/>
                <w:sz w:val="20"/>
                <w:lang w:val="fr-CA"/>
              </w:rPr>
            </w:pPr>
            <w:r w:rsidRPr="00F02DF6">
              <w:rPr>
                <w:rFonts w:eastAsia="Calibri"/>
                <w:sz w:val="20"/>
                <w:lang w:val="fr-CA"/>
              </w:rPr>
              <w:t>Cour suprême du Canada</w:t>
            </w:r>
          </w:p>
        </w:tc>
        <w:tc>
          <w:tcPr>
            <w:tcW w:w="243" w:type="pct"/>
          </w:tcPr>
          <w:p w:rsidR="00F10164" w:rsidRPr="00F02DF6" w:rsidRDefault="00F10164" w:rsidP="00C6299D">
            <w:pPr>
              <w:jc w:val="both"/>
              <w:rPr>
                <w:rFonts w:eastAsia="Calibri"/>
                <w:sz w:val="20"/>
                <w:lang w:val="fr-CA"/>
              </w:rPr>
            </w:pPr>
          </w:p>
        </w:tc>
        <w:tc>
          <w:tcPr>
            <w:tcW w:w="2330" w:type="pct"/>
          </w:tcPr>
          <w:p w:rsidR="00F10164" w:rsidRPr="00F02DF6" w:rsidRDefault="00F10164" w:rsidP="00C6299D">
            <w:pPr>
              <w:jc w:val="both"/>
              <w:rPr>
                <w:rFonts w:eastAsia="Calibri"/>
                <w:sz w:val="20"/>
                <w:lang w:val="fr-CA"/>
              </w:rPr>
            </w:pPr>
            <w:r w:rsidRPr="00F02DF6">
              <w:rPr>
                <w:rFonts w:eastAsia="Calibri"/>
                <w:sz w:val="20"/>
                <w:lang w:val="fr-CA"/>
              </w:rPr>
              <w:t>Dépôt de la demande d’autorisation d’appel</w:t>
            </w:r>
          </w:p>
          <w:p w:rsidR="00F10164" w:rsidRPr="00F02DF6" w:rsidRDefault="00F10164" w:rsidP="00C6299D">
            <w:pPr>
              <w:jc w:val="both"/>
              <w:rPr>
                <w:rFonts w:eastAsia="Calibri"/>
                <w:sz w:val="20"/>
                <w:lang w:val="fr-CA"/>
              </w:rPr>
            </w:pPr>
          </w:p>
        </w:tc>
      </w:tr>
    </w:tbl>
    <w:p w:rsidR="00A23156" w:rsidRPr="00F10164" w:rsidRDefault="00A23156" w:rsidP="00A23156">
      <w:pPr>
        <w:rPr>
          <w:sz w:val="20"/>
          <w:szCs w:val="20"/>
          <w:lang w:val="fr-CA"/>
        </w:rPr>
      </w:pPr>
    </w:p>
    <w:p w:rsidR="00A23156" w:rsidRDefault="005B3B50" w:rsidP="00A23156">
      <w:pPr>
        <w:rPr>
          <w:sz w:val="20"/>
          <w:szCs w:val="20"/>
          <w:lang w:val="fr-CA"/>
        </w:rPr>
      </w:pPr>
      <w:r>
        <w:rPr>
          <w:sz w:val="20"/>
          <w:szCs w:val="20"/>
          <w:lang w:val="fr-CA"/>
        </w:rPr>
        <w:pict>
          <v:rect id="_x0000_i1064" style="width:2in;height:1pt" o:hrpct="0" o:hralign="center" o:hrstd="t" o:hrnoshade="t" o:hr="t" fillcolor="black [3213]" stroked="f"/>
        </w:pict>
      </w:r>
    </w:p>
    <w:p w:rsidR="00A23156" w:rsidRDefault="00A23156" w:rsidP="00A23156">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237ED" w:rsidRPr="00715263" w:rsidTr="008237ED">
        <w:trPr>
          <w:cantSplit/>
        </w:trPr>
        <w:tc>
          <w:tcPr>
            <w:tcW w:w="1458" w:type="dxa"/>
          </w:tcPr>
          <w:p w:rsidR="008237ED" w:rsidRPr="00715263" w:rsidRDefault="008237ED" w:rsidP="008237ED">
            <w:pPr>
              <w:rPr>
                <w:sz w:val="20"/>
                <w:szCs w:val="20"/>
              </w:rPr>
            </w:pPr>
            <w:r w:rsidRPr="00715263">
              <w:rPr>
                <w:rStyle w:val="SCCFileNumberChar"/>
                <w:sz w:val="20"/>
                <w:szCs w:val="20"/>
              </w:rPr>
              <w:t>36322</w:t>
            </w:r>
          </w:p>
          <w:p w:rsidR="008237ED" w:rsidRPr="00715263" w:rsidRDefault="008237ED" w:rsidP="008237ED">
            <w:pPr>
              <w:rPr>
                <w:b/>
                <w:sz w:val="20"/>
                <w:szCs w:val="20"/>
                <w:lang w:val="fr-CA"/>
              </w:rPr>
            </w:pPr>
          </w:p>
        </w:tc>
        <w:tc>
          <w:tcPr>
            <w:tcW w:w="8118" w:type="dxa"/>
          </w:tcPr>
          <w:p w:rsidR="008237ED" w:rsidRPr="00715263" w:rsidRDefault="008237ED" w:rsidP="008237ED">
            <w:pPr>
              <w:jc w:val="both"/>
              <w:rPr>
                <w:sz w:val="20"/>
                <w:szCs w:val="20"/>
              </w:rPr>
            </w:pPr>
            <w:r w:rsidRPr="00715263">
              <w:rPr>
                <w:rStyle w:val="SCCLsocChar"/>
                <w:sz w:val="20"/>
                <w:szCs w:val="20"/>
                <w:lang w:val="en-CA"/>
              </w:rPr>
              <w:t>Rajinder Dheensaw v. Saanich Police Department, Chief Constable Michael Chadwick, Vancouver Island Health Authority, Howard Waldner, George Sayad, Kiri Joan Margaret Simms, David Richard Glen, R. Weinerman, MB, CP(C), Malaviarachchi Pushpa, Brent Knowlton Gould</w:t>
            </w:r>
            <w:r w:rsidR="006623D5">
              <w:rPr>
                <w:rStyle w:val="SCCLsocChar"/>
                <w:sz w:val="20"/>
                <w:szCs w:val="20"/>
                <w:lang w:val="en-CA"/>
              </w:rPr>
              <w:t xml:space="preserve"> and</w:t>
            </w:r>
            <w:r w:rsidRPr="00715263">
              <w:rPr>
                <w:rStyle w:val="SCCLsocChar"/>
                <w:sz w:val="20"/>
                <w:szCs w:val="20"/>
                <w:lang w:val="en-CA"/>
              </w:rPr>
              <w:t xml:space="preserve"> DOES 1-50 to be named later</w:t>
            </w:r>
            <w:r w:rsidRPr="00715263">
              <w:rPr>
                <w:sz w:val="20"/>
                <w:szCs w:val="20"/>
              </w:rPr>
              <w:t xml:space="preserve"> (B.C.) (Civil) (By Leave)</w:t>
            </w:r>
          </w:p>
          <w:p w:rsidR="008237ED" w:rsidRPr="00715263" w:rsidRDefault="008237ED" w:rsidP="008237ED">
            <w:pPr>
              <w:jc w:val="both"/>
              <w:rPr>
                <w:sz w:val="20"/>
                <w:szCs w:val="20"/>
              </w:rPr>
            </w:pPr>
          </w:p>
        </w:tc>
      </w:tr>
      <w:tr w:rsidR="008237ED" w:rsidRPr="002A1430" w:rsidTr="008237ED">
        <w:trPr>
          <w:cantSplit/>
        </w:trPr>
        <w:tc>
          <w:tcPr>
            <w:tcW w:w="1458" w:type="dxa"/>
          </w:tcPr>
          <w:p w:rsidR="008237ED" w:rsidRPr="00715263" w:rsidRDefault="008237ED" w:rsidP="008237ED">
            <w:pPr>
              <w:rPr>
                <w:sz w:val="20"/>
                <w:szCs w:val="20"/>
              </w:rPr>
            </w:pPr>
            <w:r w:rsidRPr="00715263">
              <w:rPr>
                <w:sz w:val="20"/>
                <w:szCs w:val="20"/>
              </w:rPr>
              <w:t>Coram :</w:t>
            </w:r>
          </w:p>
        </w:tc>
        <w:tc>
          <w:tcPr>
            <w:tcW w:w="8118" w:type="dxa"/>
          </w:tcPr>
          <w:p w:rsidR="008237ED" w:rsidRPr="00715263" w:rsidRDefault="008237ED" w:rsidP="008237ED">
            <w:pPr>
              <w:rPr>
                <w:sz w:val="20"/>
                <w:szCs w:val="20"/>
                <w:lang w:val="fr-CA"/>
              </w:rPr>
            </w:pPr>
            <w:r w:rsidRPr="00715263">
              <w:rPr>
                <w:rStyle w:val="SCCCoramChar"/>
                <w:sz w:val="20"/>
                <w:szCs w:val="20"/>
              </w:rPr>
              <w:t>Abella, Karakatsanis and Côté JJ.</w:t>
            </w:r>
          </w:p>
          <w:p w:rsidR="008237ED" w:rsidRPr="00715263" w:rsidRDefault="008237ED" w:rsidP="008237ED">
            <w:pPr>
              <w:rPr>
                <w:sz w:val="20"/>
                <w:szCs w:val="20"/>
                <w:u w:val="single"/>
                <w:lang w:val="fr-CA"/>
              </w:rPr>
            </w:pPr>
          </w:p>
        </w:tc>
      </w:tr>
      <w:tr w:rsidR="008237ED" w:rsidRPr="002A1430" w:rsidTr="008237ED">
        <w:trPr>
          <w:cantSplit/>
        </w:trPr>
        <w:tc>
          <w:tcPr>
            <w:tcW w:w="9576" w:type="dxa"/>
            <w:gridSpan w:val="2"/>
          </w:tcPr>
          <w:p w:rsidR="008237ED" w:rsidRPr="00715263" w:rsidRDefault="008237ED" w:rsidP="008237ED">
            <w:pPr>
              <w:pStyle w:val="SCCShortJudgment"/>
              <w:rPr>
                <w:szCs w:val="20"/>
              </w:rPr>
            </w:pPr>
            <w:r w:rsidRPr="00715263">
              <w:rPr>
                <w:szCs w:val="20"/>
              </w:rPr>
              <w:t>The motion for an extension of time to serve and file the application for leave to appeal is granted. The application for leave to appeal from the judgment of the Court of Appeal for British Columbia (Vancouver), Number CA041516, 2014 BCCA 447, dated November 20, 2014, is dismissed with costs to respondents, Saanich Police Department and Chief Constable Michael Chadwick.</w:t>
            </w:r>
          </w:p>
          <w:p w:rsidR="008237ED" w:rsidRPr="00715263" w:rsidRDefault="008237ED" w:rsidP="008237ED">
            <w:pPr>
              <w:pStyle w:val="SCCShortJudgment"/>
              <w:ind w:firstLine="0"/>
              <w:rPr>
                <w:szCs w:val="20"/>
              </w:rPr>
            </w:pPr>
          </w:p>
          <w:p w:rsidR="008237ED" w:rsidRPr="00715263" w:rsidRDefault="008237ED" w:rsidP="008237ED">
            <w:pPr>
              <w:pStyle w:val="SCCShortJudgment"/>
              <w:rPr>
                <w:szCs w:val="20"/>
                <w:lang w:val="fr-CA"/>
              </w:rPr>
            </w:pPr>
            <w:r w:rsidRPr="00715263">
              <w:rPr>
                <w:szCs w:val="20"/>
                <w:lang w:val="fr-CA"/>
              </w:rPr>
              <w:t>La requête en prorogation du délai de signification et de dépôt de la demande d’autorisation d’appel est accueillie. La demande d’autorisation d’appel de l’arrêt de la Cour d’appel de la Colombie-Britannique (Vancouver), numéro CA041516, 2014 BCCA 447, daté du 20 novembre 2014, est rejetée avec dépens en faveur des intimés Saanich police Department et chef de police Michael Chadwick.</w:t>
            </w:r>
          </w:p>
        </w:tc>
      </w:tr>
    </w:tbl>
    <w:p w:rsidR="00A23156" w:rsidRPr="008237ED" w:rsidRDefault="00A23156" w:rsidP="00A23156">
      <w:pPr>
        <w:rPr>
          <w:sz w:val="20"/>
          <w:szCs w:val="20"/>
          <w:lang w:val="fr-CA"/>
        </w:rPr>
      </w:pPr>
    </w:p>
    <w:p w:rsidR="00A23156" w:rsidRPr="001B157C" w:rsidRDefault="00A23156" w:rsidP="00A23156">
      <w:pPr>
        <w:rPr>
          <w:sz w:val="20"/>
          <w:szCs w:val="20"/>
          <w:u w:val="single"/>
        </w:rPr>
      </w:pPr>
      <w:r w:rsidRPr="001B157C">
        <w:rPr>
          <w:sz w:val="20"/>
          <w:szCs w:val="20"/>
          <w:u w:val="single"/>
        </w:rPr>
        <w:t>CASE SUMMARY</w:t>
      </w:r>
    </w:p>
    <w:p w:rsidR="00A23156" w:rsidRDefault="00A23156" w:rsidP="00A2315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10164" w:rsidRPr="00F02DF6" w:rsidTr="00C6299D">
        <w:tc>
          <w:tcPr>
            <w:tcW w:w="5000" w:type="pct"/>
            <w:gridSpan w:val="3"/>
          </w:tcPr>
          <w:p w:rsidR="00F10164" w:rsidRPr="00F02DF6" w:rsidRDefault="00F10164" w:rsidP="00C6299D">
            <w:pPr>
              <w:jc w:val="both"/>
              <w:rPr>
                <w:rFonts w:eastAsia="Calibri"/>
                <w:sz w:val="20"/>
              </w:rPr>
            </w:pPr>
            <w:r w:rsidRPr="00F02DF6">
              <w:rPr>
                <w:rFonts w:eastAsia="Calibri"/>
                <w:i/>
                <w:sz w:val="20"/>
              </w:rPr>
              <w:t>Charter of rights</w:t>
            </w:r>
            <w:r w:rsidRPr="00F02DF6">
              <w:rPr>
                <w:rFonts w:eastAsia="Calibri"/>
                <w:sz w:val="20"/>
              </w:rPr>
              <w:t xml:space="preserve"> – Limitations – Adjournments – Whether the British Columbia Court erred in dismissing an appeal of the decision based on the limitation period having expired by 11 days when all the elements were not provided – Whether the British Columbia Court of Appeal erred in dismissing an appeal of a decision when the Applicant advised that she could not attend the summary application hearing due to illness – Whether the British Columbia Court of Appeal erred in dismissing an appeal when the summary trial was not an appropriate mechanism for resolution of the civil claim.</w:t>
            </w:r>
          </w:p>
        </w:tc>
      </w:tr>
      <w:tr w:rsidR="00F10164" w:rsidRPr="00F02DF6" w:rsidTr="00C6299D">
        <w:tc>
          <w:tcPr>
            <w:tcW w:w="5000" w:type="pct"/>
            <w:gridSpan w:val="3"/>
          </w:tcPr>
          <w:p w:rsidR="00F10164" w:rsidRPr="00F02DF6" w:rsidRDefault="00F10164" w:rsidP="00C6299D">
            <w:pPr>
              <w:jc w:val="both"/>
              <w:rPr>
                <w:rFonts w:eastAsia="Calibri"/>
                <w:sz w:val="20"/>
              </w:rPr>
            </w:pPr>
          </w:p>
        </w:tc>
      </w:tr>
      <w:tr w:rsidR="00F10164" w:rsidRPr="00F02DF6" w:rsidTr="00C6299D">
        <w:tc>
          <w:tcPr>
            <w:tcW w:w="5000" w:type="pct"/>
            <w:gridSpan w:val="3"/>
          </w:tcPr>
          <w:p w:rsidR="00F10164" w:rsidRPr="00F02DF6" w:rsidRDefault="00F10164" w:rsidP="00C6299D">
            <w:pPr>
              <w:jc w:val="both"/>
              <w:rPr>
                <w:rFonts w:eastAsia="Calibri"/>
                <w:sz w:val="20"/>
              </w:rPr>
            </w:pPr>
            <w:r w:rsidRPr="00F02DF6">
              <w:rPr>
                <w:rFonts w:eastAsia="Calibri"/>
                <w:sz w:val="20"/>
              </w:rPr>
              <w:t xml:space="preserve">Ms. Dheensaw commenced an action against a number of defendants arising from a series of events that took place between January 27 and February 17, 2009.  The trial judge noted that during that time, Ms. Dheensaw was suffering from mental health issues.  She was certified under the </w:t>
            </w:r>
            <w:r w:rsidRPr="00F02DF6">
              <w:rPr>
                <w:rFonts w:eastAsia="Calibri"/>
                <w:i/>
                <w:sz w:val="20"/>
              </w:rPr>
              <w:t>Mental Health Act</w:t>
            </w:r>
            <w:r w:rsidRPr="00F02DF6">
              <w:rPr>
                <w:rFonts w:eastAsia="Calibri"/>
                <w:sz w:val="20"/>
              </w:rPr>
              <w:t xml:space="preserve"> and involuntarily hospitalized from February 2, 2009 to February 17, 2009.  In her Notice of Civil Claim, which was filed on February 28, 2011, Ms. Dheensaw sought damages and other relief on a variety of grounds, including: intimidation; violation of the </w:t>
            </w:r>
            <w:r w:rsidRPr="00F02DF6">
              <w:rPr>
                <w:rFonts w:eastAsia="Calibri"/>
                <w:i/>
                <w:sz w:val="20"/>
              </w:rPr>
              <w:t>Canadian Human Rights Act</w:t>
            </w:r>
            <w:r w:rsidRPr="00F02DF6">
              <w:rPr>
                <w:rFonts w:eastAsia="Calibri"/>
                <w:sz w:val="20"/>
              </w:rPr>
              <w:t xml:space="preserve">; violation of the </w:t>
            </w:r>
            <w:r w:rsidRPr="00F02DF6">
              <w:rPr>
                <w:rFonts w:eastAsia="Calibri"/>
                <w:i/>
                <w:sz w:val="20"/>
              </w:rPr>
              <w:t>Charter</w:t>
            </w:r>
            <w:r w:rsidRPr="00F02DF6">
              <w:rPr>
                <w:rFonts w:eastAsia="Calibri"/>
                <w:sz w:val="20"/>
              </w:rPr>
              <w:t>; trespass; assault and battery; medical malpractice; false imprisonment; intentional infliction of emotional distress; and violation of privacy.  The Respondents brought summary trial applications and made a number of arguments, including that the action was statute-barred.  After numerous adjournments and orders that the dates were peremptory on Ms. Dheensaw, her claim was dismissed.  Ms. Dheensaw filed an appeal, but failed to file her appeal record in time.  She was granted one extension but failed to file her appeal book and factum in time.  The subsequent application for an extension of time was denied by a single justice of the Court of Appeal.  Her application to vary the order denying the extension of time was also dismissed.</w:t>
            </w:r>
          </w:p>
          <w:p w:rsidR="00F10164" w:rsidRPr="00F02DF6" w:rsidRDefault="00F10164" w:rsidP="00C6299D">
            <w:pPr>
              <w:jc w:val="both"/>
              <w:rPr>
                <w:rFonts w:eastAsia="Calibri"/>
                <w:sz w:val="20"/>
              </w:rPr>
            </w:pPr>
          </w:p>
        </w:tc>
      </w:tr>
      <w:tr w:rsidR="00F10164" w:rsidRPr="00F02DF6" w:rsidTr="00C6299D">
        <w:tc>
          <w:tcPr>
            <w:tcW w:w="2427" w:type="pct"/>
          </w:tcPr>
          <w:p w:rsidR="00F10164" w:rsidRPr="00F02DF6" w:rsidRDefault="00F10164" w:rsidP="00C6299D">
            <w:pPr>
              <w:jc w:val="both"/>
              <w:rPr>
                <w:rFonts w:eastAsia="Calibri"/>
                <w:sz w:val="20"/>
              </w:rPr>
            </w:pPr>
            <w:r w:rsidRPr="00F02DF6">
              <w:rPr>
                <w:rFonts w:eastAsia="Calibri"/>
                <w:sz w:val="20"/>
              </w:rPr>
              <w:t>December 19, 2013</w:t>
            </w:r>
          </w:p>
          <w:p w:rsidR="00F10164" w:rsidRPr="00F02DF6" w:rsidRDefault="00F10164" w:rsidP="00C6299D">
            <w:pPr>
              <w:jc w:val="both"/>
              <w:rPr>
                <w:rFonts w:eastAsia="Calibri"/>
                <w:sz w:val="20"/>
              </w:rPr>
            </w:pPr>
            <w:r w:rsidRPr="00F02DF6">
              <w:rPr>
                <w:rFonts w:eastAsia="Calibri"/>
                <w:sz w:val="20"/>
              </w:rPr>
              <w:t>Supreme Court of British Columbia</w:t>
            </w:r>
          </w:p>
          <w:p w:rsidR="00F10164" w:rsidRPr="00F02DF6" w:rsidRDefault="00F10164" w:rsidP="00C6299D">
            <w:pPr>
              <w:jc w:val="both"/>
              <w:rPr>
                <w:rFonts w:eastAsia="Calibri"/>
                <w:sz w:val="20"/>
              </w:rPr>
            </w:pPr>
            <w:r w:rsidRPr="00F02DF6">
              <w:rPr>
                <w:rFonts w:eastAsia="Calibri"/>
                <w:sz w:val="20"/>
              </w:rPr>
              <w:t>(Adair J.)</w:t>
            </w:r>
          </w:p>
          <w:p w:rsidR="00F10164" w:rsidRPr="00F02DF6" w:rsidRDefault="00F10164" w:rsidP="00C6299D">
            <w:pPr>
              <w:jc w:val="both"/>
              <w:rPr>
                <w:rFonts w:eastAsia="Calibri"/>
                <w:sz w:val="20"/>
              </w:rPr>
            </w:pPr>
          </w:p>
        </w:tc>
        <w:tc>
          <w:tcPr>
            <w:tcW w:w="243" w:type="pct"/>
          </w:tcPr>
          <w:p w:rsidR="00F10164" w:rsidRPr="00F02DF6" w:rsidRDefault="00F10164" w:rsidP="00C6299D">
            <w:pPr>
              <w:jc w:val="both"/>
              <w:rPr>
                <w:rFonts w:eastAsia="Calibri"/>
                <w:sz w:val="20"/>
              </w:rPr>
            </w:pPr>
          </w:p>
        </w:tc>
        <w:tc>
          <w:tcPr>
            <w:tcW w:w="2330" w:type="pct"/>
          </w:tcPr>
          <w:p w:rsidR="00F10164" w:rsidRPr="00F02DF6" w:rsidRDefault="00F10164" w:rsidP="00C6299D">
            <w:pPr>
              <w:jc w:val="both"/>
              <w:rPr>
                <w:rFonts w:eastAsia="Calibri"/>
                <w:sz w:val="20"/>
              </w:rPr>
            </w:pPr>
            <w:r w:rsidRPr="00F02DF6">
              <w:rPr>
                <w:rFonts w:eastAsia="Calibri"/>
                <w:sz w:val="20"/>
              </w:rPr>
              <w:t>Applicant’s action dismissed</w:t>
            </w:r>
          </w:p>
          <w:p w:rsidR="00F10164" w:rsidRPr="00F02DF6" w:rsidRDefault="00F10164" w:rsidP="00C6299D">
            <w:pPr>
              <w:jc w:val="both"/>
              <w:rPr>
                <w:rFonts w:eastAsia="Calibri"/>
                <w:sz w:val="20"/>
              </w:rPr>
            </w:pPr>
          </w:p>
        </w:tc>
      </w:tr>
      <w:tr w:rsidR="00F10164" w:rsidRPr="00F02DF6" w:rsidTr="00C6299D">
        <w:tc>
          <w:tcPr>
            <w:tcW w:w="2427" w:type="pct"/>
          </w:tcPr>
          <w:p w:rsidR="00F10164" w:rsidRPr="00F02DF6" w:rsidRDefault="00F10164" w:rsidP="00C6299D">
            <w:pPr>
              <w:jc w:val="both"/>
              <w:rPr>
                <w:rFonts w:eastAsia="Calibri"/>
                <w:sz w:val="20"/>
              </w:rPr>
            </w:pPr>
            <w:r w:rsidRPr="00F02DF6">
              <w:rPr>
                <w:rFonts w:eastAsia="Calibri"/>
                <w:sz w:val="20"/>
              </w:rPr>
              <w:t>November 20, 2014</w:t>
            </w:r>
          </w:p>
          <w:p w:rsidR="00F10164" w:rsidRPr="00F02DF6" w:rsidRDefault="00F10164" w:rsidP="00C6299D">
            <w:pPr>
              <w:jc w:val="both"/>
              <w:rPr>
                <w:rFonts w:eastAsia="Calibri"/>
                <w:sz w:val="20"/>
              </w:rPr>
            </w:pPr>
            <w:r w:rsidRPr="00F02DF6">
              <w:rPr>
                <w:rFonts w:eastAsia="Calibri"/>
                <w:sz w:val="20"/>
              </w:rPr>
              <w:t>Court of Appeal for British Columbia</w:t>
            </w:r>
          </w:p>
          <w:p w:rsidR="00F10164" w:rsidRPr="00F02DF6" w:rsidRDefault="00F10164" w:rsidP="00C6299D">
            <w:pPr>
              <w:jc w:val="both"/>
              <w:rPr>
                <w:rFonts w:eastAsia="Calibri"/>
                <w:sz w:val="20"/>
              </w:rPr>
            </w:pPr>
            <w:r w:rsidRPr="00F02DF6">
              <w:rPr>
                <w:rFonts w:eastAsia="Calibri"/>
                <w:sz w:val="20"/>
              </w:rPr>
              <w:t>(Victoria)</w:t>
            </w:r>
          </w:p>
          <w:p w:rsidR="00F10164" w:rsidRPr="00F02DF6" w:rsidRDefault="00F10164" w:rsidP="00C6299D">
            <w:pPr>
              <w:jc w:val="both"/>
              <w:rPr>
                <w:rFonts w:eastAsia="Calibri"/>
                <w:sz w:val="20"/>
              </w:rPr>
            </w:pPr>
            <w:r w:rsidRPr="00F02DF6">
              <w:rPr>
                <w:rFonts w:eastAsia="Calibri"/>
                <w:sz w:val="20"/>
              </w:rPr>
              <w:t>(Saunders, Neilson and Groberman JJ.A.)</w:t>
            </w:r>
          </w:p>
          <w:p w:rsidR="00F10164" w:rsidRPr="00F02DF6" w:rsidRDefault="00F10164" w:rsidP="00C6299D">
            <w:pPr>
              <w:jc w:val="both"/>
              <w:rPr>
                <w:rFonts w:eastAsia="Calibri"/>
                <w:sz w:val="20"/>
              </w:rPr>
            </w:pPr>
            <w:r w:rsidRPr="00F02DF6">
              <w:rPr>
                <w:rFonts w:eastAsia="Calibri"/>
                <w:sz w:val="20"/>
              </w:rPr>
              <w:t>2014 BCCA 447; CA041516</w:t>
            </w:r>
          </w:p>
          <w:p w:rsidR="00F10164" w:rsidRPr="00F02DF6" w:rsidRDefault="005B3B50" w:rsidP="00C6299D">
            <w:pPr>
              <w:jc w:val="both"/>
              <w:rPr>
                <w:rFonts w:eastAsia="Calibri"/>
                <w:sz w:val="20"/>
              </w:rPr>
            </w:pPr>
            <w:hyperlink r:id="rId69" w:history="1">
              <w:r w:rsidR="00F10164" w:rsidRPr="00F02DF6">
                <w:rPr>
                  <w:rFonts w:eastAsia="Calibri"/>
                  <w:color w:val="0000FF"/>
                  <w:sz w:val="20"/>
                  <w:u w:val="single"/>
                </w:rPr>
                <w:t>http://canlii.ca/t/gfbjg</w:t>
              </w:r>
            </w:hyperlink>
          </w:p>
          <w:p w:rsidR="00F10164" w:rsidRPr="00F02DF6" w:rsidRDefault="00F10164" w:rsidP="00C6299D">
            <w:pPr>
              <w:jc w:val="both"/>
              <w:rPr>
                <w:rFonts w:eastAsia="Calibri"/>
                <w:sz w:val="20"/>
              </w:rPr>
            </w:pPr>
          </w:p>
        </w:tc>
        <w:tc>
          <w:tcPr>
            <w:tcW w:w="243" w:type="pct"/>
          </w:tcPr>
          <w:p w:rsidR="00F10164" w:rsidRPr="00F02DF6" w:rsidRDefault="00F10164" w:rsidP="00C6299D">
            <w:pPr>
              <w:jc w:val="both"/>
              <w:rPr>
                <w:rFonts w:eastAsia="Calibri"/>
                <w:sz w:val="20"/>
              </w:rPr>
            </w:pPr>
          </w:p>
        </w:tc>
        <w:tc>
          <w:tcPr>
            <w:tcW w:w="2330" w:type="pct"/>
          </w:tcPr>
          <w:p w:rsidR="00F10164" w:rsidRPr="00F02DF6" w:rsidRDefault="00F10164" w:rsidP="00C6299D">
            <w:pPr>
              <w:jc w:val="both"/>
              <w:rPr>
                <w:rFonts w:eastAsia="Calibri"/>
                <w:sz w:val="20"/>
              </w:rPr>
            </w:pPr>
            <w:r w:rsidRPr="00F02DF6">
              <w:rPr>
                <w:rFonts w:eastAsia="Calibri"/>
                <w:sz w:val="20"/>
              </w:rPr>
              <w:t>Application to vary dismissed</w:t>
            </w:r>
          </w:p>
          <w:p w:rsidR="00F10164" w:rsidRPr="00F02DF6" w:rsidRDefault="00F10164" w:rsidP="00C6299D">
            <w:pPr>
              <w:jc w:val="both"/>
              <w:rPr>
                <w:rFonts w:eastAsia="Calibri"/>
                <w:sz w:val="20"/>
              </w:rPr>
            </w:pPr>
          </w:p>
        </w:tc>
      </w:tr>
      <w:tr w:rsidR="00F10164" w:rsidRPr="00F02DF6" w:rsidTr="00C6299D">
        <w:tc>
          <w:tcPr>
            <w:tcW w:w="2427" w:type="pct"/>
          </w:tcPr>
          <w:p w:rsidR="00F10164" w:rsidRPr="00F02DF6" w:rsidRDefault="00F10164" w:rsidP="00C6299D">
            <w:pPr>
              <w:jc w:val="both"/>
              <w:rPr>
                <w:rFonts w:eastAsia="Calibri"/>
                <w:sz w:val="20"/>
              </w:rPr>
            </w:pPr>
            <w:r w:rsidRPr="00F02DF6">
              <w:rPr>
                <w:rFonts w:eastAsia="Calibri"/>
                <w:sz w:val="20"/>
              </w:rPr>
              <w:t>January 21, 2015</w:t>
            </w:r>
          </w:p>
          <w:p w:rsidR="00F10164" w:rsidRPr="00F02DF6" w:rsidRDefault="00F10164" w:rsidP="00C6299D">
            <w:pPr>
              <w:jc w:val="both"/>
              <w:rPr>
                <w:rFonts w:eastAsia="Calibri"/>
                <w:sz w:val="20"/>
              </w:rPr>
            </w:pPr>
            <w:r w:rsidRPr="00F02DF6">
              <w:rPr>
                <w:rFonts w:eastAsia="Calibri"/>
                <w:sz w:val="20"/>
              </w:rPr>
              <w:t>Supreme Court of Canada</w:t>
            </w:r>
          </w:p>
          <w:p w:rsidR="00F10164" w:rsidRPr="00F02DF6" w:rsidRDefault="00F10164" w:rsidP="00C6299D">
            <w:pPr>
              <w:jc w:val="both"/>
              <w:rPr>
                <w:rFonts w:eastAsia="Calibri"/>
                <w:sz w:val="20"/>
              </w:rPr>
            </w:pPr>
          </w:p>
        </w:tc>
        <w:tc>
          <w:tcPr>
            <w:tcW w:w="243" w:type="pct"/>
          </w:tcPr>
          <w:p w:rsidR="00F10164" w:rsidRPr="00F02DF6" w:rsidRDefault="00F10164" w:rsidP="00C6299D">
            <w:pPr>
              <w:jc w:val="both"/>
              <w:rPr>
                <w:rFonts w:eastAsia="Calibri"/>
                <w:sz w:val="20"/>
              </w:rPr>
            </w:pPr>
          </w:p>
        </w:tc>
        <w:tc>
          <w:tcPr>
            <w:tcW w:w="2330" w:type="pct"/>
          </w:tcPr>
          <w:p w:rsidR="00F10164" w:rsidRPr="00F02DF6" w:rsidRDefault="00F10164" w:rsidP="00C6299D">
            <w:pPr>
              <w:jc w:val="both"/>
              <w:rPr>
                <w:rFonts w:eastAsia="Calibri"/>
                <w:sz w:val="20"/>
              </w:rPr>
            </w:pPr>
            <w:r w:rsidRPr="00F02DF6">
              <w:rPr>
                <w:rFonts w:eastAsia="Calibri"/>
                <w:sz w:val="20"/>
              </w:rPr>
              <w:t>Application for leave to appeal filed</w:t>
            </w:r>
          </w:p>
          <w:p w:rsidR="00F10164" w:rsidRPr="00F02DF6" w:rsidRDefault="00F10164" w:rsidP="00C6299D">
            <w:pPr>
              <w:jc w:val="both"/>
              <w:rPr>
                <w:rFonts w:eastAsia="Calibri"/>
                <w:sz w:val="20"/>
              </w:rPr>
            </w:pPr>
          </w:p>
        </w:tc>
      </w:tr>
      <w:tr w:rsidR="00F10164" w:rsidRPr="00F02DF6" w:rsidTr="00C6299D">
        <w:tc>
          <w:tcPr>
            <w:tcW w:w="2427" w:type="pct"/>
          </w:tcPr>
          <w:p w:rsidR="00F10164" w:rsidRPr="00F02DF6" w:rsidRDefault="00F10164" w:rsidP="00C6299D">
            <w:pPr>
              <w:jc w:val="both"/>
              <w:rPr>
                <w:rFonts w:eastAsia="Calibri"/>
                <w:sz w:val="20"/>
              </w:rPr>
            </w:pPr>
            <w:r w:rsidRPr="00F02DF6">
              <w:rPr>
                <w:rFonts w:eastAsia="Calibri"/>
                <w:sz w:val="20"/>
              </w:rPr>
              <w:t>February 24, 2015</w:t>
            </w:r>
          </w:p>
          <w:p w:rsidR="00F10164" w:rsidRPr="00F02DF6" w:rsidRDefault="00F10164" w:rsidP="00C6299D">
            <w:pPr>
              <w:jc w:val="both"/>
              <w:rPr>
                <w:rFonts w:eastAsia="Calibri"/>
                <w:sz w:val="20"/>
              </w:rPr>
            </w:pPr>
            <w:r w:rsidRPr="00F02DF6">
              <w:rPr>
                <w:rFonts w:eastAsia="Calibri"/>
                <w:sz w:val="20"/>
              </w:rPr>
              <w:t>Supreme Court of Canada</w:t>
            </w:r>
          </w:p>
        </w:tc>
        <w:tc>
          <w:tcPr>
            <w:tcW w:w="243" w:type="pct"/>
          </w:tcPr>
          <w:p w:rsidR="00F10164" w:rsidRPr="00F02DF6" w:rsidRDefault="00F10164" w:rsidP="00C6299D">
            <w:pPr>
              <w:jc w:val="both"/>
              <w:rPr>
                <w:rFonts w:eastAsia="Calibri"/>
                <w:sz w:val="20"/>
              </w:rPr>
            </w:pPr>
          </w:p>
        </w:tc>
        <w:tc>
          <w:tcPr>
            <w:tcW w:w="2330" w:type="pct"/>
          </w:tcPr>
          <w:p w:rsidR="00F10164" w:rsidRPr="00F02DF6" w:rsidRDefault="00F10164" w:rsidP="00C6299D">
            <w:pPr>
              <w:jc w:val="both"/>
              <w:rPr>
                <w:rFonts w:eastAsia="Calibri"/>
                <w:sz w:val="20"/>
              </w:rPr>
            </w:pPr>
            <w:r w:rsidRPr="00F02DF6">
              <w:rPr>
                <w:rFonts w:eastAsia="Calibri"/>
                <w:sz w:val="20"/>
              </w:rPr>
              <w:t>Motion for extension of time to serve and file application for leave to appeal filed</w:t>
            </w:r>
          </w:p>
        </w:tc>
      </w:tr>
    </w:tbl>
    <w:p w:rsidR="00A23156" w:rsidRDefault="00A23156" w:rsidP="00A23156">
      <w:pPr>
        <w:rPr>
          <w:sz w:val="20"/>
          <w:szCs w:val="20"/>
        </w:rPr>
      </w:pPr>
    </w:p>
    <w:p w:rsidR="00A23156" w:rsidRPr="00C50A5C" w:rsidRDefault="005B3B50" w:rsidP="00A23156">
      <w:pPr>
        <w:rPr>
          <w:sz w:val="20"/>
          <w:szCs w:val="20"/>
        </w:rPr>
      </w:pPr>
      <w:r>
        <w:rPr>
          <w:sz w:val="20"/>
          <w:szCs w:val="20"/>
          <w:lang w:val="fr-CA"/>
        </w:rPr>
        <w:pict>
          <v:rect id="_x0000_i1065" style="width:2in;height:1pt" o:hrpct="0" o:hralign="center" o:hrstd="t" o:hrnoshade="t" o:hr="t" fillcolor="black [3213]" stroked="f"/>
        </w:pict>
      </w:r>
    </w:p>
    <w:p w:rsidR="00A23156" w:rsidRDefault="00A23156" w:rsidP="00A23156">
      <w:pPr>
        <w:rPr>
          <w:sz w:val="20"/>
          <w:szCs w:val="20"/>
        </w:rPr>
      </w:pPr>
    </w:p>
    <w:p w:rsidR="00A23156" w:rsidRPr="001B157C" w:rsidRDefault="00A23156" w:rsidP="00A23156">
      <w:pPr>
        <w:rPr>
          <w:sz w:val="20"/>
          <w:szCs w:val="20"/>
          <w:u w:val="single"/>
          <w:lang w:val="fr-CA"/>
        </w:rPr>
      </w:pPr>
      <w:r w:rsidRPr="001B157C">
        <w:rPr>
          <w:sz w:val="20"/>
          <w:szCs w:val="20"/>
          <w:u w:val="single"/>
          <w:lang w:val="fr-CA"/>
        </w:rPr>
        <w:t>RÉSUMÉ DE L’AFFAIRE</w:t>
      </w:r>
    </w:p>
    <w:p w:rsidR="00A23156" w:rsidRDefault="00A23156" w:rsidP="00A2315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10164" w:rsidRPr="002A1430" w:rsidTr="00C6299D">
        <w:tc>
          <w:tcPr>
            <w:tcW w:w="5000" w:type="pct"/>
            <w:gridSpan w:val="3"/>
          </w:tcPr>
          <w:p w:rsidR="00F10164" w:rsidRPr="00F02DF6" w:rsidRDefault="00F10164" w:rsidP="00C6299D">
            <w:pPr>
              <w:jc w:val="both"/>
              <w:rPr>
                <w:rFonts w:eastAsia="Calibri"/>
                <w:sz w:val="20"/>
                <w:lang w:val="fr-CA"/>
              </w:rPr>
            </w:pPr>
            <w:r w:rsidRPr="00F02DF6">
              <w:rPr>
                <w:rFonts w:eastAsia="Calibri"/>
                <w:i/>
                <w:sz w:val="20"/>
                <w:lang w:val="fr-CA"/>
              </w:rPr>
              <w:t>Charte des droits</w:t>
            </w:r>
            <w:r w:rsidRPr="00F02DF6">
              <w:rPr>
                <w:rFonts w:eastAsia="Calibri"/>
                <w:sz w:val="20"/>
                <w:lang w:val="fr-CA"/>
              </w:rPr>
              <w:t xml:space="preserve"> – Prescription – Ajournements – La Cour d’appel de la Colombie-Britannique a-t-elle eu tort de rejeter l’appel de la décision au motif que le délai de prescription avait expiré onze jours auparavant alors que tous les éléments n’avaient pas été fournis? – La Cour d’appel de la Colombie-Britannique a-t-elle eu tort de rejeter l’appel d’une décision alors que la demanderesse lui avait fait savoir qu’elle ne pouvait pas assister à l’instruction de la demande sommaire pour cause de maladie? – La Cour d’appel de la Colombie-Britannique a-t-elle eu tort de rejeter l’appel alors que le procès sommaire n’était pas un mécanisme approprié pour le règlement d’une demande au civil?</w:t>
            </w:r>
          </w:p>
        </w:tc>
      </w:tr>
      <w:tr w:rsidR="00F10164" w:rsidRPr="002A1430" w:rsidTr="00C6299D">
        <w:tc>
          <w:tcPr>
            <w:tcW w:w="5000" w:type="pct"/>
            <w:gridSpan w:val="3"/>
          </w:tcPr>
          <w:p w:rsidR="00F10164" w:rsidRPr="00F02DF6" w:rsidRDefault="00F10164" w:rsidP="00C6299D">
            <w:pPr>
              <w:jc w:val="both"/>
              <w:rPr>
                <w:rFonts w:eastAsia="Calibri"/>
                <w:sz w:val="20"/>
                <w:lang w:val="fr-CA"/>
              </w:rPr>
            </w:pPr>
          </w:p>
        </w:tc>
      </w:tr>
      <w:tr w:rsidR="00F10164" w:rsidRPr="002A1430" w:rsidTr="00C6299D">
        <w:tc>
          <w:tcPr>
            <w:tcW w:w="5000" w:type="pct"/>
            <w:gridSpan w:val="3"/>
          </w:tcPr>
          <w:p w:rsidR="00F10164" w:rsidRPr="00F02DF6" w:rsidRDefault="00F10164" w:rsidP="00C6299D">
            <w:pPr>
              <w:jc w:val="both"/>
              <w:rPr>
                <w:rFonts w:eastAsia="Calibri"/>
                <w:sz w:val="20"/>
                <w:lang w:val="fr-CA"/>
              </w:rPr>
            </w:pPr>
            <w:r w:rsidRPr="00F02DF6">
              <w:rPr>
                <w:rFonts w:eastAsia="Calibri"/>
                <w:sz w:val="20"/>
                <w:lang w:val="fr-CA"/>
              </w:rPr>
              <w:t xml:space="preserve">Madame Dheensaw a intenté une action contre un certain nombre de défendeurs découlant d’une série d’événements qui se sont produits entre le 27 janvier et le 17 février 2009.  Le juge de première instance a noté qu’à l’époque, Mme Dheensaw souffrait de troubles de santé mentale.  Elle a été déclarée inapte en application de la </w:t>
            </w:r>
            <w:r w:rsidRPr="00F02DF6">
              <w:rPr>
                <w:rFonts w:eastAsia="Calibri"/>
                <w:i/>
                <w:sz w:val="20"/>
                <w:lang w:val="fr-CA"/>
              </w:rPr>
              <w:t>Mental Health Act</w:t>
            </w:r>
            <w:r w:rsidRPr="00F02DF6">
              <w:rPr>
                <w:rFonts w:eastAsia="Calibri"/>
                <w:sz w:val="20"/>
                <w:lang w:val="fr-CA"/>
              </w:rPr>
              <w:t xml:space="preserve"> et placée en cure forcée du 2 février 2009 au 17 février 2009.  Dans son avis de poursuite civile, déposé le 28 février 2011, Mme Dheensaw a sollicité des dommages-intérêts et d’autres réparations sur le fondement de divers motifs, y compris l’intimidation, la violation de la </w:t>
            </w:r>
            <w:r w:rsidRPr="00F02DF6">
              <w:rPr>
                <w:rFonts w:eastAsia="Calibri"/>
                <w:i/>
                <w:sz w:val="20"/>
                <w:lang w:val="fr-CA"/>
              </w:rPr>
              <w:t>Loi canadienne sur les droits de la personne</w:t>
            </w:r>
            <w:r w:rsidRPr="00F02DF6">
              <w:rPr>
                <w:rFonts w:eastAsia="Calibri"/>
                <w:sz w:val="20"/>
                <w:lang w:val="fr-CA"/>
              </w:rPr>
              <w:t xml:space="preserve">, la violation de la </w:t>
            </w:r>
            <w:r w:rsidRPr="00F02DF6">
              <w:rPr>
                <w:rFonts w:eastAsia="Calibri"/>
                <w:i/>
                <w:sz w:val="20"/>
                <w:lang w:val="fr-CA"/>
              </w:rPr>
              <w:t>Charte</w:t>
            </w:r>
            <w:r w:rsidRPr="00F02DF6">
              <w:rPr>
                <w:rFonts w:eastAsia="Calibri"/>
                <w:sz w:val="20"/>
                <w:lang w:val="fr-CA"/>
              </w:rPr>
              <w:t>, l’atteinte directe, des voies de fait et batterie, la faute médicale, la séquestration, l’infliction intentionnelle de trouble émotionnel et l’atteinte à la vie privée.  Les intimés ont présenté des demandes de procès sommaire et ont fait valoir un certain nombres d’arguments, notamment que l’action était prescrite.  Après de nombreux ajournements et ordonnances portant que les dates étaient péremptoires à l’égard de Mme Dheensaw, la demande de cette dernière a été rejetée.  Mme Dheensaw a déposé un appel, mais a omis de déposer son dossier d’appel dans le délai prescrit.  Elle s’est vu accorder une prorogation, mais elle a omis de déposer son dossier d’appel et son mémoire dans le délai imparti.  Sa demande subséquente de prorogation de délai a été rejetée par un juge de la Cour d’appel.  Sa demande de modification de l’ordonnance refusant la prorogation de délai a été rejetée elle-aussi.</w:t>
            </w:r>
          </w:p>
          <w:p w:rsidR="00F10164" w:rsidRPr="00F02DF6" w:rsidRDefault="00F10164" w:rsidP="00C6299D">
            <w:pPr>
              <w:jc w:val="both"/>
              <w:rPr>
                <w:rFonts w:eastAsia="Calibri"/>
                <w:sz w:val="20"/>
                <w:lang w:val="fr-CA"/>
              </w:rPr>
            </w:pPr>
          </w:p>
        </w:tc>
      </w:tr>
      <w:tr w:rsidR="00F10164" w:rsidRPr="002A1430" w:rsidTr="00C6299D">
        <w:tc>
          <w:tcPr>
            <w:tcW w:w="2427" w:type="pct"/>
          </w:tcPr>
          <w:p w:rsidR="00F10164" w:rsidRPr="00F02DF6" w:rsidRDefault="00F10164" w:rsidP="00C6299D">
            <w:pPr>
              <w:jc w:val="both"/>
              <w:rPr>
                <w:rFonts w:eastAsia="Calibri"/>
                <w:sz w:val="20"/>
                <w:lang w:val="fr-CA"/>
              </w:rPr>
            </w:pPr>
            <w:r w:rsidRPr="00F02DF6">
              <w:rPr>
                <w:rFonts w:eastAsia="Calibri"/>
                <w:sz w:val="20"/>
                <w:lang w:val="fr-CA"/>
              </w:rPr>
              <w:t>19 décembre 2013</w:t>
            </w:r>
          </w:p>
          <w:p w:rsidR="00F10164" w:rsidRPr="00F02DF6" w:rsidRDefault="00F10164" w:rsidP="00C6299D">
            <w:pPr>
              <w:jc w:val="both"/>
              <w:rPr>
                <w:rFonts w:eastAsia="Calibri"/>
                <w:sz w:val="20"/>
                <w:lang w:val="fr-CA"/>
              </w:rPr>
            </w:pPr>
            <w:r w:rsidRPr="00F02DF6">
              <w:rPr>
                <w:rFonts w:eastAsia="Calibri"/>
                <w:sz w:val="20"/>
                <w:lang w:val="fr-CA"/>
              </w:rPr>
              <w:t>Cour suprême de la Colombie-Britannique</w:t>
            </w:r>
          </w:p>
          <w:p w:rsidR="00F10164" w:rsidRPr="00F02DF6" w:rsidRDefault="00F10164" w:rsidP="00C6299D">
            <w:pPr>
              <w:jc w:val="both"/>
              <w:rPr>
                <w:rFonts w:eastAsia="Calibri"/>
                <w:sz w:val="20"/>
                <w:lang w:val="fr-CA"/>
              </w:rPr>
            </w:pPr>
            <w:r w:rsidRPr="00F02DF6">
              <w:rPr>
                <w:rFonts w:eastAsia="Calibri"/>
                <w:sz w:val="20"/>
                <w:lang w:val="fr-CA"/>
              </w:rPr>
              <w:t>(Juge Adair)</w:t>
            </w:r>
          </w:p>
          <w:p w:rsidR="00F10164" w:rsidRPr="00F02DF6" w:rsidRDefault="00F10164" w:rsidP="00C6299D">
            <w:pPr>
              <w:jc w:val="both"/>
              <w:rPr>
                <w:rFonts w:eastAsia="Calibri"/>
                <w:sz w:val="20"/>
                <w:lang w:val="fr-CA"/>
              </w:rPr>
            </w:pPr>
          </w:p>
        </w:tc>
        <w:tc>
          <w:tcPr>
            <w:tcW w:w="243" w:type="pct"/>
          </w:tcPr>
          <w:p w:rsidR="00F10164" w:rsidRPr="00F02DF6" w:rsidRDefault="00F10164" w:rsidP="00C6299D">
            <w:pPr>
              <w:jc w:val="both"/>
              <w:rPr>
                <w:rFonts w:eastAsia="Calibri"/>
                <w:sz w:val="20"/>
                <w:lang w:val="fr-CA"/>
              </w:rPr>
            </w:pPr>
          </w:p>
        </w:tc>
        <w:tc>
          <w:tcPr>
            <w:tcW w:w="2330" w:type="pct"/>
          </w:tcPr>
          <w:p w:rsidR="00F10164" w:rsidRPr="00F02DF6" w:rsidRDefault="00F10164" w:rsidP="00C6299D">
            <w:pPr>
              <w:jc w:val="both"/>
              <w:rPr>
                <w:rFonts w:eastAsia="Calibri"/>
                <w:sz w:val="20"/>
                <w:lang w:val="fr-CA"/>
              </w:rPr>
            </w:pPr>
            <w:r w:rsidRPr="00F02DF6">
              <w:rPr>
                <w:rFonts w:eastAsia="Calibri"/>
                <w:sz w:val="20"/>
                <w:lang w:val="fr-CA"/>
              </w:rPr>
              <w:t>Rejet de l’action de la demanderesse</w:t>
            </w:r>
          </w:p>
          <w:p w:rsidR="00F10164" w:rsidRPr="00F02DF6" w:rsidRDefault="00F10164" w:rsidP="00C6299D">
            <w:pPr>
              <w:jc w:val="both"/>
              <w:rPr>
                <w:rFonts w:eastAsia="Calibri"/>
                <w:sz w:val="20"/>
                <w:lang w:val="fr-CA"/>
              </w:rPr>
            </w:pPr>
          </w:p>
        </w:tc>
      </w:tr>
      <w:tr w:rsidR="00F10164" w:rsidRPr="002A1430" w:rsidTr="000B0443">
        <w:trPr>
          <w:cantSplit/>
        </w:trPr>
        <w:tc>
          <w:tcPr>
            <w:tcW w:w="2427" w:type="pct"/>
          </w:tcPr>
          <w:p w:rsidR="00F10164" w:rsidRPr="00F02DF6" w:rsidRDefault="00F10164" w:rsidP="00C6299D">
            <w:pPr>
              <w:jc w:val="both"/>
              <w:rPr>
                <w:rFonts w:eastAsia="Calibri"/>
                <w:sz w:val="20"/>
                <w:lang w:val="fr-CA"/>
              </w:rPr>
            </w:pPr>
            <w:r w:rsidRPr="00F02DF6">
              <w:rPr>
                <w:rFonts w:eastAsia="Calibri"/>
                <w:sz w:val="20"/>
                <w:lang w:val="fr-CA"/>
              </w:rPr>
              <w:t>20 novembre 2014</w:t>
            </w:r>
          </w:p>
          <w:p w:rsidR="00F10164" w:rsidRPr="00F02DF6" w:rsidRDefault="00F10164" w:rsidP="00C6299D">
            <w:pPr>
              <w:jc w:val="both"/>
              <w:rPr>
                <w:rFonts w:eastAsia="Calibri"/>
                <w:sz w:val="20"/>
                <w:lang w:val="fr-CA"/>
              </w:rPr>
            </w:pPr>
            <w:r w:rsidRPr="00F02DF6">
              <w:rPr>
                <w:rFonts w:eastAsia="Calibri"/>
                <w:sz w:val="20"/>
                <w:lang w:val="fr-CA"/>
              </w:rPr>
              <w:t>Cour d’appel de la Colombie-Britannique</w:t>
            </w:r>
          </w:p>
          <w:p w:rsidR="00F10164" w:rsidRPr="00F02DF6" w:rsidRDefault="00F10164" w:rsidP="00C6299D">
            <w:pPr>
              <w:jc w:val="both"/>
              <w:rPr>
                <w:rFonts w:eastAsia="Calibri"/>
                <w:sz w:val="20"/>
                <w:lang w:val="fr-CA"/>
              </w:rPr>
            </w:pPr>
            <w:r w:rsidRPr="00F02DF6">
              <w:rPr>
                <w:rFonts w:eastAsia="Calibri"/>
                <w:sz w:val="20"/>
                <w:lang w:val="fr-CA"/>
              </w:rPr>
              <w:t>(Victoria)</w:t>
            </w:r>
          </w:p>
          <w:p w:rsidR="00F10164" w:rsidRPr="00F02DF6" w:rsidRDefault="00F10164" w:rsidP="00C6299D">
            <w:pPr>
              <w:jc w:val="both"/>
              <w:rPr>
                <w:rFonts w:eastAsia="Calibri"/>
                <w:sz w:val="20"/>
                <w:lang w:val="fr-CA"/>
              </w:rPr>
            </w:pPr>
            <w:r w:rsidRPr="00F02DF6">
              <w:rPr>
                <w:rFonts w:eastAsia="Calibri"/>
                <w:sz w:val="20"/>
                <w:lang w:val="fr-CA"/>
              </w:rPr>
              <w:t>(Juges Saunders, Neilson et Groberman)</w:t>
            </w:r>
          </w:p>
          <w:p w:rsidR="00F10164" w:rsidRPr="00F02DF6" w:rsidRDefault="00F10164" w:rsidP="00C6299D">
            <w:pPr>
              <w:jc w:val="both"/>
              <w:rPr>
                <w:rFonts w:eastAsia="Calibri"/>
                <w:sz w:val="20"/>
              </w:rPr>
            </w:pPr>
            <w:r w:rsidRPr="00F02DF6">
              <w:rPr>
                <w:rFonts w:eastAsia="Calibri"/>
                <w:sz w:val="20"/>
              </w:rPr>
              <w:t>2014 BCCA 447; CA041516</w:t>
            </w:r>
          </w:p>
          <w:p w:rsidR="00F10164" w:rsidRPr="00F02DF6" w:rsidRDefault="005B3B50" w:rsidP="00C6299D">
            <w:pPr>
              <w:jc w:val="both"/>
              <w:rPr>
                <w:rFonts w:eastAsia="Calibri"/>
                <w:sz w:val="20"/>
              </w:rPr>
            </w:pPr>
            <w:hyperlink r:id="rId70" w:history="1">
              <w:r w:rsidR="00F10164" w:rsidRPr="00F02DF6">
                <w:rPr>
                  <w:rFonts w:eastAsia="Calibri"/>
                  <w:color w:val="0000FF"/>
                  <w:sz w:val="20"/>
                  <w:u w:val="single"/>
                </w:rPr>
                <w:t>http://canlii.ca/t/gfbjg</w:t>
              </w:r>
            </w:hyperlink>
          </w:p>
          <w:p w:rsidR="00F10164" w:rsidRPr="00F02DF6" w:rsidRDefault="00F10164" w:rsidP="00C6299D">
            <w:pPr>
              <w:jc w:val="both"/>
              <w:rPr>
                <w:rFonts w:eastAsia="Calibri"/>
                <w:sz w:val="20"/>
              </w:rPr>
            </w:pPr>
          </w:p>
        </w:tc>
        <w:tc>
          <w:tcPr>
            <w:tcW w:w="243" w:type="pct"/>
          </w:tcPr>
          <w:p w:rsidR="00F10164" w:rsidRPr="00F02DF6" w:rsidRDefault="00F10164" w:rsidP="00C6299D">
            <w:pPr>
              <w:jc w:val="both"/>
              <w:rPr>
                <w:rFonts w:eastAsia="Calibri"/>
                <w:sz w:val="20"/>
              </w:rPr>
            </w:pPr>
          </w:p>
        </w:tc>
        <w:tc>
          <w:tcPr>
            <w:tcW w:w="2330" w:type="pct"/>
          </w:tcPr>
          <w:p w:rsidR="00F10164" w:rsidRPr="00F02DF6" w:rsidRDefault="00F10164" w:rsidP="00C6299D">
            <w:pPr>
              <w:jc w:val="both"/>
              <w:rPr>
                <w:rFonts w:eastAsia="Calibri"/>
                <w:sz w:val="20"/>
                <w:lang w:val="fr-CA"/>
              </w:rPr>
            </w:pPr>
            <w:r w:rsidRPr="00F02DF6">
              <w:rPr>
                <w:rFonts w:eastAsia="Calibri"/>
                <w:sz w:val="20"/>
                <w:lang w:val="fr-CA"/>
              </w:rPr>
              <w:t>Rejet de la demande de modification</w:t>
            </w:r>
          </w:p>
          <w:p w:rsidR="00F10164" w:rsidRPr="00F02DF6" w:rsidRDefault="00F10164" w:rsidP="00C6299D">
            <w:pPr>
              <w:jc w:val="both"/>
              <w:rPr>
                <w:rFonts w:eastAsia="Calibri"/>
                <w:sz w:val="20"/>
                <w:lang w:val="fr-CA"/>
              </w:rPr>
            </w:pPr>
          </w:p>
        </w:tc>
      </w:tr>
      <w:tr w:rsidR="00F10164" w:rsidRPr="002A1430" w:rsidTr="000B0443">
        <w:trPr>
          <w:cantSplit/>
        </w:trPr>
        <w:tc>
          <w:tcPr>
            <w:tcW w:w="2427" w:type="pct"/>
          </w:tcPr>
          <w:p w:rsidR="00F10164" w:rsidRPr="00F02DF6" w:rsidRDefault="00F10164" w:rsidP="00C6299D">
            <w:pPr>
              <w:jc w:val="both"/>
              <w:rPr>
                <w:rFonts w:eastAsia="Calibri"/>
                <w:sz w:val="20"/>
                <w:lang w:val="fr-CA"/>
              </w:rPr>
            </w:pPr>
            <w:r w:rsidRPr="00F02DF6">
              <w:rPr>
                <w:rFonts w:eastAsia="Calibri"/>
                <w:sz w:val="20"/>
                <w:lang w:val="fr-CA"/>
              </w:rPr>
              <w:t>21 janvier 2015</w:t>
            </w:r>
          </w:p>
          <w:p w:rsidR="00F10164" w:rsidRPr="00F02DF6" w:rsidRDefault="00F10164" w:rsidP="00C6299D">
            <w:pPr>
              <w:jc w:val="both"/>
              <w:rPr>
                <w:rFonts w:eastAsia="Calibri"/>
                <w:sz w:val="20"/>
                <w:lang w:val="fr-CA"/>
              </w:rPr>
            </w:pPr>
            <w:r w:rsidRPr="00F02DF6">
              <w:rPr>
                <w:rFonts w:eastAsia="Calibri"/>
                <w:sz w:val="20"/>
                <w:lang w:val="fr-CA"/>
              </w:rPr>
              <w:t>Cour suprême du Canada</w:t>
            </w:r>
          </w:p>
          <w:p w:rsidR="00F10164" w:rsidRPr="00F02DF6" w:rsidRDefault="00F10164" w:rsidP="00C6299D">
            <w:pPr>
              <w:jc w:val="both"/>
              <w:rPr>
                <w:rFonts w:eastAsia="Calibri"/>
                <w:sz w:val="20"/>
                <w:lang w:val="fr-CA"/>
              </w:rPr>
            </w:pPr>
          </w:p>
        </w:tc>
        <w:tc>
          <w:tcPr>
            <w:tcW w:w="243" w:type="pct"/>
          </w:tcPr>
          <w:p w:rsidR="00F10164" w:rsidRPr="00F02DF6" w:rsidRDefault="00F10164" w:rsidP="00C6299D">
            <w:pPr>
              <w:jc w:val="both"/>
              <w:rPr>
                <w:rFonts w:eastAsia="Calibri"/>
                <w:sz w:val="20"/>
                <w:lang w:val="fr-CA"/>
              </w:rPr>
            </w:pPr>
          </w:p>
        </w:tc>
        <w:tc>
          <w:tcPr>
            <w:tcW w:w="2330" w:type="pct"/>
          </w:tcPr>
          <w:p w:rsidR="00F10164" w:rsidRPr="00F02DF6" w:rsidRDefault="00F10164" w:rsidP="00C6299D">
            <w:pPr>
              <w:jc w:val="both"/>
              <w:rPr>
                <w:rFonts w:eastAsia="Calibri"/>
                <w:sz w:val="20"/>
                <w:lang w:val="fr-CA"/>
              </w:rPr>
            </w:pPr>
            <w:r w:rsidRPr="00F02DF6">
              <w:rPr>
                <w:rFonts w:eastAsia="Calibri"/>
                <w:sz w:val="20"/>
                <w:lang w:val="fr-CA"/>
              </w:rPr>
              <w:t>Dépôt de la demande d’autorisation d’appel</w:t>
            </w:r>
          </w:p>
          <w:p w:rsidR="00F10164" w:rsidRPr="00F02DF6" w:rsidRDefault="00F10164" w:rsidP="00C6299D">
            <w:pPr>
              <w:jc w:val="both"/>
              <w:rPr>
                <w:rFonts w:eastAsia="Calibri"/>
                <w:sz w:val="20"/>
                <w:lang w:val="fr-CA"/>
              </w:rPr>
            </w:pPr>
          </w:p>
        </w:tc>
      </w:tr>
      <w:tr w:rsidR="00F10164" w:rsidRPr="002A1430" w:rsidTr="000B0443">
        <w:trPr>
          <w:cantSplit/>
        </w:trPr>
        <w:tc>
          <w:tcPr>
            <w:tcW w:w="2427" w:type="pct"/>
          </w:tcPr>
          <w:p w:rsidR="00F10164" w:rsidRPr="00F02DF6" w:rsidRDefault="00F10164" w:rsidP="00C6299D">
            <w:pPr>
              <w:jc w:val="both"/>
              <w:rPr>
                <w:rFonts w:eastAsia="Calibri"/>
                <w:sz w:val="20"/>
                <w:lang w:val="fr-CA"/>
              </w:rPr>
            </w:pPr>
            <w:r w:rsidRPr="00F02DF6">
              <w:rPr>
                <w:rFonts w:eastAsia="Calibri"/>
                <w:sz w:val="20"/>
                <w:lang w:val="fr-CA"/>
              </w:rPr>
              <w:t>24 février 2015</w:t>
            </w:r>
          </w:p>
          <w:p w:rsidR="00F10164" w:rsidRPr="00F02DF6" w:rsidRDefault="00F10164" w:rsidP="00C6299D">
            <w:pPr>
              <w:jc w:val="both"/>
              <w:rPr>
                <w:rFonts w:eastAsia="Calibri"/>
                <w:sz w:val="20"/>
                <w:lang w:val="fr-CA"/>
              </w:rPr>
            </w:pPr>
            <w:r w:rsidRPr="00F02DF6">
              <w:rPr>
                <w:rFonts w:eastAsia="Calibri"/>
                <w:sz w:val="20"/>
                <w:lang w:val="fr-CA"/>
              </w:rPr>
              <w:t>Cour suprême du Canada</w:t>
            </w:r>
          </w:p>
        </w:tc>
        <w:tc>
          <w:tcPr>
            <w:tcW w:w="243" w:type="pct"/>
          </w:tcPr>
          <w:p w:rsidR="00F10164" w:rsidRPr="00F02DF6" w:rsidRDefault="00F10164" w:rsidP="00C6299D">
            <w:pPr>
              <w:jc w:val="both"/>
              <w:rPr>
                <w:rFonts w:eastAsia="Calibri"/>
                <w:sz w:val="20"/>
                <w:lang w:val="fr-CA"/>
              </w:rPr>
            </w:pPr>
          </w:p>
        </w:tc>
        <w:tc>
          <w:tcPr>
            <w:tcW w:w="2330" w:type="pct"/>
          </w:tcPr>
          <w:p w:rsidR="00F10164" w:rsidRPr="00F02DF6" w:rsidRDefault="00F10164" w:rsidP="00C6299D">
            <w:pPr>
              <w:jc w:val="both"/>
              <w:rPr>
                <w:rFonts w:eastAsia="Calibri"/>
                <w:sz w:val="20"/>
                <w:lang w:val="fr-CA"/>
              </w:rPr>
            </w:pPr>
            <w:r w:rsidRPr="00F02DF6">
              <w:rPr>
                <w:rFonts w:eastAsia="Calibri"/>
                <w:sz w:val="20"/>
                <w:lang w:val="fr-CA"/>
              </w:rPr>
              <w:t>Dépôt de la requête en prorogation du délai de signification et de dépôt de la demande d’autorisation d’appel</w:t>
            </w:r>
          </w:p>
        </w:tc>
      </w:tr>
    </w:tbl>
    <w:p w:rsidR="00A23156" w:rsidRPr="00F10164" w:rsidRDefault="00A23156" w:rsidP="00A23156">
      <w:pPr>
        <w:rPr>
          <w:sz w:val="20"/>
          <w:szCs w:val="20"/>
          <w:lang w:val="fr-CA"/>
        </w:rPr>
      </w:pPr>
    </w:p>
    <w:p w:rsidR="00A23156" w:rsidRDefault="005B3B50" w:rsidP="00A23156">
      <w:pPr>
        <w:rPr>
          <w:sz w:val="20"/>
          <w:szCs w:val="20"/>
          <w:lang w:val="fr-CA"/>
        </w:rPr>
      </w:pPr>
      <w:r>
        <w:rPr>
          <w:sz w:val="20"/>
          <w:szCs w:val="20"/>
          <w:lang w:val="fr-CA"/>
        </w:rPr>
        <w:pict>
          <v:rect id="_x0000_i1066" style="width:2in;height:1pt" o:hrpct="0" o:hralign="center" o:hrstd="t" o:hrnoshade="t" o:hr="t" fillcolor="black [3213]" stroked="f"/>
        </w:pict>
      </w:r>
    </w:p>
    <w:p w:rsidR="00A23156" w:rsidRDefault="00A23156" w:rsidP="00A23156">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237ED" w:rsidRPr="00715263" w:rsidTr="008237ED">
        <w:trPr>
          <w:cantSplit/>
        </w:trPr>
        <w:tc>
          <w:tcPr>
            <w:tcW w:w="1458" w:type="dxa"/>
          </w:tcPr>
          <w:p w:rsidR="008237ED" w:rsidRPr="00715263" w:rsidRDefault="008237ED" w:rsidP="008237ED">
            <w:pPr>
              <w:rPr>
                <w:sz w:val="20"/>
                <w:szCs w:val="20"/>
              </w:rPr>
            </w:pPr>
            <w:r w:rsidRPr="00715263">
              <w:rPr>
                <w:rStyle w:val="SCCFileNumberChar"/>
                <w:sz w:val="20"/>
                <w:szCs w:val="20"/>
              </w:rPr>
              <w:t>36330</w:t>
            </w:r>
          </w:p>
          <w:p w:rsidR="008237ED" w:rsidRPr="00715263" w:rsidRDefault="008237ED" w:rsidP="008237ED">
            <w:pPr>
              <w:rPr>
                <w:b/>
                <w:sz w:val="20"/>
                <w:szCs w:val="20"/>
                <w:lang w:val="fr-CA"/>
              </w:rPr>
            </w:pPr>
          </w:p>
        </w:tc>
        <w:tc>
          <w:tcPr>
            <w:tcW w:w="8118" w:type="dxa"/>
          </w:tcPr>
          <w:p w:rsidR="008237ED" w:rsidRPr="00715263" w:rsidRDefault="008237ED" w:rsidP="008237ED">
            <w:pPr>
              <w:rPr>
                <w:sz w:val="20"/>
                <w:szCs w:val="20"/>
              </w:rPr>
            </w:pPr>
            <w:r w:rsidRPr="00715263">
              <w:rPr>
                <w:rStyle w:val="SCCLsocChar"/>
                <w:sz w:val="20"/>
                <w:szCs w:val="20"/>
                <w:lang w:val="en-CA"/>
              </w:rPr>
              <w:t>Chung Jin Park v. Her Majesty the Queen</w:t>
            </w:r>
            <w:r w:rsidRPr="00715263">
              <w:rPr>
                <w:sz w:val="20"/>
                <w:szCs w:val="20"/>
              </w:rPr>
              <w:t xml:space="preserve"> (Ont.) (Criminal) (By Leave)</w:t>
            </w:r>
          </w:p>
          <w:p w:rsidR="008237ED" w:rsidRPr="00715263" w:rsidRDefault="008237ED" w:rsidP="008237ED">
            <w:pPr>
              <w:rPr>
                <w:sz w:val="20"/>
                <w:szCs w:val="20"/>
              </w:rPr>
            </w:pPr>
          </w:p>
        </w:tc>
      </w:tr>
      <w:tr w:rsidR="008237ED" w:rsidRPr="002A1430" w:rsidTr="008237ED">
        <w:trPr>
          <w:cantSplit/>
        </w:trPr>
        <w:tc>
          <w:tcPr>
            <w:tcW w:w="1458" w:type="dxa"/>
          </w:tcPr>
          <w:p w:rsidR="008237ED" w:rsidRPr="00715263" w:rsidRDefault="008237ED" w:rsidP="008237ED">
            <w:pPr>
              <w:rPr>
                <w:sz w:val="20"/>
                <w:szCs w:val="20"/>
              </w:rPr>
            </w:pPr>
            <w:r w:rsidRPr="00715263">
              <w:rPr>
                <w:sz w:val="20"/>
                <w:szCs w:val="20"/>
              </w:rPr>
              <w:t>Coram :</w:t>
            </w:r>
          </w:p>
        </w:tc>
        <w:tc>
          <w:tcPr>
            <w:tcW w:w="8118" w:type="dxa"/>
          </w:tcPr>
          <w:p w:rsidR="008237ED" w:rsidRPr="00715263" w:rsidRDefault="008237ED" w:rsidP="008237ED">
            <w:pPr>
              <w:rPr>
                <w:sz w:val="20"/>
                <w:szCs w:val="20"/>
                <w:lang w:val="fr-CA"/>
              </w:rPr>
            </w:pPr>
            <w:r w:rsidRPr="00715263">
              <w:rPr>
                <w:rStyle w:val="SCCCoramChar"/>
                <w:sz w:val="20"/>
                <w:szCs w:val="20"/>
              </w:rPr>
              <w:t>Abella, Karakatsanis and Côté JJ.</w:t>
            </w:r>
          </w:p>
          <w:p w:rsidR="008237ED" w:rsidRPr="00715263" w:rsidRDefault="008237ED" w:rsidP="008237ED">
            <w:pPr>
              <w:rPr>
                <w:sz w:val="20"/>
                <w:szCs w:val="20"/>
                <w:u w:val="single"/>
                <w:lang w:val="fr-CA"/>
              </w:rPr>
            </w:pPr>
          </w:p>
        </w:tc>
      </w:tr>
      <w:tr w:rsidR="008237ED" w:rsidRPr="002A1430" w:rsidTr="008237ED">
        <w:trPr>
          <w:cantSplit/>
        </w:trPr>
        <w:tc>
          <w:tcPr>
            <w:tcW w:w="9576" w:type="dxa"/>
            <w:gridSpan w:val="2"/>
          </w:tcPr>
          <w:p w:rsidR="008237ED" w:rsidRPr="00715263" w:rsidRDefault="008237ED" w:rsidP="008237ED">
            <w:pPr>
              <w:pStyle w:val="SCCShortJudgment"/>
              <w:rPr>
                <w:szCs w:val="20"/>
              </w:rPr>
            </w:pPr>
            <w:r w:rsidRPr="00715263">
              <w:rPr>
                <w:szCs w:val="20"/>
              </w:rPr>
              <w:t>The application for leave to appeal from the judgment of the Court of Appeal for Ontario, Number C58644, dated December 9, 2014, is dismissed.</w:t>
            </w:r>
          </w:p>
          <w:p w:rsidR="008237ED" w:rsidRPr="00715263" w:rsidRDefault="008237ED" w:rsidP="008237ED">
            <w:pPr>
              <w:pStyle w:val="SCCShortJudgment"/>
              <w:ind w:firstLine="0"/>
              <w:rPr>
                <w:szCs w:val="20"/>
              </w:rPr>
            </w:pPr>
          </w:p>
          <w:p w:rsidR="008237ED" w:rsidRPr="00715263" w:rsidRDefault="008237ED" w:rsidP="008237ED">
            <w:pPr>
              <w:pStyle w:val="SCCShortJudgment"/>
              <w:rPr>
                <w:szCs w:val="20"/>
                <w:lang w:val="fr-CA"/>
              </w:rPr>
            </w:pPr>
            <w:r w:rsidRPr="00715263">
              <w:rPr>
                <w:szCs w:val="20"/>
                <w:lang w:val="fr-CA"/>
              </w:rPr>
              <w:t>La demande d’autorisation d’appel de l’arrêt de la Cour d’appel de l’Ontario, numéro C58644, daté du 9 décembre 2014, est rejetée.</w:t>
            </w:r>
          </w:p>
        </w:tc>
      </w:tr>
    </w:tbl>
    <w:p w:rsidR="00A23156" w:rsidRPr="008237ED" w:rsidRDefault="00A23156" w:rsidP="00A23156">
      <w:pPr>
        <w:rPr>
          <w:sz w:val="20"/>
          <w:szCs w:val="20"/>
          <w:lang w:val="fr-CA"/>
        </w:rPr>
      </w:pPr>
    </w:p>
    <w:p w:rsidR="00A23156" w:rsidRPr="001B157C" w:rsidRDefault="00A23156" w:rsidP="00A23156">
      <w:pPr>
        <w:rPr>
          <w:sz w:val="20"/>
          <w:szCs w:val="20"/>
          <w:u w:val="single"/>
        </w:rPr>
      </w:pPr>
      <w:r w:rsidRPr="001B157C">
        <w:rPr>
          <w:sz w:val="20"/>
          <w:szCs w:val="20"/>
          <w:u w:val="single"/>
        </w:rPr>
        <w:t>CASE SUMMARY</w:t>
      </w:r>
    </w:p>
    <w:p w:rsidR="00A23156" w:rsidRDefault="00A23156" w:rsidP="00A2315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10164" w:rsidRPr="00F02DF6" w:rsidTr="00C6299D">
        <w:tc>
          <w:tcPr>
            <w:tcW w:w="5000" w:type="pct"/>
            <w:gridSpan w:val="3"/>
          </w:tcPr>
          <w:p w:rsidR="00F10164" w:rsidRPr="00F02DF6" w:rsidRDefault="00F10164" w:rsidP="00C6299D">
            <w:pPr>
              <w:jc w:val="both"/>
              <w:rPr>
                <w:rFonts w:eastAsia="Calibri"/>
                <w:sz w:val="20"/>
              </w:rPr>
            </w:pPr>
            <w:r w:rsidRPr="00F02DF6">
              <w:rPr>
                <w:rFonts w:eastAsia="Calibri"/>
                <w:sz w:val="20"/>
              </w:rPr>
              <w:t xml:space="preserve">Criminal procedure – Prosecution - Issuance of warrant for arrest – Evidence – </w:t>
            </w:r>
            <w:r w:rsidRPr="00F02DF6">
              <w:rPr>
                <w:rFonts w:eastAsia="Calibri"/>
                <w:iCs/>
                <w:color w:val="000000"/>
                <w:sz w:val="20"/>
              </w:rPr>
              <w:t xml:space="preserve">Application by Applicant for review of Justice of the Peace’s decision not to issue process for theft, fraud and forgery against Hong dismissed </w:t>
            </w:r>
            <w:r w:rsidRPr="00F02DF6">
              <w:rPr>
                <w:rFonts w:eastAsia="Calibri"/>
                <w:sz w:val="20"/>
              </w:rPr>
              <w:t xml:space="preserve">– Whether there was Crown misconduct – Whether the lower courts refused to consider the evidence – Did the Court of Appeal err in refusing to grant </w:t>
            </w:r>
            <w:r w:rsidRPr="00F02DF6">
              <w:rPr>
                <w:rFonts w:eastAsia="Calibri"/>
                <w:i/>
                <w:sz w:val="20"/>
              </w:rPr>
              <w:t>mandamus</w:t>
            </w:r>
            <w:r w:rsidRPr="00F02DF6">
              <w:rPr>
                <w:rFonts w:eastAsia="Calibri"/>
                <w:sz w:val="20"/>
              </w:rPr>
              <w:t xml:space="preserve"> to order a justice of the peace to issue process on the information sworn against Robert Hong on July 18, 2013? – Section 507.1 of the </w:t>
            </w:r>
            <w:r w:rsidRPr="00F02DF6">
              <w:rPr>
                <w:rFonts w:eastAsia="Calibri"/>
                <w:i/>
                <w:sz w:val="20"/>
              </w:rPr>
              <w:t>Criminal Code</w:t>
            </w:r>
            <w:r w:rsidRPr="00F02DF6">
              <w:rPr>
                <w:rFonts w:eastAsia="Calibri"/>
                <w:sz w:val="20"/>
              </w:rPr>
              <w:t>, R.S.C. 1985, C. C-46.</w:t>
            </w:r>
          </w:p>
        </w:tc>
      </w:tr>
      <w:tr w:rsidR="00F10164" w:rsidRPr="00F02DF6" w:rsidTr="00C6299D">
        <w:tc>
          <w:tcPr>
            <w:tcW w:w="5000" w:type="pct"/>
            <w:gridSpan w:val="3"/>
          </w:tcPr>
          <w:p w:rsidR="00F10164" w:rsidRPr="00F02DF6" w:rsidRDefault="00F10164" w:rsidP="00C6299D">
            <w:pPr>
              <w:jc w:val="both"/>
              <w:rPr>
                <w:rFonts w:eastAsia="Calibri"/>
                <w:sz w:val="20"/>
              </w:rPr>
            </w:pPr>
          </w:p>
        </w:tc>
      </w:tr>
      <w:tr w:rsidR="00F10164" w:rsidRPr="00F02DF6" w:rsidTr="00C6299D">
        <w:tc>
          <w:tcPr>
            <w:tcW w:w="5000" w:type="pct"/>
            <w:gridSpan w:val="3"/>
          </w:tcPr>
          <w:p w:rsidR="00F10164" w:rsidRPr="00F02DF6" w:rsidRDefault="00F10164" w:rsidP="00C6299D">
            <w:pPr>
              <w:jc w:val="both"/>
              <w:rPr>
                <w:rFonts w:eastAsia="Calibri"/>
                <w:sz w:val="20"/>
              </w:rPr>
            </w:pPr>
            <w:r w:rsidRPr="00F02DF6">
              <w:rPr>
                <w:rFonts w:eastAsia="Calibri"/>
                <w:sz w:val="20"/>
              </w:rPr>
              <w:t xml:space="preserve">The Applicant attempted to pursue criminal charges against two business associates of his for what he alleges is a fraudulent scheme involving a company that the parties attempted to establish to sell health food that the company was to manufacture.  Two individuals invested $130,000 in the company while the third was to obtain approval from the U.S. Food and Drug Administration as his contribution.  The company also received a government-backed loan of $350,000.  The Applicant advances a myriad of allegations regarding what the other two individuals did with the company including apparently creating a Korean Spa within it, all over his objections.  At its core, his complaint appears to be that he has lost, or will lose, his investment in the company.  </w:t>
            </w:r>
            <w:r w:rsidRPr="00F02DF6">
              <w:rPr>
                <w:rFonts w:eastAsia="Calibri"/>
                <w:color w:val="000000"/>
                <w:sz w:val="20"/>
              </w:rPr>
              <w:t xml:space="preserve">The Applicant was initially denied his application for charges to be laid against his business partners, but ultimately, the matter was remitted to a Justice of the Peace for a fraud charge to be laid against the business partners.  He subsequently claimed Hong stole and defrauded Park of $25,297.  He also claimed Hong forged certain invoices concerning equipment allegedly purchased for the company's benefit.  The Applicant relied upon the material he had submitted to the court in respect of the allegations against his business partners.  He claimed Hong failed to deliver the equipment for which the company paid, as part of a conspiracy with his business partners, one of whom had written the $25,297 cheque to Hong's company.  The Applicant conceded the partner had authorization to write cheques on behalf of the company and that Hong had done some work for the company.  The Justice of the Peace </w:t>
            </w:r>
            <w:r w:rsidRPr="00F02DF6">
              <w:rPr>
                <w:rFonts w:eastAsia="Calibri"/>
                <w:sz w:val="20"/>
              </w:rPr>
              <w:t xml:space="preserve">conducted a hearing under s. 507.1 of the </w:t>
            </w:r>
            <w:r w:rsidRPr="00F02DF6">
              <w:rPr>
                <w:rFonts w:eastAsia="Calibri"/>
                <w:i/>
                <w:sz w:val="20"/>
              </w:rPr>
              <w:t>Criminal Code</w:t>
            </w:r>
            <w:r w:rsidRPr="00F02DF6">
              <w:rPr>
                <w:rFonts w:eastAsia="Calibri"/>
                <w:sz w:val="20"/>
              </w:rPr>
              <w:t xml:space="preserve"> and </w:t>
            </w:r>
            <w:r w:rsidRPr="00F02DF6">
              <w:rPr>
                <w:rFonts w:eastAsia="Calibri"/>
                <w:color w:val="000000"/>
                <w:sz w:val="20"/>
              </w:rPr>
              <w:t xml:space="preserve">held the evidence only gave rise to a suspicion, but nothing more, that Hong was involved in fraudulent activity with Park's business. </w:t>
            </w:r>
            <w:r w:rsidRPr="00F02DF6">
              <w:rPr>
                <w:rFonts w:eastAsia="Calibri"/>
                <w:sz w:val="20"/>
              </w:rPr>
              <w:t xml:space="preserve"> She concluded that there was no </w:t>
            </w:r>
            <w:r w:rsidRPr="00F02DF6">
              <w:rPr>
                <w:rFonts w:eastAsia="Calibri"/>
                <w:i/>
                <w:sz w:val="20"/>
              </w:rPr>
              <w:t>prima facie</w:t>
            </w:r>
            <w:r w:rsidRPr="00F02DF6">
              <w:rPr>
                <w:rFonts w:eastAsia="Calibri"/>
                <w:sz w:val="20"/>
              </w:rPr>
              <w:t xml:space="preserve"> case made out by the Applicant regarding the charges of fraud and related matters.  She declined to issue a summons or warrant of arrest.</w:t>
            </w:r>
          </w:p>
          <w:p w:rsidR="00F10164" w:rsidRPr="00F02DF6" w:rsidRDefault="00F10164" w:rsidP="00C6299D">
            <w:pPr>
              <w:jc w:val="both"/>
              <w:rPr>
                <w:rFonts w:eastAsia="Calibri"/>
                <w:sz w:val="20"/>
              </w:rPr>
            </w:pPr>
          </w:p>
        </w:tc>
      </w:tr>
      <w:tr w:rsidR="00F10164" w:rsidRPr="00F02DF6" w:rsidTr="00C6299D">
        <w:tc>
          <w:tcPr>
            <w:tcW w:w="2427" w:type="pct"/>
          </w:tcPr>
          <w:p w:rsidR="00F10164" w:rsidRPr="00F02DF6" w:rsidRDefault="00F10164" w:rsidP="00C6299D">
            <w:pPr>
              <w:jc w:val="both"/>
              <w:rPr>
                <w:rFonts w:eastAsia="Calibri"/>
                <w:sz w:val="20"/>
              </w:rPr>
            </w:pPr>
            <w:r w:rsidRPr="00F02DF6">
              <w:rPr>
                <w:rFonts w:eastAsia="Calibri"/>
                <w:sz w:val="20"/>
              </w:rPr>
              <w:t>March 20, 2014</w:t>
            </w:r>
          </w:p>
          <w:p w:rsidR="00F10164" w:rsidRPr="00F02DF6" w:rsidRDefault="00F10164" w:rsidP="00C6299D">
            <w:pPr>
              <w:jc w:val="both"/>
              <w:rPr>
                <w:rFonts w:eastAsia="Calibri"/>
                <w:sz w:val="20"/>
              </w:rPr>
            </w:pPr>
            <w:r w:rsidRPr="00F02DF6">
              <w:rPr>
                <w:rFonts w:eastAsia="Calibri"/>
                <w:sz w:val="20"/>
              </w:rPr>
              <w:t>Superior Court of Justice</w:t>
            </w:r>
          </w:p>
          <w:p w:rsidR="00F10164" w:rsidRPr="00F02DF6" w:rsidRDefault="00F10164" w:rsidP="00C6299D">
            <w:pPr>
              <w:jc w:val="both"/>
              <w:rPr>
                <w:rFonts w:eastAsia="Calibri"/>
                <w:sz w:val="20"/>
              </w:rPr>
            </w:pPr>
            <w:r w:rsidRPr="00F02DF6">
              <w:rPr>
                <w:rFonts w:eastAsia="Calibri"/>
                <w:sz w:val="20"/>
              </w:rPr>
              <w:t>(Patillo J.)</w:t>
            </w:r>
          </w:p>
          <w:p w:rsidR="00F10164" w:rsidRPr="00F02DF6" w:rsidRDefault="00F10164" w:rsidP="00C6299D">
            <w:pPr>
              <w:jc w:val="both"/>
              <w:rPr>
                <w:rFonts w:eastAsia="Calibri"/>
                <w:sz w:val="20"/>
              </w:rPr>
            </w:pPr>
            <w:r w:rsidRPr="00F02DF6">
              <w:rPr>
                <w:rFonts w:eastAsia="Calibri"/>
                <w:color w:val="000000"/>
                <w:sz w:val="20"/>
              </w:rPr>
              <w:t>2014 ONSC 1733</w:t>
            </w:r>
          </w:p>
        </w:tc>
        <w:tc>
          <w:tcPr>
            <w:tcW w:w="243" w:type="pct"/>
          </w:tcPr>
          <w:p w:rsidR="00F10164" w:rsidRPr="00F02DF6" w:rsidRDefault="00F10164" w:rsidP="00C6299D">
            <w:pPr>
              <w:jc w:val="both"/>
              <w:rPr>
                <w:rFonts w:eastAsia="Calibri"/>
                <w:sz w:val="20"/>
              </w:rPr>
            </w:pPr>
          </w:p>
        </w:tc>
        <w:tc>
          <w:tcPr>
            <w:tcW w:w="2330" w:type="pct"/>
          </w:tcPr>
          <w:p w:rsidR="00F10164" w:rsidRPr="00F02DF6" w:rsidRDefault="00F10164" w:rsidP="00C6299D">
            <w:pPr>
              <w:jc w:val="both"/>
              <w:rPr>
                <w:rFonts w:eastAsia="Calibri"/>
                <w:color w:val="000000"/>
                <w:sz w:val="20"/>
              </w:rPr>
            </w:pPr>
            <w:r w:rsidRPr="00F02DF6">
              <w:rPr>
                <w:rFonts w:eastAsia="Calibri"/>
                <w:color w:val="000000"/>
                <w:sz w:val="20"/>
              </w:rPr>
              <w:t>Application by Park for judicial review of a decision by a Justice of the Peace, refusing to issue process against Hong on charges of theft over $5,000, fraud and forgery dismissed.</w:t>
            </w:r>
          </w:p>
          <w:p w:rsidR="00F10164" w:rsidRPr="00F02DF6" w:rsidRDefault="00F10164" w:rsidP="00C6299D">
            <w:pPr>
              <w:jc w:val="both"/>
              <w:rPr>
                <w:rFonts w:eastAsia="Calibri"/>
                <w:sz w:val="20"/>
              </w:rPr>
            </w:pPr>
          </w:p>
        </w:tc>
      </w:tr>
      <w:tr w:rsidR="00F10164" w:rsidRPr="00F02DF6" w:rsidTr="00C6299D">
        <w:tc>
          <w:tcPr>
            <w:tcW w:w="2427" w:type="pct"/>
          </w:tcPr>
          <w:p w:rsidR="00F10164" w:rsidRPr="00F02DF6" w:rsidRDefault="00F10164" w:rsidP="00C6299D">
            <w:pPr>
              <w:jc w:val="both"/>
              <w:rPr>
                <w:rFonts w:eastAsia="Calibri"/>
                <w:sz w:val="20"/>
              </w:rPr>
            </w:pPr>
            <w:r w:rsidRPr="00F02DF6">
              <w:rPr>
                <w:rFonts w:eastAsia="Calibri"/>
                <w:sz w:val="20"/>
              </w:rPr>
              <w:t>December 9, 2014</w:t>
            </w:r>
          </w:p>
          <w:p w:rsidR="00F10164" w:rsidRPr="00F02DF6" w:rsidRDefault="00F10164" w:rsidP="00C6299D">
            <w:pPr>
              <w:jc w:val="both"/>
              <w:rPr>
                <w:rFonts w:eastAsia="Calibri"/>
                <w:sz w:val="20"/>
              </w:rPr>
            </w:pPr>
            <w:r w:rsidRPr="00F02DF6">
              <w:rPr>
                <w:rFonts w:eastAsia="Calibri"/>
                <w:sz w:val="20"/>
              </w:rPr>
              <w:t>Court of Appeal for Ontario</w:t>
            </w:r>
          </w:p>
          <w:p w:rsidR="00F10164" w:rsidRPr="00F02DF6" w:rsidRDefault="00F10164" w:rsidP="00C6299D">
            <w:pPr>
              <w:jc w:val="both"/>
              <w:rPr>
                <w:rFonts w:eastAsia="Calibri"/>
                <w:sz w:val="20"/>
              </w:rPr>
            </w:pPr>
            <w:r w:rsidRPr="00F02DF6">
              <w:rPr>
                <w:rFonts w:eastAsia="Calibri"/>
                <w:sz w:val="20"/>
              </w:rPr>
              <w:t>(Doherty, Rouleau and Pepall JJ.A.)</w:t>
            </w:r>
          </w:p>
          <w:p w:rsidR="00F10164" w:rsidRPr="00F02DF6" w:rsidRDefault="00F10164" w:rsidP="00C6299D">
            <w:pPr>
              <w:jc w:val="both"/>
              <w:rPr>
                <w:rFonts w:eastAsia="Calibri"/>
                <w:sz w:val="20"/>
              </w:rPr>
            </w:pPr>
            <w:r w:rsidRPr="00F02DF6">
              <w:rPr>
                <w:rFonts w:eastAsia="Calibri"/>
                <w:sz w:val="20"/>
              </w:rPr>
              <w:t>(unreported)</w:t>
            </w:r>
          </w:p>
          <w:p w:rsidR="00F10164" w:rsidRPr="00F02DF6" w:rsidRDefault="00F10164" w:rsidP="00C6299D">
            <w:pPr>
              <w:jc w:val="both"/>
              <w:rPr>
                <w:rFonts w:eastAsia="Calibri"/>
                <w:sz w:val="20"/>
              </w:rPr>
            </w:pPr>
          </w:p>
        </w:tc>
        <w:tc>
          <w:tcPr>
            <w:tcW w:w="243" w:type="pct"/>
          </w:tcPr>
          <w:p w:rsidR="00F10164" w:rsidRPr="00F02DF6" w:rsidRDefault="00F10164" w:rsidP="00C6299D">
            <w:pPr>
              <w:jc w:val="both"/>
              <w:rPr>
                <w:rFonts w:eastAsia="Calibri"/>
                <w:sz w:val="20"/>
              </w:rPr>
            </w:pPr>
          </w:p>
        </w:tc>
        <w:tc>
          <w:tcPr>
            <w:tcW w:w="2330" w:type="pct"/>
          </w:tcPr>
          <w:p w:rsidR="00F10164" w:rsidRPr="00F02DF6" w:rsidRDefault="00F10164" w:rsidP="00C6299D">
            <w:pPr>
              <w:jc w:val="both"/>
              <w:rPr>
                <w:rFonts w:eastAsia="Calibri"/>
                <w:sz w:val="20"/>
              </w:rPr>
            </w:pPr>
            <w:r w:rsidRPr="00F02DF6">
              <w:rPr>
                <w:rFonts w:eastAsia="Calibri"/>
                <w:sz w:val="20"/>
              </w:rPr>
              <w:t>Appeal dismissed.</w:t>
            </w:r>
          </w:p>
          <w:p w:rsidR="00F10164" w:rsidRPr="00F02DF6" w:rsidRDefault="00F10164" w:rsidP="00C6299D">
            <w:pPr>
              <w:jc w:val="both"/>
              <w:rPr>
                <w:rFonts w:eastAsia="Calibri"/>
                <w:sz w:val="20"/>
              </w:rPr>
            </w:pPr>
          </w:p>
          <w:p w:rsidR="00F10164" w:rsidRPr="00F02DF6" w:rsidRDefault="00F10164" w:rsidP="00C6299D">
            <w:pPr>
              <w:jc w:val="both"/>
              <w:rPr>
                <w:rFonts w:eastAsia="Calibri"/>
                <w:sz w:val="20"/>
              </w:rPr>
            </w:pPr>
          </w:p>
        </w:tc>
      </w:tr>
      <w:tr w:rsidR="00F10164" w:rsidRPr="00F02DF6" w:rsidTr="00C6299D">
        <w:tc>
          <w:tcPr>
            <w:tcW w:w="2427" w:type="pct"/>
          </w:tcPr>
          <w:p w:rsidR="00F10164" w:rsidRPr="00F02DF6" w:rsidRDefault="00F10164" w:rsidP="00C6299D">
            <w:pPr>
              <w:jc w:val="both"/>
              <w:rPr>
                <w:rFonts w:eastAsia="Calibri"/>
                <w:sz w:val="20"/>
              </w:rPr>
            </w:pPr>
            <w:r w:rsidRPr="00F02DF6">
              <w:rPr>
                <w:rFonts w:eastAsia="Calibri"/>
                <w:sz w:val="20"/>
              </w:rPr>
              <w:t>February 3, 2015</w:t>
            </w:r>
          </w:p>
          <w:p w:rsidR="00F10164" w:rsidRPr="00F02DF6" w:rsidRDefault="00F10164" w:rsidP="00C6299D">
            <w:pPr>
              <w:jc w:val="both"/>
              <w:rPr>
                <w:rFonts w:eastAsia="Calibri"/>
                <w:sz w:val="20"/>
              </w:rPr>
            </w:pPr>
            <w:r w:rsidRPr="00F02DF6">
              <w:rPr>
                <w:rFonts w:eastAsia="Calibri"/>
                <w:sz w:val="20"/>
              </w:rPr>
              <w:t>Supreme Court of Canada</w:t>
            </w:r>
          </w:p>
        </w:tc>
        <w:tc>
          <w:tcPr>
            <w:tcW w:w="243" w:type="pct"/>
          </w:tcPr>
          <w:p w:rsidR="00F10164" w:rsidRPr="00F02DF6" w:rsidRDefault="00F10164" w:rsidP="00C6299D">
            <w:pPr>
              <w:jc w:val="both"/>
              <w:rPr>
                <w:rFonts w:eastAsia="Calibri"/>
                <w:sz w:val="20"/>
              </w:rPr>
            </w:pPr>
          </w:p>
        </w:tc>
        <w:tc>
          <w:tcPr>
            <w:tcW w:w="2330" w:type="pct"/>
          </w:tcPr>
          <w:p w:rsidR="00F10164" w:rsidRPr="00F02DF6" w:rsidRDefault="00F10164" w:rsidP="00C6299D">
            <w:pPr>
              <w:jc w:val="both"/>
              <w:rPr>
                <w:rFonts w:eastAsia="Calibri"/>
                <w:sz w:val="20"/>
              </w:rPr>
            </w:pPr>
            <w:r w:rsidRPr="00F02DF6">
              <w:rPr>
                <w:rFonts w:eastAsia="Calibri"/>
                <w:sz w:val="20"/>
              </w:rPr>
              <w:t>Application for leave to appeal filed.</w:t>
            </w:r>
          </w:p>
          <w:p w:rsidR="00F10164" w:rsidRPr="00F02DF6" w:rsidRDefault="00F10164" w:rsidP="00C6299D">
            <w:pPr>
              <w:jc w:val="both"/>
              <w:rPr>
                <w:rFonts w:eastAsia="Calibri"/>
                <w:sz w:val="20"/>
              </w:rPr>
            </w:pPr>
          </w:p>
        </w:tc>
      </w:tr>
    </w:tbl>
    <w:p w:rsidR="00A23156" w:rsidRDefault="00A23156" w:rsidP="00A23156">
      <w:pPr>
        <w:rPr>
          <w:sz w:val="20"/>
          <w:szCs w:val="20"/>
        </w:rPr>
      </w:pPr>
    </w:p>
    <w:p w:rsidR="00A23156" w:rsidRPr="00C50A5C" w:rsidRDefault="005B3B50" w:rsidP="00A23156">
      <w:pPr>
        <w:rPr>
          <w:sz w:val="20"/>
          <w:szCs w:val="20"/>
        </w:rPr>
      </w:pPr>
      <w:r>
        <w:rPr>
          <w:sz w:val="20"/>
          <w:szCs w:val="20"/>
          <w:lang w:val="fr-CA"/>
        </w:rPr>
        <w:pict>
          <v:rect id="_x0000_i1067" style="width:2in;height:1pt" o:hrpct="0" o:hralign="center" o:hrstd="t" o:hrnoshade="t" o:hr="t" fillcolor="black [3213]" stroked="f"/>
        </w:pict>
      </w:r>
    </w:p>
    <w:p w:rsidR="00A23156" w:rsidRDefault="00A23156" w:rsidP="00A23156">
      <w:pPr>
        <w:rPr>
          <w:sz w:val="20"/>
          <w:szCs w:val="20"/>
        </w:rPr>
      </w:pPr>
    </w:p>
    <w:p w:rsidR="00A23156" w:rsidRPr="001B157C" w:rsidRDefault="00A23156" w:rsidP="00A23156">
      <w:pPr>
        <w:rPr>
          <w:sz w:val="20"/>
          <w:szCs w:val="20"/>
          <w:u w:val="single"/>
          <w:lang w:val="fr-CA"/>
        </w:rPr>
      </w:pPr>
      <w:r w:rsidRPr="001B157C">
        <w:rPr>
          <w:sz w:val="20"/>
          <w:szCs w:val="20"/>
          <w:u w:val="single"/>
          <w:lang w:val="fr-CA"/>
        </w:rPr>
        <w:t>RÉSUMÉ DE L’AFFAIRE</w:t>
      </w:r>
    </w:p>
    <w:p w:rsidR="00A23156" w:rsidRDefault="00A23156" w:rsidP="00A2315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10164" w:rsidRPr="00F02DF6" w:rsidTr="00C6299D">
        <w:tc>
          <w:tcPr>
            <w:tcW w:w="5000" w:type="pct"/>
            <w:gridSpan w:val="3"/>
          </w:tcPr>
          <w:p w:rsidR="00F10164" w:rsidRPr="00F02DF6" w:rsidRDefault="00F10164" w:rsidP="00C6299D">
            <w:pPr>
              <w:jc w:val="both"/>
              <w:rPr>
                <w:rFonts w:eastAsia="Calibri"/>
                <w:sz w:val="20"/>
                <w:lang w:val="fr-CA"/>
              </w:rPr>
            </w:pPr>
            <w:r w:rsidRPr="00F02DF6">
              <w:rPr>
                <w:rFonts w:eastAsia="Calibri"/>
                <w:sz w:val="20"/>
                <w:lang w:val="fr-CA"/>
              </w:rPr>
              <w:t>Procédure criminelle – Poursuite – Délivrance d’un mandat d’arrestation – Preuve – Rejet de la d</w:t>
            </w:r>
            <w:r w:rsidRPr="00F02DF6">
              <w:rPr>
                <w:rFonts w:eastAsia="Calibri"/>
                <w:iCs/>
                <w:color w:val="000000"/>
                <w:sz w:val="20"/>
                <w:lang w:val="fr-CA"/>
              </w:rPr>
              <w:t xml:space="preserve">emande du demandeur en examen de la décision de la juge de paix de ne pas délivrer des moyens de contrainte pour vol, fraude et falsification contre M. Hong – </w:t>
            </w:r>
            <w:r w:rsidRPr="00F02DF6">
              <w:rPr>
                <w:rFonts w:eastAsia="Calibri"/>
                <w:sz w:val="20"/>
                <w:lang w:val="fr-CA"/>
              </w:rPr>
              <w:t xml:space="preserve">Y a-t-il eu inconduite du ministère public? – Les juridictions inférieures ont-elles refusé d’examiner la preuve? – La Cour d’appel a-t-elle eu tort de refuser de décerner un </w:t>
            </w:r>
            <w:r w:rsidRPr="00F02DF6">
              <w:rPr>
                <w:rFonts w:eastAsia="Calibri"/>
                <w:i/>
                <w:sz w:val="20"/>
                <w:lang w:val="fr-CA"/>
              </w:rPr>
              <w:t>mandamus</w:t>
            </w:r>
            <w:r w:rsidRPr="00F02DF6">
              <w:rPr>
                <w:rFonts w:eastAsia="Calibri"/>
                <w:sz w:val="20"/>
                <w:lang w:val="fr-CA"/>
              </w:rPr>
              <w:t xml:space="preserve"> pour ordonner à une juge de paix de délivrer des moyens de contrainte sur la foi d’une dénonciation sous serment contre Robert Hong le 18 juillet 2013? – Article 507.1 du </w:t>
            </w:r>
            <w:r w:rsidRPr="00F02DF6">
              <w:rPr>
                <w:rFonts w:eastAsia="Calibri"/>
                <w:i/>
                <w:sz w:val="20"/>
                <w:lang w:val="fr-CA"/>
              </w:rPr>
              <w:t>Code criminel</w:t>
            </w:r>
            <w:r w:rsidRPr="00F02DF6">
              <w:rPr>
                <w:rFonts w:eastAsia="Calibri"/>
                <w:sz w:val="20"/>
                <w:lang w:val="fr-CA"/>
              </w:rPr>
              <w:t>, L.R.C. 1985, ch. C-46.</w:t>
            </w:r>
          </w:p>
        </w:tc>
      </w:tr>
      <w:tr w:rsidR="00F10164" w:rsidRPr="00F02DF6" w:rsidTr="00C6299D">
        <w:tc>
          <w:tcPr>
            <w:tcW w:w="5000" w:type="pct"/>
            <w:gridSpan w:val="3"/>
          </w:tcPr>
          <w:p w:rsidR="00F10164" w:rsidRPr="00F02DF6" w:rsidRDefault="00F10164" w:rsidP="00C6299D">
            <w:pPr>
              <w:jc w:val="both"/>
              <w:rPr>
                <w:rFonts w:eastAsia="Calibri"/>
                <w:sz w:val="20"/>
                <w:lang w:val="fr-CA"/>
              </w:rPr>
            </w:pPr>
          </w:p>
        </w:tc>
      </w:tr>
      <w:tr w:rsidR="00F10164" w:rsidRPr="002A1430" w:rsidTr="00C6299D">
        <w:tc>
          <w:tcPr>
            <w:tcW w:w="5000" w:type="pct"/>
            <w:gridSpan w:val="3"/>
          </w:tcPr>
          <w:p w:rsidR="00F10164" w:rsidRPr="00F02DF6" w:rsidRDefault="00F10164" w:rsidP="00C6299D">
            <w:pPr>
              <w:jc w:val="both"/>
              <w:rPr>
                <w:rFonts w:eastAsia="Calibri"/>
                <w:sz w:val="20"/>
                <w:lang w:val="fr-CA"/>
              </w:rPr>
            </w:pPr>
            <w:r w:rsidRPr="00F02DF6">
              <w:rPr>
                <w:rFonts w:eastAsia="Calibri"/>
                <w:sz w:val="20"/>
                <w:lang w:val="fr-CA"/>
              </w:rPr>
              <w:t>Le demandeur a tenté de faire en sorte que des accusations criminelles soient portées contre deux de ses associés pour ce qu’il allègue être une manoeuvre frauduleuse impliquant une compagnie que les parties avaient tenté d’établir pour vendre des aliments naturels que la compagnie devait fabriquer.  Deux particuliers ont investi 130 000 $ dans la compagnie, alors que le troisième devait obtenir une autorisation de la Food and Drug Administration des États-Unis pour valoir comme apport.  La compagnie a également obtenu un emprunt de 350 000 $ garanti par l’État.  Le demandeur avance une myriade d’allégations relativement à ce que les deux autres particuliers auraient fait avec la compagnie, notamment, semble-t-il, la création d’un spa coréen au sein de la compagnie, malgré toutes ses objections.  Apparemment, le demandeur se plaint essentiellement qu’il a perdu, ou perdra, son investissement dans la compagnie.  Dans un premier temps, la demande du demandeur pour que des accusations soient portées contre ses associés a été rejetée, mais l’affaire a fini par être renvoyée à une juge de paix pour que des accusations de fraude soient portées contre ses associés</w:t>
            </w:r>
            <w:r w:rsidRPr="00F02DF6">
              <w:rPr>
                <w:rFonts w:eastAsia="Calibri"/>
                <w:color w:val="000000"/>
                <w:sz w:val="20"/>
                <w:lang w:val="fr-CA"/>
              </w:rPr>
              <w:t xml:space="preserve">.  Il a subséquemment allégué que M. Hong lui avait volé la somme de 25 297 $ par la fraude.  Il a également allégué que M. Hong avait falsifié certaines factures concernant de l’équipement qui aurait censément été acheté à l’avantage de la compagnie.  Le demandeur s’est appuyé sur les documents qu’il avait présentés à la cour à l’égard des allégations faites contre ses associés.  Selon lui, M. Hong avait omis de livrer l’équipement que la compagnie avait payé, dans le cadre d’un complot avec ses associés, dont un avait fait le chèque de 25 297 $ à l’ordre de la compagnie de M. Hong.  Le demandeur a concédé que l’associé avait l’autorisation de faire des chèques au nom de la compagnie et que M. Hong avait fait du travail pour la compagnie.  La juge de paix a tenu une audience </w:t>
            </w:r>
            <w:r w:rsidRPr="00F02DF6">
              <w:rPr>
                <w:rFonts w:eastAsia="Calibri"/>
                <w:sz w:val="20"/>
                <w:lang w:val="fr-CA"/>
              </w:rPr>
              <w:t xml:space="preserve">en application de l’art. 507.1 du </w:t>
            </w:r>
            <w:r w:rsidRPr="00F02DF6">
              <w:rPr>
                <w:rFonts w:eastAsia="Calibri"/>
                <w:i/>
                <w:sz w:val="20"/>
                <w:lang w:val="fr-CA"/>
              </w:rPr>
              <w:t>Code criminel</w:t>
            </w:r>
            <w:r w:rsidRPr="00F02DF6">
              <w:rPr>
                <w:rFonts w:eastAsia="Calibri"/>
                <w:sz w:val="20"/>
                <w:lang w:val="fr-CA"/>
              </w:rPr>
              <w:t xml:space="preserve"> et a conclu que la preuve soulevait tout au plus des soupçons que M. Hong avait pris part à une activité frauduleuse à l’égard de l’entreprise de M. </w:t>
            </w:r>
            <w:r w:rsidRPr="00F02DF6">
              <w:rPr>
                <w:rFonts w:eastAsia="Calibri"/>
                <w:color w:val="000000"/>
                <w:sz w:val="20"/>
                <w:lang w:val="fr-CA"/>
              </w:rPr>
              <w:t xml:space="preserve">Park. </w:t>
            </w:r>
            <w:r w:rsidRPr="00F02DF6">
              <w:rPr>
                <w:rFonts w:eastAsia="Calibri"/>
                <w:sz w:val="20"/>
                <w:lang w:val="fr-CA"/>
              </w:rPr>
              <w:t xml:space="preserve"> Elle a conclu que le demandeur n’avait pas fait la preuve </w:t>
            </w:r>
            <w:r w:rsidRPr="00F02DF6">
              <w:rPr>
                <w:rFonts w:eastAsia="Calibri"/>
                <w:i/>
                <w:sz w:val="20"/>
                <w:lang w:val="fr-CA"/>
              </w:rPr>
              <w:t>prima facie</w:t>
            </w:r>
            <w:r w:rsidRPr="00F02DF6">
              <w:rPr>
                <w:rFonts w:eastAsia="Calibri"/>
                <w:sz w:val="20"/>
                <w:lang w:val="fr-CA"/>
              </w:rPr>
              <w:t xml:space="preserve"> de ses allégations relativement aux accusations de fraude et à des questions connexes.  Elle a refusé de délivrer une sommation ou un mandat d’arrestation.</w:t>
            </w:r>
          </w:p>
          <w:p w:rsidR="00F10164" w:rsidRPr="00F02DF6" w:rsidRDefault="00F10164" w:rsidP="00C6299D">
            <w:pPr>
              <w:jc w:val="both"/>
              <w:rPr>
                <w:rFonts w:eastAsia="Calibri"/>
                <w:sz w:val="20"/>
                <w:lang w:val="fr-CA"/>
              </w:rPr>
            </w:pPr>
          </w:p>
        </w:tc>
      </w:tr>
      <w:tr w:rsidR="00F10164" w:rsidRPr="002A1430" w:rsidTr="000B0443">
        <w:trPr>
          <w:cantSplit/>
        </w:trPr>
        <w:tc>
          <w:tcPr>
            <w:tcW w:w="2427" w:type="pct"/>
          </w:tcPr>
          <w:p w:rsidR="00F10164" w:rsidRPr="00F02DF6" w:rsidRDefault="00F10164" w:rsidP="00C6299D">
            <w:pPr>
              <w:jc w:val="both"/>
              <w:rPr>
                <w:rFonts w:eastAsia="Calibri"/>
                <w:sz w:val="20"/>
                <w:lang w:val="fr-CA"/>
              </w:rPr>
            </w:pPr>
            <w:r w:rsidRPr="00F02DF6">
              <w:rPr>
                <w:rFonts w:eastAsia="Calibri"/>
                <w:sz w:val="20"/>
                <w:lang w:val="fr-CA"/>
              </w:rPr>
              <w:t>20 mars 2014</w:t>
            </w:r>
          </w:p>
          <w:p w:rsidR="00F10164" w:rsidRPr="00F02DF6" w:rsidRDefault="00F10164" w:rsidP="00C6299D">
            <w:pPr>
              <w:jc w:val="both"/>
              <w:rPr>
                <w:rFonts w:eastAsia="Calibri"/>
                <w:sz w:val="20"/>
                <w:lang w:val="fr-CA"/>
              </w:rPr>
            </w:pPr>
            <w:r w:rsidRPr="00F02DF6">
              <w:rPr>
                <w:rFonts w:eastAsia="Calibri"/>
                <w:sz w:val="20"/>
                <w:lang w:val="fr-CA"/>
              </w:rPr>
              <w:t>Cour supérieure de justice</w:t>
            </w:r>
          </w:p>
          <w:p w:rsidR="00F10164" w:rsidRPr="00F02DF6" w:rsidRDefault="00F10164" w:rsidP="00C6299D">
            <w:pPr>
              <w:jc w:val="both"/>
              <w:rPr>
                <w:rFonts w:eastAsia="Calibri"/>
                <w:sz w:val="20"/>
                <w:lang w:val="fr-CA"/>
              </w:rPr>
            </w:pPr>
            <w:r w:rsidRPr="00F02DF6">
              <w:rPr>
                <w:rFonts w:eastAsia="Calibri"/>
                <w:sz w:val="20"/>
                <w:lang w:val="fr-CA"/>
              </w:rPr>
              <w:t>(Juge Patillo)</w:t>
            </w:r>
          </w:p>
          <w:p w:rsidR="00F10164" w:rsidRPr="00F02DF6" w:rsidRDefault="00F10164" w:rsidP="00C6299D">
            <w:pPr>
              <w:jc w:val="both"/>
              <w:rPr>
                <w:rFonts w:eastAsia="Calibri"/>
                <w:sz w:val="20"/>
                <w:lang w:val="fr-CA"/>
              </w:rPr>
            </w:pPr>
            <w:r w:rsidRPr="00F02DF6">
              <w:rPr>
                <w:rFonts w:eastAsia="Calibri"/>
                <w:color w:val="000000"/>
                <w:sz w:val="20"/>
                <w:lang w:val="fr-CA"/>
              </w:rPr>
              <w:t>2014 ONSC 1733</w:t>
            </w:r>
          </w:p>
        </w:tc>
        <w:tc>
          <w:tcPr>
            <w:tcW w:w="243" w:type="pct"/>
          </w:tcPr>
          <w:p w:rsidR="00F10164" w:rsidRPr="00F02DF6" w:rsidRDefault="00F10164" w:rsidP="00C6299D">
            <w:pPr>
              <w:jc w:val="both"/>
              <w:rPr>
                <w:rFonts w:eastAsia="Calibri"/>
                <w:sz w:val="20"/>
                <w:lang w:val="fr-CA"/>
              </w:rPr>
            </w:pPr>
          </w:p>
        </w:tc>
        <w:tc>
          <w:tcPr>
            <w:tcW w:w="2330" w:type="pct"/>
          </w:tcPr>
          <w:p w:rsidR="00F10164" w:rsidRPr="00F02DF6" w:rsidRDefault="00F10164" w:rsidP="00C6299D">
            <w:pPr>
              <w:jc w:val="both"/>
              <w:rPr>
                <w:rFonts w:eastAsia="Calibri"/>
                <w:color w:val="000000"/>
                <w:sz w:val="20"/>
                <w:lang w:val="fr-CA"/>
              </w:rPr>
            </w:pPr>
            <w:r w:rsidRPr="00F02DF6">
              <w:rPr>
                <w:rFonts w:eastAsia="Calibri"/>
                <w:color w:val="000000"/>
                <w:sz w:val="20"/>
                <w:lang w:val="fr-CA"/>
              </w:rPr>
              <w:t>Rejet de la demande de M. Park en contrôle judiciaire d’une décision d’une juge de paix refusant de délivrer des moyens de contrainte contre M. Hong relativement à des accusations de vol de plus de 5 000 $, de fraude et de faux.</w:t>
            </w:r>
          </w:p>
          <w:p w:rsidR="00F10164" w:rsidRPr="00F02DF6" w:rsidRDefault="00F10164" w:rsidP="00C6299D">
            <w:pPr>
              <w:jc w:val="both"/>
              <w:rPr>
                <w:rFonts w:eastAsia="Calibri"/>
                <w:sz w:val="20"/>
                <w:lang w:val="fr-CA"/>
              </w:rPr>
            </w:pPr>
          </w:p>
        </w:tc>
      </w:tr>
      <w:tr w:rsidR="00F10164" w:rsidRPr="00F02DF6" w:rsidTr="000B0443">
        <w:trPr>
          <w:cantSplit/>
        </w:trPr>
        <w:tc>
          <w:tcPr>
            <w:tcW w:w="2427" w:type="pct"/>
          </w:tcPr>
          <w:p w:rsidR="00F10164" w:rsidRPr="00F02DF6" w:rsidRDefault="00F10164" w:rsidP="00C6299D">
            <w:pPr>
              <w:jc w:val="both"/>
              <w:rPr>
                <w:rFonts w:eastAsia="Calibri"/>
                <w:sz w:val="20"/>
                <w:lang w:val="fr-CA"/>
              </w:rPr>
            </w:pPr>
            <w:r w:rsidRPr="00F02DF6">
              <w:rPr>
                <w:rFonts w:eastAsia="Calibri"/>
                <w:sz w:val="20"/>
                <w:lang w:val="fr-CA"/>
              </w:rPr>
              <w:t>9 décembre 2014</w:t>
            </w:r>
          </w:p>
          <w:p w:rsidR="00F10164" w:rsidRPr="00F02DF6" w:rsidRDefault="00F10164" w:rsidP="00C6299D">
            <w:pPr>
              <w:jc w:val="both"/>
              <w:rPr>
                <w:rFonts w:eastAsia="Calibri"/>
                <w:sz w:val="20"/>
                <w:lang w:val="fr-CA"/>
              </w:rPr>
            </w:pPr>
            <w:r w:rsidRPr="00F02DF6">
              <w:rPr>
                <w:rFonts w:eastAsia="Calibri"/>
                <w:sz w:val="20"/>
                <w:lang w:val="fr-CA"/>
              </w:rPr>
              <w:t>Cour d’appel de l’Ontario</w:t>
            </w:r>
          </w:p>
          <w:p w:rsidR="00F10164" w:rsidRPr="00F02DF6" w:rsidRDefault="00F10164" w:rsidP="00C6299D">
            <w:pPr>
              <w:jc w:val="both"/>
              <w:rPr>
                <w:rFonts w:eastAsia="Calibri"/>
                <w:sz w:val="20"/>
                <w:lang w:val="fr-CA"/>
              </w:rPr>
            </w:pPr>
            <w:r w:rsidRPr="00F02DF6">
              <w:rPr>
                <w:rFonts w:eastAsia="Calibri"/>
                <w:sz w:val="20"/>
                <w:lang w:val="fr-CA"/>
              </w:rPr>
              <w:t>(Juges Doherty, Rouleau et Pepall)</w:t>
            </w:r>
          </w:p>
          <w:p w:rsidR="00F10164" w:rsidRPr="00F02DF6" w:rsidRDefault="00F10164" w:rsidP="00C6299D">
            <w:pPr>
              <w:jc w:val="both"/>
              <w:rPr>
                <w:rFonts w:eastAsia="Calibri"/>
                <w:sz w:val="20"/>
                <w:lang w:val="fr-CA"/>
              </w:rPr>
            </w:pPr>
            <w:r w:rsidRPr="00F02DF6">
              <w:rPr>
                <w:rFonts w:eastAsia="Calibri"/>
                <w:sz w:val="20"/>
                <w:lang w:val="fr-CA"/>
              </w:rPr>
              <w:t>(non publié)</w:t>
            </w:r>
          </w:p>
          <w:p w:rsidR="00F10164" w:rsidRPr="00F02DF6" w:rsidRDefault="00F10164" w:rsidP="00C6299D">
            <w:pPr>
              <w:jc w:val="both"/>
              <w:rPr>
                <w:rFonts w:eastAsia="Calibri"/>
                <w:sz w:val="20"/>
                <w:lang w:val="fr-CA"/>
              </w:rPr>
            </w:pPr>
          </w:p>
        </w:tc>
        <w:tc>
          <w:tcPr>
            <w:tcW w:w="243" w:type="pct"/>
          </w:tcPr>
          <w:p w:rsidR="00F10164" w:rsidRPr="00F02DF6" w:rsidRDefault="00F10164" w:rsidP="00C6299D">
            <w:pPr>
              <w:jc w:val="both"/>
              <w:rPr>
                <w:rFonts w:eastAsia="Calibri"/>
                <w:sz w:val="20"/>
                <w:lang w:val="fr-CA"/>
              </w:rPr>
            </w:pPr>
          </w:p>
        </w:tc>
        <w:tc>
          <w:tcPr>
            <w:tcW w:w="2330" w:type="pct"/>
          </w:tcPr>
          <w:p w:rsidR="00F10164" w:rsidRPr="00F02DF6" w:rsidRDefault="00F10164" w:rsidP="00C6299D">
            <w:pPr>
              <w:jc w:val="both"/>
              <w:rPr>
                <w:rFonts w:eastAsia="Calibri"/>
                <w:sz w:val="20"/>
                <w:lang w:val="fr-CA"/>
              </w:rPr>
            </w:pPr>
            <w:r w:rsidRPr="00F02DF6">
              <w:rPr>
                <w:rFonts w:eastAsia="Calibri"/>
                <w:sz w:val="20"/>
                <w:lang w:val="fr-CA"/>
              </w:rPr>
              <w:t>Rejet de l’appel.</w:t>
            </w:r>
          </w:p>
          <w:p w:rsidR="00F10164" w:rsidRPr="00F02DF6" w:rsidRDefault="00F10164" w:rsidP="00C6299D">
            <w:pPr>
              <w:jc w:val="both"/>
              <w:rPr>
                <w:rFonts w:eastAsia="Calibri"/>
                <w:sz w:val="20"/>
                <w:lang w:val="fr-CA"/>
              </w:rPr>
            </w:pPr>
          </w:p>
          <w:p w:rsidR="00F10164" w:rsidRPr="00F02DF6" w:rsidRDefault="00F10164" w:rsidP="00C6299D">
            <w:pPr>
              <w:jc w:val="both"/>
              <w:rPr>
                <w:rFonts w:eastAsia="Calibri"/>
                <w:sz w:val="20"/>
                <w:lang w:val="fr-CA"/>
              </w:rPr>
            </w:pPr>
          </w:p>
        </w:tc>
      </w:tr>
      <w:tr w:rsidR="00F10164" w:rsidRPr="002A1430" w:rsidTr="000B0443">
        <w:trPr>
          <w:cantSplit/>
        </w:trPr>
        <w:tc>
          <w:tcPr>
            <w:tcW w:w="2427" w:type="pct"/>
          </w:tcPr>
          <w:p w:rsidR="00F10164" w:rsidRPr="00F02DF6" w:rsidRDefault="00F10164" w:rsidP="00C6299D">
            <w:pPr>
              <w:jc w:val="both"/>
              <w:rPr>
                <w:rFonts w:eastAsia="Calibri"/>
                <w:sz w:val="20"/>
                <w:lang w:val="fr-CA"/>
              </w:rPr>
            </w:pPr>
            <w:r w:rsidRPr="00F02DF6">
              <w:rPr>
                <w:rFonts w:eastAsia="Calibri"/>
                <w:sz w:val="20"/>
                <w:lang w:val="fr-CA"/>
              </w:rPr>
              <w:t>3 février 2015</w:t>
            </w:r>
          </w:p>
          <w:p w:rsidR="00F10164" w:rsidRPr="00F02DF6" w:rsidRDefault="00F10164" w:rsidP="00C6299D">
            <w:pPr>
              <w:jc w:val="both"/>
              <w:rPr>
                <w:rFonts w:eastAsia="Calibri"/>
                <w:sz w:val="20"/>
                <w:lang w:val="fr-CA"/>
              </w:rPr>
            </w:pPr>
            <w:r w:rsidRPr="00F02DF6">
              <w:rPr>
                <w:rFonts w:eastAsia="Calibri"/>
                <w:sz w:val="20"/>
                <w:lang w:val="fr-CA"/>
              </w:rPr>
              <w:t>Cour suprême du Canada</w:t>
            </w:r>
          </w:p>
        </w:tc>
        <w:tc>
          <w:tcPr>
            <w:tcW w:w="243" w:type="pct"/>
          </w:tcPr>
          <w:p w:rsidR="00F10164" w:rsidRPr="00F02DF6" w:rsidRDefault="00F10164" w:rsidP="00C6299D">
            <w:pPr>
              <w:jc w:val="both"/>
              <w:rPr>
                <w:rFonts w:eastAsia="Calibri"/>
                <w:sz w:val="20"/>
                <w:lang w:val="fr-CA"/>
              </w:rPr>
            </w:pPr>
          </w:p>
        </w:tc>
        <w:tc>
          <w:tcPr>
            <w:tcW w:w="2330" w:type="pct"/>
          </w:tcPr>
          <w:p w:rsidR="00F10164" w:rsidRPr="00F02DF6" w:rsidRDefault="00F10164" w:rsidP="00C6299D">
            <w:pPr>
              <w:jc w:val="both"/>
              <w:rPr>
                <w:rFonts w:eastAsia="Calibri"/>
                <w:sz w:val="20"/>
                <w:lang w:val="fr-CA"/>
              </w:rPr>
            </w:pPr>
            <w:r w:rsidRPr="00F02DF6">
              <w:rPr>
                <w:rFonts w:eastAsia="Calibri"/>
                <w:sz w:val="20"/>
                <w:lang w:val="fr-CA"/>
              </w:rPr>
              <w:t>Dépôt de la demande d’autorisation d’appel.</w:t>
            </w:r>
          </w:p>
          <w:p w:rsidR="00F10164" w:rsidRPr="00F02DF6" w:rsidRDefault="00F10164" w:rsidP="00C6299D">
            <w:pPr>
              <w:jc w:val="both"/>
              <w:rPr>
                <w:rFonts w:eastAsia="Calibri"/>
                <w:sz w:val="20"/>
                <w:lang w:val="fr-CA"/>
              </w:rPr>
            </w:pPr>
          </w:p>
        </w:tc>
      </w:tr>
    </w:tbl>
    <w:p w:rsidR="00A23156" w:rsidRPr="00F10164" w:rsidRDefault="00A23156" w:rsidP="00A23156">
      <w:pPr>
        <w:rPr>
          <w:sz w:val="20"/>
          <w:szCs w:val="20"/>
          <w:lang w:val="fr-CA"/>
        </w:rPr>
      </w:pPr>
    </w:p>
    <w:p w:rsidR="00A23156" w:rsidRDefault="005B3B50" w:rsidP="00A23156">
      <w:pPr>
        <w:rPr>
          <w:sz w:val="20"/>
          <w:szCs w:val="20"/>
          <w:lang w:val="fr-CA"/>
        </w:rPr>
      </w:pPr>
      <w:r>
        <w:rPr>
          <w:sz w:val="20"/>
          <w:szCs w:val="20"/>
          <w:lang w:val="fr-CA"/>
        </w:rPr>
        <w:pict>
          <v:rect id="_x0000_i1068" style="width:2in;height:1pt" o:hrpct="0" o:hralign="center" o:hrstd="t" o:hrnoshade="t" o:hr="t" fillcolor="black [3213]" stroked="f"/>
        </w:pict>
      </w:r>
    </w:p>
    <w:p w:rsidR="00A23156" w:rsidRDefault="00A23156" w:rsidP="00A23156">
      <w:pPr>
        <w:rPr>
          <w:sz w:val="20"/>
          <w:szCs w:val="20"/>
          <w:lang w:val="fr-CA"/>
        </w:rPr>
      </w:pPr>
    </w:p>
    <w:p w:rsidR="000E2959" w:rsidRPr="00A95003" w:rsidRDefault="000E2959" w:rsidP="000E2959">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71"/>
          <w:headerReference w:type="default" r:id="rId72"/>
          <w:footerReference w:type="even" r:id="rId73"/>
          <w:footerReference w:type="default" r:id="rId74"/>
          <w:headerReference w:type="first" r:id="rId75"/>
          <w:footerReference w:type="first" r:id="rId7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F0064C" w:rsidRPr="00F0064C" w:rsidRDefault="00F0064C" w:rsidP="00F0064C">
      <w:pPr>
        <w:tabs>
          <w:tab w:val="left" w:pos="-1440"/>
          <w:tab w:val="left" w:pos="-720"/>
        </w:tabs>
        <w:jc w:val="both"/>
        <w:rPr>
          <w:rFonts w:eastAsia="Times New Roman" w:cs="Times New Roman"/>
          <w:sz w:val="20"/>
          <w:szCs w:val="20"/>
          <w:lang w:val="fr-CA" w:eastAsia="en-CA"/>
        </w:rPr>
      </w:pPr>
      <w:r w:rsidRPr="00F0064C">
        <w:rPr>
          <w:rFonts w:eastAsia="Times New Roman" w:cs="Times New Roman"/>
          <w:sz w:val="20"/>
          <w:szCs w:val="20"/>
          <w:lang w:val="fr-CA" w:eastAsia="en-CA"/>
        </w:rPr>
        <w:t>04.05.2015</w:t>
      </w:r>
    </w:p>
    <w:p w:rsidR="00F0064C" w:rsidRPr="00F0064C" w:rsidRDefault="00F0064C" w:rsidP="00F0064C">
      <w:pPr>
        <w:tabs>
          <w:tab w:val="left" w:pos="-1440"/>
          <w:tab w:val="left" w:pos="-720"/>
        </w:tabs>
        <w:jc w:val="both"/>
        <w:rPr>
          <w:rFonts w:eastAsia="Times New Roman" w:cs="Times New Roman"/>
          <w:sz w:val="20"/>
          <w:szCs w:val="20"/>
          <w:lang w:val="fr-CA" w:eastAsia="en-CA"/>
        </w:rPr>
      </w:pPr>
    </w:p>
    <w:p w:rsidR="00F0064C" w:rsidRPr="00F0064C" w:rsidRDefault="00F0064C" w:rsidP="00F0064C">
      <w:pPr>
        <w:tabs>
          <w:tab w:val="left" w:pos="-1440"/>
          <w:tab w:val="left" w:pos="-720"/>
        </w:tabs>
        <w:jc w:val="both"/>
        <w:rPr>
          <w:rFonts w:eastAsia="Times New Roman" w:cs="Times New Roman"/>
          <w:sz w:val="20"/>
          <w:szCs w:val="20"/>
          <w:lang w:val="fr-CA" w:eastAsia="en-CA"/>
        </w:rPr>
      </w:pPr>
      <w:r w:rsidRPr="00F0064C">
        <w:rPr>
          <w:rFonts w:eastAsia="Times New Roman" w:cs="Times New Roman"/>
          <w:sz w:val="20"/>
          <w:szCs w:val="20"/>
          <w:lang w:val="fr-CA" w:eastAsia="en-CA"/>
        </w:rPr>
        <w:t>Before / Devant :   GASCON J. / LE JUGE GASCON</w:t>
      </w:r>
    </w:p>
    <w:p w:rsidR="00F0064C" w:rsidRPr="00F0064C" w:rsidRDefault="00F0064C" w:rsidP="00F0064C">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F0064C" w:rsidRPr="002A1430" w:rsidTr="006A6EF8">
        <w:tc>
          <w:tcPr>
            <w:tcW w:w="4338" w:type="dxa"/>
            <w:gridSpan w:val="2"/>
          </w:tcPr>
          <w:p w:rsidR="00F0064C" w:rsidRPr="00F0064C" w:rsidRDefault="00F0064C" w:rsidP="00F0064C">
            <w:pPr>
              <w:jc w:val="both"/>
              <w:rPr>
                <w:b/>
              </w:rPr>
            </w:pPr>
            <w:r w:rsidRPr="00F0064C">
              <w:rPr>
                <w:b/>
                <w:lang w:val="en-US"/>
              </w:rPr>
              <w:t xml:space="preserve">Order on intervention with respect to oral argument </w:t>
            </w:r>
            <w:r w:rsidR="00B158EB" w:rsidRPr="00F0064C">
              <w:rPr>
                <w:b/>
                <w:lang w:val="en-US"/>
              </w:rPr>
              <w:fldChar w:fldCharType="begin"/>
            </w:r>
            <w:r w:rsidRPr="00F0064C">
              <w:rPr>
                <w:b/>
              </w:rPr>
              <w:instrText xml:space="preserve"> SEQ CHAPTER \h \r 1</w:instrText>
            </w:r>
            <w:r w:rsidR="00B158EB" w:rsidRPr="00F0064C">
              <w:rPr>
                <w:b/>
                <w:lang w:val="en-US"/>
              </w:rPr>
              <w:fldChar w:fldCharType="end"/>
            </w:r>
          </w:p>
        </w:tc>
        <w:tc>
          <w:tcPr>
            <w:tcW w:w="1170" w:type="dxa"/>
          </w:tcPr>
          <w:p w:rsidR="00F0064C" w:rsidRPr="00F0064C" w:rsidRDefault="00F0064C" w:rsidP="00F0064C"/>
          <w:p w:rsidR="00F0064C" w:rsidRPr="00F0064C" w:rsidRDefault="00F0064C" w:rsidP="00F0064C"/>
          <w:p w:rsidR="00F0064C" w:rsidRPr="00F0064C" w:rsidRDefault="00F0064C" w:rsidP="00F0064C"/>
        </w:tc>
        <w:tc>
          <w:tcPr>
            <w:tcW w:w="4327" w:type="dxa"/>
          </w:tcPr>
          <w:p w:rsidR="00F0064C" w:rsidRPr="00F0064C" w:rsidRDefault="00F0064C" w:rsidP="00F0064C">
            <w:pPr>
              <w:jc w:val="both"/>
              <w:rPr>
                <w:b/>
                <w:lang w:val="fr-CA"/>
              </w:rPr>
            </w:pPr>
            <w:r w:rsidRPr="00F0064C">
              <w:rPr>
                <w:b/>
                <w:lang w:val="fr-CA"/>
              </w:rPr>
              <w:t>Ordonnance relative à la présentation d’une plaidoirie orale par l’intervenant</w:t>
            </w:r>
            <w:r w:rsidR="00B158EB" w:rsidRPr="00F0064C">
              <w:rPr>
                <w:b/>
                <w:lang w:val="en-US"/>
              </w:rPr>
              <w:fldChar w:fldCharType="begin"/>
            </w:r>
            <w:r w:rsidRPr="00F0064C">
              <w:rPr>
                <w:b/>
                <w:lang w:val="fr-CA"/>
              </w:rPr>
              <w:instrText xml:space="preserve"> SEQ CHAPTER \h \r 1</w:instrText>
            </w:r>
            <w:r w:rsidR="00B158EB" w:rsidRPr="00F0064C">
              <w:rPr>
                <w:b/>
                <w:lang w:val="en-US"/>
              </w:rPr>
              <w:fldChar w:fldCharType="end"/>
            </w:r>
          </w:p>
        </w:tc>
      </w:tr>
      <w:tr w:rsidR="00F0064C" w:rsidRPr="00F0064C" w:rsidTr="006A6EF8">
        <w:trPr>
          <w:trHeight w:hRule="exact" w:val="360"/>
        </w:trPr>
        <w:tc>
          <w:tcPr>
            <w:tcW w:w="1368" w:type="dxa"/>
          </w:tcPr>
          <w:p w:rsidR="00F0064C" w:rsidRPr="00F0064C" w:rsidRDefault="00F0064C" w:rsidP="00F0064C">
            <w:r w:rsidRPr="00F0064C">
              <w:t>RE:</w:t>
            </w:r>
          </w:p>
        </w:tc>
        <w:tc>
          <w:tcPr>
            <w:tcW w:w="2970" w:type="dxa"/>
          </w:tcPr>
          <w:p w:rsidR="00F0064C" w:rsidRPr="00F0064C" w:rsidRDefault="00F0064C" w:rsidP="00F0064C">
            <w:r w:rsidRPr="00F0064C">
              <w:rPr>
                <w:bCs/>
                <w:lang w:val="fr-CA"/>
              </w:rPr>
              <w:t>Procureur général de l’Alberta</w:t>
            </w:r>
          </w:p>
        </w:tc>
        <w:tc>
          <w:tcPr>
            <w:tcW w:w="1170" w:type="dxa"/>
          </w:tcPr>
          <w:p w:rsidR="00F0064C" w:rsidRPr="00F0064C" w:rsidRDefault="00F0064C" w:rsidP="00F0064C"/>
        </w:tc>
        <w:tc>
          <w:tcPr>
            <w:tcW w:w="4327" w:type="dxa"/>
          </w:tcPr>
          <w:p w:rsidR="00F0064C" w:rsidRPr="00F0064C" w:rsidRDefault="00F0064C" w:rsidP="00F0064C"/>
        </w:tc>
      </w:tr>
      <w:tr w:rsidR="00F0064C" w:rsidRPr="00F0064C" w:rsidTr="006A6EF8">
        <w:tc>
          <w:tcPr>
            <w:tcW w:w="1368" w:type="dxa"/>
          </w:tcPr>
          <w:p w:rsidR="00F0064C" w:rsidRPr="00F0064C" w:rsidRDefault="00F0064C" w:rsidP="00F0064C"/>
        </w:tc>
        <w:tc>
          <w:tcPr>
            <w:tcW w:w="2970" w:type="dxa"/>
          </w:tcPr>
          <w:p w:rsidR="00F0064C" w:rsidRPr="00F0064C" w:rsidRDefault="00F0064C" w:rsidP="00F0064C"/>
        </w:tc>
        <w:tc>
          <w:tcPr>
            <w:tcW w:w="1170" w:type="dxa"/>
          </w:tcPr>
          <w:p w:rsidR="00F0064C" w:rsidRPr="00F0064C" w:rsidRDefault="00F0064C" w:rsidP="00F0064C"/>
        </w:tc>
        <w:tc>
          <w:tcPr>
            <w:tcW w:w="4327" w:type="dxa"/>
          </w:tcPr>
          <w:p w:rsidR="00F0064C" w:rsidRPr="00F0064C" w:rsidRDefault="00F0064C" w:rsidP="00F0064C"/>
        </w:tc>
      </w:tr>
      <w:tr w:rsidR="00F0064C" w:rsidRPr="00F0064C" w:rsidTr="006A6EF8">
        <w:tc>
          <w:tcPr>
            <w:tcW w:w="1368" w:type="dxa"/>
          </w:tcPr>
          <w:p w:rsidR="00F0064C" w:rsidRPr="00F0064C" w:rsidRDefault="00F0064C" w:rsidP="00F0064C">
            <w:r w:rsidRPr="00F0064C">
              <w:t>IN / DANS :</w:t>
            </w:r>
          </w:p>
        </w:tc>
        <w:tc>
          <w:tcPr>
            <w:tcW w:w="2970" w:type="dxa"/>
          </w:tcPr>
          <w:p w:rsidR="00F0064C" w:rsidRPr="00F0064C" w:rsidRDefault="00F0064C" w:rsidP="00F0064C">
            <w:pPr>
              <w:rPr>
                <w:lang w:val="fr-CA"/>
              </w:rPr>
            </w:pPr>
            <w:r w:rsidRPr="00F0064C">
              <w:rPr>
                <w:lang w:val="fr-CA"/>
              </w:rPr>
              <w:t xml:space="preserve">Sa Majesté la Reine </w:t>
            </w:r>
          </w:p>
          <w:p w:rsidR="00F0064C" w:rsidRPr="00F0064C" w:rsidRDefault="00F0064C" w:rsidP="00F0064C">
            <w:pPr>
              <w:rPr>
                <w:lang w:val="fr-CA"/>
              </w:rPr>
            </w:pPr>
          </w:p>
          <w:p w:rsidR="00F0064C" w:rsidRPr="00F0064C" w:rsidRDefault="00F0064C" w:rsidP="00F0064C">
            <w:pPr>
              <w:rPr>
                <w:lang w:val="fr-CA"/>
              </w:rPr>
            </w:pPr>
            <w:r w:rsidRPr="00F0064C">
              <w:rPr>
                <w:lang w:val="fr-CA"/>
              </w:rPr>
              <w:tab/>
              <w:t>c. (36001)</w:t>
            </w:r>
          </w:p>
          <w:p w:rsidR="00F0064C" w:rsidRPr="00F0064C" w:rsidRDefault="00F0064C" w:rsidP="00F0064C">
            <w:pPr>
              <w:rPr>
                <w:lang w:val="fr-CA"/>
              </w:rPr>
            </w:pPr>
          </w:p>
          <w:p w:rsidR="00F0064C" w:rsidRPr="00F0064C" w:rsidRDefault="00F0064C" w:rsidP="00F0064C">
            <w:r w:rsidRPr="00F0064C">
              <w:rPr>
                <w:lang w:val="fr-CA"/>
              </w:rPr>
              <w:t>Tommy Lacasse (Crim.) (Qc)</w:t>
            </w:r>
          </w:p>
        </w:tc>
        <w:tc>
          <w:tcPr>
            <w:tcW w:w="1170" w:type="dxa"/>
          </w:tcPr>
          <w:p w:rsidR="00F0064C" w:rsidRPr="00F0064C" w:rsidRDefault="00F0064C" w:rsidP="00F0064C"/>
        </w:tc>
        <w:tc>
          <w:tcPr>
            <w:tcW w:w="4327" w:type="dxa"/>
          </w:tcPr>
          <w:p w:rsidR="00F0064C" w:rsidRPr="00F0064C" w:rsidRDefault="00F0064C" w:rsidP="00F0064C"/>
        </w:tc>
      </w:tr>
    </w:tbl>
    <w:p w:rsidR="00F0064C" w:rsidRPr="00F0064C" w:rsidRDefault="00F0064C" w:rsidP="00F0064C">
      <w:pPr>
        <w:tabs>
          <w:tab w:val="left" w:pos="-1440"/>
          <w:tab w:val="left" w:pos="-720"/>
        </w:tabs>
        <w:jc w:val="both"/>
        <w:rPr>
          <w:rFonts w:eastAsia="Times New Roman" w:cs="Times New Roman"/>
          <w:sz w:val="20"/>
          <w:szCs w:val="20"/>
          <w:lang w:val="fr-CA" w:eastAsia="en-CA"/>
        </w:rPr>
      </w:pPr>
    </w:p>
    <w:p w:rsidR="00F0064C" w:rsidRPr="00F0064C" w:rsidRDefault="00F0064C" w:rsidP="00F0064C">
      <w:pPr>
        <w:spacing w:line="233" w:lineRule="auto"/>
        <w:jc w:val="both"/>
        <w:rPr>
          <w:rFonts w:eastAsia="Times New Roman" w:cs="Times New Roman"/>
          <w:b/>
          <w:bCs/>
          <w:sz w:val="20"/>
          <w:szCs w:val="20"/>
          <w:lang w:val="fr-CA" w:eastAsia="en-CA"/>
        </w:rPr>
      </w:pPr>
      <w:r w:rsidRPr="00F0064C">
        <w:rPr>
          <w:rFonts w:eastAsia="Times New Roman" w:cs="Times New Roman"/>
          <w:b/>
          <w:bCs/>
          <w:sz w:val="20"/>
          <w:szCs w:val="20"/>
          <w:lang w:val="fr-CA" w:eastAsia="en-CA"/>
        </w:rPr>
        <w:t xml:space="preserve">À LA SUITE DE L’ORDONNANCE </w:t>
      </w:r>
      <w:r w:rsidRPr="00F0064C">
        <w:rPr>
          <w:rFonts w:eastAsia="Times New Roman" w:cs="Times New Roman"/>
          <w:bCs/>
          <w:sz w:val="20"/>
          <w:szCs w:val="20"/>
          <w:lang w:val="fr-CA" w:eastAsia="en-CA"/>
        </w:rPr>
        <w:t>datée du 21 avril 2015, autorisant</w:t>
      </w:r>
      <w:r w:rsidRPr="00F0064C">
        <w:rPr>
          <w:rFonts w:eastAsia="Times New Roman" w:cs="Times New Roman"/>
          <w:sz w:val="20"/>
          <w:szCs w:val="20"/>
          <w:lang w:val="fr-CA" w:eastAsia="en-CA"/>
        </w:rPr>
        <w:t xml:space="preserve"> le </w:t>
      </w:r>
      <w:r w:rsidRPr="00F0064C">
        <w:rPr>
          <w:rFonts w:eastAsia="Times New Roman" w:cs="Times New Roman"/>
          <w:bCs/>
          <w:sz w:val="20"/>
          <w:szCs w:val="20"/>
          <w:lang w:val="fr-CA" w:eastAsia="en-CA"/>
        </w:rPr>
        <w:t>Procureur général de l’Alberta à intervenir;</w:t>
      </w:r>
    </w:p>
    <w:p w:rsidR="00F0064C" w:rsidRPr="00F0064C" w:rsidRDefault="00F0064C" w:rsidP="00F0064C">
      <w:pPr>
        <w:spacing w:line="233" w:lineRule="auto"/>
        <w:jc w:val="both"/>
        <w:rPr>
          <w:rFonts w:eastAsia="Times New Roman" w:cs="Times New Roman"/>
          <w:b/>
          <w:bCs/>
          <w:sz w:val="20"/>
          <w:szCs w:val="20"/>
          <w:lang w:val="fr-CA" w:eastAsia="en-CA"/>
        </w:rPr>
      </w:pPr>
    </w:p>
    <w:p w:rsidR="00F0064C" w:rsidRPr="00F0064C" w:rsidRDefault="00F0064C" w:rsidP="00F0064C">
      <w:pPr>
        <w:spacing w:line="233" w:lineRule="auto"/>
        <w:jc w:val="both"/>
        <w:rPr>
          <w:rFonts w:eastAsia="Times New Roman" w:cs="Times New Roman"/>
          <w:sz w:val="20"/>
          <w:szCs w:val="20"/>
          <w:lang w:val="fr-CA" w:eastAsia="en-CA"/>
        </w:rPr>
      </w:pPr>
      <w:r w:rsidRPr="00F0064C">
        <w:rPr>
          <w:rFonts w:eastAsia="Times New Roman" w:cs="Times New Roman"/>
          <w:b/>
          <w:bCs/>
          <w:sz w:val="20"/>
          <w:szCs w:val="20"/>
          <w:lang w:val="fr-CA" w:eastAsia="en-CA"/>
        </w:rPr>
        <w:t xml:space="preserve">IL EST EN OUTRE ORDONNÉ QUE </w:t>
      </w:r>
      <w:r w:rsidRPr="00F0064C">
        <w:rPr>
          <w:rFonts w:eastAsia="Times New Roman" w:cs="Times New Roman"/>
          <w:bCs/>
          <w:sz w:val="20"/>
          <w:szCs w:val="20"/>
          <w:lang w:val="fr-CA" w:eastAsia="en-CA"/>
        </w:rPr>
        <w:t>l’intervenant aura le droit de présenter une plaidoirie orale d’au plus dix (10) minutes lors de l’audition de l’appel.</w:t>
      </w:r>
    </w:p>
    <w:p w:rsidR="00F0064C" w:rsidRPr="00F0064C" w:rsidRDefault="00F0064C" w:rsidP="00F0064C">
      <w:pPr>
        <w:jc w:val="both"/>
        <w:rPr>
          <w:rFonts w:eastAsia="Times New Roman" w:cs="Times New Roman"/>
          <w:sz w:val="20"/>
          <w:szCs w:val="20"/>
          <w:lang w:val="fr-CA" w:eastAsia="en-CA"/>
        </w:rPr>
      </w:pPr>
    </w:p>
    <w:p w:rsidR="00F0064C" w:rsidRPr="00F0064C" w:rsidRDefault="00F0064C" w:rsidP="00F0064C">
      <w:pPr>
        <w:jc w:val="both"/>
        <w:rPr>
          <w:rFonts w:eastAsia="Times New Roman" w:cs="Times New Roman"/>
          <w:sz w:val="20"/>
          <w:szCs w:val="20"/>
          <w:lang w:val="fr-CA" w:eastAsia="en-CA"/>
        </w:rPr>
      </w:pPr>
    </w:p>
    <w:p w:rsidR="00F0064C" w:rsidRPr="00F0064C" w:rsidRDefault="00F0064C" w:rsidP="00F0064C">
      <w:pPr>
        <w:jc w:val="both"/>
        <w:rPr>
          <w:rFonts w:eastAsia="Times New Roman" w:cs="Times New Roman"/>
          <w:sz w:val="20"/>
          <w:szCs w:val="20"/>
          <w:lang w:val="fr-CA" w:eastAsia="en-CA"/>
        </w:rPr>
      </w:pPr>
    </w:p>
    <w:p w:rsidR="00F0064C" w:rsidRPr="00F0064C" w:rsidRDefault="00F0064C" w:rsidP="00F0064C">
      <w:pPr>
        <w:spacing w:line="233" w:lineRule="auto"/>
        <w:jc w:val="both"/>
        <w:rPr>
          <w:rFonts w:eastAsia="Times New Roman" w:cs="Times New Roman"/>
          <w:b/>
          <w:bCs/>
          <w:sz w:val="20"/>
          <w:szCs w:val="20"/>
          <w:lang w:val="en-US" w:eastAsia="en-CA"/>
        </w:rPr>
      </w:pPr>
      <w:r w:rsidRPr="00F0064C">
        <w:rPr>
          <w:rFonts w:eastAsia="Times New Roman" w:cs="Times New Roman"/>
          <w:b/>
          <w:bCs/>
          <w:sz w:val="20"/>
          <w:szCs w:val="20"/>
          <w:lang w:val="en-US" w:eastAsia="en-CA"/>
        </w:rPr>
        <w:t xml:space="preserve">FURTHER TO THE ORDER </w:t>
      </w:r>
      <w:r w:rsidRPr="00F0064C">
        <w:rPr>
          <w:rFonts w:eastAsia="Times New Roman" w:cs="Times New Roman"/>
          <w:bCs/>
          <w:sz w:val="20"/>
          <w:szCs w:val="20"/>
          <w:lang w:val="en-US" w:eastAsia="en-CA"/>
        </w:rPr>
        <w:t>dated April 21, 2015, granting leave to intervene to</w:t>
      </w:r>
      <w:r w:rsidRPr="00F0064C">
        <w:rPr>
          <w:rFonts w:eastAsia="Times New Roman" w:cs="Times New Roman"/>
          <w:sz w:val="20"/>
          <w:szCs w:val="20"/>
          <w:lang w:val="en-US" w:eastAsia="en-CA"/>
        </w:rPr>
        <w:t xml:space="preserve"> the </w:t>
      </w:r>
      <w:r w:rsidRPr="00F0064C">
        <w:rPr>
          <w:rFonts w:eastAsia="Times New Roman" w:cs="Times New Roman"/>
          <w:bCs/>
          <w:sz w:val="20"/>
          <w:szCs w:val="20"/>
          <w:lang w:val="en-US" w:eastAsia="en-CA"/>
        </w:rPr>
        <w:t>Attorney General of Alberta;</w:t>
      </w:r>
    </w:p>
    <w:p w:rsidR="00F0064C" w:rsidRPr="00F0064C" w:rsidRDefault="00F0064C" w:rsidP="00F0064C">
      <w:pPr>
        <w:spacing w:line="233" w:lineRule="auto"/>
        <w:jc w:val="both"/>
        <w:rPr>
          <w:rFonts w:eastAsia="Times New Roman" w:cs="Times New Roman"/>
          <w:b/>
          <w:bCs/>
          <w:sz w:val="20"/>
          <w:szCs w:val="20"/>
          <w:lang w:val="en-US" w:eastAsia="en-CA"/>
        </w:rPr>
      </w:pPr>
    </w:p>
    <w:p w:rsidR="00F0064C" w:rsidRPr="00F0064C" w:rsidRDefault="00F0064C" w:rsidP="00F0064C">
      <w:pPr>
        <w:spacing w:line="233" w:lineRule="auto"/>
        <w:jc w:val="both"/>
        <w:rPr>
          <w:rFonts w:eastAsia="Times New Roman" w:cs="Times New Roman"/>
          <w:b/>
          <w:bCs/>
          <w:sz w:val="20"/>
          <w:szCs w:val="20"/>
          <w:lang w:val="en-US" w:eastAsia="en-CA"/>
        </w:rPr>
      </w:pPr>
      <w:r w:rsidRPr="00F0064C">
        <w:rPr>
          <w:rFonts w:eastAsia="Times New Roman" w:cs="Times New Roman"/>
          <w:b/>
          <w:bCs/>
          <w:sz w:val="20"/>
          <w:szCs w:val="20"/>
          <w:lang w:val="en-US" w:eastAsia="en-CA"/>
        </w:rPr>
        <w:t xml:space="preserve">IT IS HEREBY FURTHER ORDERED THAT </w:t>
      </w:r>
      <w:r w:rsidRPr="00F0064C">
        <w:rPr>
          <w:rFonts w:eastAsia="Times New Roman" w:cs="Times New Roman"/>
          <w:bCs/>
          <w:sz w:val="20"/>
          <w:szCs w:val="20"/>
          <w:lang w:val="en-US" w:eastAsia="en-CA"/>
        </w:rPr>
        <w:t xml:space="preserve">the said intervener is granted permission to present oral argument not exceeding ten (10) minutes at the hearing of the appeal.  </w:t>
      </w:r>
    </w:p>
    <w:p w:rsidR="00F0064C" w:rsidRPr="00F0064C" w:rsidRDefault="00F0064C" w:rsidP="00F0064C">
      <w:pPr>
        <w:tabs>
          <w:tab w:val="left" w:pos="-1440"/>
          <w:tab w:val="left" w:pos="-720"/>
        </w:tabs>
        <w:jc w:val="both"/>
        <w:rPr>
          <w:rFonts w:eastAsia="Times New Roman" w:cs="Times New Roman"/>
          <w:sz w:val="20"/>
          <w:szCs w:val="20"/>
          <w:lang w:val="en-US" w:eastAsia="en-CA"/>
        </w:rPr>
      </w:pPr>
    </w:p>
    <w:p w:rsidR="00F0064C" w:rsidRPr="00F0064C" w:rsidRDefault="005B3B50" w:rsidP="00F0064C">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71" style="width:2in;height:1pt" o:hrpct="0" o:hralign="center" o:hrstd="t" o:hrnoshade="t" o:hr="t" fillcolor="black [3213]" stroked="f"/>
        </w:pict>
      </w:r>
    </w:p>
    <w:p w:rsidR="00F0064C" w:rsidRPr="00F0064C" w:rsidRDefault="00F0064C" w:rsidP="00F0064C">
      <w:pPr>
        <w:tabs>
          <w:tab w:val="left" w:pos="-1440"/>
          <w:tab w:val="left" w:pos="-720"/>
        </w:tabs>
        <w:jc w:val="both"/>
        <w:rPr>
          <w:rFonts w:eastAsia="Times New Roman" w:cs="Times New Roman"/>
          <w:sz w:val="20"/>
          <w:szCs w:val="20"/>
          <w:lang w:val="fr-CA" w:eastAsia="en-CA"/>
        </w:rPr>
      </w:pPr>
    </w:p>
    <w:p w:rsidR="00F0064C" w:rsidRPr="00F0064C" w:rsidRDefault="00F0064C" w:rsidP="00F0064C">
      <w:pPr>
        <w:tabs>
          <w:tab w:val="left" w:pos="-1440"/>
          <w:tab w:val="left" w:pos="-720"/>
        </w:tabs>
        <w:jc w:val="both"/>
        <w:rPr>
          <w:rFonts w:eastAsia="Times New Roman" w:cs="Times New Roman"/>
          <w:sz w:val="20"/>
          <w:szCs w:val="20"/>
          <w:lang w:val="fr-CA" w:eastAsia="en-CA"/>
        </w:rPr>
      </w:pPr>
      <w:r w:rsidRPr="00F0064C">
        <w:rPr>
          <w:rFonts w:eastAsia="Times New Roman" w:cs="Times New Roman"/>
          <w:sz w:val="20"/>
          <w:szCs w:val="20"/>
          <w:lang w:val="fr-CA" w:eastAsia="en-CA"/>
        </w:rPr>
        <w:t>04.05.2015</w:t>
      </w:r>
    </w:p>
    <w:p w:rsidR="00F0064C" w:rsidRPr="00F0064C" w:rsidRDefault="00F0064C" w:rsidP="00F0064C">
      <w:pPr>
        <w:tabs>
          <w:tab w:val="left" w:pos="-1440"/>
          <w:tab w:val="left" w:pos="-720"/>
        </w:tabs>
        <w:jc w:val="both"/>
        <w:rPr>
          <w:rFonts w:eastAsia="Times New Roman" w:cs="Times New Roman"/>
          <w:sz w:val="20"/>
          <w:szCs w:val="20"/>
          <w:lang w:val="fr-CA" w:eastAsia="en-CA"/>
        </w:rPr>
      </w:pPr>
    </w:p>
    <w:p w:rsidR="00F0064C" w:rsidRPr="00F0064C" w:rsidRDefault="00F0064C" w:rsidP="00F0064C">
      <w:pPr>
        <w:tabs>
          <w:tab w:val="left" w:pos="-1440"/>
          <w:tab w:val="left" w:pos="-720"/>
        </w:tabs>
        <w:jc w:val="both"/>
        <w:rPr>
          <w:rFonts w:eastAsia="Times New Roman" w:cs="Times New Roman"/>
          <w:sz w:val="20"/>
          <w:szCs w:val="20"/>
          <w:lang w:val="fr-CA" w:eastAsia="en-CA"/>
        </w:rPr>
      </w:pPr>
      <w:r w:rsidRPr="00F0064C">
        <w:rPr>
          <w:rFonts w:eastAsia="Times New Roman" w:cs="Times New Roman"/>
          <w:sz w:val="20"/>
          <w:szCs w:val="20"/>
          <w:lang w:val="fr-CA" w:eastAsia="en-CA"/>
        </w:rPr>
        <w:t>Before / Devant :   THE CHIEF JUSTICE / LA JUGE EN CHEF</w:t>
      </w:r>
    </w:p>
    <w:p w:rsidR="00F0064C" w:rsidRPr="00F0064C" w:rsidRDefault="00F0064C" w:rsidP="00F0064C">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F0064C" w:rsidRPr="002A1430" w:rsidTr="006A6EF8">
        <w:tc>
          <w:tcPr>
            <w:tcW w:w="4338" w:type="dxa"/>
          </w:tcPr>
          <w:p w:rsidR="00F0064C" w:rsidRPr="00F0064C" w:rsidRDefault="00B158EB" w:rsidP="00F0064C">
            <w:pPr>
              <w:tabs>
                <w:tab w:val="left" w:pos="-1440"/>
                <w:tab w:val="left" w:pos="-720"/>
              </w:tabs>
              <w:jc w:val="both"/>
              <w:rPr>
                <w:b/>
              </w:rPr>
            </w:pPr>
            <w:r w:rsidRPr="00F0064C">
              <w:rPr>
                <w:szCs w:val="24"/>
                <w:lang w:val="en-US"/>
              </w:rPr>
              <w:fldChar w:fldCharType="begin"/>
            </w:r>
            <w:r w:rsidR="00F0064C" w:rsidRPr="00F0064C">
              <w:rPr>
                <w:szCs w:val="24"/>
                <w:lang w:val="en-US"/>
              </w:rPr>
              <w:instrText xml:space="preserve"> SEQ CHAPTER \h \r 1</w:instrText>
            </w:r>
            <w:r w:rsidRPr="00F0064C">
              <w:rPr>
                <w:szCs w:val="24"/>
                <w:lang w:val="en-US"/>
              </w:rPr>
              <w:fldChar w:fldCharType="end"/>
            </w:r>
            <w:r w:rsidR="00F0064C" w:rsidRPr="00F0064C">
              <w:rPr>
                <w:b/>
                <w:bCs/>
                <w:lang w:val="en-US"/>
              </w:rPr>
              <w:t xml:space="preserve">Order appointing </w:t>
            </w:r>
            <w:r w:rsidR="00F0064C" w:rsidRPr="00F0064C">
              <w:rPr>
                <w:b/>
                <w:bCs/>
                <w:i/>
                <w:iCs/>
                <w:lang w:val="en-US"/>
              </w:rPr>
              <w:t>amicus curiae</w:t>
            </w:r>
          </w:p>
        </w:tc>
        <w:tc>
          <w:tcPr>
            <w:tcW w:w="1170" w:type="dxa"/>
          </w:tcPr>
          <w:p w:rsidR="00F0064C" w:rsidRPr="00F0064C" w:rsidRDefault="00F0064C" w:rsidP="00F0064C">
            <w:pPr>
              <w:tabs>
                <w:tab w:val="left" w:pos="-1440"/>
                <w:tab w:val="left" w:pos="-720"/>
              </w:tabs>
              <w:jc w:val="both"/>
            </w:pPr>
          </w:p>
          <w:p w:rsidR="00F0064C" w:rsidRPr="00F0064C" w:rsidRDefault="00F0064C" w:rsidP="00F0064C">
            <w:pPr>
              <w:tabs>
                <w:tab w:val="left" w:pos="-1440"/>
                <w:tab w:val="left" w:pos="-720"/>
              </w:tabs>
              <w:jc w:val="both"/>
            </w:pPr>
          </w:p>
        </w:tc>
        <w:tc>
          <w:tcPr>
            <w:tcW w:w="4327" w:type="dxa"/>
          </w:tcPr>
          <w:p w:rsidR="00F0064C" w:rsidRPr="00F0064C" w:rsidRDefault="00B158EB" w:rsidP="00F0064C">
            <w:pPr>
              <w:tabs>
                <w:tab w:val="left" w:pos="-1440"/>
                <w:tab w:val="left" w:pos="-720"/>
              </w:tabs>
              <w:jc w:val="both"/>
              <w:rPr>
                <w:lang w:val="fr-CA"/>
              </w:rPr>
            </w:pPr>
            <w:r w:rsidRPr="00F0064C">
              <w:rPr>
                <w:szCs w:val="24"/>
                <w:lang w:val="en-US"/>
              </w:rPr>
              <w:fldChar w:fldCharType="begin"/>
            </w:r>
            <w:r w:rsidR="00F0064C" w:rsidRPr="00F0064C">
              <w:rPr>
                <w:szCs w:val="24"/>
                <w:lang w:val="fr-CA"/>
              </w:rPr>
              <w:instrText xml:space="preserve"> SEQ CHAPTER \h \r 1</w:instrText>
            </w:r>
            <w:r w:rsidRPr="00F0064C">
              <w:rPr>
                <w:szCs w:val="24"/>
                <w:lang w:val="en-US"/>
              </w:rPr>
              <w:fldChar w:fldCharType="end"/>
            </w:r>
            <w:r w:rsidR="00F0064C" w:rsidRPr="00F0064C">
              <w:rPr>
                <w:b/>
                <w:bCs/>
                <w:lang w:val="fr-CA"/>
              </w:rPr>
              <w:t xml:space="preserve">Ordonnance nommant un </w:t>
            </w:r>
            <w:r w:rsidR="00F0064C" w:rsidRPr="00F0064C">
              <w:rPr>
                <w:b/>
                <w:bCs/>
                <w:i/>
                <w:iCs/>
                <w:lang w:val="fr-CA"/>
              </w:rPr>
              <w:t>amicus curiae</w:t>
            </w:r>
            <w:r w:rsidR="00F0064C" w:rsidRPr="00F0064C">
              <w:rPr>
                <w:lang w:val="fr-CA"/>
              </w:rPr>
              <w:t xml:space="preserve"> </w:t>
            </w:r>
            <w:r w:rsidRPr="00F0064C">
              <w:rPr>
                <w:lang w:val="en-US"/>
              </w:rPr>
              <w:fldChar w:fldCharType="begin"/>
            </w:r>
            <w:r w:rsidR="00F0064C" w:rsidRPr="00F0064C">
              <w:rPr>
                <w:lang w:val="fr-CA"/>
              </w:rPr>
              <w:instrText xml:space="preserve"> SEQ CHAPTER \h \r 1</w:instrText>
            </w:r>
            <w:r w:rsidRPr="00F0064C">
              <w:rPr>
                <w:lang w:val="en-US"/>
              </w:rPr>
              <w:fldChar w:fldCharType="end"/>
            </w:r>
            <w:r w:rsidRPr="00F0064C">
              <w:rPr>
                <w:lang w:val="en-US"/>
              </w:rPr>
              <w:fldChar w:fldCharType="begin"/>
            </w:r>
            <w:r w:rsidR="00F0064C" w:rsidRPr="00F0064C">
              <w:rPr>
                <w:lang w:val="fr-CA"/>
              </w:rPr>
              <w:instrText xml:space="preserve"> SEQ CHAPTER \h \r 1</w:instrText>
            </w:r>
            <w:r w:rsidRPr="00F0064C">
              <w:rPr>
                <w:lang w:val="en-US"/>
              </w:rPr>
              <w:fldChar w:fldCharType="end"/>
            </w:r>
            <w:r w:rsidRPr="00F0064C">
              <w:rPr>
                <w:lang w:val="en-US"/>
              </w:rPr>
              <w:fldChar w:fldCharType="begin"/>
            </w:r>
            <w:r w:rsidR="00F0064C" w:rsidRPr="00F0064C">
              <w:rPr>
                <w:lang w:val="fr-CA"/>
              </w:rPr>
              <w:instrText xml:space="preserve"> SEQ CHAPTER \h \r 1</w:instrText>
            </w:r>
            <w:r w:rsidRPr="00F0064C">
              <w:rPr>
                <w:lang w:val="en-US"/>
              </w:rPr>
              <w:fldChar w:fldCharType="end"/>
            </w:r>
            <w:r w:rsidRPr="00F0064C">
              <w:rPr>
                <w:lang w:val="en-US"/>
              </w:rPr>
              <w:fldChar w:fldCharType="begin"/>
            </w:r>
            <w:r w:rsidR="00F0064C" w:rsidRPr="00F0064C">
              <w:rPr>
                <w:lang w:val="fr-CA"/>
              </w:rPr>
              <w:instrText xml:space="preserve"> SEQ CHAPTER \h \r 1</w:instrText>
            </w:r>
            <w:r w:rsidRPr="00F0064C">
              <w:rPr>
                <w:lang w:val="en-US"/>
              </w:rPr>
              <w:fldChar w:fldCharType="end"/>
            </w:r>
          </w:p>
        </w:tc>
      </w:tr>
      <w:tr w:rsidR="00F0064C" w:rsidRPr="00F0064C" w:rsidTr="006A6EF8">
        <w:tc>
          <w:tcPr>
            <w:tcW w:w="4338" w:type="dxa"/>
          </w:tcPr>
          <w:p w:rsidR="00F0064C" w:rsidRPr="00F0064C" w:rsidRDefault="00F0064C" w:rsidP="00F0064C">
            <w:pPr>
              <w:tabs>
                <w:tab w:val="left" w:pos="-1440"/>
                <w:tab w:val="left" w:pos="-720"/>
              </w:tabs>
              <w:jc w:val="both"/>
            </w:pPr>
            <w:r w:rsidRPr="00F0064C">
              <w:t>In the Matter of an Application for Warrants Pursuant to Sections 12 and 21 of the Canadian Security Intelligence Service Act, R.S.C. 1985, c. C-23 (F.C.) (36107)</w:t>
            </w:r>
          </w:p>
        </w:tc>
        <w:tc>
          <w:tcPr>
            <w:tcW w:w="1170" w:type="dxa"/>
          </w:tcPr>
          <w:p w:rsidR="00F0064C" w:rsidRPr="00F0064C" w:rsidRDefault="00F0064C" w:rsidP="00F0064C">
            <w:pPr>
              <w:tabs>
                <w:tab w:val="left" w:pos="-1440"/>
                <w:tab w:val="left" w:pos="-720"/>
              </w:tabs>
              <w:jc w:val="both"/>
            </w:pPr>
          </w:p>
        </w:tc>
        <w:tc>
          <w:tcPr>
            <w:tcW w:w="4327" w:type="dxa"/>
          </w:tcPr>
          <w:p w:rsidR="00F0064C" w:rsidRPr="00F0064C" w:rsidRDefault="00F0064C" w:rsidP="00F0064C">
            <w:pPr>
              <w:tabs>
                <w:tab w:val="left" w:pos="-1440"/>
                <w:tab w:val="left" w:pos="-720"/>
              </w:tabs>
              <w:jc w:val="both"/>
            </w:pPr>
          </w:p>
        </w:tc>
      </w:tr>
    </w:tbl>
    <w:p w:rsidR="00F0064C" w:rsidRPr="00F0064C" w:rsidRDefault="00F0064C" w:rsidP="00F0064C">
      <w:pPr>
        <w:tabs>
          <w:tab w:val="left" w:pos="-1440"/>
          <w:tab w:val="left" w:pos="-720"/>
        </w:tabs>
        <w:jc w:val="both"/>
        <w:rPr>
          <w:rFonts w:eastAsia="Times New Roman" w:cs="Times New Roman"/>
          <w:sz w:val="20"/>
          <w:szCs w:val="20"/>
          <w:lang w:val="fr-CA" w:eastAsia="en-CA"/>
        </w:rPr>
      </w:pPr>
    </w:p>
    <w:p w:rsidR="00F0064C" w:rsidRPr="00F0064C" w:rsidRDefault="00F0064C" w:rsidP="00F0064C">
      <w:pPr>
        <w:tabs>
          <w:tab w:val="left" w:pos="-1440"/>
          <w:tab w:val="left" w:pos="-720"/>
        </w:tabs>
        <w:jc w:val="both"/>
        <w:rPr>
          <w:rFonts w:eastAsia="Times New Roman" w:cs="Times New Roman"/>
          <w:b/>
          <w:sz w:val="20"/>
          <w:szCs w:val="20"/>
          <w:lang w:val="fr-CA" w:eastAsia="en-CA"/>
        </w:rPr>
      </w:pPr>
      <w:r w:rsidRPr="00F0064C">
        <w:rPr>
          <w:rFonts w:eastAsia="Times New Roman" w:cs="Times New Roman"/>
          <w:b/>
          <w:sz w:val="20"/>
          <w:szCs w:val="20"/>
          <w:lang w:val="fr-CA" w:eastAsia="en-CA"/>
        </w:rPr>
        <w:t>GRANTED / ACCORDÉE</w:t>
      </w:r>
    </w:p>
    <w:p w:rsidR="00F0064C" w:rsidRPr="00F0064C" w:rsidRDefault="00F0064C" w:rsidP="00F0064C">
      <w:pPr>
        <w:tabs>
          <w:tab w:val="left" w:pos="-1440"/>
          <w:tab w:val="left" w:pos="-720"/>
        </w:tabs>
        <w:jc w:val="both"/>
        <w:rPr>
          <w:rFonts w:eastAsia="Times New Roman" w:cs="Times New Roman"/>
          <w:sz w:val="20"/>
          <w:szCs w:val="20"/>
          <w:lang w:val="fr-CA" w:eastAsia="en-CA"/>
        </w:rPr>
      </w:pPr>
    </w:p>
    <w:p w:rsidR="00F0064C" w:rsidRPr="00F0064C" w:rsidRDefault="00F0064C" w:rsidP="00F0064C">
      <w:pPr>
        <w:jc w:val="both"/>
        <w:rPr>
          <w:rFonts w:eastAsia="Times New Roman" w:cs="Times New Roman"/>
          <w:sz w:val="20"/>
          <w:szCs w:val="20"/>
          <w:lang w:val="en-US" w:eastAsia="en-CA"/>
        </w:rPr>
      </w:pPr>
      <w:r w:rsidRPr="00F0064C">
        <w:rPr>
          <w:rFonts w:eastAsia="Times New Roman" w:cs="Times New Roman"/>
          <w:b/>
          <w:sz w:val="20"/>
          <w:szCs w:val="20"/>
          <w:lang w:val="en-US" w:eastAsia="en-CA"/>
        </w:rPr>
        <w:t>UPON APPLICATION</w:t>
      </w:r>
      <w:r w:rsidRPr="00F0064C">
        <w:rPr>
          <w:rFonts w:eastAsia="Times New Roman" w:cs="Times New Roman"/>
          <w:sz w:val="20"/>
          <w:szCs w:val="20"/>
          <w:lang w:val="en-US" w:eastAsia="en-CA"/>
        </w:rPr>
        <w:t xml:space="preserve"> by the appellant for an order appointing Mr. Gordon Cameron as </w:t>
      </w:r>
      <w:r w:rsidRPr="00F0064C">
        <w:rPr>
          <w:rFonts w:eastAsia="Times New Roman" w:cs="Times New Roman"/>
          <w:i/>
          <w:sz w:val="20"/>
          <w:szCs w:val="20"/>
          <w:lang w:val="en-US" w:eastAsia="en-CA"/>
        </w:rPr>
        <w:t>amicus curiae</w:t>
      </w:r>
      <w:r w:rsidRPr="00F0064C">
        <w:rPr>
          <w:rFonts w:eastAsia="Times New Roman" w:cs="Times New Roman"/>
          <w:sz w:val="20"/>
          <w:szCs w:val="20"/>
          <w:lang w:val="en-US" w:eastAsia="en-CA"/>
        </w:rPr>
        <w:t>;</w:t>
      </w:r>
    </w:p>
    <w:p w:rsidR="00F0064C" w:rsidRPr="00F0064C" w:rsidRDefault="00F0064C" w:rsidP="00F0064C">
      <w:pPr>
        <w:jc w:val="both"/>
        <w:rPr>
          <w:rFonts w:eastAsia="Times New Roman" w:cs="Times New Roman"/>
          <w:sz w:val="20"/>
          <w:szCs w:val="20"/>
          <w:lang w:val="en-US" w:eastAsia="en-CA"/>
        </w:rPr>
      </w:pPr>
    </w:p>
    <w:p w:rsidR="00F0064C" w:rsidRPr="00F0064C" w:rsidRDefault="00F0064C" w:rsidP="00F0064C">
      <w:pPr>
        <w:jc w:val="both"/>
        <w:rPr>
          <w:rFonts w:eastAsia="Times New Roman" w:cs="Times New Roman"/>
          <w:sz w:val="20"/>
          <w:szCs w:val="20"/>
          <w:lang w:val="en-US" w:eastAsia="en-CA"/>
        </w:rPr>
      </w:pPr>
      <w:r w:rsidRPr="00F0064C">
        <w:rPr>
          <w:rFonts w:eastAsia="Times New Roman" w:cs="Times New Roman"/>
          <w:b/>
          <w:sz w:val="20"/>
          <w:szCs w:val="20"/>
          <w:lang w:val="en-US" w:eastAsia="en-CA"/>
        </w:rPr>
        <w:t>AND THE MATERIAL FILED</w:t>
      </w:r>
      <w:r w:rsidRPr="00F0064C">
        <w:rPr>
          <w:rFonts w:eastAsia="Times New Roman" w:cs="Times New Roman"/>
          <w:sz w:val="20"/>
          <w:szCs w:val="20"/>
          <w:lang w:val="en-US" w:eastAsia="en-CA"/>
        </w:rPr>
        <w:t xml:space="preserve"> having been read;</w:t>
      </w:r>
    </w:p>
    <w:p w:rsidR="00F0064C" w:rsidRPr="00F0064C" w:rsidRDefault="00F0064C" w:rsidP="00F0064C">
      <w:pPr>
        <w:jc w:val="both"/>
        <w:rPr>
          <w:rFonts w:eastAsia="Times New Roman" w:cs="Times New Roman"/>
          <w:sz w:val="20"/>
          <w:szCs w:val="20"/>
          <w:lang w:val="en-US" w:eastAsia="en-CA"/>
        </w:rPr>
      </w:pPr>
    </w:p>
    <w:p w:rsidR="00F0064C" w:rsidRPr="00F0064C" w:rsidRDefault="00F0064C" w:rsidP="00F0064C">
      <w:pPr>
        <w:jc w:val="both"/>
        <w:rPr>
          <w:rFonts w:eastAsia="Times New Roman" w:cs="Times New Roman"/>
          <w:b/>
          <w:sz w:val="20"/>
          <w:szCs w:val="20"/>
          <w:lang w:val="en-US" w:eastAsia="en-CA"/>
        </w:rPr>
      </w:pPr>
      <w:r w:rsidRPr="00F0064C">
        <w:rPr>
          <w:rFonts w:eastAsia="Times New Roman" w:cs="Times New Roman"/>
          <w:b/>
          <w:sz w:val="20"/>
          <w:szCs w:val="20"/>
          <w:lang w:val="en-US" w:eastAsia="en-CA"/>
        </w:rPr>
        <w:t xml:space="preserve">IT IS HEREBY ORDERED THAT: </w:t>
      </w:r>
    </w:p>
    <w:p w:rsidR="00F0064C" w:rsidRPr="00F0064C" w:rsidRDefault="00F0064C" w:rsidP="00F0064C">
      <w:pPr>
        <w:jc w:val="both"/>
        <w:rPr>
          <w:rFonts w:eastAsia="Times New Roman" w:cs="Times New Roman"/>
          <w:b/>
          <w:sz w:val="20"/>
          <w:szCs w:val="20"/>
          <w:lang w:val="en-US" w:eastAsia="en-CA"/>
        </w:rPr>
      </w:pPr>
    </w:p>
    <w:p w:rsidR="00F0064C" w:rsidRPr="00F0064C" w:rsidRDefault="00F0064C" w:rsidP="00F0064C">
      <w:pPr>
        <w:jc w:val="both"/>
        <w:rPr>
          <w:rFonts w:eastAsia="Times New Roman" w:cs="Times New Roman"/>
          <w:b/>
          <w:sz w:val="20"/>
          <w:szCs w:val="20"/>
          <w:lang w:val="en-US" w:eastAsia="en-CA"/>
        </w:rPr>
      </w:pPr>
      <w:r w:rsidRPr="00F0064C">
        <w:rPr>
          <w:rFonts w:eastAsia="Times New Roman" w:cs="Times New Roman"/>
          <w:sz w:val="20"/>
          <w:szCs w:val="20"/>
          <w:lang w:val="en-US" w:eastAsia="en-CA"/>
        </w:rPr>
        <w:t xml:space="preserve">Mr. Gordon Cameron is appointed as </w:t>
      </w:r>
      <w:r w:rsidRPr="00F0064C">
        <w:rPr>
          <w:rFonts w:eastAsia="Times New Roman" w:cs="Times New Roman"/>
          <w:i/>
          <w:sz w:val="20"/>
          <w:szCs w:val="20"/>
          <w:lang w:val="en-US" w:eastAsia="en-CA"/>
        </w:rPr>
        <w:t>amicus curiae</w:t>
      </w:r>
      <w:r w:rsidRPr="00F0064C">
        <w:rPr>
          <w:rFonts w:eastAsia="Times New Roman" w:cs="Times New Roman"/>
          <w:sz w:val="20"/>
          <w:szCs w:val="20"/>
          <w:lang w:val="en-US" w:eastAsia="en-CA"/>
        </w:rPr>
        <w:t xml:space="preserve"> to assist the Court by filing a factum of no more than forty (40) pages and a book of authorities on or before July 24, 2015, and by making oral submissions at the hearing of the appeal;</w:t>
      </w:r>
    </w:p>
    <w:p w:rsidR="00F0064C" w:rsidRPr="00F0064C" w:rsidRDefault="00F0064C" w:rsidP="00F0064C">
      <w:pPr>
        <w:jc w:val="both"/>
        <w:rPr>
          <w:rFonts w:eastAsia="Times New Roman" w:cs="Times New Roman"/>
          <w:b/>
          <w:sz w:val="20"/>
          <w:szCs w:val="20"/>
          <w:lang w:val="en-US" w:eastAsia="en-CA"/>
        </w:rPr>
      </w:pPr>
    </w:p>
    <w:p w:rsidR="00F0064C" w:rsidRPr="00F0064C" w:rsidRDefault="00F0064C" w:rsidP="00F0064C">
      <w:pPr>
        <w:jc w:val="both"/>
        <w:rPr>
          <w:rFonts w:eastAsia="Times New Roman" w:cs="Times New Roman"/>
          <w:sz w:val="20"/>
          <w:szCs w:val="20"/>
          <w:lang w:val="en-US" w:eastAsia="en-CA"/>
        </w:rPr>
      </w:pPr>
      <w:r w:rsidRPr="00F0064C">
        <w:rPr>
          <w:rFonts w:eastAsia="Times New Roman" w:cs="Times New Roman"/>
          <w:sz w:val="20"/>
          <w:szCs w:val="20"/>
          <w:lang w:val="en-US" w:eastAsia="en-CA"/>
        </w:rPr>
        <w:t xml:space="preserve">The appellant shall pay the </w:t>
      </w:r>
      <w:r w:rsidRPr="00F0064C">
        <w:rPr>
          <w:rFonts w:eastAsia="Times New Roman" w:cs="Times New Roman"/>
          <w:i/>
          <w:sz w:val="20"/>
          <w:szCs w:val="20"/>
          <w:lang w:val="en-US" w:eastAsia="en-CA"/>
        </w:rPr>
        <w:t>amicus curiae</w:t>
      </w:r>
      <w:r w:rsidRPr="00F0064C">
        <w:rPr>
          <w:rFonts w:eastAsia="Times New Roman" w:cs="Times New Roman"/>
          <w:sz w:val="20"/>
          <w:szCs w:val="20"/>
          <w:lang w:val="en-US" w:eastAsia="en-CA"/>
        </w:rPr>
        <w:t xml:space="preserve"> the rate of pay set according to the Special Advocates Program of the Department of Justice.</w:t>
      </w:r>
    </w:p>
    <w:p w:rsidR="00F0064C" w:rsidRPr="00F0064C" w:rsidRDefault="00F0064C" w:rsidP="00F0064C">
      <w:pPr>
        <w:jc w:val="both"/>
        <w:rPr>
          <w:rFonts w:eastAsia="Times New Roman" w:cs="Times New Roman"/>
          <w:sz w:val="20"/>
          <w:szCs w:val="20"/>
          <w:lang w:val="en-US" w:eastAsia="en-CA"/>
        </w:rPr>
      </w:pPr>
    </w:p>
    <w:p w:rsidR="00F0064C" w:rsidRPr="00F0064C" w:rsidRDefault="00F0064C" w:rsidP="00F0064C">
      <w:pPr>
        <w:jc w:val="both"/>
        <w:rPr>
          <w:rFonts w:eastAsia="Times New Roman" w:cs="Times New Roman"/>
          <w:sz w:val="20"/>
          <w:szCs w:val="20"/>
          <w:lang w:val="en-US" w:eastAsia="en-CA"/>
        </w:rPr>
      </w:pPr>
    </w:p>
    <w:p w:rsidR="00F0064C" w:rsidRPr="00F0064C" w:rsidRDefault="00F0064C" w:rsidP="00F0064C">
      <w:pPr>
        <w:jc w:val="both"/>
        <w:rPr>
          <w:rFonts w:eastAsia="Times New Roman" w:cs="Times New Roman"/>
          <w:sz w:val="20"/>
          <w:szCs w:val="20"/>
          <w:lang w:val="fr-CA" w:eastAsia="en-CA"/>
        </w:rPr>
      </w:pPr>
      <w:r w:rsidRPr="00F0064C">
        <w:rPr>
          <w:rFonts w:eastAsia="Times New Roman" w:cs="Times New Roman"/>
          <w:b/>
          <w:sz w:val="20"/>
          <w:szCs w:val="20"/>
          <w:lang w:val="fr-CA" w:eastAsia="en-CA"/>
        </w:rPr>
        <w:t xml:space="preserve">À LA SUITE DE LA DEMANDE </w:t>
      </w:r>
      <w:r w:rsidRPr="00F0064C">
        <w:rPr>
          <w:rFonts w:eastAsia="Times New Roman" w:cs="Times New Roman"/>
          <w:sz w:val="20"/>
          <w:szCs w:val="20"/>
          <w:lang w:val="fr-CA" w:eastAsia="en-CA"/>
        </w:rPr>
        <w:t>présentée par</w:t>
      </w:r>
      <w:r w:rsidRPr="00F0064C">
        <w:rPr>
          <w:rFonts w:eastAsia="Times New Roman" w:cs="Times New Roman"/>
          <w:b/>
          <w:sz w:val="20"/>
          <w:szCs w:val="20"/>
          <w:lang w:val="fr-CA" w:eastAsia="en-CA"/>
        </w:rPr>
        <w:t xml:space="preserve"> </w:t>
      </w:r>
      <w:r w:rsidRPr="00F0064C">
        <w:rPr>
          <w:rFonts w:eastAsia="Times New Roman" w:cs="Times New Roman"/>
          <w:sz w:val="20"/>
          <w:szCs w:val="20"/>
          <w:lang w:val="fr-CA" w:eastAsia="en-CA"/>
        </w:rPr>
        <w:t>l’appelant en vue d’obtenir une ordonnance nommant M</w:t>
      </w:r>
      <w:r w:rsidRPr="00F0064C">
        <w:rPr>
          <w:rFonts w:eastAsia="Times New Roman" w:cs="Times New Roman"/>
          <w:sz w:val="20"/>
          <w:szCs w:val="20"/>
          <w:vertAlign w:val="superscript"/>
          <w:lang w:val="fr-CA" w:eastAsia="en-CA"/>
        </w:rPr>
        <w:t>e</w:t>
      </w:r>
      <w:r w:rsidRPr="00F0064C">
        <w:rPr>
          <w:rFonts w:eastAsia="Times New Roman" w:cs="Times New Roman"/>
          <w:sz w:val="20"/>
          <w:szCs w:val="20"/>
          <w:lang w:val="fr-CA" w:eastAsia="en-CA"/>
        </w:rPr>
        <w:t xml:space="preserve"> Gordon Cameron à titre d’</w:t>
      </w:r>
      <w:r w:rsidRPr="00F0064C">
        <w:rPr>
          <w:rFonts w:eastAsia="Times New Roman" w:cs="Times New Roman"/>
          <w:i/>
          <w:sz w:val="20"/>
          <w:szCs w:val="20"/>
          <w:lang w:val="fr-CA" w:eastAsia="en-CA"/>
        </w:rPr>
        <w:t>amicus curiae</w:t>
      </w:r>
      <w:r w:rsidRPr="00F0064C">
        <w:rPr>
          <w:rFonts w:eastAsia="Times New Roman" w:cs="Times New Roman"/>
          <w:sz w:val="20"/>
          <w:szCs w:val="20"/>
          <w:lang w:val="fr-CA" w:eastAsia="en-CA"/>
        </w:rPr>
        <w:t>;</w:t>
      </w:r>
    </w:p>
    <w:p w:rsidR="00F0064C" w:rsidRPr="00F0064C" w:rsidRDefault="00F0064C" w:rsidP="00F0064C">
      <w:pPr>
        <w:jc w:val="both"/>
        <w:rPr>
          <w:rFonts w:eastAsia="Times New Roman" w:cs="Times New Roman"/>
          <w:sz w:val="20"/>
          <w:szCs w:val="20"/>
          <w:lang w:val="fr-CA" w:eastAsia="en-CA"/>
        </w:rPr>
      </w:pPr>
    </w:p>
    <w:p w:rsidR="00F0064C" w:rsidRPr="00F0064C" w:rsidRDefault="00F0064C" w:rsidP="00F0064C">
      <w:pPr>
        <w:jc w:val="both"/>
        <w:rPr>
          <w:rFonts w:eastAsia="Times New Roman" w:cs="Times New Roman"/>
          <w:sz w:val="20"/>
          <w:szCs w:val="20"/>
          <w:lang w:val="fr-CA" w:eastAsia="en-CA"/>
        </w:rPr>
      </w:pPr>
      <w:r w:rsidRPr="00F0064C">
        <w:rPr>
          <w:rFonts w:eastAsia="Times New Roman" w:cs="Times New Roman"/>
          <w:b/>
          <w:sz w:val="20"/>
          <w:szCs w:val="20"/>
          <w:lang w:val="fr-CA" w:eastAsia="en-CA"/>
        </w:rPr>
        <w:t xml:space="preserve">ET APRÈS EXAMEN </w:t>
      </w:r>
      <w:r w:rsidRPr="00F0064C">
        <w:rPr>
          <w:rFonts w:eastAsia="Times New Roman" w:cs="Times New Roman"/>
          <w:sz w:val="20"/>
          <w:szCs w:val="20"/>
          <w:lang w:val="fr-CA" w:eastAsia="en-CA"/>
        </w:rPr>
        <w:t>des documents déposés;</w:t>
      </w:r>
    </w:p>
    <w:p w:rsidR="00F0064C" w:rsidRPr="00F0064C" w:rsidRDefault="00F0064C" w:rsidP="00F0064C">
      <w:pPr>
        <w:jc w:val="both"/>
        <w:rPr>
          <w:rFonts w:eastAsia="Times New Roman" w:cs="Times New Roman"/>
          <w:sz w:val="20"/>
          <w:szCs w:val="20"/>
          <w:lang w:val="fr-CA" w:eastAsia="en-CA"/>
        </w:rPr>
      </w:pPr>
    </w:p>
    <w:p w:rsidR="00F0064C" w:rsidRPr="00F0064C" w:rsidRDefault="00F0064C" w:rsidP="00F0064C">
      <w:pPr>
        <w:jc w:val="both"/>
        <w:rPr>
          <w:rFonts w:eastAsia="Times New Roman" w:cs="Times New Roman"/>
          <w:b/>
          <w:sz w:val="20"/>
          <w:szCs w:val="20"/>
          <w:lang w:val="fr-CA" w:eastAsia="en-CA"/>
        </w:rPr>
      </w:pPr>
      <w:r w:rsidRPr="00F0064C">
        <w:rPr>
          <w:rFonts w:eastAsia="Times New Roman" w:cs="Times New Roman"/>
          <w:b/>
          <w:sz w:val="20"/>
          <w:szCs w:val="20"/>
          <w:lang w:val="fr-CA" w:eastAsia="en-CA"/>
        </w:rPr>
        <w:t xml:space="preserve">IL EST ORDONNÉ CE QUI SUIT : </w:t>
      </w:r>
    </w:p>
    <w:p w:rsidR="00F0064C" w:rsidRPr="00F0064C" w:rsidRDefault="00F0064C" w:rsidP="00F0064C">
      <w:pPr>
        <w:jc w:val="both"/>
        <w:rPr>
          <w:rFonts w:eastAsia="Times New Roman" w:cs="Times New Roman"/>
          <w:b/>
          <w:sz w:val="20"/>
          <w:szCs w:val="20"/>
          <w:lang w:val="fr-CA" w:eastAsia="en-CA"/>
        </w:rPr>
      </w:pPr>
    </w:p>
    <w:p w:rsidR="00F0064C" w:rsidRPr="00F0064C" w:rsidRDefault="00F0064C" w:rsidP="00F0064C">
      <w:pPr>
        <w:jc w:val="both"/>
        <w:rPr>
          <w:rFonts w:eastAsia="Times New Roman" w:cs="Times New Roman"/>
          <w:b/>
          <w:sz w:val="20"/>
          <w:szCs w:val="20"/>
          <w:lang w:val="fr-CA" w:eastAsia="en-CA"/>
        </w:rPr>
      </w:pPr>
      <w:r w:rsidRPr="00F0064C">
        <w:rPr>
          <w:rFonts w:eastAsia="Times New Roman" w:cs="Times New Roman"/>
          <w:sz w:val="20"/>
          <w:szCs w:val="20"/>
          <w:lang w:val="fr-CA" w:eastAsia="en-CA"/>
        </w:rPr>
        <w:t>M</w:t>
      </w:r>
      <w:r w:rsidRPr="00F0064C">
        <w:rPr>
          <w:rFonts w:eastAsia="Times New Roman" w:cs="Times New Roman"/>
          <w:sz w:val="20"/>
          <w:szCs w:val="20"/>
          <w:vertAlign w:val="superscript"/>
          <w:lang w:val="fr-CA" w:eastAsia="en-CA"/>
        </w:rPr>
        <w:t>e</w:t>
      </w:r>
      <w:r w:rsidRPr="00F0064C">
        <w:rPr>
          <w:rFonts w:eastAsia="Times New Roman" w:cs="Times New Roman"/>
          <w:sz w:val="20"/>
          <w:szCs w:val="20"/>
          <w:lang w:val="fr-CA" w:eastAsia="en-CA"/>
        </w:rPr>
        <w:t xml:space="preserve"> Gordon Cameron est nommé </w:t>
      </w:r>
      <w:r w:rsidRPr="00F0064C">
        <w:rPr>
          <w:rFonts w:eastAsia="Times New Roman" w:cs="Times New Roman"/>
          <w:i/>
          <w:sz w:val="20"/>
          <w:szCs w:val="20"/>
          <w:lang w:val="fr-CA" w:eastAsia="en-CA"/>
        </w:rPr>
        <w:t>amicus curiae</w:t>
      </w:r>
      <w:r w:rsidRPr="00F0064C">
        <w:rPr>
          <w:rFonts w:eastAsia="Times New Roman" w:cs="Times New Roman"/>
          <w:sz w:val="20"/>
          <w:szCs w:val="20"/>
          <w:lang w:val="fr-CA" w:eastAsia="en-CA"/>
        </w:rPr>
        <w:t xml:space="preserve"> pour aider la Cour en déposant un mémoire d’au plus quarante (40) pages ainsi qu’un recueil de sources au plus tard le 24 juillet 2015, et en présentant une plaidoirie orale durant l’audition du pourvoi;</w:t>
      </w:r>
    </w:p>
    <w:p w:rsidR="00F0064C" w:rsidRPr="00F0064C" w:rsidRDefault="00F0064C" w:rsidP="00F0064C">
      <w:pPr>
        <w:jc w:val="both"/>
        <w:rPr>
          <w:rFonts w:eastAsia="Times New Roman" w:cs="Times New Roman"/>
          <w:b/>
          <w:sz w:val="20"/>
          <w:szCs w:val="20"/>
          <w:lang w:val="fr-CA" w:eastAsia="en-CA"/>
        </w:rPr>
      </w:pPr>
    </w:p>
    <w:p w:rsidR="00F0064C" w:rsidRPr="00F0064C" w:rsidRDefault="00F0064C" w:rsidP="00F0064C">
      <w:pPr>
        <w:jc w:val="both"/>
        <w:rPr>
          <w:rFonts w:eastAsia="Times New Roman" w:cs="Times New Roman"/>
          <w:sz w:val="20"/>
          <w:szCs w:val="20"/>
          <w:lang w:val="fr-CA" w:eastAsia="en-CA"/>
        </w:rPr>
      </w:pPr>
      <w:r w:rsidRPr="00F0064C">
        <w:rPr>
          <w:rFonts w:eastAsia="Times New Roman" w:cs="Times New Roman"/>
          <w:sz w:val="20"/>
          <w:szCs w:val="20"/>
          <w:lang w:val="fr-CA" w:eastAsia="en-CA"/>
        </w:rPr>
        <w:t>L’appelant paiera l’</w:t>
      </w:r>
      <w:r w:rsidRPr="00F0064C">
        <w:rPr>
          <w:rFonts w:eastAsia="Times New Roman" w:cs="Times New Roman"/>
          <w:i/>
          <w:sz w:val="20"/>
          <w:szCs w:val="20"/>
          <w:lang w:val="fr-CA" w:eastAsia="en-CA"/>
        </w:rPr>
        <w:t>amicus curiae</w:t>
      </w:r>
      <w:r w:rsidRPr="00F0064C">
        <w:rPr>
          <w:rFonts w:eastAsia="Times New Roman" w:cs="Times New Roman"/>
          <w:sz w:val="20"/>
          <w:szCs w:val="20"/>
          <w:lang w:val="fr-CA" w:eastAsia="en-CA"/>
        </w:rPr>
        <w:t xml:space="preserve"> selon le taux de rémunération fixé par le Programme des avocats spéciaux du ministère de la Justice. </w:t>
      </w:r>
    </w:p>
    <w:p w:rsidR="00F0064C" w:rsidRPr="00F0064C" w:rsidRDefault="00F0064C" w:rsidP="00F0064C">
      <w:pPr>
        <w:tabs>
          <w:tab w:val="left" w:pos="-1440"/>
          <w:tab w:val="left" w:pos="-720"/>
        </w:tabs>
        <w:jc w:val="both"/>
        <w:rPr>
          <w:rFonts w:eastAsia="Times New Roman" w:cs="Times New Roman"/>
          <w:sz w:val="20"/>
          <w:szCs w:val="20"/>
          <w:lang w:val="fr-CA" w:eastAsia="en-CA"/>
        </w:rPr>
      </w:pPr>
    </w:p>
    <w:p w:rsidR="00F0064C" w:rsidRPr="00F0064C" w:rsidRDefault="005B3B50" w:rsidP="00F0064C">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72" style="width:2in;height:1pt" o:hrpct="0" o:hralign="center" o:hrstd="t" o:hrnoshade="t" o:hr="t" fillcolor="black [3213]" stroked="f"/>
        </w:pict>
      </w:r>
    </w:p>
    <w:p w:rsidR="00F0064C" w:rsidRPr="00F0064C" w:rsidRDefault="00F0064C" w:rsidP="00F0064C">
      <w:pPr>
        <w:tabs>
          <w:tab w:val="left" w:pos="-1440"/>
          <w:tab w:val="left" w:pos="-720"/>
        </w:tabs>
        <w:jc w:val="both"/>
        <w:rPr>
          <w:rFonts w:eastAsia="Times New Roman" w:cs="Times New Roman"/>
          <w:sz w:val="20"/>
          <w:szCs w:val="20"/>
          <w:lang w:val="fr-CA" w:eastAsia="en-CA"/>
        </w:rPr>
      </w:pPr>
    </w:p>
    <w:p w:rsidR="00F0064C" w:rsidRPr="00F0064C" w:rsidRDefault="00F0064C" w:rsidP="00F0064C">
      <w:pPr>
        <w:tabs>
          <w:tab w:val="left" w:pos="-1440"/>
          <w:tab w:val="left" w:pos="-720"/>
        </w:tabs>
        <w:jc w:val="both"/>
        <w:rPr>
          <w:rFonts w:eastAsia="Times New Roman" w:cs="Times New Roman"/>
          <w:sz w:val="20"/>
          <w:szCs w:val="20"/>
          <w:lang w:val="fr-CA" w:eastAsia="en-CA"/>
        </w:rPr>
      </w:pPr>
      <w:r w:rsidRPr="00F0064C">
        <w:rPr>
          <w:rFonts w:eastAsia="Times New Roman" w:cs="Times New Roman"/>
          <w:sz w:val="20"/>
          <w:szCs w:val="20"/>
          <w:lang w:val="fr-CA" w:eastAsia="en-CA"/>
        </w:rPr>
        <w:t>06.05.2015</w:t>
      </w:r>
    </w:p>
    <w:p w:rsidR="00F0064C" w:rsidRPr="00F0064C" w:rsidRDefault="00F0064C" w:rsidP="00F0064C">
      <w:pPr>
        <w:tabs>
          <w:tab w:val="left" w:pos="-1440"/>
          <w:tab w:val="left" w:pos="-720"/>
        </w:tabs>
        <w:jc w:val="both"/>
        <w:rPr>
          <w:rFonts w:eastAsia="Times New Roman" w:cs="Times New Roman"/>
          <w:sz w:val="20"/>
          <w:szCs w:val="20"/>
          <w:lang w:val="fr-CA" w:eastAsia="en-CA"/>
        </w:rPr>
      </w:pPr>
    </w:p>
    <w:p w:rsidR="00F0064C" w:rsidRPr="00F0064C" w:rsidRDefault="00F0064C" w:rsidP="00F0064C">
      <w:pPr>
        <w:tabs>
          <w:tab w:val="left" w:pos="-1440"/>
          <w:tab w:val="left" w:pos="-720"/>
        </w:tabs>
        <w:jc w:val="both"/>
        <w:rPr>
          <w:rFonts w:eastAsia="Times New Roman" w:cs="Times New Roman"/>
          <w:sz w:val="20"/>
          <w:szCs w:val="20"/>
          <w:lang w:eastAsia="en-CA"/>
        </w:rPr>
      </w:pPr>
      <w:r w:rsidRPr="00F0064C">
        <w:rPr>
          <w:rFonts w:eastAsia="Times New Roman" w:cs="Times New Roman"/>
          <w:sz w:val="20"/>
          <w:szCs w:val="20"/>
          <w:lang w:eastAsia="en-CA"/>
        </w:rPr>
        <w:t>Before / Devant:   THE DEPUTY REGISTRAR / LE REGISTRAIRE ADJOINT</w:t>
      </w:r>
    </w:p>
    <w:p w:rsidR="00F0064C" w:rsidRPr="00F0064C" w:rsidRDefault="00F0064C" w:rsidP="00F0064C">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F0064C" w:rsidRPr="002A1430" w:rsidTr="006A6EF8">
        <w:tc>
          <w:tcPr>
            <w:tcW w:w="4338" w:type="dxa"/>
          </w:tcPr>
          <w:p w:rsidR="00F0064C" w:rsidRPr="00F0064C" w:rsidRDefault="00B158EB" w:rsidP="00F0064C">
            <w:pPr>
              <w:tabs>
                <w:tab w:val="left" w:pos="-1440"/>
                <w:tab w:val="left" w:pos="-720"/>
              </w:tabs>
              <w:jc w:val="both"/>
              <w:rPr>
                <w:b/>
              </w:rPr>
            </w:pPr>
            <w:r w:rsidRPr="00F0064C">
              <w:rPr>
                <w:szCs w:val="24"/>
                <w:lang w:val="en-US"/>
              </w:rPr>
              <w:fldChar w:fldCharType="begin"/>
            </w:r>
            <w:r w:rsidR="00F0064C" w:rsidRPr="00F0064C">
              <w:rPr>
                <w:szCs w:val="24"/>
                <w:lang w:val="en-US"/>
              </w:rPr>
              <w:instrText xml:space="preserve"> SEQ CHAPTER \h \r 1</w:instrText>
            </w:r>
            <w:r w:rsidRPr="00F0064C">
              <w:rPr>
                <w:szCs w:val="24"/>
                <w:lang w:val="en-US"/>
              </w:rPr>
              <w:fldChar w:fldCharType="end"/>
            </w:r>
            <w:r w:rsidR="00F0064C" w:rsidRPr="00F0064C">
              <w:rPr>
                <w:b/>
                <w:bCs/>
                <w:lang w:val="en-US"/>
              </w:rPr>
              <w:t>Motion to extend time</w:t>
            </w:r>
          </w:p>
        </w:tc>
        <w:tc>
          <w:tcPr>
            <w:tcW w:w="1170" w:type="dxa"/>
          </w:tcPr>
          <w:p w:rsidR="00F0064C" w:rsidRPr="00F0064C" w:rsidRDefault="00F0064C" w:rsidP="00F0064C">
            <w:pPr>
              <w:tabs>
                <w:tab w:val="left" w:pos="-1440"/>
                <w:tab w:val="left" w:pos="-720"/>
              </w:tabs>
              <w:jc w:val="both"/>
            </w:pPr>
          </w:p>
          <w:p w:rsidR="00F0064C" w:rsidRPr="00F0064C" w:rsidRDefault="00F0064C" w:rsidP="00F0064C">
            <w:pPr>
              <w:tabs>
                <w:tab w:val="left" w:pos="-1440"/>
                <w:tab w:val="left" w:pos="-720"/>
              </w:tabs>
              <w:jc w:val="both"/>
            </w:pPr>
          </w:p>
        </w:tc>
        <w:tc>
          <w:tcPr>
            <w:tcW w:w="4327" w:type="dxa"/>
          </w:tcPr>
          <w:p w:rsidR="00F0064C" w:rsidRPr="00F0064C" w:rsidRDefault="00F0064C" w:rsidP="00F0064C">
            <w:pPr>
              <w:tabs>
                <w:tab w:val="left" w:pos="-1440"/>
                <w:tab w:val="left" w:pos="-720"/>
              </w:tabs>
              <w:jc w:val="both"/>
              <w:rPr>
                <w:lang w:val="fr-CA"/>
              </w:rPr>
            </w:pPr>
            <w:r w:rsidRPr="00F0064C">
              <w:rPr>
                <w:b/>
                <w:bCs/>
                <w:color w:val="000000"/>
                <w:lang w:val="fr-CA"/>
              </w:rPr>
              <w:t>Requête en prorogation de délai</w:t>
            </w:r>
            <w:r w:rsidRPr="00F0064C">
              <w:rPr>
                <w:szCs w:val="24"/>
                <w:lang w:val="fr-CA"/>
              </w:rPr>
              <w:t xml:space="preserve"> </w:t>
            </w:r>
            <w:r w:rsidR="00B158EB" w:rsidRPr="00F0064C">
              <w:rPr>
                <w:szCs w:val="24"/>
                <w:lang w:val="en-US"/>
              </w:rPr>
              <w:fldChar w:fldCharType="begin"/>
            </w:r>
            <w:r w:rsidRPr="00F0064C">
              <w:rPr>
                <w:szCs w:val="24"/>
                <w:lang w:val="fr-CA"/>
              </w:rPr>
              <w:instrText xml:space="preserve"> SEQ CHAPTER \h \r 1</w:instrText>
            </w:r>
            <w:r w:rsidR="00B158EB" w:rsidRPr="00F0064C">
              <w:rPr>
                <w:szCs w:val="24"/>
                <w:lang w:val="en-US"/>
              </w:rPr>
              <w:fldChar w:fldCharType="end"/>
            </w:r>
            <w:r w:rsidR="00B158EB" w:rsidRPr="00F0064C">
              <w:rPr>
                <w:szCs w:val="24"/>
                <w:lang w:val="en-US"/>
              </w:rPr>
              <w:fldChar w:fldCharType="begin"/>
            </w:r>
            <w:r w:rsidRPr="00F0064C">
              <w:rPr>
                <w:szCs w:val="24"/>
                <w:lang w:val="fr-CA"/>
              </w:rPr>
              <w:instrText xml:space="preserve"> SEQ CHAPTER \h \r 1</w:instrText>
            </w:r>
            <w:r w:rsidR="00B158EB" w:rsidRPr="00F0064C">
              <w:rPr>
                <w:szCs w:val="24"/>
                <w:lang w:val="en-US"/>
              </w:rPr>
              <w:fldChar w:fldCharType="end"/>
            </w:r>
          </w:p>
        </w:tc>
      </w:tr>
      <w:tr w:rsidR="00F0064C" w:rsidRPr="00F0064C" w:rsidTr="006A6EF8">
        <w:tc>
          <w:tcPr>
            <w:tcW w:w="4338" w:type="dxa"/>
          </w:tcPr>
          <w:p w:rsidR="00F0064C" w:rsidRPr="00F0064C" w:rsidRDefault="00F0064C" w:rsidP="00F0064C">
            <w:pPr>
              <w:tabs>
                <w:tab w:val="left" w:pos="-1440"/>
                <w:tab w:val="left" w:pos="-720"/>
              </w:tabs>
              <w:jc w:val="both"/>
            </w:pPr>
            <w:r w:rsidRPr="00F0064C">
              <w:t>Canadian Pacific Railway Company</w:t>
            </w:r>
          </w:p>
          <w:p w:rsidR="00F0064C" w:rsidRPr="00F0064C" w:rsidRDefault="00F0064C" w:rsidP="00F0064C">
            <w:pPr>
              <w:tabs>
                <w:tab w:val="left" w:pos="-1440"/>
                <w:tab w:val="left" w:pos="-720"/>
              </w:tabs>
              <w:jc w:val="both"/>
            </w:pPr>
          </w:p>
          <w:p w:rsidR="00F0064C" w:rsidRPr="00F0064C" w:rsidRDefault="00F0064C" w:rsidP="00F0064C">
            <w:pPr>
              <w:tabs>
                <w:tab w:val="left" w:pos="-1440"/>
                <w:tab w:val="left" w:pos="-720"/>
              </w:tabs>
              <w:jc w:val="both"/>
            </w:pPr>
            <w:r w:rsidRPr="00F0064C">
              <w:tab/>
              <w:t>v. (36223)</w:t>
            </w:r>
          </w:p>
          <w:p w:rsidR="00F0064C" w:rsidRPr="00F0064C" w:rsidRDefault="00F0064C" w:rsidP="00F0064C">
            <w:pPr>
              <w:tabs>
                <w:tab w:val="left" w:pos="-1440"/>
                <w:tab w:val="left" w:pos="-720"/>
              </w:tabs>
              <w:jc w:val="both"/>
            </w:pPr>
          </w:p>
          <w:p w:rsidR="00F0064C" w:rsidRPr="00F0064C" w:rsidRDefault="00F0064C" w:rsidP="00F0064C">
            <w:pPr>
              <w:tabs>
                <w:tab w:val="left" w:pos="-1440"/>
                <w:tab w:val="left" w:pos="-720"/>
              </w:tabs>
              <w:jc w:val="both"/>
            </w:pPr>
            <w:r w:rsidRPr="00F0064C">
              <w:t>Attorney General of Canada et al. (F.C.)</w:t>
            </w:r>
          </w:p>
        </w:tc>
        <w:tc>
          <w:tcPr>
            <w:tcW w:w="1170" w:type="dxa"/>
          </w:tcPr>
          <w:p w:rsidR="00F0064C" w:rsidRPr="00F0064C" w:rsidRDefault="00F0064C" w:rsidP="00F0064C">
            <w:pPr>
              <w:tabs>
                <w:tab w:val="left" w:pos="-1440"/>
                <w:tab w:val="left" w:pos="-720"/>
              </w:tabs>
              <w:jc w:val="both"/>
            </w:pPr>
          </w:p>
        </w:tc>
        <w:tc>
          <w:tcPr>
            <w:tcW w:w="4327" w:type="dxa"/>
          </w:tcPr>
          <w:p w:rsidR="00F0064C" w:rsidRPr="00F0064C" w:rsidRDefault="00F0064C" w:rsidP="00F0064C">
            <w:pPr>
              <w:tabs>
                <w:tab w:val="left" w:pos="-1440"/>
                <w:tab w:val="left" w:pos="-720"/>
              </w:tabs>
              <w:jc w:val="both"/>
            </w:pPr>
          </w:p>
        </w:tc>
      </w:tr>
    </w:tbl>
    <w:p w:rsidR="00F0064C" w:rsidRPr="00F0064C" w:rsidRDefault="00F0064C" w:rsidP="00F0064C">
      <w:pPr>
        <w:tabs>
          <w:tab w:val="left" w:pos="-1440"/>
          <w:tab w:val="left" w:pos="-720"/>
        </w:tabs>
        <w:jc w:val="both"/>
        <w:rPr>
          <w:rFonts w:eastAsia="Times New Roman" w:cs="Times New Roman"/>
          <w:sz w:val="20"/>
          <w:szCs w:val="20"/>
          <w:lang w:eastAsia="en-CA"/>
        </w:rPr>
      </w:pPr>
    </w:p>
    <w:p w:rsidR="00F0064C" w:rsidRPr="00F0064C" w:rsidRDefault="00F0064C" w:rsidP="00F0064C">
      <w:pPr>
        <w:tabs>
          <w:tab w:val="left" w:pos="-1440"/>
          <w:tab w:val="left" w:pos="-720"/>
        </w:tabs>
        <w:jc w:val="both"/>
        <w:rPr>
          <w:rFonts w:eastAsia="Times New Roman" w:cs="Times New Roman"/>
          <w:b/>
          <w:sz w:val="20"/>
          <w:szCs w:val="20"/>
          <w:lang w:eastAsia="en-CA"/>
        </w:rPr>
      </w:pPr>
      <w:r w:rsidRPr="00F0064C">
        <w:rPr>
          <w:rFonts w:eastAsia="Times New Roman" w:cs="Times New Roman"/>
          <w:b/>
          <w:sz w:val="20"/>
          <w:szCs w:val="20"/>
          <w:lang w:eastAsia="en-CA"/>
        </w:rPr>
        <w:t>GRANTED / ACCORDÉE</w:t>
      </w:r>
    </w:p>
    <w:p w:rsidR="00F0064C" w:rsidRPr="00F0064C" w:rsidRDefault="00F0064C" w:rsidP="00F0064C">
      <w:pPr>
        <w:tabs>
          <w:tab w:val="left" w:pos="-1440"/>
          <w:tab w:val="left" w:pos="-720"/>
        </w:tabs>
        <w:jc w:val="both"/>
        <w:rPr>
          <w:rFonts w:eastAsia="Times New Roman" w:cs="Times New Roman"/>
          <w:sz w:val="20"/>
          <w:szCs w:val="20"/>
          <w:lang w:eastAsia="en-CA"/>
        </w:rPr>
      </w:pPr>
    </w:p>
    <w:p w:rsidR="00F0064C" w:rsidRPr="00F0064C" w:rsidRDefault="00F0064C" w:rsidP="00F0064C">
      <w:pPr>
        <w:spacing w:line="233" w:lineRule="auto"/>
        <w:jc w:val="both"/>
        <w:rPr>
          <w:rFonts w:eastAsia="Times New Roman" w:cs="Times New Roman"/>
          <w:sz w:val="20"/>
          <w:szCs w:val="20"/>
          <w:lang w:eastAsia="en-CA"/>
        </w:rPr>
      </w:pPr>
      <w:r w:rsidRPr="00F0064C">
        <w:rPr>
          <w:rFonts w:eastAsia="Times New Roman" w:cs="Times New Roman"/>
          <w:b/>
          <w:sz w:val="20"/>
          <w:szCs w:val="20"/>
          <w:lang w:val="en-US" w:eastAsia="en-CA"/>
        </w:rPr>
        <w:t xml:space="preserve">UPON APPLICATION </w:t>
      </w:r>
      <w:r w:rsidRPr="00F0064C">
        <w:rPr>
          <w:rFonts w:eastAsia="Times New Roman" w:cs="Times New Roman"/>
          <w:sz w:val="20"/>
          <w:szCs w:val="20"/>
          <w:lang w:val="en-US" w:eastAsia="en-CA"/>
        </w:rPr>
        <w:t>by the respondent, the Attorney General of Canada, for an extension of time to</w:t>
      </w:r>
      <w:r w:rsidRPr="00F0064C">
        <w:rPr>
          <w:rFonts w:eastAsia="Times New Roman" w:cs="Times New Roman"/>
          <w:b/>
          <w:sz w:val="20"/>
          <w:szCs w:val="20"/>
          <w:lang w:val="en-US" w:eastAsia="en-CA"/>
        </w:rPr>
        <w:t xml:space="preserve"> </w:t>
      </w:r>
      <w:r w:rsidRPr="00F0064C">
        <w:rPr>
          <w:rFonts w:eastAsia="Times New Roman" w:cs="Times New Roman"/>
          <w:sz w:val="20"/>
          <w:szCs w:val="20"/>
          <w:lang w:val="en-US" w:eastAsia="en-CA"/>
        </w:rPr>
        <w:t>serve and file a brief written response to the application for leave to appeal to May 7, 2015;</w:t>
      </w:r>
    </w:p>
    <w:p w:rsidR="00F0064C" w:rsidRPr="00F0064C" w:rsidRDefault="00F0064C" w:rsidP="00F0064C">
      <w:pPr>
        <w:spacing w:line="233" w:lineRule="auto"/>
        <w:jc w:val="both"/>
        <w:rPr>
          <w:rFonts w:eastAsia="Times New Roman" w:cs="Times New Roman"/>
          <w:b/>
          <w:sz w:val="20"/>
          <w:szCs w:val="20"/>
          <w:lang w:eastAsia="en-CA"/>
        </w:rPr>
      </w:pPr>
    </w:p>
    <w:p w:rsidR="00F0064C" w:rsidRPr="00F0064C" w:rsidRDefault="00F0064C" w:rsidP="00F0064C">
      <w:pPr>
        <w:spacing w:line="233" w:lineRule="auto"/>
        <w:jc w:val="both"/>
        <w:rPr>
          <w:rFonts w:eastAsia="Times New Roman" w:cs="Times New Roman"/>
          <w:sz w:val="20"/>
          <w:szCs w:val="20"/>
          <w:lang w:val="en-US" w:eastAsia="en-CA"/>
        </w:rPr>
      </w:pPr>
      <w:r w:rsidRPr="00F0064C">
        <w:rPr>
          <w:rFonts w:eastAsia="Times New Roman" w:cs="Times New Roman"/>
          <w:b/>
          <w:bCs/>
          <w:sz w:val="20"/>
          <w:szCs w:val="20"/>
          <w:lang w:val="en-US" w:eastAsia="en-CA"/>
        </w:rPr>
        <w:t>AND THE MATERIAL FILED</w:t>
      </w:r>
      <w:r w:rsidRPr="00F0064C">
        <w:rPr>
          <w:rFonts w:eastAsia="Times New Roman" w:cs="Times New Roman"/>
          <w:sz w:val="20"/>
          <w:szCs w:val="20"/>
          <w:lang w:val="en-US" w:eastAsia="en-CA"/>
        </w:rPr>
        <w:t xml:space="preserve"> having been read;</w:t>
      </w:r>
    </w:p>
    <w:p w:rsidR="00F0064C" w:rsidRPr="00F0064C" w:rsidRDefault="00F0064C" w:rsidP="00F0064C">
      <w:pPr>
        <w:spacing w:line="233" w:lineRule="auto"/>
        <w:jc w:val="both"/>
        <w:rPr>
          <w:rFonts w:eastAsia="Times New Roman" w:cs="Times New Roman"/>
          <w:sz w:val="20"/>
          <w:szCs w:val="20"/>
          <w:lang w:val="en-US" w:eastAsia="en-CA"/>
        </w:rPr>
      </w:pPr>
    </w:p>
    <w:p w:rsidR="00F0064C" w:rsidRPr="00F0064C" w:rsidRDefault="00F0064C" w:rsidP="00F0064C">
      <w:pPr>
        <w:spacing w:line="233" w:lineRule="auto"/>
        <w:jc w:val="both"/>
        <w:rPr>
          <w:rFonts w:eastAsia="Times New Roman" w:cs="Times New Roman"/>
          <w:b/>
          <w:bCs/>
          <w:sz w:val="20"/>
          <w:szCs w:val="20"/>
          <w:lang w:val="en-US" w:eastAsia="en-CA"/>
        </w:rPr>
      </w:pPr>
      <w:r w:rsidRPr="00F0064C">
        <w:rPr>
          <w:rFonts w:eastAsia="Times New Roman" w:cs="Times New Roman"/>
          <w:b/>
          <w:bCs/>
          <w:sz w:val="20"/>
          <w:szCs w:val="20"/>
          <w:lang w:val="en-US" w:eastAsia="en-CA"/>
        </w:rPr>
        <w:t>IT IS HEREBY ORDERED THAT:</w:t>
      </w:r>
    </w:p>
    <w:p w:rsidR="00F0064C" w:rsidRPr="00F0064C" w:rsidRDefault="00F0064C" w:rsidP="00F0064C">
      <w:pPr>
        <w:spacing w:line="233" w:lineRule="auto"/>
        <w:jc w:val="both"/>
        <w:rPr>
          <w:rFonts w:eastAsia="Times New Roman" w:cs="Times New Roman"/>
          <w:b/>
          <w:bCs/>
          <w:sz w:val="20"/>
          <w:szCs w:val="20"/>
          <w:lang w:val="en-US" w:eastAsia="en-CA"/>
        </w:rPr>
      </w:pPr>
    </w:p>
    <w:p w:rsidR="00F0064C" w:rsidRPr="00F0064C" w:rsidRDefault="00F0064C" w:rsidP="00F0064C">
      <w:pPr>
        <w:jc w:val="both"/>
        <w:rPr>
          <w:rFonts w:eastAsia="Times New Roman" w:cs="Times New Roman"/>
          <w:sz w:val="20"/>
          <w:szCs w:val="20"/>
          <w:lang w:val="en-US" w:eastAsia="en-CA"/>
        </w:rPr>
      </w:pPr>
      <w:r w:rsidRPr="00F0064C">
        <w:rPr>
          <w:rFonts w:eastAsia="Times New Roman" w:cs="Times New Roman"/>
          <w:sz w:val="20"/>
          <w:szCs w:val="20"/>
          <w:lang w:val="en-US" w:eastAsia="en-CA"/>
        </w:rPr>
        <w:t>The motion is granted. </w:t>
      </w:r>
    </w:p>
    <w:p w:rsidR="00F0064C" w:rsidRPr="00F0064C" w:rsidRDefault="00F0064C" w:rsidP="00F0064C">
      <w:pPr>
        <w:jc w:val="both"/>
        <w:rPr>
          <w:rFonts w:eastAsia="Times New Roman" w:cs="Times New Roman"/>
          <w:sz w:val="20"/>
          <w:szCs w:val="20"/>
          <w:lang w:val="en-US" w:eastAsia="en-CA"/>
        </w:rPr>
      </w:pPr>
    </w:p>
    <w:p w:rsidR="00F0064C" w:rsidRPr="00F0064C" w:rsidRDefault="00F0064C" w:rsidP="00F0064C">
      <w:pPr>
        <w:jc w:val="both"/>
        <w:rPr>
          <w:rFonts w:eastAsia="Times New Roman" w:cs="Times New Roman"/>
          <w:sz w:val="20"/>
          <w:szCs w:val="20"/>
          <w:lang w:val="en-US" w:eastAsia="en-CA"/>
        </w:rPr>
      </w:pPr>
      <w:r w:rsidRPr="00F0064C">
        <w:rPr>
          <w:rFonts w:eastAsia="Times New Roman" w:cs="Times New Roman"/>
          <w:sz w:val="20"/>
          <w:szCs w:val="20"/>
          <w:lang w:val="en-US" w:eastAsia="en-CA"/>
        </w:rPr>
        <w:t>The Attorney General of Canada shall serve and file a written response to the application for leave to appeal not to exceed ten (10) pages in length on or before May 7, 2015.</w:t>
      </w:r>
    </w:p>
    <w:p w:rsidR="00F0064C" w:rsidRPr="00F0064C" w:rsidRDefault="00F0064C" w:rsidP="00F0064C">
      <w:pPr>
        <w:jc w:val="both"/>
        <w:rPr>
          <w:rFonts w:eastAsia="Times New Roman" w:cs="Times New Roman"/>
          <w:sz w:val="20"/>
          <w:szCs w:val="20"/>
          <w:lang w:val="en-US" w:eastAsia="en-CA"/>
        </w:rPr>
      </w:pPr>
    </w:p>
    <w:p w:rsidR="00F0064C" w:rsidRPr="00F0064C" w:rsidRDefault="00F0064C" w:rsidP="00F0064C">
      <w:pPr>
        <w:jc w:val="both"/>
        <w:rPr>
          <w:rFonts w:eastAsia="Times New Roman" w:cs="Times New Roman"/>
          <w:sz w:val="20"/>
          <w:szCs w:val="20"/>
          <w:lang w:val="en-US" w:eastAsia="en-CA"/>
        </w:rPr>
      </w:pPr>
      <w:r w:rsidRPr="00F0064C">
        <w:rPr>
          <w:rFonts w:eastAsia="Times New Roman" w:cs="Times New Roman"/>
          <w:sz w:val="20"/>
          <w:szCs w:val="20"/>
          <w:lang w:val="en-US" w:eastAsia="en-CA"/>
        </w:rPr>
        <w:t>Given that the oral hearing is scheduled for May 11, 2015, submissions on a reply to the response to the application for leave to appeal shall be made at the oral hearing.</w:t>
      </w:r>
    </w:p>
    <w:p w:rsidR="00F0064C" w:rsidRPr="00F0064C" w:rsidRDefault="00F0064C" w:rsidP="00F0064C">
      <w:pPr>
        <w:jc w:val="both"/>
        <w:rPr>
          <w:rFonts w:eastAsia="Times New Roman" w:cs="Times New Roman"/>
          <w:sz w:val="20"/>
          <w:szCs w:val="20"/>
          <w:lang w:val="en-US" w:eastAsia="en-CA"/>
        </w:rPr>
      </w:pPr>
    </w:p>
    <w:p w:rsidR="00F0064C" w:rsidRPr="00F0064C" w:rsidRDefault="00F0064C" w:rsidP="00F0064C">
      <w:pPr>
        <w:jc w:val="both"/>
        <w:rPr>
          <w:rFonts w:eastAsia="Times New Roman" w:cs="Times New Roman"/>
          <w:sz w:val="20"/>
          <w:szCs w:val="20"/>
          <w:lang w:val="en-US" w:eastAsia="en-CA"/>
        </w:rPr>
      </w:pPr>
    </w:p>
    <w:p w:rsidR="00F0064C" w:rsidRPr="00F0064C" w:rsidRDefault="00F0064C" w:rsidP="00F0064C">
      <w:pPr>
        <w:jc w:val="both"/>
        <w:rPr>
          <w:rFonts w:eastAsia="Times New Roman" w:cs="Times New Roman"/>
          <w:sz w:val="20"/>
          <w:szCs w:val="20"/>
          <w:lang w:val="en-US" w:eastAsia="en-CA"/>
        </w:rPr>
      </w:pPr>
    </w:p>
    <w:p w:rsidR="00F0064C" w:rsidRPr="00F0064C" w:rsidRDefault="00F0064C" w:rsidP="00F0064C">
      <w:pPr>
        <w:spacing w:line="233" w:lineRule="auto"/>
        <w:jc w:val="both"/>
        <w:rPr>
          <w:rFonts w:eastAsia="Times New Roman" w:cs="Times New Roman"/>
          <w:sz w:val="20"/>
          <w:szCs w:val="20"/>
          <w:lang w:val="fr-CA" w:eastAsia="en-CA"/>
        </w:rPr>
      </w:pPr>
      <w:r w:rsidRPr="00F0064C">
        <w:rPr>
          <w:rFonts w:eastAsia="Times New Roman" w:cs="Times New Roman"/>
          <w:b/>
          <w:sz w:val="20"/>
          <w:szCs w:val="20"/>
          <w:lang w:val="fr-CA" w:eastAsia="en-CA"/>
        </w:rPr>
        <w:t xml:space="preserve">À LA SUITE DE LA DEMANDE </w:t>
      </w:r>
      <w:r w:rsidRPr="00F0064C">
        <w:rPr>
          <w:rFonts w:eastAsia="Times New Roman" w:cs="Times New Roman"/>
          <w:sz w:val="20"/>
          <w:szCs w:val="20"/>
          <w:lang w:val="fr-CA" w:eastAsia="en-CA"/>
        </w:rPr>
        <w:t xml:space="preserve">présentée par le procureur général du Canada intimé en vue de faire proroger au 7 mai 2015 le délai pour signifier et déposer une brève réponse écrite à la demande d’autorisation d’appel; </w:t>
      </w:r>
    </w:p>
    <w:p w:rsidR="00F0064C" w:rsidRPr="00F0064C" w:rsidRDefault="00F0064C" w:rsidP="00F0064C">
      <w:pPr>
        <w:spacing w:line="233" w:lineRule="auto"/>
        <w:jc w:val="both"/>
        <w:rPr>
          <w:rFonts w:eastAsia="Times New Roman" w:cs="Times New Roman"/>
          <w:b/>
          <w:sz w:val="20"/>
          <w:szCs w:val="20"/>
          <w:lang w:val="fr-CA" w:eastAsia="en-CA"/>
        </w:rPr>
      </w:pPr>
    </w:p>
    <w:p w:rsidR="00F0064C" w:rsidRPr="00F0064C" w:rsidRDefault="00F0064C" w:rsidP="00F0064C">
      <w:pPr>
        <w:spacing w:line="233" w:lineRule="auto"/>
        <w:jc w:val="both"/>
        <w:rPr>
          <w:rFonts w:eastAsia="Times New Roman" w:cs="Times New Roman"/>
          <w:sz w:val="20"/>
          <w:szCs w:val="20"/>
          <w:lang w:val="fr-CA" w:eastAsia="en-CA"/>
        </w:rPr>
      </w:pPr>
      <w:r w:rsidRPr="00F0064C">
        <w:rPr>
          <w:rFonts w:eastAsia="Times New Roman" w:cs="Times New Roman"/>
          <w:b/>
          <w:bCs/>
          <w:sz w:val="20"/>
          <w:szCs w:val="20"/>
          <w:lang w:val="fr-CA" w:eastAsia="en-CA"/>
        </w:rPr>
        <w:t xml:space="preserve">ET APRÈS EXAMEN </w:t>
      </w:r>
      <w:r w:rsidRPr="00F0064C">
        <w:rPr>
          <w:rFonts w:eastAsia="Times New Roman" w:cs="Times New Roman"/>
          <w:bCs/>
          <w:sz w:val="20"/>
          <w:szCs w:val="20"/>
          <w:lang w:val="fr-CA" w:eastAsia="en-CA"/>
        </w:rPr>
        <w:t>des documents déposés</w:t>
      </w:r>
      <w:r w:rsidRPr="00F0064C">
        <w:rPr>
          <w:rFonts w:eastAsia="Times New Roman" w:cs="Times New Roman"/>
          <w:sz w:val="20"/>
          <w:szCs w:val="20"/>
          <w:lang w:val="fr-CA" w:eastAsia="en-CA"/>
        </w:rPr>
        <w:t>;</w:t>
      </w:r>
    </w:p>
    <w:p w:rsidR="00F0064C" w:rsidRPr="00F0064C" w:rsidRDefault="00F0064C" w:rsidP="00F0064C">
      <w:pPr>
        <w:spacing w:line="233" w:lineRule="auto"/>
        <w:jc w:val="both"/>
        <w:rPr>
          <w:rFonts w:eastAsia="Times New Roman" w:cs="Times New Roman"/>
          <w:sz w:val="20"/>
          <w:szCs w:val="20"/>
          <w:lang w:val="fr-CA" w:eastAsia="en-CA"/>
        </w:rPr>
      </w:pPr>
    </w:p>
    <w:p w:rsidR="00F0064C" w:rsidRPr="00F0064C" w:rsidRDefault="00F0064C" w:rsidP="00F0064C">
      <w:pPr>
        <w:spacing w:line="233" w:lineRule="auto"/>
        <w:jc w:val="both"/>
        <w:rPr>
          <w:rFonts w:eastAsia="Times New Roman" w:cs="Times New Roman"/>
          <w:b/>
          <w:bCs/>
          <w:sz w:val="20"/>
          <w:szCs w:val="20"/>
          <w:lang w:val="fr-CA" w:eastAsia="en-CA"/>
        </w:rPr>
      </w:pPr>
      <w:r w:rsidRPr="00F0064C">
        <w:rPr>
          <w:rFonts w:eastAsia="Times New Roman" w:cs="Times New Roman"/>
          <w:b/>
          <w:bCs/>
          <w:sz w:val="20"/>
          <w:szCs w:val="20"/>
          <w:lang w:val="fr-CA" w:eastAsia="en-CA"/>
        </w:rPr>
        <w:t>IL EST ORDONNÉ CE QUI SUIT :</w:t>
      </w:r>
    </w:p>
    <w:p w:rsidR="00F0064C" w:rsidRPr="00F0064C" w:rsidRDefault="00F0064C" w:rsidP="00F0064C">
      <w:pPr>
        <w:spacing w:line="233" w:lineRule="auto"/>
        <w:jc w:val="both"/>
        <w:rPr>
          <w:rFonts w:eastAsia="Times New Roman" w:cs="Times New Roman"/>
          <w:b/>
          <w:bCs/>
          <w:sz w:val="20"/>
          <w:szCs w:val="20"/>
          <w:lang w:val="fr-CA" w:eastAsia="en-CA"/>
        </w:rPr>
      </w:pPr>
    </w:p>
    <w:p w:rsidR="00F0064C" w:rsidRPr="00F0064C" w:rsidRDefault="00F0064C" w:rsidP="00F0064C">
      <w:pPr>
        <w:jc w:val="both"/>
        <w:rPr>
          <w:rFonts w:eastAsia="Times New Roman" w:cs="Times New Roman"/>
          <w:sz w:val="20"/>
          <w:szCs w:val="20"/>
          <w:lang w:val="fr-CA" w:eastAsia="en-CA"/>
        </w:rPr>
      </w:pPr>
      <w:r w:rsidRPr="00F0064C">
        <w:rPr>
          <w:rFonts w:eastAsia="Times New Roman" w:cs="Times New Roman"/>
          <w:sz w:val="20"/>
          <w:szCs w:val="20"/>
          <w:lang w:val="fr-CA" w:eastAsia="en-CA"/>
        </w:rPr>
        <w:t>La requête est accueillie. </w:t>
      </w:r>
    </w:p>
    <w:p w:rsidR="00F0064C" w:rsidRPr="00F0064C" w:rsidRDefault="00F0064C" w:rsidP="00F0064C">
      <w:pPr>
        <w:jc w:val="both"/>
        <w:rPr>
          <w:rFonts w:eastAsia="Times New Roman" w:cs="Times New Roman"/>
          <w:sz w:val="20"/>
          <w:szCs w:val="20"/>
          <w:lang w:val="fr-CA" w:eastAsia="en-CA"/>
        </w:rPr>
      </w:pPr>
    </w:p>
    <w:p w:rsidR="00F0064C" w:rsidRPr="00F0064C" w:rsidRDefault="00F0064C" w:rsidP="00F0064C">
      <w:pPr>
        <w:jc w:val="both"/>
        <w:rPr>
          <w:rFonts w:eastAsia="Times New Roman" w:cs="Times New Roman"/>
          <w:sz w:val="20"/>
          <w:szCs w:val="20"/>
          <w:lang w:val="fr-CA" w:eastAsia="en-CA"/>
        </w:rPr>
      </w:pPr>
      <w:r w:rsidRPr="00F0064C">
        <w:rPr>
          <w:rFonts w:eastAsia="Times New Roman" w:cs="Times New Roman"/>
          <w:sz w:val="20"/>
          <w:szCs w:val="20"/>
          <w:lang w:val="fr-CA" w:eastAsia="en-CA"/>
        </w:rPr>
        <w:t>Le procureur général du Canada signifiera et déposera une réponse écrite d’au plus dix (10) pages à la demande d’autorisation d’appel au plus tard le 7 mai 2015.</w:t>
      </w:r>
    </w:p>
    <w:p w:rsidR="00F0064C" w:rsidRPr="00F0064C" w:rsidRDefault="00F0064C" w:rsidP="00F0064C">
      <w:pPr>
        <w:jc w:val="both"/>
        <w:rPr>
          <w:rFonts w:eastAsia="Times New Roman" w:cs="Times New Roman"/>
          <w:sz w:val="20"/>
          <w:szCs w:val="20"/>
          <w:lang w:val="fr-CA" w:eastAsia="en-CA"/>
        </w:rPr>
      </w:pPr>
    </w:p>
    <w:p w:rsidR="00F0064C" w:rsidRPr="00F0064C" w:rsidRDefault="00F0064C" w:rsidP="00F0064C">
      <w:pPr>
        <w:jc w:val="both"/>
        <w:rPr>
          <w:rFonts w:eastAsia="Times New Roman" w:cs="Times New Roman"/>
          <w:sz w:val="20"/>
          <w:szCs w:val="20"/>
          <w:lang w:val="fr-CA" w:eastAsia="en-CA"/>
        </w:rPr>
      </w:pPr>
      <w:r w:rsidRPr="00F0064C">
        <w:rPr>
          <w:rFonts w:eastAsia="Times New Roman" w:cs="Times New Roman"/>
          <w:sz w:val="20"/>
          <w:szCs w:val="20"/>
          <w:lang w:val="fr-CA" w:eastAsia="en-CA"/>
        </w:rPr>
        <w:t xml:space="preserve">Comme l’audience est prévue pour le 11 mai 2015, les observations sur une réplique à la réponse à la demande d’autorisation d’appel seront présentées à l’audience. </w:t>
      </w:r>
    </w:p>
    <w:p w:rsidR="00F0064C" w:rsidRPr="00F0064C" w:rsidRDefault="00F0064C" w:rsidP="00F0064C">
      <w:pPr>
        <w:tabs>
          <w:tab w:val="left" w:pos="-1440"/>
          <w:tab w:val="left" w:pos="-720"/>
        </w:tabs>
        <w:jc w:val="both"/>
        <w:rPr>
          <w:rFonts w:eastAsia="Times New Roman" w:cs="Times New Roman"/>
          <w:sz w:val="20"/>
          <w:szCs w:val="20"/>
          <w:lang w:val="fr-CA" w:eastAsia="en-CA"/>
        </w:rPr>
      </w:pPr>
    </w:p>
    <w:p w:rsidR="00F0064C" w:rsidRPr="00F0064C" w:rsidRDefault="005B3B50" w:rsidP="00F0064C">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73" style="width:2in;height:1pt" o:hrpct="0" o:hralign="center" o:hrstd="t" o:hrnoshade="t" o:hr="t" fillcolor="black [3213]" stroked="f"/>
        </w:pict>
      </w:r>
    </w:p>
    <w:p w:rsidR="00F0064C" w:rsidRPr="00F0064C" w:rsidRDefault="00F0064C" w:rsidP="00F0064C">
      <w:pPr>
        <w:tabs>
          <w:tab w:val="left" w:pos="-1440"/>
          <w:tab w:val="left" w:pos="-720"/>
        </w:tabs>
        <w:jc w:val="both"/>
        <w:rPr>
          <w:rFonts w:eastAsia="Times New Roman" w:cs="Times New Roman"/>
          <w:sz w:val="20"/>
          <w:szCs w:val="20"/>
          <w:lang w:val="fr-CA" w:eastAsia="en-CA"/>
        </w:rPr>
      </w:pPr>
    </w:p>
    <w:p w:rsidR="00F0064C" w:rsidRPr="00F0064C" w:rsidRDefault="00F0064C" w:rsidP="00F0064C">
      <w:pPr>
        <w:tabs>
          <w:tab w:val="left" w:pos="-1440"/>
          <w:tab w:val="left" w:pos="-720"/>
        </w:tabs>
        <w:jc w:val="both"/>
        <w:rPr>
          <w:rFonts w:eastAsia="Times New Roman" w:cs="Times New Roman"/>
          <w:sz w:val="20"/>
          <w:szCs w:val="20"/>
          <w:lang w:val="fr-CA" w:eastAsia="en-CA"/>
        </w:rPr>
      </w:pPr>
      <w:r w:rsidRPr="00F0064C">
        <w:rPr>
          <w:rFonts w:eastAsia="Times New Roman" w:cs="Times New Roman"/>
          <w:sz w:val="20"/>
          <w:szCs w:val="20"/>
          <w:lang w:val="fr-CA" w:eastAsia="en-CA"/>
        </w:rPr>
        <w:t>06.05.2015</w:t>
      </w:r>
    </w:p>
    <w:p w:rsidR="00F0064C" w:rsidRPr="00F0064C" w:rsidRDefault="00F0064C" w:rsidP="00F0064C">
      <w:pPr>
        <w:tabs>
          <w:tab w:val="left" w:pos="-1440"/>
          <w:tab w:val="left" w:pos="-720"/>
        </w:tabs>
        <w:jc w:val="both"/>
        <w:rPr>
          <w:rFonts w:eastAsia="Times New Roman" w:cs="Times New Roman"/>
          <w:sz w:val="20"/>
          <w:szCs w:val="20"/>
          <w:lang w:val="fr-CA" w:eastAsia="en-CA"/>
        </w:rPr>
      </w:pPr>
    </w:p>
    <w:p w:rsidR="00F0064C" w:rsidRPr="00F0064C" w:rsidRDefault="00F0064C" w:rsidP="00F0064C">
      <w:pPr>
        <w:tabs>
          <w:tab w:val="left" w:pos="-1440"/>
          <w:tab w:val="left" w:pos="-720"/>
        </w:tabs>
        <w:jc w:val="both"/>
        <w:rPr>
          <w:rFonts w:eastAsia="Times New Roman" w:cs="Times New Roman"/>
          <w:sz w:val="20"/>
          <w:szCs w:val="20"/>
          <w:lang w:val="fr-CA" w:eastAsia="en-CA"/>
        </w:rPr>
      </w:pPr>
      <w:r w:rsidRPr="00F0064C">
        <w:rPr>
          <w:rFonts w:eastAsia="Times New Roman" w:cs="Times New Roman"/>
          <w:sz w:val="20"/>
          <w:szCs w:val="20"/>
          <w:lang w:val="fr-CA" w:eastAsia="en-CA"/>
        </w:rPr>
        <w:t>Before / Devant:   WAGNER J. / LE JUGE WAGNER</w:t>
      </w:r>
    </w:p>
    <w:p w:rsidR="00F0064C" w:rsidRPr="00F0064C" w:rsidRDefault="00F0064C" w:rsidP="00F0064C">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2970"/>
        <w:gridCol w:w="1080"/>
        <w:gridCol w:w="4327"/>
      </w:tblGrid>
      <w:tr w:rsidR="00F0064C" w:rsidRPr="002A1430" w:rsidTr="006A6EF8">
        <w:tc>
          <w:tcPr>
            <w:tcW w:w="4428" w:type="dxa"/>
            <w:gridSpan w:val="2"/>
          </w:tcPr>
          <w:p w:rsidR="00F0064C" w:rsidRPr="00F0064C" w:rsidRDefault="00F0064C" w:rsidP="00F0064C">
            <w:pPr>
              <w:jc w:val="both"/>
              <w:rPr>
                <w:b/>
              </w:rPr>
            </w:pPr>
            <w:r w:rsidRPr="00F0064C">
              <w:rPr>
                <w:b/>
                <w:lang w:val="en-US"/>
              </w:rPr>
              <w:t xml:space="preserve">Order on interventions with respect to oral argument </w:t>
            </w:r>
            <w:r w:rsidR="00B158EB" w:rsidRPr="00F0064C">
              <w:rPr>
                <w:szCs w:val="24"/>
                <w:lang w:val="en-US"/>
              </w:rPr>
              <w:fldChar w:fldCharType="begin"/>
            </w:r>
            <w:r w:rsidRPr="00F0064C">
              <w:rPr>
                <w:szCs w:val="24"/>
              </w:rPr>
              <w:instrText xml:space="preserve"> SEQ CHAPTER \h \r 1</w:instrText>
            </w:r>
            <w:r w:rsidR="00B158EB" w:rsidRPr="00F0064C">
              <w:rPr>
                <w:szCs w:val="24"/>
                <w:lang w:val="en-US"/>
              </w:rPr>
              <w:fldChar w:fldCharType="end"/>
            </w:r>
          </w:p>
        </w:tc>
        <w:tc>
          <w:tcPr>
            <w:tcW w:w="1080" w:type="dxa"/>
          </w:tcPr>
          <w:p w:rsidR="00F0064C" w:rsidRPr="00F0064C" w:rsidRDefault="00F0064C" w:rsidP="00F0064C"/>
          <w:p w:rsidR="00F0064C" w:rsidRPr="00F0064C" w:rsidRDefault="00F0064C" w:rsidP="00F0064C"/>
          <w:p w:rsidR="00F0064C" w:rsidRPr="00F0064C" w:rsidRDefault="00F0064C" w:rsidP="00F0064C"/>
        </w:tc>
        <w:tc>
          <w:tcPr>
            <w:tcW w:w="4327" w:type="dxa"/>
          </w:tcPr>
          <w:p w:rsidR="00F0064C" w:rsidRPr="00F0064C" w:rsidRDefault="00F0064C" w:rsidP="00F0064C">
            <w:pPr>
              <w:jc w:val="both"/>
              <w:rPr>
                <w:b/>
                <w:lang w:val="fr-CA"/>
              </w:rPr>
            </w:pPr>
            <w:r w:rsidRPr="00F0064C">
              <w:rPr>
                <w:b/>
                <w:lang w:val="fr-CA"/>
              </w:rPr>
              <w:t>Ordonnance relative à la présentation d’une plaidoirie orale par les intervenants</w:t>
            </w:r>
            <w:r w:rsidRPr="00F0064C">
              <w:rPr>
                <w:szCs w:val="24"/>
                <w:lang w:val="fr-CA"/>
              </w:rPr>
              <w:t xml:space="preserve"> </w:t>
            </w:r>
            <w:r w:rsidR="00B158EB" w:rsidRPr="00F0064C">
              <w:rPr>
                <w:szCs w:val="24"/>
                <w:lang w:val="en-US"/>
              </w:rPr>
              <w:fldChar w:fldCharType="begin"/>
            </w:r>
            <w:r w:rsidRPr="00F0064C">
              <w:rPr>
                <w:szCs w:val="24"/>
                <w:lang w:val="fr-CA"/>
              </w:rPr>
              <w:instrText xml:space="preserve"> SEQ CHAPTER \h \r 1</w:instrText>
            </w:r>
            <w:r w:rsidR="00B158EB" w:rsidRPr="00F0064C">
              <w:rPr>
                <w:szCs w:val="24"/>
                <w:lang w:val="en-US"/>
              </w:rPr>
              <w:fldChar w:fldCharType="end"/>
            </w:r>
          </w:p>
        </w:tc>
      </w:tr>
      <w:tr w:rsidR="00F0064C" w:rsidRPr="00F0064C" w:rsidTr="006A6EF8">
        <w:trPr>
          <w:trHeight w:hRule="exact" w:val="576"/>
        </w:trPr>
        <w:tc>
          <w:tcPr>
            <w:tcW w:w="1458" w:type="dxa"/>
          </w:tcPr>
          <w:p w:rsidR="00F0064C" w:rsidRPr="00F0064C" w:rsidRDefault="00F0064C" w:rsidP="00F0064C">
            <w:r w:rsidRPr="00F0064C">
              <w:t>RE:</w:t>
            </w:r>
          </w:p>
        </w:tc>
        <w:tc>
          <w:tcPr>
            <w:tcW w:w="2970" w:type="dxa"/>
          </w:tcPr>
          <w:p w:rsidR="00F0064C" w:rsidRPr="00F0064C" w:rsidRDefault="00F0064C" w:rsidP="00F0064C">
            <w:r w:rsidRPr="00F0064C">
              <w:rPr>
                <w:lang w:val="en-US"/>
              </w:rPr>
              <w:t>Criminal Lawyers’ Association of Ontario</w:t>
            </w:r>
            <w:r w:rsidRPr="00F0064C">
              <w:t>;</w:t>
            </w:r>
          </w:p>
        </w:tc>
        <w:tc>
          <w:tcPr>
            <w:tcW w:w="1080" w:type="dxa"/>
          </w:tcPr>
          <w:p w:rsidR="00F0064C" w:rsidRPr="00F0064C" w:rsidRDefault="00F0064C" w:rsidP="00F0064C"/>
        </w:tc>
        <w:tc>
          <w:tcPr>
            <w:tcW w:w="4327" w:type="dxa"/>
          </w:tcPr>
          <w:p w:rsidR="00F0064C" w:rsidRPr="00F0064C" w:rsidRDefault="00F0064C" w:rsidP="00F0064C"/>
        </w:tc>
      </w:tr>
      <w:tr w:rsidR="00F0064C" w:rsidRPr="00F0064C" w:rsidTr="006A6EF8">
        <w:trPr>
          <w:trHeight w:hRule="exact" w:val="1080"/>
        </w:trPr>
        <w:tc>
          <w:tcPr>
            <w:tcW w:w="1458" w:type="dxa"/>
          </w:tcPr>
          <w:p w:rsidR="00F0064C" w:rsidRPr="00F0064C" w:rsidRDefault="00F0064C" w:rsidP="00F0064C"/>
        </w:tc>
        <w:tc>
          <w:tcPr>
            <w:tcW w:w="2970" w:type="dxa"/>
          </w:tcPr>
          <w:p w:rsidR="00F0064C" w:rsidRPr="00F0064C" w:rsidRDefault="00F0064C" w:rsidP="00F0064C">
            <w:r w:rsidRPr="00F0064C">
              <w:rPr>
                <w:lang w:val="en-US"/>
              </w:rPr>
              <w:t>Criminal Trial Lawyers’ Association (Alberta) and the Criminal Defence Lawyers Association (Calgary)</w:t>
            </w:r>
            <w:r w:rsidRPr="00F0064C">
              <w:t>;</w:t>
            </w:r>
          </w:p>
        </w:tc>
        <w:tc>
          <w:tcPr>
            <w:tcW w:w="1080" w:type="dxa"/>
          </w:tcPr>
          <w:p w:rsidR="00F0064C" w:rsidRPr="00F0064C" w:rsidRDefault="00F0064C" w:rsidP="00F0064C"/>
        </w:tc>
        <w:tc>
          <w:tcPr>
            <w:tcW w:w="4327" w:type="dxa"/>
          </w:tcPr>
          <w:p w:rsidR="00F0064C" w:rsidRPr="00F0064C" w:rsidRDefault="00F0064C" w:rsidP="00F0064C"/>
        </w:tc>
      </w:tr>
      <w:tr w:rsidR="00F0064C" w:rsidRPr="00F0064C" w:rsidTr="006A6EF8">
        <w:trPr>
          <w:trHeight w:hRule="exact" w:val="576"/>
        </w:trPr>
        <w:tc>
          <w:tcPr>
            <w:tcW w:w="1458" w:type="dxa"/>
          </w:tcPr>
          <w:p w:rsidR="00F0064C" w:rsidRPr="00F0064C" w:rsidRDefault="00F0064C" w:rsidP="00F0064C"/>
        </w:tc>
        <w:tc>
          <w:tcPr>
            <w:tcW w:w="2970" w:type="dxa"/>
          </w:tcPr>
          <w:p w:rsidR="00F0064C" w:rsidRPr="00F0064C" w:rsidRDefault="00F0064C" w:rsidP="00F0064C">
            <w:r w:rsidRPr="00F0064C">
              <w:rPr>
                <w:lang w:val="en-US"/>
              </w:rPr>
              <w:t>British Columbia Civil Liberties Association</w:t>
            </w:r>
            <w:r w:rsidRPr="00F0064C">
              <w:t>;</w:t>
            </w:r>
          </w:p>
        </w:tc>
        <w:tc>
          <w:tcPr>
            <w:tcW w:w="1080" w:type="dxa"/>
          </w:tcPr>
          <w:p w:rsidR="00F0064C" w:rsidRPr="00F0064C" w:rsidRDefault="00F0064C" w:rsidP="00F0064C"/>
        </w:tc>
        <w:tc>
          <w:tcPr>
            <w:tcW w:w="4327" w:type="dxa"/>
          </w:tcPr>
          <w:p w:rsidR="00F0064C" w:rsidRPr="00F0064C" w:rsidRDefault="00F0064C" w:rsidP="00F0064C"/>
        </w:tc>
      </w:tr>
      <w:tr w:rsidR="00F0064C" w:rsidRPr="00F0064C" w:rsidTr="006A6EF8">
        <w:trPr>
          <w:trHeight w:hRule="exact" w:val="576"/>
        </w:trPr>
        <w:tc>
          <w:tcPr>
            <w:tcW w:w="1458" w:type="dxa"/>
          </w:tcPr>
          <w:p w:rsidR="00F0064C" w:rsidRPr="00F0064C" w:rsidRDefault="00F0064C" w:rsidP="00F0064C"/>
        </w:tc>
        <w:tc>
          <w:tcPr>
            <w:tcW w:w="2970" w:type="dxa"/>
          </w:tcPr>
          <w:p w:rsidR="00F0064C" w:rsidRPr="00F0064C" w:rsidRDefault="00F0064C" w:rsidP="00F0064C">
            <w:pPr>
              <w:rPr>
                <w:lang w:val="en-US"/>
              </w:rPr>
            </w:pPr>
            <w:r w:rsidRPr="00F0064C">
              <w:rPr>
                <w:lang w:val="en-US"/>
              </w:rPr>
              <w:t>Alberta Registrar of Motor Vehicle Services;</w:t>
            </w:r>
          </w:p>
        </w:tc>
        <w:tc>
          <w:tcPr>
            <w:tcW w:w="1080" w:type="dxa"/>
          </w:tcPr>
          <w:p w:rsidR="00F0064C" w:rsidRPr="00F0064C" w:rsidRDefault="00F0064C" w:rsidP="00F0064C"/>
        </w:tc>
        <w:tc>
          <w:tcPr>
            <w:tcW w:w="4327" w:type="dxa"/>
          </w:tcPr>
          <w:p w:rsidR="00F0064C" w:rsidRPr="00F0064C" w:rsidRDefault="00F0064C" w:rsidP="00F0064C"/>
        </w:tc>
      </w:tr>
      <w:tr w:rsidR="00F0064C" w:rsidRPr="00F0064C" w:rsidTr="006A6EF8">
        <w:trPr>
          <w:trHeight w:val="360"/>
        </w:trPr>
        <w:tc>
          <w:tcPr>
            <w:tcW w:w="1458" w:type="dxa"/>
          </w:tcPr>
          <w:p w:rsidR="00F0064C" w:rsidRPr="00F0064C" w:rsidRDefault="00F0064C" w:rsidP="00F0064C"/>
        </w:tc>
        <w:tc>
          <w:tcPr>
            <w:tcW w:w="2970" w:type="dxa"/>
          </w:tcPr>
          <w:p w:rsidR="00F0064C" w:rsidRPr="00F0064C" w:rsidRDefault="00F0064C" w:rsidP="00F0064C">
            <w:r w:rsidRPr="00F0064C">
              <w:rPr>
                <w:lang w:val="en-US"/>
              </w:rPr>
              <w:t>Insurance Bureau of Canada;</w:t>
            </w:r>
          </w:p>
        </w:tc>
        <w:tc>
          <w:tcPr>
            <w:tcW w:w="1080" w:type="dxa"/>
          </w:tcPr>
          <w:p w:rsidR="00F0064C" w:rsidRPr="00F0064C" w:rsidRDefault="00F0064C" w:rsidP="00F0064C"/>
        </w:tc>
        <w:tc>
          <w:tcPr>
            <w:tcW w:w="4327" w:type="dxa"/>
          </w:tcPr>
          <w:p w:rsidR="00F0064C" w:rsidRPr="00F0064C" w:rsidRDefault="00F0064C" w:rsidP="00F0064C"/>
        </w:tc>
      </w:tr>
      <w:tr w:rsidR="00F0064C" w:rsidRPr="00F0064C" w:rsidTr="006A6EF8">
        <w:trPr>
          <w:trHeight w:val="576"/>
        </w:trPr>
        <w:tc>
          <w:tcPr>
            <w:tcW w:w="1458" w:type="dxa"/>
          </w:tcPr>
          <w:p w:rsidR="00F0064C" w:rsidRPr="00F0064C" w:rsidRDefault="00F0064C" w:rsidP="00F0064C"/>
        </w:tc>
        <w:tc>
          <w:tcPr>
            <w:tcW w:w="2970" w:type="dxa"/>
          </w:tcPr>
          <w:p w:rsidR="00F0064C" w:rsidRPr="00F0064C" w:rsidRDefault="00F0064C" w:rsidP="00F0064C">
            <w:pPr>
              <w:rPr>
                <w:lang w:val="en-US"/>
              </w:rPr>
            </w:pPr>
            <w:r w:rsidRPr="00F0064C">
              <w:rPr>
                <w:lang w:val="en-US"/>
              </w:rPr>
              <w:t>Mothers Against Drunk Driving Canada</w:t>
            </w:r>
          </w:p>
        </w:tc>
        <w:tc>
          <w:tcPr>
            <w:tcW w:w="1080" w:type="dxa"/>
          </w:tcPr>
          <w:p w:rsidR="00F0064C" w:rsidRPr="00F0064C" w:rsidRDefault="00F0064C" w:rsidP="00F0064C"/>
        </w:tc>
        <w:tc>
          <w:tcPr>
            <w:tcW w:w="4327" w:type="dxa"/>
          </w:tcPr>
          <w:p w:rsidR="00F0064C" w:rsidRPr="00F0064C" w:rsidRDefault="00F0064C" w:rsidP="00F0064C"/>
        </w:tc>
      </w:tr>
      <w:tr w:rsidR="00F0064C" w:rsidRPr="00F0064C" w:rsidTr="006A6EF8">
        <w:tc>
          <w:tcPr>
            <w:tcW w:w="1458" w:type="dxa"/>
          </w:tcPr>
          <w:p w:rsidR="00F0064C" w:rsidRPr="00F0064C" w:rsidRDefault="00F0064C" w:rsidP="00F0064C"/>
        </w:tc>
        <w:tc>
          <w:tcPr>
            <w:tcW w:w="2970" w:type="dxa"/>
          </w:tcPr>
          <w:p w:rsidR="00F0064C" w:rsidRPr="00F0064C" w:rsidRDefault="00F0064C" w:rsidP="00F0064C"/>
        </w:tc>
        <w:tc>
          <w:tcPr>
            <w:tcW w:w="1080" w:type="dxa"/>
          </w:tcPr>
          <w:p w:rsidR="00F0064C" w:rsidRPr="00F0064C" w:rsidRDefault="00F0064C" w:rsidP="00F0064C"/>
        </w:tc>
        <w:tc>
          <w:tcPr>
            <w:tcW w:w="4327" w:type="dxa"/>
          </w:tcPr>
          <w:p w:rsidR="00F0064C" w:rsidRPr="00F0064C" w:rsidRDefault="00F0064C" w:rsidP="00F0064C"/>
        </w:tc>
      </w:tr>
      <w:tr w:rsidR="00F0064C" w:rsidRPr="00F0064C" w:rsidTr="006A6EF8">
        <w:tc>
          <w:tcPr>
            <w:tcW w:w="1458" w:type="dxa"/>
          </w:tcPr>
          <w:p w:rsidR="00F0064C" w:rsidRPr="00F0064C" w:rsidRDefault="00F0064C" w:rsidP="00F0064C">
            <w:r w:rsidRPr="00F0064C">
              <w:t>IN / DANS :</w:t>
            </w:r>
          </w:p>
        </w:tc>
        <w:tc>
          <w:tcPr>
            <w:tcW w:w="2970" w:type="dxa"/>
          </w:tcPr>
          <w:p w:rsidR="00F0064C" w:rsidRPr="00F0064C" w:rsidRDefault="00F0064C" w:rsidP="00F0064C">
            <w:pPr>
              <w:rPr>
                <w:lang w:val="fr-CA"/>
              </w:rPr>
            </w:pPr>
            <w:r w:rsidRPr="00F0064C">
              <w:rPr>
                <w:lang w:val="fr-CA"/>
              </w:rPr>
              <w:t xml:space="preserve">Richard James Goodwin et al. </w:t>
            </w:r>
          </w:p>
          <w:p w:rsidR="00F0064C" w:rsidRPr="00F0064C" w:rsidRDefault="00F0064C" w:rsidP="00F0064C">
            <w:pPr>
              <w:rPr>
                <w:lang w:val="fr-CA"/>
              </w:rPr>
            </w:pPr>
          </w:p>
          <w:p w:rsidR="00F0064C" w:rsidRPr="00F0064C" w:rsidRDefault="00F0064C" w:rsidP="00F0064C">
            <w:r w:rsidRPr="00F0064C">
              <w:rPr>
                <w:lang w:val="fr-CA"/>
              </w:rPr>
              <w:tab/>
            </w:r>
            <w:r w:rsidRPr="00F0064C">
              <w:t>v. (35864)</w:t>
            </w:r>
          </w:p>
          <w:p w:rsidR="00F0064C" w:rsidRPr="00F0064C" w:rsidRDefault="00F0064C" w:rsidP="00F0064C"/>
          <w:p w:rsidR="00F0064C" w:rsidRPr="00F0064C" w:rsidRDefault="00F0064C" w:rsidP="00F0064C">
            <w:r w:rsidRPr="00F0064C">
              <w:t>British Columbia (Superintendent of Motor Vehicles) et al. (B.C.)</w:t>
            </w:r>
          </w:p>
          <w:p w:rsidR="00F0064C" w:rsidRPr="00F0064C" w:rsidRDefault="00F0064C" w:rsidP="00F0064C"/>
        </w:tc>
        <w:tc>
          <w:tcPr>
            <w:tcW w:w="1080" w:type="dxa"/>
          </w:tcPr>
          <w:p w:rsidR="00F0064C" w:rsidRPr="00F0064C" w:rsidRDefault="00F0064C" w:rsidP="00F0064C"/>
        </w:tc>
        <w:tc>
          <w:tcPr>
            <w:tcW w:w="4327" w:type="dxa"/>
          </w:tcPr>
          <w:p w:rsidR="00F0064C" w:rsidRPr="00F0064C" w:rsidRDefault="00F0064C" w:rsidP="00F0064C"/>
        </w:tc>
      </w:tr>
      <w:tr w:rsidR="00F0064C" w:rsidRPr="00F0064C" w:rsidTr="006A6EF8">
        <w:tc>
          <w:tcPr>
            <w:tcW w:w="1458" w:type="dxa"/>
          </w:tcPr>
          <w:p w:rsidR="00F0064C" w:rsidRPr="00F0064C" w:rsidRDefault="00F0064C" w:rsidP="00F0064C">
            <w:r w:rsidRPr="00F0064C">
              <w:t>- and between -</w:t>
            </w:r>
          </w:p>
          <w:p w:rsidR="00F0064C" w:rsidRPr="00F0064C" w:rsidRDefault="00F0064C" w:rsidP="00F0064C"/>
        </w:tc>
        <w:tc>
          <w:tcPr>
            <w:tcW w:w="2970" w:type="dxa"/>
          </w:tcPr>
          <w:p w:rsidR="00F0064C" w:rsidRPr="00F0064C" w:rsidRDefault="00F0064C" w:rsidP="00F0064C">
            <w:pPr>
              <w:jc w:val="both"/>
            </w:pPr>
          </w:p>
        </w:tc>
        <w:tc>
          <w:tcPr>
            <w:tcW w:w="1080" w:type="dxa"/>
          </w:tcPr>
          <w:p w:rsidR="00F0064C" w:rsidRPr="00F0064C" w:rsidRDefault="00F0064C" w:rsidP="00F0064C"/>
        </w:tc>
        <w:tc>
          <w:tcPr>
            <w:tcW w:w="4327" w:type="dxa"/>
          </w:tcPr>
          <w:p w:rsidR="00F0064C" w:rsidRPr="00F0064C" w:rsidRDefault="00F0064C" w:rsidP="00F0064C"/>
        </w:tc>
      </w:tr>
      <w:tr w:rsidR="00F0064C" w:rsidRPr="00F0064C" w:rsidTr="006A6EF8">
        <w:tc>
          <w:tcPr>
            <w:tcW w:w="1458" w:type="dxa"/>
          </w:tcPr>
          <w:p w:rsidR="00F0064C" w:rsidRPr="00F0064C" w:rsidRDefault="00F0064C" w:rsidP="00F0064C"/>
        </w:tc>
        <w:tc>
          <w:tcPr>
            <w:tcW w:w="2970" w:type="dxa"/>
          </w:tcPr>
          <w:p w:rsidR="00F0064C" w:rsidRPr="00F0064C" w:rsidRDefault="00F0064C" w:rsidP="00F0064C">
            <w:r w:rsidRPr="00F0064C">
              <w:t>Lee Michael Wilson</w:t>
            </w:r>
          </w:p>
          <w:p w:rsidR="00F0064C" w:rsidRPr="00F0064C" w:rsidRDefault="00F0064C" w:rsidP="00F0064C">
            <w:pPr>
              <w:jc w:val="both"/>
            </w:pPr>
          </w:p>
          <w:p w:rsidR="00F0064C" w:rsidRPr="00F0064C" w:rsidRDefault="00F0064C" w:rsidP="00F0064C">
            <w:pPr>
              <w:jc w:val="both"/>
            </w:pPr>
            <w:r w:rsidRPr="00F0064C">
              <w:tab/>
              <w:t>v. (35959)</w:t>
            </w:r>
          </w:p>
          <w:p w:rsidR="00F0064C" w:rsidRPr="00F0064C" w:rsidRDefault="00F0064C" w:rsidP="00F0064C">
            <w:pPr>
              <w:jc w:val="both"/>
            </w:pPr>
          </w:p>
          <w:p w:rsidR="00F0064C" w:rsidRPr="00F0064C" w:rsidRDefault="00F0064C" w:rsidP="00F0064C">
            <w:pPr>
              <w:jc w:val="both"/>
            </w:pPr>
            <w:r w:rsidRPr="00F0064C">
              <w:t>Superintendent of Motor Vehicles et al. (B.C.)</w:t>
            </w:r>
          </w:p>
        </w:tc>
        <w:tc>
          <w:tcPr>
            <w:tcW w:w="1080" w:type="dxa"/>
          </w:tcPr>
          <w:p w:rsidR="00F0064C" w:rsidRPr="00F0064C" w:rsidRDefault="00F0064C" w:rsidP="00F0064C"/>
        </w:tc>
        <w:tc>
          <w:tcPr>
            <w:tcW w:w="4327" w:type="dxa"/>
          </w:tcPr>
          <w:p w:rsidR="00F0064C" w:rsidRPr="00F0064C" w:rsidRDefault="00F0064C" w:rsidP="00F0064C"/>
        </w:tc>
      </w:tr>
    </w:tbl>
    <w:p w:rsidR="00F0064C" w:rsidRPr="00F0064C" w:rsidRDefault="00F0064C" w:rsidP="00F0064C">
      <w:pPr>
        <w:jc w:val="both"/>
        <w:rPr>
          <w:rFonts w:eastAsia="Times New Roman" w:cs="Times New Roman"/>
          <w:sz w:val="20"/>
          <w:szCs w:val="20"/>
          <w:lang w:eastAsia="en-CA"/>
        </w:rPr>
      </w:pPr>
    </w:p>
    <w:p w:rsidR="00F0064C" w:rsidRPr="00F0064C" w:rsidRDefault="00F0064C" w:rsidP="00F0064C">
      <w:pPr>
        <w:spacing w:line="233" w:lineRule="auto"/>
        <w:jc w:val="both"/>
        <w:rPr>
          <w:rFonts w:eastAsia="Times New Roman" w:cs="Times New Roman"/>
          <w:b/>
          <w:bCs/>
          <w:sz w:val="20"/>
          <w:szCs w:val="20"/>
          <w:lang w:val="en-US" w:eastAsia="en-CA"/>
        </w:rPr>
      </w:pPr>
      <w:r w:rsidRPr="00F0064C">
        <w:rPr>
          <w:rFonts w:eastAsia="Times New Roman" w:cs="Times New Roman"/>
          <w:b/>
          <w:bCs/>
          <w:sz w:val="20"/>
          <w:szCs w:val="20"/>
          <w:lang w:val="en-US" w:eastAsia="en-CA"/>
        </w:rPr>
        <w:t xml:space="preserve">FURTHER TO THE ORDER </w:t>
      </w:r>
      <w:r w:rsidRPr="00F0064C">
        <w:rPr>
          <w:rFonts w:eastAsia="Times New Roman" w:cs="Times New Roman"/>
          <w:bCs/>
          <w:sz w:val="20"/>
          <w:szCs w:val="20"/>
          <w:lang w:val="en-US" w:eastAsia="en-CA"/>
        </w:rPr>
        <w:t>dated April 14, 2015, granting leave to intervene for appeal 35864 to t</w:t>
      </w:r>
      <w:r w:rsidRPr="00F0064C">
        <w:rPr>
          <w:rFonts w:eastAsia="Times New Roman" w:cs="Times New Roman"/>
          <w:sz w:val="20"/>
          <w:szCs w:val="20"/>
          <w:lang w:val="en-US" w:eastAsia="en-CA"/>
        </w:rPr>
        <w:t>he Criminal Lawyers’ Association of Ontario, the Criminal Trial Lawyers’ Association (Alberta) and the Criminal Defence Lawyers Association (Calgary), the British Columbia Civil Liberties Association, the Alberta Registrar of Motor Vehicle Services, the Insurance Bureau of Canada and Mothers Against Drunk Driving Canada</w:t>
      </w:r>
      <w:r w:rsidRPr="00F0064C">
        <w:rPr>
          <w:rFonts w:eastAsia="Times New Roman" w:cs="Times New Roman"/>
          <w:bCs/>
          <w:sz w:val="20"/>
          <w:szCs w:val="20"/>
          <w:lang w:val="en-US" w:eastAsia="en-CA"/>
        </w:rPr>
        <w:t>;</w:t>
      </w:r>
    </w:p>
    <w:p w:rsidR="00F0064C" w:rsidRDefault="00F0064C">
      <w:pPr>
        <w:rPr>
          <w:rFonts w:eastAsia="Times New Roman" w:cs="Times New Roman"/>
          <w:b/>
          <w:bCs/>
          <w:sz w:val="20"/>
          <w:szCs w:val="20"/>
          <w:lang w:val="en-US" w:eastAsia="en-CA"/>
        </w:rPr>
      </w:pPr>
      <w:r>
        <w:rPr>
          <w:rFonts w:eastAsia="Times New Roman" w:cs="Times New Roman"/>
          <w:b/>
          <w:bCs/>
          <w:sz w:val="20"/>
          <w:szCs w:val="20"/>
          <w:lang w:val="en-US" w:eastAsia="en-CA"/>
        </w:rPr>
        <w:br w:type="page"/>
      </w:r>
    </w:p>
    <w:p w:rsidR="00F0064C" w:rsidRPr="00F0064C" w:rsidRDefault="00F0064C" w:rsidP="00F0064C">
      <w:pPr>
        <w:spacing w:line="233" w:lineRule="auto"/>
        <w:jc w:val="both"/>
        <w:rPr>
          <w:rFonts w:eastAsia="Times New Roman" w:cs="Times New Roman"/>
          <w:b/>
          <w:bCs/>
          <w:sz w:val="20"/>
          <w:szCs w:val="20"/>
          <w:lang w:val="en-US" w:eastAsia="en-CA"/>
        </w:rPr>
      </w:pPr>
      <w:r w:rsidRPr="00F0064C">
        <w:rPr>
          <w:rFonts w:eastAsia="Times New Roman" w:cs="Times New Roman"/>
          <w:b/>
          <w:bCs/>
          <w:sz w:val="20"/>
          <w:szCs w:val="20"/>
          <w:lang w:val="en-US" w:eastAsia="en-CA"/>
        </w:rPr>
        <w:t xml:space="preserve">IT IS HEREBY FURTHER ORDERED THAT: </w:t>
      </w:r>
    </w:p>
    <w:p w:rsidR="00F0064C" w:rsidRPr="00F0064C" w:rsidRDefault="00F0064C" w:rsidP="00F0064C">
      <w:pPr>
        <w:spacing w:line="233" w:lineRule="auto"/>
        <w:jc w:val="both"/>
        <w:rPr>
          <w:rFonts w:eastAsia="Times New Roman" w:cs="Times New Roman"/>
          <w:b/>
          <w:bCs/>
          <w:sz w:val="20"/>
          <w:szCs w:val="20"/>
          <w:lang w:val="en-US" w:eastAsia="en-CA"/>
        </w:rPr>
      </w:pPr>
    </w:p>
    <w:p w:rsidR="00F0064C" w:rsidRPr="00F0064C" w:rsidRDefault="00F0064C" w:rsidP="00F0064C">
      <w:pPr>
        <w:widowControl w:val="0"/>
        <w:numPr>
          <w:ilvl w:val="0"/>
          <w:numId w:val="7"/>
        </w:numPr>
        <w:autoSpaceDE w:val="0"/>
        <w:autoSpaceDN w:val="0"/>
        <w:adjustRightInd w:val="0"/>
        <w:spacing w:line="233" w:lineRule="auto"/>
        <w:contextualSpacing/>
        <w:jc w:val="both"/>
        <w:rPr>
          <w:rFonts w:cs="Times New Roman"/>
          <w:bCs/>
          <w:sz w:val="20"/>
          <w:szCs w:val="20"/>
        </w:rPr>
      </w:pPr>
      <w:r w:rsidRPr="00F0064C">
        <w:rPr>
          <w:rFonts w:cs="Times New Roman"/>
          <w:bCs/>
          <w:sz w:val="20"/>
          <w:szCs w:val="20"/>
        </w:rPr>
        <w:t>The said interveners are each granted permission to present oral argument not exceeding five (5) minutes at the hearing of the appeal.</w:t>
      </w:r>
    </w:p>
    <w:p w:rsidR="00F0064C" w:rsidRPr="00F0064C" w:rsidRDefault="00F0064C" w:rsidP="00F0064C">
      <w:pPr>
        <w:spacing w:line="233" w:lineRule="auto"/>
        <w:ind w:left="720"/>
        <w:jc w:val="both"/>
        <w:rPr>
          <w:rFonts w:eastAsia="Times New Roman" w:cs="Times New Roman"/>
          <w:bCs/>
          <w:sz w:val="20"/>
          <w:szCs w:val="20"/>
          <w:lang w:val="en-US" w:eastAsia="en-CA"/>
        </w:rPr>
      </w:pPr>
    </w:p>
    <w:p w:rsidR="00F0064C" w:rsidRPr="00F0064C" w:rsidRDefault="00F0064C" w:rsidP="00F0064C">
      <w:pPr>
        <w:widowControl w:val="0"/>
        <w:numPr>
          <w:ilvl w:val="0"/>
          <w:numId w:val="7"/>
        </w:numPr>
        <w:autoSpaceDE w:val="0"/>
        <w:autoSpaceDN w:val="0"/>
        <w:adjustRightInd w:val="0"/>
        <w:spacing w:line="233" w:lineRule="auto"/>
        <w:contextualSpacing/>
        <w:jc w:val="both"/>
        <w:rPr>
          <w:rFonts w:cs="Times New Roman"/>
          <w:sz w:val="20"/>
          <w:szCs w:val="20"/>
        </w:rPr>
      </w:pPr>
      <w:r w:rsidRPr="00F0064C">
        <w:rPr>
          <w:rFonts w:cs="Times New Roman"/>
          <w:sz w:val="20"/>
          <w:szCs w:val="20"/>
        </w:rPr>
        <w:t>The factums of the Attorney General of Canada, the Attorney General of Ontario, the Attorney General of Quebec, the Attorney General of Manitoba, the Attorney General for Saskatchewan and the Attorney General of Alberta will be considered without the need for oral argument.</w:t>
      </w:r>
    </w:p>
    <w:p w:rsidR="00F0064C" w:rsidRPr="00F0064C" w:rsidRDefault="00F0064C" w:rsidP="00F0064C">
      <w:pPr>
        <w:spacing w:line="233" w:lineRule="auto"/>
        <w:ind w:left="720"/>
        <w:jc w:val="both"/>
        <w:rPr>
          <w:rFonts w:eastAsia="Times New Roman" w:cs="Times New Roman"/>
          <w:sz w:val="20"/>
          <w:szCs w:val="20"/>
          <w:lang w:val="en-US" w:eastAsia="en-CA"/>
        </w:rPr>
      </w:pPr>
    </w:p>
    <w:p w:rsidR="00F0064C" w:rsidRPr="00F0064C" w:rsidRDefault="00F0064C" w:rsidP="00F0064C">
      <w:pPr>
        <w:widowControl w:val="0"/>
        <w:numPr>
          <w:ilvl w:val="0"/>
          <w:numId w:val="7"/>
        </w:numPr>
        <w:autoSpaceDE w:val="0"/>
        <w:autoSpaceDN w:val="0"/>
        <w:adjustRightInd w:val="0"/>
        <w:spacing w:line="233" w:lineRule="auto"/>
        <w:contextualSpacing/>
        <w:jc w:val="both"/>
        <w:rPr>
          <w:rFonts w:cs="Times New Roman"/>
          <w:bCs/>
          <w:sz w:val="20"/>
          <w:szCs w:val="20"/>
        </w:rPr>
      </w:pPr>
      <w:r w:rsidRPr="00F0064C">
        <w:rPr>
          <w:rFonts w:cs="Times New Roman"/>
          <w:sz w:val="20"/>
          <w:szCs w:val="20"/>
        </w:rPr>
        <w:t>The appellant, Lee Michael Wilson, shall present oral argument not exceeding thirty (30) minutes.</w:t>
      </w:r>
    </w:p>
    <w:p w:rsidR="00F0064C" w:rsidRPr="00F0064C" w:rsidRDefault="00F0064C" w:rsidP="00F0064C">
      <w:pPr>
        <w:ind w:left="720"/>
        <w:contextualSpacing/>
        <w:jc w:val="both"/>
        <w:rPr>
          <w:rFonts w:cs="Times New Roman"/>
          <w:bCs/>
          <w:sz w:val="20"/>
          <w:szCs w:val="20"/>
        </w:rPr>
      </w:pPr>
    </w:p>
    <w:p w:rsidR="00F0064C" w:rsidRPr="00F0064C" w:rsidRDefault="00F0064C" w:rsidP="00F0064C">
      <w:pPr>
        <w:widowControl w:val="0"/>
        <w:numPr>
          <w:ilvl w:val="0"/>
          <w:numId w:val="7"/>
        </w:numPr>
        <w:autoSpaceDE w:val="0"/>
        <w:autoSpaceDN w:val="0"/>
        <w:adjustRightInd w:val="0"/>
        <w:spacing w:line="233" w:lineRule="auto"/>
        <w:contextualSpacing/>
        <w:jc w:val="both"/>
        <w:rPr>
          <w:rFonts w:cs="Times New Roman"/>
          <w:bCs/>
          <w:sz w:val="20"/>
          <w:szCs w:val="20"/>
        </w:rPr>
      </w:pPr>
      <w:r w:rsidRPr="00F0064C">
        <w:rPr>
          <w:rFonts w:cs="Times New Roman"/>
          <w:bCs/>
          <w:sz w:val="20"/>
          <w:szCs w:val="20"/>
        </w:rPr>
        <w:t xml:space="preserve">The respondents, Superintendent of Motor Vehicles and the Attorney General of British Columbia, shall present oral argument not exceeding thirty (30) minutes for the appeal 35959. </w:t>
      </w:r>
    </w:p>
    <w:p w:rsidR="00F0064C" w:rsidRPr="00F0064C" w:rsidRDefault="00F0064C" w:rsidP="00F0064C">
      <w:pPr>
        <w:ind w:left="720"/>
        <w:contextualSpacing/>
        <w:jc w:val="both"/>
        <w:rPr>
          <w:rFonts w:cs="Times New Roman"/>
          <w:bCs/>
          <w:sz w:val="20"/>
          <w:szCs w:val="20"/>
        </w:rPr>
      </w:pPr>
    </w:p>
    <w:p w:rsidR="00F0064C" w:rsidRPr="00F0064C" w:rsidRDefault="00F0064C" w:rsidP="00F0064C">
      <w:pPr>
        <w:widowControl w:val="0"/>
        <w:numPr>
          <w:ilvl w:val="0"/>
          <w:numId w:val="7"/>
        </w:numPr>
        <w:autoSpaceDE w:val="0"/>
        <w:autoSpaceDN w:val="0"/>
        <w:adjustRightInd w:val="0"/>
        <w:spacing w:line="233" w:lineRule="auto"/>
        <w:contextualSpacing/>
        <w:jc w:val="both"/>
        <w:rPr>
          <w:rFonts w:cs="Times New Roman"/>
          <w:bCs/>
          <w:sz w:val="20"/>
          <w:szCs w:val="20"/>
        </w:rPr>
      </w:pPr>
      <w:r w:rsidRPr="00F0064C">
        <w:rPr>
          <w:rFonts w:cs="Times New Roman"/>
          <w:bCs/>
          <w:sz w:val="20"/>
          <w:szCs w:val="20"/>
        </w:rPr>
        <w:t xml:space="preserve">The appellant/respondent, </w:t>
      </w:r>
      <w:r w:rsidRPr="00F0064C">
        <w:rPr>
          <w:rFonts w:cs="Times New Roman"/>
          <w:sz w:val="20"/>
          <w:szCs w:val="20"/>
        </w:rPr>
        <w:t>Richard James Goodwin and the respondents Jamie Allen Chisholm, Scott Roberts and Carol Marion Beam, shall present oral argument not exceeding sixty (60) minutes.</w:t>
      </w:r>
    </w:p>
    <w:p w:rsidR="00F0064C" w:rsidRPr="00F0064C" w:rsidRDefault="00F0064C" w:rsidP="00F0064C">
      <w:pPr>
        <w:ind w:left="720"/>
        <w:contextualSpacing/>
        <w:jc w:val="both"/>
        <w:rPr>
          <w:rFonts w:cs="Times New Roman"/>
          <w:sz w:val="20"/>
          <w:szCs w:val="20"/>
        </w:rPr>
      </w:pPr>
    </w:p>
    <w:p w:rsidR="00F0064C" w:rsidRPr="00F0064C" w:rsidRDefault="00F0064C" w:rsidP="00F0064C">
      <w:pPr>
        <w:widowControl w:val="0"/>
        <w:numPr>
          <w:ilvl w:val="0"/>
          <w:numId w:val="7"/>
        </w:numPr>
        <w:autoSpaceDE w:val="0"/>
        <w:autoSpaceDN w:val="0"/>
        <w:adjustRightInd w:val="0"/>
        <w:spacing w:line="233" w:lineRule="auto"/>
        <w:contextualSpacing/>
        <w:jc w:val="both"/>
        <w:rPr>
          <w:rFonts w:cs="Times New Roman"/>
          <w:bCs/>
          <w:sz w:val="20"/>
          <w:szCs w:val="20"/>
        </w:rPr>
      </w:pPr>
      <w:r w:rsidRPr="00F0064C">
        <w:rPr>
          <w:rFonts w:cs="Times New Roman"/>
          <w:sz w:val="20"/>
          <w:szCs w:val="20"/>
        </w:rPr>
        <w:t>The respondents/appellants, British Columbia (</w:t>
      </w:r>
      <w:r w:rsidRPr="00F0064C">
        <w:rPr>
          <w:rFonts w:cs="Times New Roman"/>
          <w:bCs/>
          <w:sz w:val="20"/>
          <w:szCs w:val="20"/>
        </w:rPr>
        <w:t xml:space="preserve">Superintendent of Motor Vehicles) and the Attorney General of British Columbia, </w:t>
      </w:r>
      <w:r w:rsidRPr="00F0064C">
        <w:rPr>
          <w:rFonts w:cs="Times New Roman"/>
          <w:sz w:val="20"/>
          <w:szCs w:val="20"/>
        </w:rPr>
        <w:t>shall present oral argument not exceeding sixty (60) minutes</w:t>
      </w:r>
      <w:r w:rsidRPr="00F0064C">
        <w:rPr>
          <w:rFonts w:cs="Times New Roman"/>
          <w:bCs/>
          <w:sz w:val="20"/>
          <w:szCs w:val="20"/>
        </w:rPr>
        <w:t xml:space="preserve"> for the appeal 35864</w:t>
      </w:r>
      <w:r w:rsidRPr="00F0064C">
        <w:rPr>
          <w:rFonts w:cs="Times New Roman"/>
          <w:sz w:val="20"/>
          <w:szCs w:val="20"/>
        </w:rPr>
        <w:t xml:space="preserve">. </w:t>
      </w:r>
    </w:p>
    <w:p w:rsidR="00F0064C" w:rsidRPr="00F0064C" w:rsidRDefault="00F0064C" w:rsidP="00F0064C">
      <w:pPr>
        <w:ind w:left="720"/>
        <w:contextualSpacing/>
        <w:jc w:val="both"/>
        <w:rPr>
          <w:rFonts w:cs="Times New Roman"/>
          <w:bCs/>
          <w:sz w:val="20"/>
          <w:szCs w:val="20"/>
        </w:rPr>
      </w:pPr>
    </w:p>
    <w:p w:rsidR="00F0064C" w:rsidRPr="00F0064C" w:rsidRDefault="00F0064C" w:rsidP="00F0064C">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contextualSpacing/>
        <w:jc w:val="both"/>
        <w:rPr>
          <w:rFonts w:cs="Times New Roman"/>
          <w:sz w:val="20"/>
          <w:szCs w:val="20"/>
        </w:rPr>
      </w:pPr>
      <w:r w:rsidRPr="00F0064C">
        <w:rPr>
          <w:rFonts w:cs="Times New Roman"/>
          <w:sz w:val="20"/>
          <w:szCs w:val="20"/>
        </w:rPr>
        <w:t>The motion to strike filed on April 22, 2015, by the respondents, Jamie Allen Chisholm, Scott Roberts and Carol Marion Beam, is deferred to the panel hearing the appeal.</w:t>
      </w:r>
    </w:p>
    <w:p w:rsidR="00F0064C" w:rsidRPr="00F0064C" w:rsidRDefault="00F0064C" w:rsidP="00F0064C">
      <w:pPr>
        <w:spacing w:line="233" w:lineRule="auto"/>
        <w:jc w:val="both"/>
        <w:rPr>
          <w:rFonts w:eastAsia="Times New Roman" w:cs="Times New Roman"/>
          <w:sz w:val="20"/>
          <w:szCs w:val="20"/>
          <w:lang w:val="en-US" w:eastAsia="en-CA"/>
        </w:rPr>
      </w:pPr>
    </w:p>
    <w:p w:rsidR="00F0064C" w:rsidRPr="00F0064C" w:rsidRDefault="00F0064C" w:rsidP="00F0064C">
      <w:pPr>
        <w:spacing w:line="233" w:lineRule="auto"/>
        <w:jc w:val="both"/>
        <w:rPr>
          <w:rFonts w:eastAsia="Times New Roman" w:cs="Times New Roman"/>
          <w:sz w:val="20"/>
          <w:szCs w:val="20"/>
          <w:lang w:val="en-US" w:eastAsia="en-CA"/>
        </w:rPr>
      </w:pPr>
    </w:p>
    <w:p w:rsidR="00F0064C" w:rsidRPr="00F0064C" w:rsidRDefault="00F0064C" w:rsidP="00F0064C">
      <w:pPr>
        <w:spacing w:line="233" w:lineRule="auto"/>
        <w:jc w:val="both"/>
        <w:rPr>
          <w:rFonts w:eastAsia="Times New Roman" w:cs="Times New Roman"/>
          <w:sz w:val="20"/>
          <w:szCs w:val="20"/>
          <w:lang w:val="en-US" w:eastAsia="en-CA"/>
        </w:rPr>
      </w:pPr>
    </w:p>
    <w:p w:rsidR="00F0064C" w:rsidRPr="00F0064C" w:rsidRDefault="00F0064C" w:rsidP="00F0064C">
      <w:pPr>
        <w:spacing w:line="233" w:lineRule="auto"/>
        <w:jc w:val="both"/>
        <w:rPr>
          <w:rFonts w:eastAsia="Times New Roman" w:cs="Times New Roman"/>
          <w:b/>
          <w:bCs/>
          <w:sz w:val="20"/>
          <w:szCs w:val="20"/>
          <w:lang w:val="fr-CA" w:eastAsia="en-CA"/>
        </w:rPr>
      </w:pPr>
      <w:r w:rsidRPr="00F0064C">
        <w:rPr>
          <w:rFonts w:eastAsia="Times New Roman" w:cs="Times New Roman"/>
          <w:b/>
          <w:bCs/>
          <w:sz w:val="20"/>
          <w:szCs w:val="20"/>
          <w:lang w:val="fr-CA" w:eastAsia="en-CA"/>
        </w:rPr>
        <w:t xml:space="preserve">À LA SUITE DE L’ORDONNANCE </w:t>
      </w:r>
      <w:r w:rsidRPr="00F0064C">
        <w:rPr>
          <w:rFonts w:eastAsia="Times New Roman" w:cs="Times New Roman"/>
          <w:bCs/>
          <w:sz w:val="20"/>
          <w:szCs w:val="20"/>
          <w:lang w:val="fr-CA" w:eastAsia="en-CA"/>
        </w:rPr>
        <w:t>datée du 14 avril</w:t>
      </w:r>
      <w:r w:rsidRPr="00F0064C">
        <w:rPr>
          <w:rFonts w:eastAsia="Times New Roman" w:cs="Times New Roman"/>
          <w:b/>
          <w:bCs/>
          <w:sz w:val="20"/>
          <w:szCs w:val="20"/>
          <w:lang w:val="fr-CA" w:eastAsia="en-CA"/>
        </w:rPr>
        <w:t xml:space="preserve"> </w:t>
      </w:r>
      <w:r w:rsidRPr="00F0064C">
        <w:rPr>
          <w:rFonts w:eastAsia="Times New Roman" w:cs="Times New Roman"/>
          <w:bCs/>
          <w:sz w:val="20"/>
          <w:szCs w:val="20"/>
          <w:lang w:val="fr-CA" w:eastAsia="en-CA"/>
        </w:rPr>
        <w:t xml:space="preserve">2015 accordant l’autorisation d’intervenir dans l’appel 35864 à la </w:t>
      </w:r>
      <w:r w:rsidRPr="00F0064C">
        <w:rPr>
          <w:rFonts w:eastAsia="Times New Roman" w:cs="Times New Roman"/>
          <w:sz w:val="20"/>
          <w:szCs w:val="20"/>
          <w:lang w:val="fr-CA" w:eastAsia="en-CA"/>
        </w:rPr>
        <w:t>Criminal Lawyers’ Association of Ontario, à la Criminal Trial Lawyers’ Association (Alberta) et à la Criminal Defence Lawyers Association (Calgary), à l’Association des libertés civiles de la Colombie-Britannique, aux Alberta Registrar of Motor Vehicle Services, au Bureau d’assurance du Canada et à Mothers Against Drunk Driving Canada</w:t>
      </w:r>
      <w:r w:rsidRPr="00F0064C">
        <w:rPr>
          <w:rFonts w:eastAsia="Times New Roman" w:cs="Times New Roman"/>
          <w:bCs/>
          <w:sz w:val="20"/>
          <w:szCs w:val="20"/>
          <w:lang w:val="fr-CA" w:eastAsia="en-CA"/>
        </w:rPr>
        <w:t>;</w:t>
      </w:r>
    </w:p>
    <w:p w:rsidR="00F0064C" w:rsidRPr="00F0064C" w:rsidRDefault="00F0064C" w:rsidP="00F0064C">
      <w:pPr>
        <w:spacing w:line="233" w:lineRule="auto"/>
        <w:jc w:val="both"/>
        <w:rPr>
          <w:rFonts w:eastAsia="Times New Roman" w:cs="Times New Roman"/>
          <w:b/>
          <w:bCs/>
          <w:sz w:val="20"/>
          <w:szCs w:val="20"/>
          <w:lang w:val="fr-CA" w:eastAsia="en-CA"/>
        </w:rPr>
      </w:pPr>
    </w:p>
    <w:p w:rsidR="00F0064C" w:rsidRPr="00F0064C" w:rsidRDefault="00F0064C" w:rsidP="00F0064C">
      <w:pPr>
        <w:spacing w:line="233" w:lineRule="auto"/>
        <w:jc w:val="both"/>
        <w:rPr>
          <w:rFonts w:eastAsia="Times New Roman" w:cs="Times New Roman"/>
          <w:b/>
          <w:bCs/>
          <w:sz w:val="20"/>
          <w:szCs w:val="20"/>
          <w:lang w:val="fr-CA" w:eastAsia="en-CA"/>
        </w:rPr>
      </w:pPr>
      <w:r w:rsidRPr="00F0064C">
        <w:rPr>
          <w:rFonts w:eastAsia="Times New Roman" w:cs="Times New Roman"/>
          <w:b/>
          <w:bCs/>
          <w:sz w:val="20"/>
          <w:szCs w:val="20"/>
          <w:lang w:val="fr-CA" w:eastAsia="en-CA"/>
        </w:rPr>
        <w:t xml:space="preserve">IL EST EN OUTRE ORDONNÉ CE QUI SUIT : </w:t>
      </w:r>
    </w:p>
    <w:p w:rsidR="00F0064C" w:rsidRPr="00F0064C" w:rsidRDefault="00F0064C" w:rsidP="00F0064C">
      <w:pPr>
        <w:spacing w:line="233" w:lineRule="auto"/>
        <w:jc w:val="both"/>
        <w:rPr>
          <w:rFonts w:eastAsia="Times New Roman" w:cs="Times New Roman"/>
          <w:b/>
          <w:bCs/>
          <w:sz w:val="20"/>
          <w:szCs w:val="20"/>
          <w:lang w:val="fr-CA" w:eastAsia="en-CA"/>
        </w:rPr>
      </w:pPr>
    </w:p>
    <w:p w:rsidR="00F0064C" w:rsidRPr="00F0064C" w:rsidRDefault="00F0064C" w:rsidP="00F0064C">
      <w:pPr>
        <w:widowControl w:val="0"/>
        <w:numPr>
          <w:ilvl w:val="0"/>
          <w:numId w:val="8"/>
        </w:numPr>
        <w:autoSpaceDE w:val="0"/>
        <w:autoSpaceDN w:val="0"/>
        <w:adjustRightInd w:val="0"/>
        <w:spacing w:line="233" w:lineRule="auto"/>
        <w:contextualSpacing/>
        <w:jc w:val="both"/>
        <w:rPr>
          <w:rFonts w:cs="Times New Roman"/>
          <w:bCs/>
          <w:sz w:val="20"/>
          <w:szCs w:val="20"/>
          <w:lang w:val="fr-CA"/>
        </w:rPr>
      </w:pPr>
      <w:r w:rsidRPr="00F0064C">
        <w:rPr>
          <w:rFonts w:cs="Times New Roman"/>
          <w:bCs/>
          <w:sz w:val="20"/>
          <w:szCs w:val="20"/>
          <w:lang w:val="fr-CA"/>
        </w:rPr>
        <w:t>Chacun de ces intervenants est autorisé à présenter une plaidoirie orale d’au plus cinq (5) minutes lors de l’audition de l’appel.</w:t>
      </w:r>
    </w:p>
    <w:p w:rsidR="00F0064C" w:rsidRPr="00F0064C" w:rsidRDefault="00F0064C" w:rsidP="00F0064C">
      <w:pPr>
        <w:spacing w:line="233" w:lineRule="auto"/>
        <w:ind w:left="720"/>
        <w:jc w:val="both"/>
        <w:rPr>
          <w:rFonts w:eastAsia="Times New Roman" w:cs="Times New Roman"/>
          <w:bCs/>
          <w:sz w:val="20"/>
          <w:szCs w:val="20"/>
          <w:lang w:val="fr-CA" w:eastAsia="en-CA"/>
        </w:rPr>
      </w:pPr>
    </w:p>
    <w:p w:rsidR="00F0064C" w:rsidRPr="00F0064C" w:rsidRDefault="00F0064C" w:rsidP="00F0064C">
      <w:pPr>
        <w:widowControl w:val="0"/>
        <w:numPr>
          <w:ilvl w:val="0"/>
          <w:numId w:val="8"/>
        </w:numPr>
        <w:autoSpaceDE w:val="0"/>
        <w:autoSpaceDN w:val="0"/>
        <w:adjustRightInd w:val="0"/>
        <w:spacing w:line="233" w:lineRule="auto"/>
        <w:contextualSpacing/>
        <w:jc w:val="both"/>
        <w:rPr>
          <w:rFonts w:cs="Times New Roman"/>
          <w:sz w:val="20"/>
          <w:szCs w:val="20"/>
          <w:lang w:val="fr-CA"/>
        </w:rPr>
      </w:pPr>
      <w:r w:rsidRPr="00F0064C">
        <w:rPr>
          <w:rFonts w:cs="Times New Roman"/>
          <w:sz w:val="20"/>
          <w:szCs w:val="20"/>
          <w:lang w:val="fr-CA"/>
        </w:rPr>
        <w:t>Les mémoires du procureur général du Canada, du procureur général de l’Ontario, de la procureure générale du Québec, du procureur général du Manitoba, du procureur général de la Saskatchewan et du procureur général de l’Alberta seront examinés sans qu’une plaidoirie orale soit nécessaire.</w:t>
      </w:r>
    </w:p>
    <w:p w:rsidR="00F0064C" w:rsidRPr="00F0064C" w:rsidRDefault="00F0064C" w:rsidP="00F0064C">
      <w:pPr>
        <w:spacing w:line="233" w:lineRule="auto"/>
        <w:ind w:left="720"/>
        <w:jc w:val="both"/>
        <w:rPr>
          <w:rFonts w:eastAsia="Times New Roman" w:cs="Times New Roman"/>
          <w:sz w:val="20"/>
          <w:szCs w:val="20"/>
          <w:lang w:val="fr-CA" w:eastAsia="en-CA"/>
        </w:rPr>
      </w:pPr>
    </w:p>
    <w:p w:rsidR="00F0064C" w:rsidRPr="00F0064C" w:rsidRDefault="00F0064C" w:rsidP="00F0064C">
      <w:pPr>
        <w:widowControl w:val="0"/>
        <w:numPr>
          <w:ilvl w:val="0"/>
          <w:numId w:val="8"/>
        </w:numPr>
        <w:autoSpaceDE w:val="0"/>
        <w:autoSpaceDN w:val="0"/>
        <w:adjustRightInd w:val="0"/>
        <w:spacing w:line="233" w:lineRule="auto"/>
        <w:contextualSpacing/>
        <w:jc w:val="both"/>
        <w:rPr>
          <w:rFonts w:cs="Times New Roman"/>
          <w:bCs/>
          <w:sz w:val="20"/>
          <w:szCs w:val="20"/>
          <w:lang w:val="fr-CA"/>
        </w:rPr>
      </w:pPr>
      <w:r w:rsidRPr="00F0064C">
        <w:rPr>
          <w:rFonts w:cs="Times New Roman"/>
          <w:sz w:val="20"/>
          <w:szCs w:val="20"/>
          <w:lang w:val="fr-CA"/>
        </w:rPr>
        <w:t>L’appelant Lee Michael Wilson présentera une plaidoirie orale d’au plus trente (30) minutes.</w:t>
      </w:r>
    </w:p>
    <w:p w:rsidR="00F0064C" w:rsidRPr="00F0064C" w:rsidRDefault="00F0064C" w:rsidP="00F0064C">
      <w:pPr>
        <w:ind w:left="720"/>
        <w:contextualSpacing/>
        <w:jc w:val="both"/>
        <w:rPr>
          <w:rFonts w:cs="Times New Roman"/>
          <w:bCs/>
          <w:sz w:val="20"/>
          <w:szCs w:val="20"/>
          <w:lang w:val="fr-CA"/>
        </w:rPr>
      </w:pPr>
    </w:p>
    <w:p w:rsidR="00F0064C" w:rsidRPr="00F0064C" w:rsidRDefault="00F0064C" w:rsidP="00F0064C">
      <w:pPr>
        <w:widowControl w:val="0"/>
        <w:numPr>
          <w:ilvl w:val="0"/>
          <w:numId w:val="8"/>
        </w:numPr>
        <w:autoSpaceDE w:val="0"/>
        <w:autoSpaceDN w:val="0"/>
        <w:adjustRightInd w:val="0"/>
        <w:spacing w:line="233" w:lineRule="auto"/>
        <w:contextualSpacing/>
        <w:jc w:val="both"/>
        <w:rPr>
          <w:rFonts w:cs="Times New Roman"/>
          <w:bCs/>
          <w:sz w:val="20"/>
          <w:szCs w:val="20"/>
          <w:lang w:val="fr-CA"/>
        </w:rPr>
      </w:pPr>
      <w:r w:rsidRPr="00F0064C">
        <w:rPr>
          <w:rFonts w:cs="Times New Roman"/>
          <w:bCs/>
          <w:sz w:val="20"/>
          <w:szCs w:val="20"/>
          <w:lang w:val="fr-CA"/>
        </w:rPr>
        <w:t xml:space="preserve"> Les intimés, le Superintendent of Motor Vehicles et le procureur général de la Colombie-Britannique, présenteront une plaidoirie orale d’au plus trente (30) minutes dans l’appel 35959. </w:t>
      </w:r>
    </w:p>
    <w:p w:rsidR="00F0064C" w:rsidRPr="00F0064C" w:rsidRDefault="00F0064C" w:rsidP="00F0064C">
      <w:pPr>
        <w:ind w:left="720"/>
        <w:contextualSpacing/>
        <w:jc w:val="both"/>
        <w:rPr>
          <w:rFonts w:cs="Times New Roman"/>
          <w:bCs/>
          <w:sz w:val="20"/>
          <w:szCs w:val="20"/>
          <w:lang w:val="fr-CA"/>
        </w:rPr>
      </w:pPr>
    </w:p>
    <w:p w:rsidR="00F0064C" w:rsidRPr="00F0064C" w:rsidRDefault="00F0064C" w:rsidP="00F0064C">
      <w:pPr>
        <w:widowControl w:val="0"/>
        <w:numPr>
          <w:ilvl w:val="0"/>
          <w:numId w:val="8"/>
        </w:numPr>
        <w:autoSpaceDE w:val="0"/>
        <w:autoSpaceDN w:val="0"/>
        <w:adjustRightInd w:val="0"/>
        <w:spacing w:line="233" w:lineRule="auto"/>
        <w:contextualSpacing/>
        <w:jc w:val="both"/>
        <w:rPr>
          <w:rFonts w:cs="Times New Roman"/>
          <w:bCs/>
          <w:sz w:val="20"/>
          <w:szCs w:val="20"/>
          <w:lang w:val="fr-CA"/>
        </w:rPr>
      </w:pPr>
      <w:r w:rsidRPr="00F0064C">
        <w:rPr>
          <w:rFonts w:cs="Times New Roman"/>
          <w:bCs/>
          <w:sz w:val="20"/>
          <w:szCs w:val="20"/>
          <w:lang w:val="fr-CA"/>
        </w:rPr>
        <w:t xml:space="preserve">L’appelant/intimé </w:t>
      </w:r>
      <w:r w:rsidRPr="00F0064C">
        <w:rPr>
          <w:rFonts w:cs="Times New Roman"/>
          <w:sz w:val="20"/>
          <w:szCs w:val="20"/>
          <w:lang w:val="fr-CA"/>
        </w:rPr>
        <w:t>Richard James Goodwin et les intimés Jamie Allen Chisholm, Scott Roberts et Carol Marion Beam présenteront une plaidoirie orale d’au plus soixante (60) minutes.</w:t>
      </w:r>
    </w:p>
    <w:p w:rsidR="00F0064C" w:rsidRPr="00F0064C" w:rsidRDefault="00F0064C" w:rsidP="00F0064C">
      <w:pPr>
        <w:ind w:left="720"/>
        <w:contextualSpacing/>
        <w:jc w:val="both"/>
        <w:rPr>
          <w:rFonts w:cs="Times New Roman"/>
          <w:sz w:val="20"/>
          <w:szCs w:val="20"/>
          <w:lang w:val="fr-CA"/>
        </w:rPr>
      </w:pPr>
    </w:p>
    <w:p w:rsidR="00F0064C" w:rsidRPr="00F0064C" w:rsidRDefault="00F0064C" w:rsidP="00F0064C">
      <w:pPr>
        <w:widowControl w:val="0"/>
        <w:numPr>
          <w:ilvl w:val="0"/>
          <w:numId w:val="8"/>
        </w:numPr>
        <w:autoSpaceDE w:val="0"/>
        <w:autoSpaceDN w:val="0"/>
        <w:adjustRightInd w:val="0"/>
        <w:spacing w:line="233" w:lineRule="auto"/>
        <w:contextualSpacing/>
        <w:jc w:val="both"/>
        <w:rPr>
          <w:rFonts w:cs="Times New Roman"/>
          <w:bCs/>
          <w:sz w:val="20"/>
          <w:szCs w:val="20"/>
          <w:lang w:val="fr-CA"/>
        </w:rPr>
      </w:pPr>
      <w:r w:rsidRPr="00F0064C">
        <w:rPr>
          <w:rFonts w:cs="Times New Roman"/>
          <w:sz w:val="20"/>
          <w:szCs w:val="20"/>
          <w:lang w:val="fr-CA"/>
        </w:rPr>
        <w:t>Les intimés/appelants, la Colombie-Britannique (</w:t>
      </w:r>
      <w:r w:rsidRPr="00F0064C">
        <w:rPr>
          <w:rFonts w:cs="Times New Roman"/>
          <w:bCs/>
          <w:sz w:val="20"/>
          <w:szCs w:val="20"/>
          <w:lang w:val="fr-CA"/>
        </w:rPr>
        <w:t xml:space="preserve">Superintendent of Motor Vehicles) et le procureur général de la Colombie-Britannique, présenteront une plaidoirie orale d’au plus soixante </w:t>
      </w:r>
      <w:r w:rsidRPr="00F0064C">
        <w:rPr>
          <w:rFonts w:cs="Times New Roman"/>
          <w:sz w:val="20"/>
          <w:szCs w:val="20"/>
          <w:lang w:val="fr-CA"/>
        </w:rPr>
        <w:t xml:space="preserve">(60) minutes dans l’appel </w:t>
      </w:r>
      <w:r w:rsidRPr="00F0064C">
        <w:rPr>
          <w:rFonts w:cs="Times New Roman"/>
          <w:bCs/>
          <w:sz w:val="20"/>
          <w:szCs w:val="20"/>
          <w:lang w:val="fr-CA"/>
        </w:rPr>
        <w:t>35864</w:t>
      </w:r>
      <w:r w:rsidRPr="00F0064C">
        <w:rPr>
          <w:rFonts w:cs="Times New Roman"/>
          <w:sz w:val="20"/>
          <w:szCs w:val="20"/>
          <w:lang w:val="fr-CA"/>
        </w:rPr>
        <w:t xml:space="preserve">. </w:t>
      </w:r>
    </w:p>
    <w:p w:rsidR="00F0064C" w:rsidRPr="00F0064C" w:rsidRDefault="00F0064C" w:rsidP="00F0064C">
      <w:pPr>
        <w:ind w:left="720"/>
        <w:contextualSpacing/>
        <w:jc w:val="both"/>
        <w:rPr>
          <w:rFonts w:cs="Times New Roman"/>
          <w:bCs/>
          <w:sz w:val="20"/>
          <w:szCs w:val="20"/>
          <w:lang w:val="fr-CA"/>
        </w:rPr>
      </w:pPr>
    </w:p>
    <w:p w:rsidR="00F0064C" w:rsidRPr="00F0064C" w:rsidRDefault="00F0064C" w:rsidP="00F0064C">
      <w:pPr>
        <w:widowControl w:val="0"/>
        <w:numPr>
          <w:ilvl w:val="0"/>
          <w:numId w:val="8"/>
        </w:numPr>
        <w:autoSpaceDE w:val="0"/>
        <w:autoSpaceDN w:val="0"/>
        <w:adjustRightInd w:val="0"/>
        <w:spacing w:line="233" w:lineRule="auto"/>
        <w:contextualSpacing/>
        <w:jc w:val="both"/>
        <w:rPr>
          <w:rFonts w:cs="Times New Roman"/>
          <w:sz w:val="20"/>
          <w:szCs w:val="20"/>
          <w:lang w:val="fr-CA"/>
        </w:rPr>
      </w:pPr>
      <w:r w:rsidRPr="00F0064C">
        <w:rPr>
          <w:rFonts w:cs="Times New Roman"/>
          <w:sz w:val="20"/>
          <w:szCs w:val="20"/>
          <w:lang w:val="fr-CA"/>
        </w:rPr>
        <w:t>La requête en radiation déposée le 22 avril 2015 par les intimés Jamie Allen Chisholm, Scott Roberts et Carol Marion Beam est déférée à la formation qui entendra l’appel.</w:t>
      </w:r>
    </w:p>
    <w:p w:rsidR="00F0064C" w:rsidRPr="00F0064C" w:rsidRDefault="00F0064C" w:rsidP="00F0064C">
      <w:pPr>
        <w:widowControl w:val="0"/>
        <w:autoSpaceDE w:val="0"/>
        <w:autoSpaceDN w:val="0"/>
        <w:adjustRightInd w:val="0"/>
        <w:spacing w:line="233" w:lineRule="auto"/>
        <w:ind w:left="720"/>
        <w:contextualSpacing/>
        <w:jc w:val="both"/>
        <w:rPr>
          <w:rFonts w:cs="Times New Roman"/>
          <w:sz w:val="20"/>
          <w:szCs w:val="20"/>
          <w:lang w:val="fr-CA"/>
        </w:rPr>
      </w:pPr>
    </w:p>
    <w:p w:rsidR="00F0064C" w:rsidRPr="00F0064C" w:rsidRDefault="005B3B50" w:rsidP="00F0064C">
      <w:pPr>
        <w:rPr>
          <w:rFonts w:eastAsia="Times New Roman" w:cs="Times New Roman"/>
          <w:sz w:val="20"/>
          <w:szCs w:val="20"/>
          <w:lang w:eastAsia="en-CA"/>
        </w:rPr>
      </w:pPr>
      <w:r>
        <w:rPr>
          <w:rFonts w:eastAsia="Times New Roman" w:cs="Times New Roman"/>
          <w:sz w:val="20"/>
          <w:szCs w:val="20"/>
          <w:lang w:val="fr-CA" w:eastAsia="en-CA"/>
        </w:rPr>
        <w:pict>
          <v:rect id="_x0000_i1074" style="width:2in;height:1pt" o:hrpct="0" o:hralign="center" o:hrstd="t" o:hrnoshade="t" o:hr="t" fillcolor="black [3213]" stroked="f"/>
        </w:pict>
      </w:r>
    </w:p>
    <w:p w:rsidR="00F0064C" w:rsidRPr="00F0064C" w:rsidRDefault="00F0064C" w:rsidP="00F0064C">
      <w:pPr>
        <w:tabs>
          <w:tab w:val="left" w:pos="-1440"/>
          <w:tab w:val="left" w:pos="-720"/>
        </w:tabs>
        <w:jc w:val="both"/>
        <w:rPr>
          <w:rFonts w:eastAsia="Times New Roman" w:cs="Times New Roman"/>
          <w:sz w:val="20"/>
          <w:szCs w:val="20"/>
          <w:lang w:val="fr-CA" w:eastAsia="en-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77"/>
          <w:headerReference w:type="default" r:id="rId78"/>
          <w:footerReference w:type="even" r:id="rId79"/>
          <w:footerReference w:type="default" r:id="rId80"/>
          <w:headerReference w:type="first" r:id="rId81"/>
          <w:footerReference w:type="first" r:id="rId8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2A1430"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C47C2" w:rsidRPr="00A95003" w:rsidRDefault="00570496" w:rsidP="007C47C2">
      <w:pPr>
        <w:widowControl w:val="0"/>
        <w:rPr>
          <w:sz w:val="20"/>
          <w:szCs w:val="20"/>
        </w:rPr>
      </w:pPr>
      <w:r w:rsidRPr="00A95003">
        <w:rPr>
          <w:sz w:val="20"/>
          <w:szCs w:val="20"/>
        </w:rPr>
        <w:t>1</w:t>
      </w:r>
      <w:r w:rsidR="007C47C2" w:rsidRPr="00A95003">
        <w:rPr>
          <w:sz w:val="20"/>
          <w:szCs w:val="20"/>
        </w:rPr>
        <w:t>2.0</w:t>
      </w:r>
      <w:r w:rsidRPr="00A95003">
        <w:rPr>
          <w:sz w:val="20"/>
          <w:szCs w:val="20"/>
        </w:rPr>
        <w:t>5</w:t>
      </w:r>
      <w:r w:rsidR="007C47C2" w:rsidRPr="00A95003">
        <w:rPr>
          <w:sz w:val="20"/>
          <w:szCs w:val="20"/>
        </w:rPr>
        <w:t>.201</w:t>
      </w:r>
      <w:r w:rsidRPr="00A95003">
        <w:rPr>
          <w:sz w:val="20"/>
          <w:szCs w:val="20"/>
        </w:rPr>
        <w:t>5</w:t>
      </w:r>
    </w:p>
    <w:p w:rsidR="007C47C2" w:rsidRPr="00A95003" w:rsidRDefault="007C47C2" w:rsidP="007C47C2">
      <w:pPr>
        <w:widowControl w:val="0"/>
        <w:rPr>
          <w:sz w:val="20"/>
          <w:szCs w:val="20"/>
        </w:rPr>
      </w:pPr>
    </w:p>
    <w:p w:rsidR="00C03B9B" w:rsidRPr="005C722A" w:rsidRDefault="00C03B9B" w:rsidP="00C03B9B">
      <w:pPr>
        <w:ind w:left="720" w:hanging="720"/>
        <w:rPr>
          <w:sz w:val="20"/>
          <w:szCs w:val="20"/>
          <w:u w:val="single"/>
        </w:rPr>
      </w:pPr>
      <w:r w:rsidRPr="005C722A">
        <w:rPr>
          <w:sz w:val="20"/>
          <w:szCs w:val="20"/>
        </w:rPr>
        <w:t>Coram:</w:t>
      </w:r>
      <w:r w:rsidRPr="005C722A">
        <w:rPr>
          <w:sz w:val="20"/>
          <w:szCs w:val="20"/>
        </w:rPr>
        <w:tab/>
      </w:r>
      <w:r w:rsidRPr="005C722A">
        <w:rPr>
          <w:sz w:val="20"/>
          <w:szCs w:val="20"/>
          <w:u w:val="single"/>
        </w:rPr>
        <w:t xml:space="preserve">McLachlin C.J. and Abella, </w:t>
      </w:r>
      <w:r>
        <w:rPr>
          <w:sz w:val="20"/>
          <w:szCs w:val="20"/>
          <w:u w:val="single"/>
        </w:rPr>
        <w:t xml:space="preserve">Rothstein, Cromwell, </w:t>
      </w:r>
      <w:r w:rsidRPr="005C722A">
        <w:rPr>
          <w:sz w:val="20"/>
          <w:szCs w:val="20"/>
          <w:u w:val="single"/>
        </w:rPr>
        <w:t>Moldaver</w:t>
      </w:r>
      <w:r>
        <w:rPr>
          <w:sz w:val="20"/>
          <w:szCs w:val="20"/>
          <w:u w:val="single"/>
        </w:rPr>
        <w:t>,</w:t>
      </w:r>
      <w:r w:rsidRPr="005C722A">
        <w:rPr>
          <w:sz w:val="20"/>
          <w:szCs w:val="20"/>
          <w:u w:val="single"/>
        </w:rPr>
        <w:t xml:space="preserve"> </w:t>
      </w:r>
      <w:r>
        <w:rPr>
          <w:sz w:val="20"/>
          <w:szCs w:val="20"/>
          <w:u w:val="single"/>
        </w:rPr>
        <w:t xml:space="preserve">Karakatsanis, </w:t>
      </w:r>
      <w:r w:rsidRPr="005C722A">
        <w:rPr>
          <w:sz w:val="20"/>
          <w:szCs w:val="20"/>
          <w:u w:val="single"/>
        </w:rPr>
        <w:t>Wagner</w:t>
      </w:r>
      <w:r>
        <w:rPr>
          <w:sz w:val="20"/>
          <w:szCs w:val="20"/>
          <w:u w:val="single"/>
        </w:rPr>
        <w:t xml:space="preserve">, Gascon and Côté </w:t>
      </w:r>
      <w:r w:rsidRPr="005C722A">
        <w:rPr>
          <w:sz w:val="20"/>
          <w:szCs w:val="20"/>
          <w:u w:val="single"/>
        </w:rPr>
        <w:t>JJ.</w:t>
      </w:r>
    </w:p>
    <w:p w:rsidR="00570496" w:rsidRPr="005C722A" w:rsidRDefault="00570496" w:rsidP="00570496">
      <w:pPr>
        <w:ind w:left="1440" w:hanging="1440"/>
        <w:jc w:val="both"/>
        <w:rPr>
          <w:sz w:val="20"/>
          <w:szCs w:val="20"/>
          <w:u w:val="single"/>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570496" w:rsidRPr="00570496" w:rsidTr="00570496">
        <w:tc>
          <w:tcPr>
            <w:tcW w:w="4380" w:type="dxa"/>
            <w:tcMar>
              <w:left w:w="0" w:type="dxa"/>
              <w:right w:w="0" w:type="dxa"/>
            </w:tcMar>
          </w:tcPr>
          <w:p w:rsidR="00570496" w:rsidRPr="004D2720" w:rsidRDefault="00570496" w:rsidP="00570496">
            <w:pPr>
              <w:widowControl w:val="0"/>
              <w:rPr>
                <w:b/>
                <w:sz w:val="20"/>
                <w:szCs w:val="20"/>
                <w:lang w:val="fr-CA"/>
              </w:rPr>
            </w:pPr>
            <w:r w:rsidRPr="004D2720">
              <w:rPr>
                <w:b/>
                <w:sz w:val="20"/>
                <w:szCs w:val="20"/>
                <w:lang w:val="fr-CA"/>
              </w:rPr>
              <w:t xml:space="preserve">Second Lieutenant Moriarity </w:t>
            </w:r>
            <w:r w:rsidR="004D2720" w:rsidRPr="004D2720">
              <w:rPr>
                <w:b/>
                <w:sz w:val="20"/>
                <w:szCs w:val="20"/>
                <w:lang w:val="fr-CA"/>
              </w:rPr>
              <w:t>et al.</w:t>
            </w:r>
          </w:p>
          <w:p w:rsidR="00570496" w:rsidRPr="004D2720" w:rsidRDefault="00570496" w:rsidP="00570496">
            <w:pPr>
              <w:widowControl w:val="0"/>
              <w:rPr>
                <w:b/>
                <w:sz w:val="20"/>
                <w:szCs w:val="20"/>
                <w:lang w:val="fr-CA"/>
              </w:rPr>
            </w:pPr>
          </w:p>
          <w:p w:rsidR="00570496" w:rsidRPr="00570496" w:rsidRDefault="00570496" w:rsidP="00570496">
            <w:pPr>
              <w:widowControl w:val="0"/>
              <w:rPr>
                <w:b/>
                <w:sz w:val="20"/>
                <w:szCs w:val="20"/>
              </w:rPr>
            </w:pPr>
            <w:r w:rsidRPr="004D2720">
              <w:rPr>
                <w:b/>
                <w:sz w:val="20"/>
                <w:szCs w:val="20"/>
                <w:lang w:val="fr-CA"/>
              </w:rPr>
              <w:tab/>
            </w:r>
            <w:r w:rsidRPr="00570496">
              <w:rPr>
                <w:b/>
                <w:sz w:val="20"/>
                <w:szCs w:val="20"/>
              </w:rPr>
              <w:t xml:space="preserve">v. </w:t>
            </w:r>
            <w:r w:rsidR="004D2720" w:rsidRPr="00E73C8C">
              <w:rPr>
                <w:sz w:val="20"/>
                <w:szCs w:val="20"/>
              </w:rPr>
              <w:t>(</w:t>
            </w:r>
            <w:hyperlink r:id="rId83" w:history="1">
              <w:r w:rsidR="004D2720" w:rsidRPr="00E73C8C">
                <w:rPr>
                  <w:rStyle w:val="Hyperlink"/>
                  <w:sz w:val="20"/>
                  <w:szCs w:val="20"/>
                </w:rPr>
                <w:t>35755</w:t>
              </w:r>
            </w:hyperlink>
            <w:r w:rsidR="004D2720" w:rsidRPr="00E73C8C">
              <w:rPr>
                <w:sz w:val="20"/>
                <w:szCs w:val="20"/>
              </w:rPr>
              <w:t>)</w:t>
            </w:r>
          </w:p>
          <w:p w:rsidR="00570496" w:rsidRPr="00570496" w:rsidRDefault="00570496" w:rsidP="00570496">
            <w:pPr>
              <w:widowControl w:val="0"/>
              <w:rPr>
                <w:b/>
                <w:sz w:val="20"/>
                <w:szCs w:val="20"/>
              </w:rPr>
            </w:pPr>
          </w:p>
          <w:p w:rsidR="00570496" w:rsidRDefault="00570496" w:rsidP="00570496">
            <w:pPr>
              <w:widowControl w:val="0"/>
              <w:rPr>
                <w:b/>
                <w:sz w:val="20"/>
                <w:szCs w:val="20"/>
              </w:rPr>
            </w:pPr>
            <w:r>
              <w:rPr>
                <w:b/>
                <w:sz w:val="20"/>
                <w:szCs w:val="20"/>
              </w:rPr>
              <w:t>Her Majesty the Queen</w:t>
            </w:r>
            <w:r w:rsidRPr="00570496">
              <w:rPr>
                <w:b/>
                <w:sz w:val="20"/>
                <w:szCs w:val="20"/>
              </w:rPr>
              <w:t xml:space="preserve"> </w:t>
            </w:r>
            <w:r w:rsidR="004D2720">
              <w:rPr>
                <w:b/>
                <w:sz w:val="20"/>
                <w:szCs w:val="20"/>
              </w:rPr>
              <w:t xml:space="preserve">et al. </w:t>
            </w:r>
            <w:r w:rsidRPr="00570496">
              <w:rPr>
                <w:b/>
                <w:sz w:val="20"/>
                <w:szCs w:val="20"/>
              </w:rPr>
              <w:t>(F.C.) (C</w:t>
            </w:r>
            <w:r>
              <w:rPr>
                <w:b/>
                <w:sz w:val="20"/>
                <w:szCs w:val="20"/>
              </w:rPr>
              <w:t>r</w:t>
            </w:r>
            <w:r w:rsidRPr="00570496">
              <w:rPr>
                <w:b/>
                <w:sz w:val="20"/>
                <w:szCs w:val="20"/>
              </w:rPr>
              <w:t>i</w:t>
            </w:r>
            <w:r>
              <w:rPr>
                <w:b/>
                <w:sz w:val="20"/>
                <w:szCs w:val="20"/>
              </w:rPr>
              <w:t>m</w:t>
            </w:r>
            <w:r w:rsidRPr="00570496">
              <w:rPr>
                <w:b/>
                <w:sz w:val="20"/>
                <w:szCs w:val="20"/>
              </w:rPr>
              <w:t>i</w:t>
            </w:r>
            <w:r>
              <w:rPr>
                <w:b/>
                <w:sz w:val="20"/>
                <w:szCs w:val="20"/>
              </w:rPr>
              <w:t>na</w:t>
            </w:r>
            <w:r w:rsidRPr="00570496">
              <w:rPr>
                <w:b/>
                <w:sz w:val="20"/>
                <w:szCs w:val="20"/>
              </w:rPr>
              <w:t>l) (</w:t>
            </w:r>
            <w:r>
              <w:rPr>
                <w:b/>
                <w:sz w:val="20"/>
                <w:szCs w:val="20"/>
              </w:rPr>
              <w:t>By Leave</w:t>
            </w:r>
            <w:r w:rsidRPr="00570496">
              <w:rPr>
                <w:b/>
                <w:sz w:val="20"/>
                <w:szCs w:val="20"/>
              </w:rPr>
              <w:t>)</w:t>
            </w:r>
          </w:p>
          <w:p w:rsidR="00570496" w:rsidRDefault="00570496" w:rsidP="00570496">
            <w:pPr>
              <w:widowControl w:val="0"/>
              <w:rPr>
                <w:b/>
                <w:sz w:val="20"/>
                <w:szCs w:val="20"/>
              </w:rPr>
            </w:pPr>
          </w:p>
          <w:p w:rsidR="00570496" w:rsidRDefault="00C03B9B" w:rsidP="00570496">
            <w:pPr>
              <w:widowControl w:val="0"/>
              <w:rPr>
                <w:b/>
                <w:sz w:val="20"/>
                <w:szCs w:val="20"/>
              </w:rPr>
            </w:pPr>
            <w:r>
              <w:rPr>
                <w:b/>
                <w:sz w:val="20"/>
                <w:szCs w:val="20"/>
              </w:rPr>
              <w:t xml:space="preserve">- </w:t>
            </w:r>
            <w:r w:rsidR="00570496">
              <w:rPr>
                <w:b/>
                <w:sz w:val="20"/>
                <w:szCs w:val="20"/>
              </w:rPr>
              <w:t>and between</w:t>
            </w:r>
            <w:r>
              <w:rPr>
                <w:b/>
                <w:sz w:val="20"/>
                <w:szCs w:val="20"/>
              </w:rPr>
              <w:t xml:space="preserve"> -</w:t>
            </w:r>
          </w:p>
          <w:p w:rsidR="00570496" w:rsidRDefault="00570496" w:rsidP="00570496">
            <w:pPr>
              <w:widowControl w:val="0"/>
              <w:rPr>
                <w:b/>
                <w:sz w:val="20"/>
                <w:szCs w:val="20"/>
              </w:rPr>
            </w:pPr>
          </w:p>
          <w:p w:rsidR="004D2720" w:rsidRPr="00570496" w:rsidRDefault="004D2720" w:rsidP="004D2720">
            <w:pPr>
              <w:widowControl w:val="0"/>
              <w:rPr>
                <w:b/>
                <w:sz w:val="20"/>
                <w:szCs w:val="20"/>
              </w:rPr>
            </w:pPr>
            <w:r>
              <w:rPr>
                <w:b/>
                <w:sz w:val="20"/>
                <w:szCs w:val="20"/>
              </w:rPr>
              <w:t>Private Alexandra Vezina</w:t>
            </w:r>
            <w:r w:rsidRPr="00570496">
              <w:rPr>
                <w:b/>
                <w:sz w:val="20"/>
                <w:szCs w:val="20"/>
              </w:rPr>
              <w:t xml:space="preserve"> </w:t>
            </w:r>
          </w:p>
          <w:p w:rsidR="004D2720" w:rsidRPr="00570496" w:rsidRDefault="004D2720" w:rsidP="004D2720">
            <w:pPr>
              <w:widowControl w:val="0"/>
              <w:rPr>
                <w:b/>
                <w:sz w:val="20"/>
                <w:szCs w:val="20"/>
              </w:rPr>
            </w:pPr>
          </w:p>
          <w:p w:rsidR="004D2720" w:rsidRPr="00570496" w:rsidRDefault="004D2720" w:rsidP="004D2720">
            <w:pPr>
              <w:widowControl w:val="0"/>
              <w:rPr>
                <w:b/>
                <w:sz w:val="20"/>
                <w:szCs w:val="20"/>
              </w:rPr>
            </w:pPr>
            <w:r w:rsidRPr="00570496">
              <w:rPr>
                <w:b/>
                <w:sz w:val="20"/>
                <w:szCs w:val="20"/>
              </w:rPr>
              <w:tab/>
              <w:t xml:space="preserve">v. </w:t>
            </w:r>
            <w:r w:rsidRPr="00E73C8C">
              <w:rPr>
                <w:sz w:val="20"/>
                <w:szCs w:val="20"/>
              </w:rPr>
              <w:t>(</w:t>
            </w:r>
            <w:hyperlink r:id="rId84" w:history="1">
              <w:r w:rsidRPr="00E73C8C">
                <w:rPr>
                  <w:rStyle w:val="Hyperlink"/>
                  <w:sz w:val="20"/>
                  <w:szCs w:val="20"/>
                </w:rPr>
                <w:t>35873</w:t>
              </w:r>
            </w:hyperlink>
            <w:r w:rsidRPr="00E73C8C">
              <w:rPr>
                <w:sz w:val="20"/>
                <w:szCs w:val="20"/>
              </w:rPr>
              <w:t>)</w:t>
            </w:r>
          </w:p>
          <w:p w:rsidR="004D2720" w:rsidRPr="00570496" w:rsidRDefault="004D2720" w:rsidP="004D2720">
            <w:pPr>
              <w:widowControl w:val="0"/>
              <w:rPr>
                <w:b/>
                <w:sz w:val="20"/>
                <w:szCs w:val="20"/>
              </w:rPr>
            </w:pPr>
          </w:p>
          <w:p w:rsidR="00570496" w:rsidRPr="00151DAD" w:rsidRDefault="004D2720" w:rsidP="004D2720">
            <w:pPr>
              <w:widowControl w:val="0"/>
              <w:rPr>
                <w:b/>
                <w:sz w:val="20"/>
                <w:szCs w:val="20"/>
                <w:lang w:val="fr-CA"/>
              </w:rPr>
            </w:pPr>
            <w:r>
              <w:rPr>
                <w:b/>
                <w:sz w:val="20"/>
                <w:szCs w:val="20"/>
              </w:rPr>
              <w:t>Her Majesty the Queen</w:t>
            </w:r>
            <w:r w:rsidRPr="00570496">
              <w:rPr>
                <w:b/>
                <w:sz w:val="20"/>
                <w:szCs w:val="20"/>
              </w:rPr>
              <w:t xml:space="preserve"> (F.C.) </w:t>
            </w:r>
            <w:r w:rsidRPr="00151DAD">
              <w:rPr>
                <w:b/>
                <w:sz w:val="20"/>
                <w:szCs w:val="20"/>
                <w:lang w:val="fr-CA"/>
              </w:rPr>
              <w:t>(Criminal) (By Leave)</w:t>
            </w:r>
          </w:p>
          <w:p w:rsidR="004D2720" w:rsidRPr="00151DAD" w:rsidRDefault="004D2720" w:rsidP="004D2720">
            <w:pPr>
              <w:widowControl w:val="0"/>
              <w:rPr>
                <w:b/>
                <w:sz w:val="20"/>
                <w:szCs w:val="20"/>
                <w:lang w:val="fr-CA"/>
              </w:rPr>
            </w:pPr>
          </w:p>
          <w:p w:rsidR="004D2720" w:rsidRPr="00151DAD" w:rsidRDefault="004D2720" w:rsidP="004D2720">
            <w:pPr>
              <w:widowControl w:val="0"/>
              <w:rPr>
                <w:b/>
                <w:sz w:val="20"/>
                <w:szCs w:val="20"/>
                <w:lang w:val="fr-CA"/>
              </w:rPr>
            </w:pPr>
            <w:r w:rsidRPr="00151DAD">
              <w:rPr>
                <w:b/>
                <w:sz w:val="20"/>
                <w:szCs w:val="20"/>
                <w:lang w:val="fr-CA"/>
              </w:rPr>
              <w:t>- et entre -</w:t>
            </w:r>
          </w:p>
          <w:p w:rsidR="004D2720" w:rsidRPr="00151DAD" w:rsidRDefault="004D2720" w:rsidP="004D2720">
            <w:pPr>
              <w:widowControl w:val="0"/>
              <w:rPr>
                <w:sz w:val="20"/>
                <w:szCs w:val="20"/>
                <w:lang w:val="fr-CA"/>
              </w:rPr>
            </w:pPr>
          </w:p>
          <w:p w:rsidR="004D2720" w:rsidRPr="00757D85" w:rsidRDefault="004D2720" w:rsidP="004D2720">
            <w:pPr>
              <w:widowControl w:val="0"/>
              <w:rPr>
                <w:b/>
                <w:sz w:val="20"/>
                <w:szCs w:val="20"/>
                <w:lang w:val="fr-CA"/>
              </w:rPr>
            </w:pPr>
            <w:r w:rsidRPr="00757D85">
              <w:rPr>
                <w:b/>
                <w:sz w:val="20"/>
                <w:szCs w:val="20"/>
                <w:lang w:val="fr-CA"/>
              </w:rPr>
              <w:t xml:space="preserve">Sergent Damien Arsenault </w:t>
            </w:r>
          </w:p>
          <w:p w:rsidR="004D2720" w:rsidRPr="00757D85" w:rsidRDefault="004D2720" w:rsidP="004D2720">
            <w:pPr>
              <w:widowControl w:val="0"/>
              <w:rPr>
                <w:b/>
                <w:sz w:val="20"/>
                <w:szCs w:val="20"/>
                <w:lang w:val="fr-CA"/>
              </w:rPr>
            </w:pPr>
          </w:p>
          <w:p w:rsidR="004D2720" w:rsidRPr="00757D85" w:rsidRDefault="004D2720" w:rsidP="004D2720">
            <w:pPr>
              <w:widowControl w:val="0"/>
              <w:rPr>
                <w:b/>
                <w:sz w:val="20"/>
                <w:szCs w:val="20"/>
                <w:lang w:val="fr-CA"/>
              </w:rPr>
            </w:pPr>
            <w:r w:rsidRPr="00757D85">
              <w:rPr>
                <w:b/>
                <w:sz w:val="20"/>
                <w:szCs w:val="20"/>
                <w:lang w:val="fr-CA"/>
              </w:rPr>
              <w:tab/>
              <w:t xml:space="preserve">c. </w:t>
            </w:r>
            <w:r w:rsidRPr="00E73C8C">
              <w:rPr>
                <w:sz w:val="20"/>
                <w:szCs w:val="20"/>
                <w:lang w:val="fr-CA"/>
              </w:rPr>
              <w:t>(</w:t>
            </w:r>
            <w:hyperlink r:id="rId85" w:history="1">
              <w:r w:rsidRPr="00E73C8C">
                <w:rPr>
                  <w:rStyle w:val="Hyperlink"/>
                  <w:sz w:val="20"/>
                  <w:szCs w:val="20"/>
                  <w:lang w:val="fr-CA"/>
                </w:rPr>
                <w:t>35946</w:t>
              </w:r>
            </w:hyperlink>
            <w:r w:rsidRPr="00E73C8C">
              <w:rPr>
                <w:sz w:val="20"/>
                <w:szCs w:val="20"/>
                <w:lang w:val="fr-CA"/>
              </w:rPr>
              <w:t>)</w:t>
            </w:r>
          </w:p>
          <w:p w:rsidR="004D2720" w:rsidRPr="00757D85" w:rsidRDefault="004D2720" w:rsidP="004D2720">
            <w:pPr>
              <w:widowControl w:val="0"/>
              <w:rPr>
                <w:b/>
                <w:sz w:val="20"/>
                <w:szCs w:val="20"/>
                <w:lang w:val="fr-CA"/>
              </w:rPr>
            </w:pPr>
          </w:p>
          <w:p w:rsidR="004D2720" w:rsidRPr="00570496" w:rsidRDefault="004D2720" w:rsidP="004D2720">
            <w:pPr>
              <w:widowControl w:val="0"/>
              <w:rPr>
                <w:sz w:val="20"/>
                <w:szCs w:val="20"/>
              </w:rPr>
            </w:pPr>
            <w:r w:rsidRPr="00757D85">
              <w:rPr>
                <w:b/>
                <w:sz w:val="20"/>
                <w:szCs w:val="20"/>
                <w:lang w:val="fr-CA"/>
              </w:rPr>
              <w:t xml:space="preserve">Sa Majesté la Reine (C.F.) </w:t>
            </w:r>
            <w:r w:rsidRPr="00570496">
              <w:rPr>
                <w:b/>
                <w:sz w:val="20"/>
                <w:szCs w:val="20"/>
              </w:rPr>
              <w:t>(C</w:t>
            </w:r>
            <w:r>
              <w:rPr>
                <w:b/>
                <w:sz w:val="20"/>
                <w:szCs w:val="20"/>
              </w:rPr>
              <w:t>r</w:t>
            </w:r>
            <w:r w:rsidRPr="00570496">
              <w:rPr>
                <w:b/>
                <w:sz w:val="20"/>
                <w:szCs w:val="20"/>
              </w:rPr>
              <w:t>i</w:t>
            </w:r>
            <w:r>
              <w:rPr>
                <w:b/>
                <w:sz w:val="20"/>
                <w:szCs w:val="20"/>
              </w:rPr>
              <w:t>m</w:t>
            </w:r>
            <w:r w:rsidRPr="00570496">
              <w:rPr>
                <w:b/>
                <w:sz w:val="20"/>
                <w:szCs w:val="20"/>
              </w:rPr>
              <w:t>i</w:t>
            </w:r>
            <w:r>
              <w:rPr>
                <w:b/>
                <w:sz w:val="20"/>
                <w:szCs w:val="20"/>
              </w:rPr>
              <w:t>nel</w:t>
            </w:r>
            <w:r w:rsidRPr="00570496">
              <w:rPr>
                <w:b/>
                <w:sz w:val="20"/>
                <w:szCs w:val="20"/>
              </w:rPr>
              <w:t>l</w:t>
            </w:r>
            <w:r>
              <w:rPr>
                <w:b/>
                <w:sz w:val="20"/>
                <w:szCs w:val="20"/>
              </w:rPr>
              <w:t>e</w:t>
            </w:r>
            <w:r w:rsidRPr="00570496">
              <w:rPr>
                <w:b/>
                <w:sz w:val="20"/>
                <w:szCs w:val="20"/>
              </w:rPr>
              <w:t>) (</w:t>
            </w:r>
            <w:r>
              <w:rPr>
                <w:b/>
                <w:sz w:val="20"/>
                <w:szCs w:val="20"/>
              </w:rPr>
              <w:t>Autorisation</w:t>
            </w:r>
            <w:r w:rsidRPr="00570496">
              <w:rPr>
                <w:b/>
                <w:sz w:val="20"/>
                <w:szCs w:val="20"/>
              </w:rPr>
              <w:t>)</w:t>
            </w:r>
          </w:p>
        </w:tc>
        <w:tc>
          <w:tcPr>
            <w:tcW w:w="720" w:type="dxa"/>
            <w:tcMar>
              <w:left w:w="0" w:type="dxa"/>
              <w:right w:w="0" w:type="dxa"/>
            </w:tcMar>
          </w:tcPr>
          <w:p w:rsidR="00570496" w:rsidRPr="00570496" w:rsidRDefault="00570496" w:rsidP="00570496">
            <w:pPr>
              <w:widowControl w:val="0"/>
              <w:jc w:val="center"/>
              <w:rPr>
                <w:sz w:val="20"/>
                <w:szCs w:val="20"/>
              </w:rPr>
            </w:pPr>
          </w:p>
        </w:tc>
        <w:tc>
          <w:tcPr>
            <w:tcW w:w="4380" w:type="dxa"/>
            <w:tcMar>
              <w:left w:w="0" w:type="dxa"/>
              <w:right w:w="0" w:type="dxa"/>
            </w:tcMar>
          </w:tcPr>
          <w:p w:rsidR="005D7D6B" w:rsidRPr="00151DAD" w:rsidRDefault="005D7D6B" w:rsidP="005D7D6B">
            <w:pPr>
              <w:jc w:val="both"/>
              <w:rPr>
                <w:sz w:val="20"/>
                <w:szCs w:val="20"/>
              </w:rPr>
            </w:pPr>
            <w:r w:rsidRPr="00151DAD">
              <w:rPr>
                <w:sz w:val="20"/>
                <w:szCs w:val="20"/>
              </w:rPr>
              <w:t>Mark Létourneau, Jean-Bruno Cloutier and Delano K. Fullerton for the appellants.</w:t>
            </w:r>
          </w:p>
          <w:p w:rsidR="005D7D6B" w:rsidRPr="00151DAD" w:rsidRDefault="005D7D6B" w:rsidP="005D7D6B">
            <w:pPr>
              <w:jc w:val="both"/>
              <w:rPr>
                <w:sz w:val="20"/>
                <w:szCs w:val="20"/>
              </w:rPr>
            </w:pPr>
          </w:p>
          <w:p w:rsidR="00570496" w:rsidRPr="00570496" w:rsidRDefault="005D7D6B" w:rsidP="005D7D6B">
            <w:pPr>
              <w:widowControl w:val="0"/>
              <w:jc w:val="both"/>
              <w:rPr>
                <w:sz w:val="20"/>
                <w:szCs w:val="20"/>
              </w:rPr>
            </w:pPr>
            <w:r w:rsidRPr="00D106F1">
              <w:rPr>
                <w:sz w:val="20"/>
                <w:szCs w:val="20"/>
                <w:lang w:val="en-US"/>
              </w:rPr>
              <w:t>Steven D. Richards</w:t>
            </w:r>
            <w:r>
              <w:rPr>
                <w:sz w:val="20"/>
                <w:szCs w:val="20"/>
                <w:lang w:val="en-US"/>
              </w:rPr>
              <w:t xml:space="preserve"> and </w:t>
            </w:r>
            <w:r w:rsidRPr="00D106F1">
              <w:rPr>
                <w:sz w:val="20"/>
                <w:szCs w:val="20"/>
                <w:lang w:val="en-US"/>
              </w:rPr>
              <w:t>Bruce W. MacGregor</w:t>
            </w:r>
            <w:r>
              <w:rPr>
                <w:sz w:val="20"/>
                <w:szCs w:val="20"/>
                <w:lang w:val="en-US"/>
              </w:rPr>
              <w:t xml:space="preserve"> f</w:t>
            </w:r>
            <w:r w:rsidRPr="00D106F1">
              <w:rPr>
                <w:sz w:val="20"/>
                <w:szCs w:val="20"/>
                <w:lang w:val="en-US"/>
              </w:rPr>
              <w:t xml:space="preserve">or the </w:t>
            </w:r>
            <w:r>
              <w:rPr>
                <w:sz w:val="20"/>
                <w:szCs w:val="20"/>
                <w:lang w:val="en-US"/>
              </w:rPr>
              <w:t>r</w:t>
            </w:r>
            <w:r w:rsidRPr="00D106F1">
              <w:rPr>
                <w:sz w:val="20"/>
                <w:szCs w:val="20"/>
                <w:lang w:val="en-US"/>
              </w:rPr>
              <w:t>espondents</w:t>
            </w:r>
            <w:r>
              <w:rPr>
                <w:sz w:val="20"/>
                <w:szCs w:val="20"/>
                <w:lang w:val="en-US"/>
              </w:rPr>
              <w:t>.</w:t>
            </w:r>
          </w:p>
        </w:tc>
      </w:tr>
    </w:tbl>
    <w:p w:rsidR="00570496" w:rsidRPr="00570496" w:rsidRDefault="00570496" w:rsidP="007C47C2">
      <w:pPr>
        <w:widowControl w:val="0"/>
        <w:rPr>
          <w:sz w:val="20"/>
          <w:szCs w:val="20"/>
        </w:rPr>
      </w:pPr>
    </w:p>
    <w:p w:rsidR="00570496" w:rsidRPr="0085476B" w:rsidRDefault="00570496" w:rsidP="00570496">
      <w:pPr>
        <w:widowControl w:val="0"/>
        <w:rPr>
          <w:sz w:val="20"/>
          <w:szCs w:val="20"/>
        </w:rPr>
      </w:pPr>
      <w:r>
        <w:rPr>
          <w:b/>
          <w:sz w:val="20"/>
          <w:szCs w:val="20"/>
        </w:rPr>
        <w:t>RESERV</w:t>
      </w:r>
      <w:r w:rsidRPr="0085476B">
        <w:rPr>
          <w:b/>
          <w:sz w:val="20"/>
          <w:szCs w:val="20"/>
        </w:rPr>
        <w:t xml:space="preserve">ED / </w:t>
      </w:r>
      <w:r w:rsidRPr="00570496">
        <w:rPr>
          <w:b/>
          <w:sz w:val="20"/>
          <w:szCs w:val="20"/>
        </w:rPr>
        <w:t>EN DÉLIBÉRÉ</w:t>
      </w:r>
    </w:p>
    <w:p w:rsidR="00570496" w:rsidRDefault="00570496" w:rsidP="00570496"/>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570496" w:rsidRPr="002A1430" w:rsidTr="00570496">
        <w:tc>
          <w:tcPr>
            <w:tcW w:w="4380" w:type="dxa"/>
            <w:tcMar>
              <w:left w:w="0" w:type="dxa"/>
              <w:right w:w="0" w:type="dxa"/>
            </w:tcMar>
          </w:tcPr>
          <w:p w:rsidR="00570496" w:rsidRPr="00CC4D84" w:rsidRDefault="00570496" w:rsidP="00570496">
            <w:pPr>
              <w:widowControl w:val="0"/>
              <w:jc w:val="both"/>
              <w:rPr>
                <w:b/>
                <w:sz w:val="20"/>
                <w:szCs w:val="20"/>
                <w:u w:val="single"/>
              </w:rPr>
            </w:pPr>
            <w:r w:rsidRPr="00CC4D84">
              <w:rPr>
                <w:b/>
                <w:sz w:val="20"/>
                <w:szCs w:val="20"/>
                <w:u w:val="single"/>
              </w:rPr>
              <w:t>Nature of the case</w:t>
            </w:r>
            <w:r w:rsidR="004D2720">
              <w:rPr>
                <w:b/>
                <w:sz w:val="20"/>
                <w:szCs w:val="20"/>
                <w:u w:val="single"/>
              </w:rPr>
              <w:t xml:space="preserve"> - 35755</w:t>
            </w:r>
            <w:r w:rsidRPr="00CC4D84">
              <w:rPr>
                <w:b/>
                <w:sz w:val="20"/>
                <w:szCs w:val="20"/>
                <w:u w:val="single"/>
              </w:rPr>
              <w:t>:</w:t>
            </w:r>
          </w:p>
          <w:p w:rsidR="00570496" w:rsidRPr="001A663B" w:rsidRDefault="00570496" w:rsidP="00570496">
            <w:pPr>
              <w:widowControl w:val="0"/>
              <w:jc w:val="both"/>
              <w:rPr>
                <w:b/>
                <w:sz w:val="20"/>
                <w:szCs w:val="20"/>
              </w:rPr>
            </w:pPr>
          </w:p>
          <w:p w:rsidR="00570496" w:rsidRPr="00C1697B" w:rsidRDefault="004D2720" w:rsidP="00570496">
            <w:pPr>
              <w:widowControl w:val="0"/>
              <w:jc w:val="both"/>
              <w:rPr>
                <w:b/>
                <w:sz w:val="20"/>
                <w:szCs w:val="20"/>
              </w:rPr>
            </w:pPr>
            <w:r w:rsidRPr="00F42979">
              <w:rPr>
                <w:i/>
                <w:sz w:val="20"/>
                <w:szCs w:val="20"/>
              </w:rPr>
              <w:t>Canadian Charter of Rights and Freedoms</w:t>
            </w:r>
            <w:r w:rsidRPr="00F42979">
              <w:rPr>
                <w:sz w:val="20"/>
                <w:szCs w:val="20"/>
              </w:rPr>
              <w:t xml:space="preserve"> - Whether s. 130(1)(a) of the </w:t>
            </w:r>
            <w:r w:rsidRPr="00F42979">
              <w:rPr>
                <w:i/>
                <w:sz w:val="20"/>
                <w:szCs w:val="20"/>
              </w:rPr>
              <w:t>National Defence Act</w:t>
            </w:r>
            <w:r w:rsidRPr="00F42979">
              <w:rPr>
                <w:sz w:val="20"/>
                <w:szCs w:val="20"/>
              </w:rPr>
              <w:t xml:space="preserve"> violates s. 7 and s. 11(f) of the </w:t>
            </w:r>
            <w:r w:rsidRPr="00F42979">
              <w:rPr>
                <w:i/>
                <w:sz w:val="20"/>
                <w:szCs w:val="20"/>
              </w:rPr>
              <w:t>Charter</w:t>
            </w:r>
            <w:r w:rsidRPr="00F42979">
              <w:rPr>
                <w:sz w:val="20"/>
                <w:szCs w:val="20"/>
              </w:rPr>
              <w:t xml:space="preserve"> - Whether the military nexus doctrine applies to s. 130(1)(a) of the </w:t>
            </w:r>
            <w:r w:rsidRPr="00F42979">
              <w:rPr>
                <w:i/>
                <w:sz w:val="20"/>
                <w:szCs w:val="20"/>
              </w:rPr>
              <w:t>National Defence Act</w:t>
            </w:r>
            <w:r w:rsidRPr="00F42979">
              <w:rPr>
                <w:sz w:val="20"/>
                <w:szCs w:val="20"/>
              </w:rPr>
              <w:t xml:space="preserve"> - Whether s. 130(1)(a) of the </w:t>
            </w:r>
            <w:r w:rsidRPr="00F42979">
              <w:rPr>
                <w:i/>
                <w:sz w:val="20"/>
                <w:szCs w:val="20"/>
              </w:rPr>
              <w:t>National Defence Act</w:t>
            </w:r>
            <w:r w:rsidRPr="00F42979">
              <w:rPr>
                <w:sz w:val="20"/>
                <w:szCs w:val="20"/>
              </w:rPr>
              <w:t xml:space="preserve"> is constitutional.</w:t>
            </w:r>
          </w:p>
        </w:tc>
        <w:tc>
          <w:tcPr>
            <w:tcW w:w="720" w:type="dxa"/>
            <w:tcMar>
              <w:left w:w="0" w:type="dxa"/>
              <w:right w:w="0" w:type="dxa"/>
            </w:tcMar>
          </w:tcPr>
          <w:p w:rsidR="00570496" w:rsidRPr="00C1697B" w:rsidRDefault="00570496" w:rsidP="00570496">
            <w:pPr>
              <w:widowControl w:val="0"/>
              <w:jc w:val="center"/>
              <w:rPr>
                <w:sz w:val="20"/>
                <w:szCs w:val="20"/>
              </w:rPr>
            </w:pPr>
          </w:p>
        </w:tc>
        <w:tc>
          <w:tcPr>
            <w:tcW w:w="4380" w:type="dxa"/>
            <w:tcMar>
              <w:left w:w="0" w:type="dxa"/>
              <w:right w:w="0" w:type="dxa"/>
            </w:tcMar>
          </w:tcPr>
          <w:p w:rsidR="00570496" w:rsidRPr="00CC4D84" w:rsidRDefault="00570496" w:rsidP="00570496">
            <w:pPr>
              <w:widowControl w:val="0"/>
              <w:jc w:val="both"/>
              <w:rPr>
                <w:b/>
                <w:sz w:val="20"/>
                <w:szCs w:val="20"/>
                <w:u w:val="single"/>
                <w:lang w:val="fr-CA"/>
              </w:rPr>
            </w:pPr>
            <w:r w:rsidRPr="00CC4D84">
              <w:rPr>
                <w:b/>
                <w:sz w:val="20"/>
                <w:szCs w:val="20"/>
                <w:u w:val="single"/>
                <w:lang w:val="fr-CA"/>
              </w:rPr>
              <w:t xml:space="preserve">Nature de la cause </w:t>
            </w:r>
            <w:r w:rsidR="004D2720">
              <w:rPr>
                <w:b/>
                <w:sz w:val="20"/>
                <w:szCs w:val="20"/>
                <w:u w:val="single"/>
                <w:lang w:val="fr-CA"/>
              </w:rPr>
              <w:t xml:space="preserve">- 35755 </w:t>
            </w:r>
            <w:r w:rsidRPr="00CC4D84">
              <w:rPr>
                <w:b/>
                <w:sz w:val="20"/>
                <w:szCs w:val="20"/>
                <w:u w:val="single"/>
                <w:lang w:val="fr-CA"/>
              </w:rPr>
              <w:t>:</w:t>
            </w:r>
          </w:p>
          <w:p w:rsidR="00570496" w:rsidRPr="00C1697B" w:rsidRDefault="00570496" w:rsidP="00570496">
            <w:pPr>
              <w:widowControl w:val="0"/>
              <w:jc w:val="both"/>
              <w:rPr>
                <w:sz w:val="20"/>
                <w:szCs w:val="20"/>
                <w:lang w:val="fr-CA"/>
              </w:rPr>
            </w:pPr>
          </w:p>
          <w:p w:rsidR="00570496" w:rsidRPr="00C1697B" w:rsidRDefault="004D2720" w:rsidP="00570496">
            <w:pPr>
              <w:widowControl w:val="0"/>
              <w:jc w:val="both"/>
              <w:rPr>
                <w:sz w:val="20"/>
                <w:szCs w:val="20"/>
                <w:lang w:val="fr-CA"/>
              </w:rPr>
            </w:pPr>
            <w:r w:rsidRPr="00FA4D4D">
              <w:rPr>
                <w:i/>
                <w:sz w:val="20"/>
                <w:szCs w:val="20"/>
                <w:lang w:val="fr-CA"/>
              </w:rPr>
              <w:t>Charte canadienne des droits et libertés</w:t>
            </w:r>
            <w:r w:rsidRPr="00FA4D4D">
              <w:rPr>
                <w:sz w:val="20"/>
                <w:szCs w:val="20"/>
                <w:lang w:val="fr-CA"/>
              </w:rPr>
              <w:t xml:space="preserve"> - L’alinéa 130(1)</w:t>
            </w:r>
            <w:r w:rsidRPr="00FA4D4D">
              <w:rPr>
                <w:i/>
                <w:sz w:val="20"/>
                <w:szCs w:val="20"/>
                <w:lang w:val="fr-CA"/>
              </w:rPr>
              <w:t>a</w:t>
            </w:r>
            <w:r w:rsidRPr="00FA4D4D">
              <w:rPr>
                <w:sz w:val="20"/>
                <w:szCs w:val="20"/>
                <w:lang w:val="fr-CA"/>
              </w:rPr>
              <w:t xml:space="preserve">) de la </w:t>
            </w:r>
            <w:r w:rsidRPr="00FA4D4D">
              <w:rPr>
                <w:i/>
                <w:sz w:val="20"/>
                <w:szCs w:val="20"/>
                <w:lang w:val="fr-CA"/>
              </w:rPr>
              <w:t>Loi sur la défense nationale</w:t>
            </w:r>
            <w:r w:rsidRPr="00FA4D4D">
              <w:rPr>
                <w:sz w:val="20"/>
                <w:szCs w:val="20"/>
                <w:lang w:val="fr-CA"/>
              </w:rPr>
              <w:t xml:space="preserve"> viole-t-il l’art. 7 et l’al. 11</w:t>
            </w:r>
            <w:r w:rsidRPr="00FA4D4D">
              <w:rPr>
                <w:i/>
                <w:sz w:val="20"/>
                <w:szCs w:val="20"/>
                <w:lang w:val="fr-CA"/>
              </w:rPr>
              <w:t>f</w:t>
            </w:r>
            <w:r w:rsidRPr="00FA4D4D">
              <w:rPr>
                <w:sz w:val="20"/>
                <w:szCs w:val="20"/>
                <w:lang w:val="fr-CA"/>
              </w:rPr>
              <w:t xml:space="preserve">) de la </w:t>
            </w:r>
            <w:r w:rsidRPr="00FA4D4D">
              <w:rPr>
                <w:i/>
                <w:sz w:val="20"/>
                <w:szCs w:val="20"/>
                <w:lang w:val="fr-CA"/>
              </w:rPr>
              <w:t>Charte</w:t>
            </w:r>
            <w:r w:rsidRPr="00FA4D4D">
              <w:rPr>
                <w:sz w:val="20"/>
                <w:szCs w:val="20"/>
                <w:lang w:val="fr-CA"/>
              </w:rPr>
              <w:t>? - La doctrine du lien de connexité avec le service militaire s’applique-t-elle à l’al. 130(1)</w:t>
            </w:r>
            <w:r w:rsidRPr="00FA4D4D">
              <w:rPr>
                <w:i/>
                <w:sz w:val="20"/>
                <w:szCs w:val="20"/>
                <w:lang w:val="fr-CA"/>
              </w:rPr>
              <w:t>a</w:t>
            </w:r>
            <w:r w:rsidRPr="00FA4D4D">
              <w:rPr>
                <w:sz w:val="20"/>
                <w:szCs w:val="20"/>
                <w:lang w:val="fr-CA"/>
              </w:rPr>
              <w:t xml:space="preserve">) de la </w:t>
            </w:r>
            <w:r w:rsidRPr="00FA4D4D">
              <w:rPr>
                <w:i/>
                <w:sz w:val="20"/>
                <w:szCs w:val="20"/>
                <w:lang w:val="fr-CA"/>
              </w:rPr>
              <w:t>Loi sur la défense nationale</w:t>
            </w:r>
            <w:r w:rsidRPr="00FA4D4D">
              <w:rPr>
                <w:sz w:val="20"/>
                <w:szCs w:val="20"/>
                <w:lang w:val="fr-CA"/>
              </w:rPr>
              <w:t>? - L’alinéa 130(1)</w:t>
            </w:r>
            <w:r w:rsidRPr="00FA4D4D">
              <w:rPr>
                <w:i/>
                <w:sz w:val="20"/>
                <w:szCs w:val="20"/>
                <w:lang w:val="fr-CA"/>
              </w:rPr>
              <w:t>a</w:t>
            </w:r>
            <w:r w:rsidRPr="00FA4D4D">
              <w:rPr>
                <w:sz w:val="20"/>
                <w:szCs w:val="20"/>
                <w:lang w:val="fr-CA"/>
              </w:rPr>
              <w:t xml:space="preserve">) de la </w:t>
            </w:r>
            <w:r w:rsidRPr="00FA4D4D">
              <w:rPr>
                <w:i/>
                <w:sz w:val="20"/>
                <w:szCs w:val="20"/>
                <w:lang w:val="fr-CA"/>
              </w:rPr>
              <w:t>Loi sur la défense nationale</w:t>
            </w:r>
            <w:r w:rsidRPr="00FA4D4D">
              <w:rPr>
                <w:sz w:val="20"/>
                <w:szCs w:val="20"/>
                <w:lang w:val="fr-CA"/>
              </w:rPr>
              <w:t xml:space="preserve"> est-il constitutionnel?</w:t>
            </w:r>
          </w:p>
        </w:tc>
      </w:tr>
    </w:tbl>
    <w:p w:rsidR="00570496" w:rsidRDefault="00570496" w:rsidP="00570496">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D2720" w:rsidRPr="002A1430" w:rsidTr="00C6299D">
        <w:tc>
          <w:tcPr>
            <w:tcW w:w="4380" w:type="dxa"/>
            <w:tcMar>
              <w:left w:w="0" w:type="dxa"/>
              <w:right w:w="0" w:type="dxa"/>
            </w:tcMar>
          </w:tcPr>
          <w:p w:rsidR="004D2720" w:rsidRPr="00CC4D84" w:rsidRDefault="004D2720" w:rsidP="00C6299D">
            <w:pPr>
              <w:widowControl w:val="0"/>
              <w:jc w:val="both"/>
              <w:rPr>
                <w:b/>
                <w:sz w:val="20"/>
                <w:szCs w:val="20"/>
                <w:u w:val="single"/>
              </w:rPr>
            </w:pPr>
            <w:r w:rsidRPr="00CC4D84">
              <w:rPr>
                <w:b/>
                <w:sz w:val="20"/>
                <w:szCs w:val="20"/>
                <w:u w:val="single"/>
              </w:rPr>
              <w:t>Nature of the case</w:t>
            </w:r>
            <w:r>
              <w:rPr>
                <w:b/>
                <w:sz w:val="20"/>
                <w:szCs w:val="20"/>
                <w:u w:val="single"/>
              </w:rPr>
              <w:t xml:space="preserve"> - 35873</w:t>
            </w:r>
            <w:r w:rsidRPr="00CC4D84">
              <w:rPr>
                <w:b/>
                <w:sz w:val="20"/>
                <w:szCs w:val="20"/>
                <w:u w:val="single"/>
              </w:rPr>
              <w:t>:</w:t>
            </w:r>
          </w:p>
          <w:p w:rsidR="004D2720" w:rsidRPr="001A663B" w:rsidRDefault="004D2720" w:rsidP="00C6299D">
            <w:pPr>
              <w:widowControl w:val="0"/>
              <w:jc w:val="both"/>
              <w:rPr>
                <w:b/>
                <w:sz w:val="20"/>
                <w:szCs w:val="20"/>
              </w:rPr>
            </w:pPr>
          </w:p>
          <w:p w:rsidR="004D2720" w:rsidRPr="00C1697B" w:rsidRDefault="004D2720" w:rsidP="00C6299D">
            <w:pPr>
              <w:widowControl w:val="0"/>
              <w:jc w:val="both"/>
              <w:rPr>
                <w:b/>
                <w:sz w:val="20"/>
                <w:szCs w:val="20"/>
              </w:rPr>
            </w:pPr>
            <w:r w:rsidRPr="002155DC">
              <w:rPr>
                <w:i/>
                <w:sz w:val="20"/>
                <w:szCs w:val="20"/>
              </w:rPr>
              <w:t>Canadian Charter of Rights and Freedoms</w:t>
            </w:r>
            <w:r w:rsidRPr="002155DC">
              <w:rPr>
                <w:sz w:val="20"/>
                <w:szCs w:val="20"/>
              </w:rPr>
              <w:t xml:space="preserve"> - Whether s. 130(1)(a) of the </w:t>
            </w:r>
            <w:r w:rsidRPr="002155DC">
              <w:rPr>
                <w:i/>
                <w:sz w:val="20"/>
                <w:szCs w:val="20"/>
              </w:rPr>
              <w:t>National Defence Act</w:t>
            </w:r>
            <w:r w:rsidRPr="002155DC">
              <w:rPr>
                <w:sz w:val="20"/>
                <w:szCs w:val="20"/>
              </w:rPr>
              <w:t xml:space="preserve"> violates s. 7 and s. 11(f) of the </w:t>
            </w:r>
            <w:r w:rsidRPr="002155DC">
              <w:rPr>
                <w:i/>
                <w:sz w:val="20"/>
                <w:szCs w:val="20"/>
              </w:rPr>
              <w:t>Charter</w:t>
            </w:r>
            <w:r w:rsidRPr="002155DC">
              <w:rPr>
                <w:sz w:val="20"/>
                <w:szCs w:val="20"/>
              </w:rPr>
              <w:t xml:space="preserve"> - Whether the military nexus doctrine applies to s. 130(1)(a) of the </w:t>
            </w:r>
            <w:r w:rsidRPr="002155DC">
              <w:rPr>
                <w:i/>
                <w:sz w:val="20"/>
                <w:szCs w:val="20"/>
              </w:rPr>
              <w:t>National Defence Act</w:t>
            </w:r>
            <w:r w:rsidRPr="002155DC">
              <w:rPr>
                <w:sz w:val="20"/>
                <w:szCs w:val="20"/>
              </w:rPr>
              <w:t xml:space="preserve"> - Whether s. 130(1)(a) of the </w:t>
            </w:r>
            <w:r w:rsidRPr="002155DC">
              <w:rPr>
                <w:i/>
                <w:sz w:val="20"/>
                <w:szCs w:val="20"/>
              </w:rPr>
              <w:t>National Defence Act</w:t>
            </w:r>
            <w:r w:rsidRPr="002155DC">
              <w:rPr>
                <w:sz w:val="20"/>
                <w:szCs w:val="20"/>
              </w:rPr>
              <w:t xml:space="preserve"> is constitutional.</w:t>
            </w:r>
          </w:p>
        </w:tc>
        <w:tc>
          <w:tcPr>
            <w:tcW w:w="720" w:type="dxa"/>
            <w:tcMar>
              <w:left w:w="0" w:type="dxa"/>
              <w:right w:w="0" w:type="dxa"/>
            </w:tcMar>
          </w:tcPr>
          <w:p w:rsidR="004D2720" w:rsidRPr="00C1697B" w:rsidRDefault="004D2720" w:rsidP="00C6299D">
            <w:pPr>
              <w:widowControl w:val="0"/>
              <w:jc w:val="center"/>
              <w:rPr>
                <w:sz w:val="20"/>
                <w:szCs w:val="20"/>
              </w:rPr>
            </w:pPr>
          </w:p>
        </w:tc>
        <w:tc>
          <w:tcPr>
            <w:tcW w:w="4380" w:type="dxa"/>
            <w:tcMar>
              <w:left w:w="0" w:type="dxa"/>
              <w:right w:w="0" w:type="dxa"/>
            </w:tcMar>
          </w:tcPr>
          <w:p w:rsidR="004D2720" w:rsidRPr="00CC4D84" w:rsidRDefault="004D2720" w:rsidP="00C6299D">
            <w:pPr>
              <w:widowControl w:val="0"/>
              <w:jc w:val="both"/>
              <w:rPr>
                <w:b/>
                <w:sz w:val="20"/>
                <w:szCs w:val="20"/>
                <w:u w:val="single"/>
                <w:lang w:val="fr-CA"/>
              </w:rPr>
            </w:pPr>
            <w:r w:rsidRPr="00CC4D84">
              <w:rPr>
                <w:b/>
                <w:sz w:val="20"/>
                <w:szCs w:val="20"/>
                <w:u w:val="single"/>
                <w:lang w:val="fr-CA"/>
              </w:rPr>
              <w:t xml:space="preserve">Nature de la cause </w:t>
            </w:r>
            <w:r>
              <w:rPr>
                <w:b/>
                <w:sz w:val="20"/>
                <w:szCs w:val="20"/>
                <w:u w:val="single"/>
                <w:lang w:val="fr-CA"/>
              </w:rPr>
              <w:t xml:space="preserve">- 35873 </w:t>
            </w:r>
            <w:r w:rsidRPr="00CC4D84">
              <w:rPr>
                <w:b/>
                <w:sz w:val="20"/>
                <w:szCs w:val="20"/>
                <w:u w:val="single"/>
                <w:lang w:val="fr-CA"/>
              </w:rPr>
              <w:t>:</w:t>
            </w:r>
          </w:p>
          <w:p w:rsidR="004D2720" w:rsidRPr="00C1697B" w:rsidRDefault="004D2720" w:rsidP="00C6299D">
            <w:pPr>
              <w:widowControl w:val="0"/>
              <w:jc w:val="both"/>
              <w:rPr>
                <w:sz w:val="20"/>
                <w:szCs w:val="20"/>
                <w:lang w:val="fr-CA"/>
              </w:rPr>
            </w:pPr>
          </w:p>
          <w:p w:rsidR="004D2720" w:rsidRPr="00C1697B" w:rsidRDefault="004D2720" w:rsidP="00C6299D">
            <w:pPr>
              <w:widowControl w:val="0"/>
              <w:jc w:val="both"/>
              <w:rPr>
                <w:sz w:val="20"/>
                <w:szCs w:val="20"/>
                <w:lang w:val="fr-CA"/>
              </w:rPr>
            </w:pPr>
            <w:r w:rsidRPr="00134D0A">
              <w:rPr>
                <w:i/>
                <w:sz w:val="20"/>
                <w:szCs w:val="20"/>
                <w:lang w:val="fr-CA"/>
              </w:rPr>
              <w:t xml:space="preserve">Charte canadienne des droits et libertés </w:t>
            </w:r>
            <w:r w:rsidRPr="00134D0A">
              <w:rPr>
                <w:sz w:val="20"/>
                <w:szCs w:val="20"/>
                <w:lang w:val="fr-CA"/>
              </w:rPr>
              <w:t>- L’alinéa 130(1)</w:t>
            </w:r>
            <w:r w:rsidRPr="00134D0A">
              <w:rPr>
                <w:i/>
                <w:sz w:val="20"/>
                <w:szCs w:val="20"/>
                <w:lang w:val="fr-CA"/>
              </w:rPr>
              <w:t>a</w:t>
            </w:r>
            <w:r w:rsidRPr="00134D0A">
              <w:rPr>
                <w:sz w:val="20"/>
                <w:szCs w:val="20"/>
                <w:lang w:val="fr-CA"/>
              </w:rPr>
              <w:t xml:space="preserve">) de la </w:t>
            </w:r>
            <w:r w:rsidRPr="00134D0A">
              <w:rPr>
                <w:i/>
                <w:sz w:val="20"/>
                <w:szCs w:val="20"/>
                <w:lang w:val="fr-CA"/>
              </w:rPr>
              <w:t>Loi sur la défense nationale</w:t>
            </w:r>
            <w:r w:rsidRPr="00134D0A">
              <w:rPr>
                <w:sz w:val="20"/>
                <w:szCs w:val="20"/>
                <w:lang w:val="fr-CA"/>
              </w:rPr>
              <w:t xml:space="preserve"> viole-t-il l’art. 7 et l’al. 11</w:t>
            </w:r>
            <w:r w:rsidRPr="00134D0A">
              <w:rPr>
                <w:i/>
                <w:sz w:val="20"/>
                <w:szCs w:val="20"/>
                <w:lang w:val="fr-CA"/>
              </w:rPr>
              <w:t>f</w:t>
            </w:r>
            <w:r w:rsidRPr="00134D0A">
              <w:rPr>
                <w:sz w:val="20"/>
                <w:szCs w:val="20"/>
                <w:lang w:val="fr-CA"/>
              </w:rPr>
              <w:t xml:space="preserve">) de la </w:t>
            </w:r>
            <w:r w:rsidRPr="00134D0A">
              <w:rPr>
                <w:i/>
                <w:sz w:val="20"/>
                <w:szCs w:val="20"/>
                <w:lang w:val="fr-CA"/>
              </w:rPr>
              <w:t>Charte</w:t>
            </w:r>
            <w:r w:rsidRPr="00134D0A">
              <w:rPr>
                <w:sz w:val="20"/>
                <w:szCs w:val="20"/>
                <w:lang w:val="fr-CA"/>
              </w:rPr>
              <w:t>? - La doctrine du lien de connexité avec le service militaire s’applique-t-elle à l’al. 130(1)</w:t>
            </w:r>
            <w:r w:rsidRPr="00134D0A">
              <w:rPr>
                <w:i/>
                <w:sz w:val="20"/>
                <w:szCs w:val="20"/>
                <w:lang w:val="fr-CA"/>
              </w:rPr>
              <w:t>a</w:t>
            </w:r>
            <w:r w:rsidRPr="00134D0A">
              <w:rPr>
                <w:sz w:val="20"/>
                <w:szCs w:val="20"/>
                <w:lang w:val="fr-CA"/>
              </w:rPr>
              <w:t xml:space="preserve">) de la </w:t>
            </w:r>
            <w:r w:rsidRPr="00134D0A">
              <w:rPr>
                <w:i/>
                <w:sz w:val="20"/>
                <w:szCs w:val="20"/>
                <w:lang w:val="fr-CA"/>
              </w:rPr>
              <w:t>Loi sur la défense nationale</w:t>
            </w:r>
            <w:r w:rsidRPr="00134D0A">
              <w:rPr>
                <w:sz w:val="20"/>
                <w:szCs w:val="20"/>
                <w:lang w:val="fr-CA"/>
              </w:rPr>
              <w:t>? - L’alinéa 130(1)</w:t>
            </w:r>
            <w:r w:rsidRPr="00134D0A">
              <w:rPr>
                <w:i/>
                <w:sz w:val="20"/>
                <w:szCs w:val="20"/>
                <w:lang w:val="fr-CA"/>
              </w:rPr>
              <w:t>a</w:t>
            </w:r>
            <w:r w:rsidRPr="00134D0A">
              <w:rPr>
                <w:sz w:val="20"/>
                <w:szCs w:val="20"/>
                <w:lang w:val="fr-CA"/>
              </w:rPr>
              <w:t xml:space="preserve">) de la </w:t>
            </w:r>
            <w:r w:rsidRPr="00134D0A">
              <w:rPr>
                <w:i/>
                <w:sz w:val="20"/>
                <w:szCs w:val="20"/>
                <w:lang w:val="fr-CA"/>
              </w:rPr>
              <w:t>Loi sur la défense nationale</w:t>
            </w:r>
            <w:r w:rsidRPr="00134D0A">
              <w:rPr>
                <w:sz w:val="20"/>
                <w:szCs w:val="20"/>
                <w:lang w:val="fr-CA"/>
              </w:rPr>
              <w:t xml:space="preserve"> est-il constitutionnel?</w:t>
            </w:r>
          </w:p>
        </w:tc>
      </w:tr>
    </w:tbl>
    <w:p w:rsidR="005D7D6B" w:rsidRDefault="005D7D6B" w:rsidP="00570496">
      <w:pPr>
        <w:widowControl w:val="0"/>
        <w:rPr>
          <w:sz w:val="20"/>
          <w:szCs w:val="20"/>
          <w:lang w:val="fr-CA"/>
        </w:rPr>
      </w:pPr>
    </w:p>
    <w:p w:rsidR="005D7D6B" w:rsidRDefault="005D7D6B">
      <w:pPr>
        <w:rPr>
          <w:sz w:val="20"/>
          <w:szCs w:val="20"/>
          <w:lang w:val="fr-CA"/>
        </w:rPr>
      </w:pPr>
      <w:r>
        <w:rPr>
          <w:sz w:val="20"/>
          <w:szCs w:val="20"/>
          <w:lang w:val="fr-CA"/>
        </w:rPr>
        <w:br w:type="page"/>
      </w: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570496" w:rsidRPr="002A1430" w:rsidTr="00570496">
        <w:tc>
          <w:tcPr>
            <w:tcW w:w="4380" w:type="dxa"/>
            <w:tcMar>
              <w:left w:w="0" w:type="dxa"/>
              <w:right w:w="0" w:type="dxa"/>
            </w:tcMar>
          </w:tcPr>
          <w:p w:rsidR="00570496" w:rsidRPr="00CC4D84" w:rsidRDefault="00570496" w:rsidP="00570496">
            <w:pPr>
              <w:widowControl w:val="0"/>
              <w:jc w:val="both"/>
              <w:rPr>
                <w:b/>
                <w:sz w:val="20"/>
                <w:szCs w:val="20"/>
                <w:u w:val="single"/>
              </w:rPr>
            </w:pPr>
            <w:r w:rsidRPr="00CC4D84">
              <w:rPr>
                <w:b/>
                <w:sz w:val="20"/>
                <w:szCs w:val="20"/>
                <w:u w:val="single"/>
              </w:rPr>
              <w:t>Nature of the case</w:t>
            </w:r>
            <w:r w:rsidR="004D2720">
              <w:rPr>
                <w:b/>
                <w:sz w:val="20"/>
                <w:szCs w:val="20"/>
                <w:u w:val="single"/>
              </w:rPr>
              <w:t xml:space="preserve"> - 35946 </w:t>
            </w:r>
            <w:r w:rsidRPr="00CC4D84">
              <w:rPr>
                <w:b/>
                <w:sz w:val="20"/>
                <w:szCs w:val="20"/>
                <w:u w:val="single"/>
              </w:rPr>
              <w:t>:</w:t>
            </w:r>
          </w:p>
          <w:p w:rsidR="00570496" w:rsidRPr="001A663B" w:rsidRDefault="00570496" w:rsidP="00570496">
            <w:pPr>
              <w:widowControl w:val="0"/>
              <w:jc w:val="both"/>
              <w:rPr>
                <w:b/>
                <w:sz w:val="20"/>
                <w:szCs w:val="20"/>
              </w:rPr>
            </w:pPr>
          </w:p>
          <w:p w:rsidR="00570496" w:rsidRPr="00C1697B" w:rsidRDefault="004D2720" w:rsidP="00570496">
            <w:pPr>
              <w:widowControl w:val="0"/>
              <w:jc w:val="both"/>
              <w:rPr>
                <w:b/>
                <w:sz w:val="20"/>
                <w:szCs w:val="20"/>
              </w:rPr>
            </w:pPr>
            <w:r w:rsidRPr="00445629">
              <w:rPr>
                <w:i/>
                <w:sz w:val="20"/>
                <w:szCs w:val="20"/>
              </w:rPr>
              <w:t>Canadian Charter of Rights and Freedoms</w:t>
            </w:r>
            <w:r w:rsidRPr="00445629">
              <w:rPr>
                <w:sz w:val="20"/>
                <w:szCs w:val="20"/>
              </w:rPr>
              <w:t xml:space="preserve"> - Military offences - Whether ss. 117(</w:t>
            </w:r>
            <w:r w:rsidRPr="00445629">
              <w:rPr>
                <w:i/>
                <w:sz w:val="20"/>
                <w:szCs w:val="20"/>
              </w:rPr>
              <w:t>f</w:t>
            </w:r>
            <w:r w:rsidRPr="00445629">
              <w:rPr>
                <w:sz w:val="20"/>
                <w:szCs w:val="20"/>
              </w:rPr>
              <w:t>) and 130(1)(</w:t>
            </w:r>
            <w:r w:rsidRPr="00445629">
              <w:rPr>
                <w:i/>
                <w:sz w:val="20"/>
                <w:szCs w:val="20"/>
              </w:rPr>
              <w:t>a</w:t>
            </w:r>
            <w:r w:rsidRPr="00445629">
              <w:rPr>
                <w:sz w:val="20"/>
                <w:szCs w:val="20"/>
              </w:rPr>
              <w:t xml:space="preserve">) of </w:t>
            </w:r>
            <w:r w:rsidRPr="00445629">
              <w:rPr>
                <w:i/>
                <w:iCs/>
                <w:sz w:val="20"/>
                <w:szCs w:val="20"/>
              </w:rPr>
              <w:t>National Defence Act</w:t>
            </w:r>
            <w:r w:rsidRPr="00445629">
              <w:rPr>
                <w:iCs/>
                <w:sz w:val="20"/>
                <w:szCs w:val="20"/>
              </w:rPr>
              <w:t xml:space="preserve">, </w:t>
            </w:r>
            <w:r w:rsidRPr="00445629">
              <w:rPr>
                <w:sz w:val="20"/>
                <w:szCs w:val="20"/>
              </w:rPr>
              <w:t xml:space="preserve">R.S.C. 1985, c. N-5 (“NDA”), contrary to s. 7 of </w:t>
            </w:r>
            <w:r w:rsidRPr="00445629">
              <w:rPr>
                <w:i/>
                <w:sz w:val="20"/>
                <w:szCs w:val="20"/>
              </w:rPr>
              <w:t>Canadian Charter of Rights and Freedoms</w:t>
            </w:r>
            <w:r w:rsidRPr="00445629">
              <w:rPr>
                <w:sz w:val="20"/>
                <w:szCs w:val="20"/>
              </w:rPr>
              <w:t>.</w:t>
            </w:r>
          </w:p>
        </w:tc>
        <w:tc>
          <w:tcPr>
            <w:tcW w:w="720" w:type="dxa"/>
            <w:tcMar>
              <w:left w:w="0" w:type="dxa"/>
              <w:right w:w="0" w:type="dxa"/>
            </w:tcMar>
          </w:tcPr>
          <w:p w:rsidR="00570496" w:rsidRPr="00C1697B" w:rsidRDefault="00570496" w:rsidP="00570496">
            <w:pPr>
              <w:widowControl w:val="0"/>
              <w:jc w:val="center"/>
              <w:rPr>
                <w:sz w:val="20"/>
                <w:szCs w:val="20"/>
              </w:rPr>
            </w:pPr>
          </w:p>
        </w:tc>
        <w:tc>
          <w:tcPr>
            <w:tcW w:w="4380" w:type="dxa"/>
            <w:tcMar>
              <w:left w:w="0" w:type="dxa"/>
              <w:right w:w="0" w:type="dxa"/>
            </w:tcMar>
          </w:tcPr>
          <w:p w:rsidR="00570496" w:rsidRPr="00CC4D84" w:rsidRDefault="00570496" w:rsidP="00570496">
            <w:pPr>
              <w:widowControl w:val="0"/>
              <w:jc w:val="both"/>
              <w:rPr>
                <w:b/>
                <w:sz w:val="20"/>
                <w:szCs w:val="20"/>
                <w:u w:val="single"/>
                <w:lang w:val="fr-CA"/>
              </w:rPr>
            </w:pPr>
            <w:r w:rsidRPr="00CC4D84">
              <w:rPr>
                <w:b/>
                <w:sz w:val="20"/>
                <w:szCs w:val="20"/>
                <w:u w:val="single"/>
                <w:lang w:val="fr-CA"/>
              </w:rPr>
              <w:t xml:space="preserve">Nature de la cause </w:t>
            </w:r>
            <w:r w:rsidR="004D2720">
              <w:rPr>
                <w:b/>
                <w:sz w:val="20"/>
                <w:szCs w:val="20"/>
                <w:u w:val="single"/>
                <w:lang w:val="fr-CA"/>
              </w:rPr>
              <w:t xml:space="preserve">- 35946 </w:t>
            </w:r>
            <w:r w:rsidRPr="00CC4D84">
              <w:rPr>
                <w:b/>
                <w:sz w:val="20"/>
                <w:szCs w:val="20"/>
                <w:u w:val="single"/>
                <w:lang w:val="fr-CA"/>
              </w:rPr>
              <w:t>:</w:t>
            </w:r>
          </w:p>
          <w:p w:rsidR="00570496" w:rsidRPr="00C1697B" w:rsidRDefault="00570496" w:rsidP="00570496">
            <w:pPr>
              <w:widowControl w:val="0"/>
              <w:jc w:val="both"/>
              <w:rPr>
                <w:sz w:val="20"/>
                <w:szCs w:val="20"/>
                <w:lang w:val="fr-CA"/>
              </w:rPr>
            </w:pPr>
          </w:p>
          <w:p w:rsidR="00570496" w:rsidRPr="00C1697B" w:rsidRDefault="004D2720" w:rsidP="00570496">
            <w:pPr>
              <w:widowControl w:val="0"/>
              <w:jc w:val="both"/>
              <w:rPr>
                <w:sz w:val="20"/>
                <w:szCs w:val="20"/>
                <w:lang w:val="fr-CA"/>
              </w:rPr>
            </w:pPr>
            <w:r w:rsidRPr="00A94515">
              <w:rPr>
                <w:i/>
                <w:sz w:val="20"/>
                <w:szCs w:val="20"/>
                <w:lang w:val="fr-CA"/>
              </w:rPr>
              <w:t>Charte canadienne des droits et libertés</w:t>
            </w:r>
            <w:r w:rsidRPr="00A94515">
              <w:rPr>
                <w:sz w:val="20"/>
                <w:szCs w:val="20"/>
                <w:lang w:val="fr-CA"/>
              </w:rPr>
              <w:t xml:space="preserve"> - Infractions d’ordre militaire - Les alinéas 117</w:t>
            </w:r>
            <w:r w:rsidRPr="00A94515">
              <w:rPr>
                <w:i/>
                <w:sz w:val="20"/>
                <w:szCs w:val="20"/>
                <w:lang w:val="fr-CA"/>
              </w:rPr>
              <w:t>f</w:t>
            </w:r>
            <w:r w:rsidRPr="00A94515">
              <w:rPr>
                <w:sz w:val="20"/>
                <w:szCs w:val="20"/>
                <w:lang w:val="fr-CA"/>
              </w:rPr>
              <w:t>) et 130(1)</w:t>
            </w:r>
            <w:r w:rsidRPr="00A94515">
              <w:rPr>
                <w:i/>
                <w:sz w:val="20"/>
                <w:szCs w:val="20"/>
                <w:lang w:val="fr-CA"/>
              </w:rPr>
              <w:t>a</w:t>
            </w:r>
            <w:r w:rsidRPr="00A94515">
              <w:rPr>
                <w:sz w:val="20"/>
                <w:szCs w:val="20"/>
                <w:lang w:val="fr-CA"/>
              </w:rPr>
              <w:t xml:space="preserve">) de la </w:t>
            </w:r>
            <w:r w:rsidRPr="00A94515">
              <w:rPr>
                <w:i/>
                <w:iCs/>
                <w:sz w:val="20"/>
                <w:szCs w:val="20"/>
                <w:lang w:val="fr-CA"/>
              </w:rPr>
              <w:t>Loi sur la défense nationale</w:t>
            </w:r>
            <w:r w:rsidRPr="00A94515">
              <w:rPr>
                <w:iCs/>
                <w:sz w:val="20"/>
                <w:szCs w:val="20"/>
                <w:lang w:val="fr-CA"/>
              </w:rPr>
              <w:t xml:space="preserve">, </w:t>
            </w:r>
            <w:r w:rsidRPr="00A94515">
              <w:rPr>
                <w:sz w:val="20"/>
                <w:szCs w:val="20"/>
                <w:lang w:val="fr-CA"/>
              </w:rPr>
              <w:t xml:space="preserve">L.R.C. 1985, c. N-5 (« LDN ») violent-ils l’art. 7 de la </w:t>
            </w:r>
            <w:r w:rsidRPr="00A94515">
              <w:rPr>
                <w:i/>
                <w:iCs/>
                <w:sz w:val="20"/>
                <w:szCs w:val="20"/>
                <w:lang w:val="fr-CA"/>
              </w:rPr>
              <w:t>Charte canadienne des droits et libertés</w:t>
            </w:r>
            <w:r w:rsidRPr="00A94515">
              <w:rPr>
                <w:sz w:val="20"/>
                <w:szCs w:val="20"/>
                <w:lang w:val="fr-CA"/>
              </w:rPr>
              <w:t>?</w:t>
            </w:r>
          </w:p>
        </w:tc>
      </w:tr>
    </w:tbl>
    <w:p w:rsidR="00570496" w:rsidRDefault="00570496" w:rsidP="00570496">
      <w:pPr>
        <w:widowControl w:val="0"/>
        <w:rPr>
          <w:sz w:val="20"/>
          <w:szCs w:val="20"/>
          <w:lang w:val="fr-CA"/>
        </w:rPr>
      </w:pPr>
    </w:p>
    <w:p w:rsidR="00570496" w:rsidRDefault="005B3B50" w:rsidP="00570496">
      <w:pPr>
        <w:widowControl w:val="0"/>
        <w:rPr>
          <w:sz w:val="20"/>
          <w:szCs w:val="20"/>
        </w:rPr>
      </w:pPr>
      <w:r>
        <w:rPr>
          <w:sz w:val="20"/>
          <w:szCs w:val="20"/>
          <w:lang w:val="fr-CA"/>
        </w:rPr>
        <w:pict>
          <v:rect id="_x0000_i1077" style="width:2in;height:1pt" o:hrpct="0" o:hralign="center" o:hrstd="t" o:hrnoshade="t" o:hr="t" fillcolor="black [3213]" stroked="f"/>
        </w:pict>
      </w:r>
    </w:p>
    <w:p w:rsidR="00570496" w:rsidRDefault="00570496" w:rsidP="00570496">
      <w:pPr>
        <w:widowControl w:val="0"/>
        <w:rPr>
          <w:sz w:val="20"/>
          <w:szCs w:val="20"/>
        </w:rPr>
      </w:pPr>
    </w:p>
    <w:p w:rsidR="00570496" w:rsidRPr="00570496" w:rsidRDefault="00570496" w:rsidP="00570496">
      <w:pPr>
        <w:widowControl w:val="0"/>
        <w:rPr>
          <w:sz w:val="20"/>
          <w:szCs w:val="20"/>
        </w:rPr>
      </w:pPr>
      <w:r w:rsidRPr="00570496">
        <w:rPr>
          <w:sz w:val="20"/>
          <w:szCs w:val="20"/>
        </w:rPr>
        <w:t>1</w:t>
      </w:r>
      <w:r>
        <w:rPr>
          <w:sz w:val="20"/>
          <w:szCs w:val="20"/>
        </w:rPr>
        <w:t>4</w:t>
      </w:r>
      <w:r w:rsidRPr="00570496">
        <w:rPr>
          <w:sz w:val="20"/>
          <w:szCs w:val="20"/>
        </w:rPr>
        <w:t>.05.2015</w:t>
      </w:r>
    </w:p>
    <w:p w:rsidR="00570496" w:rsidRDefault="00570496" w:rsidP="00570496">
      <w:pPr>
        <w:widowControl w:val="0"/>
        <w:rPr>
          <w:sz w:val="20"/>
          <w:szCs w:val="20"/>
        </w:rPr>
      </w:pPr>
    </w:p>
    <w:p w:rsidR="00570496" w:rsidRPr="005C722A" w:rsidRDefault="00570496" w:rsidP="00570496">
      <w:pPr>
        <w:ind w:left="720" w:hanging="720"/>
        <w:rPr>
          <w:sz w:val="20"/>
          <w:szCs w:val="20"/>
          <w:u w:val="single"/>
        </w:rPr>
      </w:pPr>
      <w:r w:rsidRPr="005C722A">
        <w:rPr>
          <w:sz w:val="20"/>
          <w:szCs w:val="20"/>
        </w:rPr>
        <w:t>Coram:</w:t>
      </w:r>
      <w:r w:rsidRPr="005C722A">
        <w:rPr>
          <w:sz w:val="20"/>
          <w:szCs w:val="20"/>
        </w:rPr>
        <w:tab/>
      </w:r>
      <w:r w:rsidRPr="005C722A">
        <w:rPr>
          <w:sz w:val="20"/>
          <w:szCs w:val="20"/>
          <w:u w:val="single"/>
        </w:rPr>
        <w:t xml:space="preserve">McLachlin C.J. and Abella, </w:t>
      </w:r>
      <w:r>
        <w:rPr>
          <w:sz w:val="20"/>
          <w:szCs w:val="20"/>
          <w:u w:val="single"/>
        </w:rPr>
        <w:t xml:space="preserve">Rothstein, Cromwell, </w:t>
      </w:r>
      <w:r w:rsidRPr="005C722A">
        <w:rPr>
          <w:sz w:val="20"/>
          <w:szCs w:val="20"/>
          <w:u w:val="single"/>
        </w:rPr>
        <w:t>Moldaver</w:t>
      </w:r>
      <w:r>
        <w:rPr>
          <w:sz w:val="20"/>
          <w:szCs w:val="20"/>
          <w:u w:val="single"/>
        </w:rPr>
        <w:t>,</w:t>
      </w:r>
      <w:r w:rsidRPr="005C722A">
        <w:rPr>
          <w:sz w:val="20"/>
          <w:szCs w:val="20"/>
          <w:u w:val="single"/>
        </w:rPr>
        <w:t xml:space="preserve"> </w:t>
      </w:r>
      <w:r>
        <w:rPr>
          <w:sz w:val="20"/>
          <w:szCs w:val="20"/>
          <w:u w:val="single"/>
        </w:rPr>
        <w:t xml:space="preserve">Karakatsanis, </w:t>
      </w:r>
      <w:r w:rsidRPr="005C722A">
        <w:rPr>
          <w:sz w:val="20"/>
          <w:szCs w:val="20"/>
          <w:u w:val="single"/>
        </w:rPr>
        <w:t>Wagner</w:t>
      </w:r>
      <w:r>
        <w:rPr>
          <w:sz w:val="20"/>
          <w:szCs w:val="20"/>
          <w:u w:val="single"/>
        </w:rPr>
        <w:t xml:space="preserve">, Gascon and Côté </w:t>
      </w:r>
      <w:r w:rsidRPr="005C722A">
        <w:rPr>
          <w:sz w:val="20"/>
          <w:szCs w:val="20"/>
          <w:u w:val="single"/>
        </w:rPr>
        <w:t>JJ.</w:t>
      </w:r>
    </w:p>
    <w:p w:rsidR="00570496" w:rsidRPr="005C722A" w:rsidRDefault="00570496" w:rsidP="00570496">
      <w:pPr>
        <w:ind w:left="1440" w:hanging="1440"/>
        <w:jc w:val="both"/>
        <w:rPr>
          <w:sz w:val="20"/>
          <w:szCs w:val="20"/>
          <w:u w:val="single"/>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570496" w:rsidRPr="00570496" w:rsidTr="00570496">
        <w:tc>
          <w:tcPr>
            <w:tcW w:w="4380" w:type="dxa"/>
            <w:tcMar>
              <w:left w:w="0" w:type="dxa"/>
              <w:right w:w="0" w:type="dxa"/>
            </w:tcMar>
          </w:tcPr>
          <w:p w:rsidR="00570496" w:rsidRPr="00570496" w:rsidRDefault="00757D85" w:rsidP="00570496">
            <w:pPr>
              <w:widowControl w:val="0"/>
              <w:rPr>
                <w:b/>
                <w:sz w:val="20"/>
                <w:szCs w:val="20"/>
              </w:rPr>
            </w:pPr>
            <w:r>
              <w:rPr>
                <w:b/>
                <w:sz w:val="20"/>
                <w:szCs w:val="20"/>
              </w:rPr>
              <w:t>David Pelham, Warden of the Bowden Institution et al.</w:t>
            </w:r>
            <w:r w:rsidR="00570496" w:rsidRPr="00570496">
              <w:rPr>
                <w:b/>
                <w:sz w:val="20"/>
                <w:szCs w:val="20"/>
              </w:rPr>
              <w:t xml:space="preserve"> </w:t>
            </w:r>
          </w:p>
          <w:p w:rsidR="00570496" w:rsidRPr="00570496" w:rsidRDefault="00570496" w:rsidP="00570496">
            <w:pPr>
              <w:widowControl w:val="0"/>
              <w:rPr>
                <w:b/>
                <w:sz w:val="20"/>
                <w:szCs w:val="20"/>
              </w:rPr>
            </w:pPr>
          </w:p>
          <w:p w:rsidR="00570496" w:rsidRPr="00570496" w:rsidRDefault="00570496" w:rsidP="00570496">
            <w:pPr>
              <w:widowControl w:val="0"/>
              <w:rPr>
                <w:b/>
                <w:sz w:val="20"/>
                <w:szCs w:val="20"/>
              </w:rPr>
            </w:pPr>
            <w:r w:rsidRPr="00570496">
              <w:rPr>
                <w:b/>
                <w:sz w:val="20"/>
                <w:szCs w:val="20"/>
              </w:rPr>
              <w:tab/>
              <w:t xml:space="preserve">v. </w:t>
            </w:r>
            <w:r w:rsidR="008350CE" w:rsidRPr="00232E7E">
              <w:rPr>
                <w:sz w:val="20"/>
                <w:szCs w:val="20"/>
              </w:rPr>
              <w:t>(</w:t>
            </w:r>
            <w:hyperlink r:id="rId86" w:history="1">
              <w:r w:rsidR="008350CE" w:rsidRPr="00232E7E">
                <w:rPr>
                  <w:rStyle w:val="Hyperlink"/>
                  <w:sz w:val="20"/>
                  <w:szCs w:val="20"/>
                </w:rPr>
                <w:t>36081</w:t>
              </w:r>
            </w:hyperlink>
            <w:r w:rsidR="008350CE" w:rsidRPr="00232E7E">
              <w:rPr>
                <w:sz w:val="20"/>
                <w:szCs w:val="20"/>
              </w:rPr>
              <w:t>)</w:t>
            </w:r>
          </w:p>
          <w:p w:rsidR="00570496" w:rsidRPr="00570496" w:rsidRDefault="00570496" w:rsidP="00570496">
            <w:pPr>
              <w:widowControl w:val="0"/>
              <w:rPr>
                <w:b/>
                <w:sz w:val="20"/>
                <w:szCs w:val="20"/>
              </w:rPr>
            </w:pPr>
          </w:p>
          <w:p w:rsidR="00570496" w:rsidRPr="00570496" w:rsidRDefault="00757D85" w:rsidP="00757D85">
            <w:pPr>
              <w:widowControl w:val="0"/>
              <w:rPr>
                <w:sz w:val="20"/>
                <w:szCs w:val="20"/>
              </w:rPr>
            </w:pPr>
            <w:r>
              <w:rPr>
                <w:b/>
                <w:sz w:val="20"/>
                <w:szCs w:val="20"/>
              </w:rPr>
              <w:t>Omar Ahmed Khadr</w:t>
            </w:r>
            <w:r w:rsidR="00570496" w:rsidRPr="00570496">
              <w:rPr>
                <w:b/>
                <w:sz w:val="20"/>
                <w:szCs w:val="20"/>
              </w:rPr>
              <w:t xml:space="preserve"> (</w:t>
            </w:r>
            <w:r>
              <w:rPr>
                <w:b/>
                <w:sz w:val="20"/>
                <w:szCs w:val="20"/>
              </w:rPr>
              <w:t>Alta</w:t>
            </w:r>
            <w:r w:rsidR="00570496" w:rsidRPr="00570496">
              <w:rPr>
                <w:b/>
                <w:sz w:val="20"/>
                <w:szCs w:val="20"/>
              </w:rPr>
              <w:t>.) (C</w:t>
            </w:r>
            <w:r w:rsidR="00570496">
              <w:rPr>
                <w:b/>
                <w:sz w:val="20"/>
                <w:szCs w:val="20"/>
              </w:rPr>
              <w:t>r</w:t>
            </w:r>
            <w:r w:rsidR="00570496" w:rsidRPr="00570496">
              <w:rPr>
                <w:b/>
                <w:sz w:val="20"/>
                <w:szCs w:val="20"/>
              </w:rPr>
              <w:t>i</w:t>
            </w:r>
            <w:r w:rsidR="00570496">
              <w:rPr>
                <w:b/>
                <w:sz w:val="20"/>
                <w:szCs w:val="20"/>
              </w:rPr>
              <w:t>m</w:t>
            </w:r>
            <w:r w:rsidR="00570496" w:rsidRPr="00570496">
              <w:rPr>
                <w:b/>
                <w:sz w:val="20"/>
                <w:szCs w:val="20"/>
              </w:rPr>
              <w:t>i</w:t>
            </w:r>
            <w:r w:rsidR="00570496">
              <w:rPr>
                <w:b/>
                <w:sz w:val="20"/>
                <w:szCs w:val="20"/>
              </w:rPr>
              <w:t>na</w:t>
            </w:r>
            <w:r w:rsidR="00570496" w:rsidRPr="00570496">
              <w:rPr>
                <w:b/>
                <w:sz w:val="20"/>
                <w:szCs w:val="20"/>
              </w:rPr>
              <w:t>l) (</w:t>
            </w:r>
            <w:r w:rsidR="00570496">
              <w:rPr>
                <w:b/>
                <w:sz w:val="20"/>
                <w:szCs w:val="20"/>
              </w:rPr>
              <w:t>By Leave</w:t>
            </w:r>
            <w:r w:rsidR="00570496" w:rsidRPr="00570496">
              <w:rPr>
                <w:b/>
                <w:sz w:val="20"/>
                <w:szCs w:val="20"/>
              </w:rPr>
              <w:t>)</w:t>
            </w:r>
            <w:r w:rsidR="00570496" w:rsidRPr="00570496">
              <w:rPr>
                <w:sz w:val="20"/>
                <w:szCs w:val="20"/>
              </w:rPr>
              <w:t xml:space="preserve"> </w:t>
            </w:r>
          </w:p>
        </w:tc>
        <w:tc>
          <w:tcPr>
            <w:tcW w:w="720" w:type="dxa"/>
            <w:tcMar>
              <w:left w:w="0" w:type="dxa"/>
              <w:right w:w="0" w:type="dxa"/>
            </w:tcMar>
          </w:tcPr>
          <w:p w:rsidR="00570496" w:rsidRPr="00570496" w:rsidRDefault="00570496" w:rsidP="00570496">
            <w:pPr>
              <w:widowControl w:val="0"/>
              <w:jc w:val="center"/>
              <w:rPr>
                <w:sz w:val="20"/>
                <w:szCs w:val="20"/>
              </w:rPr>
            </w:pPr>
          </w:p>
        </w:tc>
        <w:tc>
          <w:tcPr>
            <w:tcW w:w="4380" w:type="dxa"/>
            <w:tcMar>
              <w:left w:w="0" w:type="dxa"/>
              <w:right w:w="0" w:type="dxa"/>
            </w:tcMar>
          </w:tcPr>
          <w:p w:rsidR="006E75E8" w:rsidRPr="007740A5" w:rsidRDefault="006E75E8" w:rsidP="006E75E8">
            <w:pPr>
              <w:jc w:val="both"/>
              <w:rPr>
                <w:sz w:val="20"/>
                <w:szCs w:val="20"/>
              </w:rPr>
            </w:pPr>
            <w:r w:rsidRPr="007740A5">
              <w:rPr>
                <w:sz w:val="20"/>
                <w:szCs w:val="20"/>
              </w:rPr>
              <w:t>Sharlene Telles-Langdon</w:t>
            </w:r>
            <w:r>
              <w:rPr>
                <w:sz w:val="20"/>
                <w:szCs w:val="20"/>
              </w:rPr>
              <w:t xml:space="preserve"> and </w:t>
            </w:r>
            <w:r w:rsidRPr="007740A5">
              <w:rPr>
                <w:sz w:val="20"/>
                <w:szCs w:val="20"/>
                <w:lang w:val="en-US"/>
              </w:rPr>
              <w:t>Michael Taylor</w:t>
            </w:r>
            <w:r>
              <w:rPr>
                <w:sz w:val="20"/>
                <w:szCs w:val="20"/>
                <w:lang w:val="en-US"/>
              </w:rPr>
              <w:t xml:space="preserve"> f</w:t>
            </w:r>
            <w:r w:rsidRPr="007740A5">
              <w:rPr>
                <w:sz w:val="20"/>
                <w:szCs w:val="20"/>
              </w:rPr>
              <w:t xml:space="preserve">or the </w:t>
            </w:r>
            <w:r>
              <w:rPr>
                <w:sz w:val="20"/>
                <w:szCs w:val="20"/>
              </w:rPr>
              <w:t>a</w:t>
            </w:r>
            <w:r w:rsidRPr="007740A5">
              <w:rPr>
                <w:sz w:val="20"/>
                <w:szCs w:val="20"/>
              </w:rPr>
              <w:t>ppellants</w:t>
            </w:r>
            <w:r>
              <w:rPr>
                <w:sz w:val="20"/>
                <w:szCs w:val="20"/>
              </w:rPr>
              <w:t xml:space="preserve"> </w:t>
            </w:r>
            <w:r w:rsidRPr="007740A5">
              <w:rPr>
                <w:sz w:val="20"/>
                <w:szCs w:val="20"/>
              </w:rPr>
              <w:t>David Pelham, Warden of the Bowden Institution, et al.</w:t>
            </w:r>
          </w:p>
          <w:p w:rsidR="006E75E8" w:rsidRPr="007740A5" w:rsidRDefault="006E75E8" w:rsidP="006E75E8">
            <w:pPr>
              <w:jc w:val="both"/>
              <w:rPr>
                <w:sz w:val="20"/>
                <w:szCs w:val="20"/>
              </w:rPr>
            </w:pPr>
          </w:p>
          <w:p w:rsidR="006E75E8" w:rsidRPr="007740A5" w:rsidRDefault="006E75E8" w:rsidP="006E75E8">
            <w:pPr>
              <w:jc w:val="both"/>
              <w:rPr>
                <w:sz w:val="20"/>
                <w:szCs w:val="20"/>
              </w:rPr>
            </w:pPr>
            <w:r w:rsidRPr="007740A5">
              <w:rPr>
                <w:sz w:val="20"/>
                <w:szCs w:val="20"/>
              </w:rPr>
              <w:t>Doreen C. Mueller</w:t>
            </w:r>
            <w:r>
              <w:rPr>
                <w:sz w:val="20"/>
                <w:szCs w:val="20"/>
              </w:rPr>
              <w:t xml:space="preserve"> f</w:t>
            </w:r>
            <w:r w:rsidRPr="007740A5">
              <w:rPr>
                <w:sz w:val="20"/>
                <w:szCs w:val="20"/>
              </w:rPr>
              <w:t xml:space="preserve">or the </w:t>
            </w:r>
            <w:r>
              <w:rPr>
                <w:sz w:val="20"/>
                <w:szCs w:val="20"/>
              </w:rPr>
              <w:t>a</w:t>
            </w:r>
            <w:r w:rsidRPr="007740A5">
              <w:rPr>
                <w:sz w:val="20"/>
                <w:szCs w:val="20"/>
              </w:rPr>
              <w:t>ppellant</w:t>
            </w:r>
            <w:r>
              <w:rPr>
                <w:sz w:val="20"/>
                <w:szCs w:val="20"/>
              </w:rPr>
              <w:t xml:space="preserve"> </w:t>
            </w:r>
            <w:r w:rsidRPr="007740A5">
              <w:rPr>
                <w:sz w:val="20"/>
                <w:szCs w:val="20"/>
              </w:rPr>
              <w:t>Her Majesty the Queen in Right of Alberta</w:t>
            </w:r>
            <w:r>
              <w:rPr>
                <w:sz w:val="20"/>
                <w:szCs w:val="20"/>
              </w:rPr>
              <w:t>.</w:t>
            </w:r>
          </w:p>
          <w:p w:rsidR="006E75E8" w:rsidRPr="007740A5" w:rsidRDefault="006E75E8" w:rsidP="006E75E8">
            <w:pPr>
              <w:jc w:val="both"/>
              <w:rPr>
                <w:sz w:val="20"/>
                <w:szCs w:val="20"/>
                <w:lang w:val="en-US"/>
              </w:rPr>
            </w:pPr>
          </w:p>
          <w:p w:rsidR="006E75E8" w:rsidRDefault="006E75E8" w:rsidP="006E75E8">
            <w:pPr>
              <w:jc w:val="both"/>
              <w:rPr>
                <w:sz w:val="20"/>
                <w:szCs w:val="20"/>
              </w:rPr>
            </w:pPr>
            <w:r w:rsidRPr="007740A5">
              <w:rPr>
                <w:sz w:val="20"/>
                <w:szCs w:val="20"/>
              </w:rPr>
              <w:t>Nathan J. Whitling</w:t>
            </w:r>
            <w:r>
              <w:rPr>
                <w:sz w:val="20"/>
                <w:szCs w:val="20"/>
              </w:rPr>
              <w:t xml:space="preserve"> and </w:t>
            </w:r>
            <w:r w:rsidRPr="007740A5">
              <w:rPr>
                <w:sz w:val="20"/>
                <w:szCs w:val="20"/>
              </w:rPr>
              <w:t>Dennis Edney, Q.C.</w:t>
            </w:r>
            <w:r>
              <w:rPr>
                <w:sz w:val="20"/>
                <w:szCs w:val="20"/>
              </w:rPr>
              <w:t xml:space="preserve"> f</w:t>
            </w:r>
            <w:r w:rsidRPr="007740A5">
              <w:rPr>
                <w:sz w:val="20"/>
                <w:szCs w:val="20"/>
              </w:rPr>
              <w:t xml:space="preserve">or the </w:t>
            </w:r>
            <w:r>
              <w:rPr>
                <w:sz w:val="20"/>
                <w:szCs w:val="20"/>
              </w:rPr>
              <w:t>r</w:t>
            </w:r>
            <w:r w:rsidRPr="007740A5">
              <w:rPr>
                <w:sz w:val="20"/>
                <w:szCs w:val="20"/>
              </w:rPr>
              <w:t>espondent</w:t>
            </w:r>
            <w:r>
              <w:rPr>
                <w:sz w:val="20"/>
                <w:szCs w:val="20"/>
              </w:rPr>
              <w:t>.</w:t>
            </w:r>
          </w:p>
          <w:p w:rsidR="006E75E8" w:rsidRDefault="006E75E8" w:rsidP="006E75E8">
            <w:pPr>
              <w:jc w:val="both"/>
              <w:rPr>
                <w:sz w:val="20"/>
                <w:szCs w:val="20"/>
              </w:rPr>
            </w:pPr>
          </w:p>
          <w:p w:rsidR="006E75E8" w:rsidRPr="007740A5" w:rsidRDefault="006E75E8" w:rsidP="006E75E8">
            <w:pPr>
              <w:jc w:val="both"/>
              <w:rPr>
                <w:sz w:val="20"/>
                <w:szCs w:val="20"/>
              </w:rPr>
            </w:pPr>
            <w:r w:rsidRPr="007740A5">
              <w:rPr>
                <w:sz w:val="20"/>
                <w:szCs w:val="20"/>
              </w:rPr>
              <w:t>Fannie Lafontaine, François Larocque and David Taylor for the intervener Amnesty International Canada.</w:t>
            </w:r>
          </w:p>
          <w:p w:rsidR="006E75E8" w:rsidRPr="007740A5" w:rsidRDefault="006E75E8" w:rsidP="006E75E8">
            <w:pPr>
              <w:jc w:val="both"/>
              <w:rPr>
                <w:sz w:val="20"/>
                <w:szCs w:val="20"/>
              </w:rPr>
            </w:pPr>
          </w:p>
          <w:p w:rsidR="00570496" w:rsidRPr="00570496" w:rsidRDefault="006E75E8" w:rsidP="006E75E8">
            <w:pPr>
              <w:widowControl w:val="0"/>
              <w:jc w:val="both"/>
              <w:rPr>
                <w:sz w:val="20"/>
                <w:szCs w:val="20"/>
              </w:rPr>
            </w:pPr>
            <w:r w:rsidRPr="007740A5">
              <w:rPr>
                <w:sz w:val="20"/>
                <w:szCs w:val="20"/>
              </w:rPr>
              <w:t xml:space="preserve">Written </w:t>
            </w:r>
            <w:r>
              <w:rPr>
                <w:sz w:val="20"/>
                <w:szCs w:val="20"/>
              </w:rPr>
              <w:t>s</w:t>
            </w:r>
            <w:r w:rsidRPr="007740A5">
              <w:rPr>
                <w:sz w:val="20"/>
                <w:szCs w:val="20"/>
              </w:rPr>
              <w:t>ubmission</w:t>
            </w:r>
            <w:r>
              <w:rPr>
                <w:sz w:val="20"/>
                <w:szCs w:val="20"/>
              </w:rPr>
              <w:t xml:space="preserve"> only by</w:t>
            </w:r>
            <w:r w:rsidRPr="007740A5">
              <w:rPr>
                <w:sz w:val="20"/>
                <w:szCs w:val="20"/>
              </w:rPr>
              <w:t xml:space="preserve"> Jasmine T. Akbarali </w:t>
            </w:r>
            <w:r>
              <w:rPr>
                <w:sz w:val="20"/>
                <w:szCs w:val="20"/>
              </w:rPr>
              <w:t xml:space="preserve">and </w:t>
            </w:r>
            <w:r w:rsidRPr="007740A5">
              <w:rPr>
                <w:sz w:val="20"/>
                <w:szCs w:val="20"/>
              </w:rPr>
              <w:t>Gillian T. Hnatiw</w:t>
            </w:r>
            <w:r>
              <w:rPr>
                <w:sz w:val="20"/>
                <w:szCs w:val="20"/>
              </w:rPr>
              <w:t xml:space="preserve"> f</w:t>
            </w:r>
            <w:r w:rsidRPr="007740A5">
              <w:rPr>
                <w:sz w:val="20"/>
                <w:szCs w:val="20"/>
              </w:rPr>
              <w:t xml:space="preserve">or the </w:t>
            </w:r>
            <w:r>
              <w:rPr>
                <w:sz w:val="20"/>
                <w:szCs w:val="20"/>
              </w:rPr>
              <w:t>i</w:t>
            </w:r>
            <w:r w:rsidRPr="007740A5">
              <w:rPr>
                <w:sz w:val="20"/>
                <w:szCs w:val="20"/>
              </w:rPr>
              <w:t>ntervener</w:t>
            </w:r>
            <w:r>
              <w:rPr>
                <w:sz w:val="20"/>
                <w:szCs w:val="20"/>
              </w:rPr>
              <w:t xml:space="preserve"> </w:t>
            </w:r>
            <w:r w:rsidRPr="007740A5">
              <w:rPr>
                <w:sz w:val="20"/>
                <w:szCs w:val="20"/>
              </w:rPr>
              <w:t>Canadian Civil Liberties Association</w:t>
            </w:r>
            <w:r>
              <w:rPr>
                <w:sz w:val="20"/>
                <w:szCs w:val="20"/>
              </w:rPr>
              <w:t>.</w:t>
            </w:r>
          </w:p>
        </w:tc>
      </w:tr>
    </w:tbl>
    <w:p w:rsidR="00570496" w:rsidRPr="00570496" w:rsidRDefault="00570496" w:rsidP="00570496">
      <w:pPr>
        <w:widowControl w:val="0"/>
        <w:rPr>
          <w:sz w:val="20"/>
          <w:szCs w:val="20"/>
        </w:rPr>
      </w:pPr>
    </w:p>
    <w:p w:rsidR="008350CE" w:rsidRPr="00232E7E" w:rsidRDefault="008350CE" w:rsidP="008350CE">
      <w:pPr>
        <w:rPr>
          <w:b/>
          <w:sz w:val="20"/>
          <w:szCs w:val="20"/>
        </w:rPr>
      </w:pPr>
      <w:r w:rsidRPr="00232E7E">
        <w:rPr>
          <w:b/>
          <w:sz w:val="20"/>
          <w:szCs w:val="20"/>
        </w:rPr>
        <w:t>2015 SCC 26 / 2015 CSC 26</w:t>
      </w:r>
    </w:p>
    <w:p w:rsidR="008350CE" w:rsidRDefault="008350CE" w:rsidP="008350CE">
      <w:pPr>
        <w:widowControl w:val="0"/>
        <w:tabs>
          <w:tab w:val="left" w:pos="720"/>
          <w:tab w:val="left" w:pos="1440"/>
          <w:tab w:val="left" w:pos="2851"/>
          <w:tab w:val="left" w:pos="4320"/>
          <w:tab w:val="left" w:pos="10224"/>
          <w:tab w:val="left" w:pos="11376"/>
        </w:tabs>
        <w:rPr>
          <w:b/>
          <w:sz w:val="20"/>
          <w:szCs w:val="20"/>
        </w:rPr>
      </w:pPr>
    </w:p>
    <w:p w:rsidR="008350CE" w:rsidRPr="00232E7E" w:rsidRDefault="008350CE" w:rsidP="008350CE">
      <w:pPr>
        <w:widowControl w:val="0"/>
        <w:tabs>
          <w:tab w:val="left" w:pos="720"/>
          <w:tab w:val="left" w:pos="1440"/>
          <w:tab w:val="left" w:pos="2851"/>
          <w:tab w:val="left" w:pos="4320"/>
          <w:tab w:val="left" w:pos="10224"/>
          <w:tab w:val="left" w:pos="11376"/>
        </w:tabs>
        <w:rPr>
          <w:b/>
          <w:sz w:val="20"/>
          <w:szCs w:val="20"/>
        </w:rPr>
      </w:pPr>
      <w:r w:rsidRPr="00232E7E">
        <w:rPr>
          <w:b/>
          <w:sz w:val="20"/>
          <w:szCs w:val="20"/>
        </w:rPr>
        <w:t>DISMISSED WITH COSTS / REJETÉ AVEC DÉPENS</w:t>
      </w:r>
    </w:p>
    <w:p w:rsidR="00570496" w:rsidRDefault="00570496" w:rsidP="00570496"/>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8350CE" w:rsidRPr="002A1430" w:rsidTr="006A6EF8">
        <w:tc>
          <w:tcPr>
            <w:tcW w:w="4380" w:type="dxa"/>
            <w:tcMar>
              <w:left w:w="0" w:type="dxa"/>
              <w:right w:w="0" w:type="dxa"/>
            </w:tcMar>
          </w:tcPr>
          <w:p w:rsidR="008350CE" w:rsidRPr="00CC4D84" w:rsidRDefault="008350CE" w:rsidP="006A6EF8">
            <w:pPr>
              <w:widowControl w:val="0"/>
              <w:jc w:val="both"/>
              <w:rPr>
                <w:b/>
                <w:sz w:val="20"/>
                <w:szCs w:val="20"/>
                <w:u w:val="single"/>
              </w:rPr>
            </w:pPr>
            <w:r>
              <w:rPr>
                <w:b/>
                <w:sz w:val="20"/>
                <w:szCs w:val="20"/>
                <w:u w:val="single"/>
              </w:rPr>
              <w:t>JUDGMENT</w:t>
            </w:r>
            <w:r w:rsidRPr="00CC4D84">
              <w:rPr>
                <w:b/>
                <w:sz w:val="20"/>
                <w:szCs w:val="20"/>
                <w:u w:val="single"/>
              </w:rPr>
              <w:t>:</w:t>
            </w:r>
          </w:p>
          <w:p w:rsidR="008350CE" w:rsidRPr="001A663B" w:rsidRDefault="008350CE" w:rsidP="006A6EF8">
            <w:pPr>
              <w:widowControl w:val="0"/>
              <w:jc w:val="both"/>
              <w:rPr>
                <w:b/>
                <w:sz w:val="20"/>
                <w:szCs w:val="20"/>
              </w:rPr>
            </w:pPr>
          </w:p>
          <w:p w:rsidR="002A1430" w:rsidRPr="008F0B4D" w:rsidRDefault="002A1430" w:rsidP="002A1430">
            <w:pPr>
              <w:jc w:val="both"/>
              <w:rPr>
                <w:sz w:val="20"/>
                <w:szCs w:val="20"/>
              </w:rPr>
            </w:pPr>
            <w:r w:rsidRPr="008F0B4D">
              <w:rPr>
                <w:sz w:val="20"/>
                <w:szCs w:val="20"/>
              </w:rPr>
              <w:t xml:space="preserve">The appeal from the judgment of the Court of Appeal of Alberta (Edmonton), Number 1303-0267-AC, 2014 ABCA 225, dated July 8, 2014, was heard on May 14, 2015, and the Court on that day delivered the following judgment orally: </w:t>
            </w:r>
          </w:p>
          <w:p w:rsidR="002A1430" w:rsidRPr="008F0B4D" w:rsidRDefault="002A1430" w:rsidP="002A1430">
            <w:pPr>
              <w:jc w:val="both"/>
              <w:rPr>
                <w:sz w:val="20"/>
                <w:szCs w:val="20"/>
              </w:rPr>
            </w:pPr>
          </w:p>
          <w:p w:rsidR="002A1430" w:rsidRPr="008F0B4D" w:rsidRDefault="002A1430" w:rsidP="002A1430">
            <w:pPr>
              <w:jc w:val="both"/>
              <w:rPr>
                <w:smallCaps/>
                <w:sz w:val="20"/>
                <w:szCs w:val="20"/>
              </w:rPr>
            </w:pPr>
          </w:p>
          <w:p w:rsidR="002A1430" w:rsidRPr="008F0B4D" w:rsidRDefault="002A1430" w:rsidP="002A1430">
            <w:pPr>
              <w:jc w:val="both"/>
              <w:rPr>
                <w:sz w:val="20"/>
                <w:szCs w:val="20"/>
              </w:rPr>
            </w:pPr>
            <w:r w:rsidRPr="008F0B4D">
              <w:rPr>
                <w:smallCaps/>
                <w:sz w:val="20"/>
                <w:szCs w:val="20"/>
              </w:rPr>
              <w:t xml:space="preserve">The Chief Justice — </w:t>
            </w:r>
            <w:r w:rsidRPr="008F0B4D">
              <w:rPr>
                <w:sz w:val="20"/>
                <w:szCs w:val="20"/>
              </w:rPr>
              <w:t>The only issue on this appeal is what correctional facility Mr. Khadr should be placed in. This is a question of statutory interpretation. Simply put, if Mr. Khadr’s eight-year sentence is treated as a single global sentence for all the offences to which he pleaded guilty, the sentence is under the minimum for an adult sentence, with the result that s. 20(</w:t>
            </w:r>
            <w:r w:rsidRPr="008F0B4D">
              <w:rPr>
                <w:i/>
                <w:sz w:val="20"/>
                <w:szCs w:val="20"/>
              </w:rPr>
              <w:t>a</w:t>
            </w:r>
            <w:r w:rsidRPr="008F0B4D">
              <w:rPr>
                <w:sz w:val="20"/>
                <w:szCs w:val="20"/>
              </w:rPr>
              <w:t xml:space="preserve">)(ii) of the </w:t>
            </w:r>
            <w:r w:rsidRPr="008F0B4D">
              <w:rPr>
                <w:i/>
                <w:sz w:val="20"/>
                <w:szCs w:val="20"/>
              </w:rPr>
              <w:t>International Transfer of Offenders Act</w:t>
            </w:r>
            <w:r w:rsidRPr="008F0B4D">
              <w:rPr>
                <w:sz w:val="20"/>
                <w:szCs w:val="20"/>
              </w:rPr>
              <w:t>, S.C. 2004, c. 21 (“</w:t>
            </w:r>
            <w:r w:rsidRPr="008F0B4D">
              <w:rPr>
                <w:i/>
                <w:sz w:val="20"/>
                <w:szCs w:val="20"/>
              </w:rPr>
              <w:t>ITOA</w:t>
            </w:r>
            <w:r w:rsidRPr="008F0B4D">
              <w:rPr>
                <w:sz w:val="20"/>
                <w:szCs w:val="20"/>
              </w:rPr>
              <w:t xml:space="preserve">”), applies and his sentence is to be served in a provincial facility. </w:t>
            </w:r>
          </w:p>
          <w:p w:rsidR="002A1430" w:rsidRPr="008F0B4D" w:rsidRDefault="002A1430" w:rsidP="002A1430">
            <w:pPr>
              <w:jc w:val="both"/>
              <w:rPr>
                <w:sz w:val="20"/>
                <w:szCs w:val="20"/>
              </w:rPr>
            </w:pPr>
          </w:p>
          <w:p w:rsidR="002A1430" w:rsidRPr="008F0B4D" w:rsidRDefault="002A1430" w:rsidP="002A1430">
            <w:pPr>
              <w:jc w:val="both"/>
              <w:rPr>
                <w:sz w:val="20"/>
                <w:szCs w:val="20"/>
              </w:rPr>
            </w:pPr>
          </w:p>
          <w:p w:rsidR="002A1430" w:rsidRPr="008F0B4D" w:rsidRDefault="002A1430" w:rsidP="002A1430">
            <w:pPr>
              <w:jc w:val="both"/>
              <w:rPr>
                <w:sz w:val="20"/>
                <w:szCs w:val="20"/>
              </w:rPr>
            </w:pPr>
          </w:p>
          <w:p w:rsidR="002A1430" w:rsidRPr="008F0B4D" w:rsidRDefault="002A1430" w:rsidP="002A1430">
            <w:pPr>
              <w:jc w:val="both"/>
              <w:rPr>
                <w:sz w:val="20"/>
                <w:szCs w:val="20"/>
              </w:rPr>
            </w:pPr>
            <w:r w:rsidRPr="008F0B4D">
              <w:rPr>
                <w:sz w:val="20"/>
                <w:szCs w:val="20"/>
              </w:rPr>
              <w:t>On the submissions before us, we are of the view that a proper interpretation of the relevant legislation does not permit Mr. Khadr’s eight-year sentence to be treated as five distinct eight-year sentences to be served concurrently.  For the purposes of placement, whatever interpretation is taken of the provisions, s. 20(</w:t>
            </w:r>
            <w:r w:rsidRPr="008F0B4D">
              <w:rPr>
                <w:i/>
                <w:sz w:val="20"/>
                <w:szCs w:val="20"/>
              </w:rPr>
              <w:t>a</w:t>
            </w:r>
            <w:r w:rsidRPr="008F0B4D">
              <w:rPr>
                <w:sz w:val="20"/>
                <w:szCs w:val="20"/>
              </w:rPr>
              <w:t xml:space="preserve">) of the </w:t>
            </w:r>
            <w:r w:rsidRPr="008F0B4D">
              <w:rPr>
                <w:i/>
                <w:sz w:val="20"/>
                <w:szCs w:val="20"/>
              </w:rPr>
              <w:t>ITOA</w:t>
            </w:r>
            <w:r w:rsidRPr="008F0B4D">
              <w:rPr>
                <w:sz w:val="20"/>
                <w:szCs w:val="20"/>
              </w:rPr>
              <w:t xml:space="preserve"> applies in this case, with the result that placement should be in a provincial correctional facility.</w:t>
            </w:r>
          </w:p>
          <w:p w:rsidR="002A1430" w:rsidRPr="008F0B4D" w:rsidRDefault="002A1430" w:rsidP="002A1430">
            <w:pPr>
              <w:jc w:val="both"/>
              <w:rPr>
                <w:sz w:val="20"/>
                <w:szCs w:val="20"/>
              </w:rPr>
            </w:pPr>
          </w:p>
          <w:p w:rsidR="002A1430" w:rsidRDefault="002A1430" w:rsidP="002A1430">
            <w:pPr>
              <w:jc w:val="both"/>
              <w:rPr>
                <w:sz w:val="20"/>
                <w:szCs w:val="20"/>
              </w:rPr>
            </w:pPr>
          </w:p>
          <w:p w:rsidR="002A1430" w:rsidRPr="008F0B4D" w:rsidRDefault="002A1430" w:rsidP="002A1430">
            <w:pPr>
              <w:jc w:val="both"/>
              <w:rPr>
                <w:sz w:val="20"/>
                <w:szCs w:val="20"/>
              </w:rPr>
            </w:pPr>
          </w:p>
          <w:p w:rsidR="008350CE" w:rsidRPr="00C1697B" w:rsidRDefault="002A1430" w:rsidP="002A1430">
            <w:pPr>
              <w:jc w:val="both"/>
              <w:rPr>
                <w:b/>
                <w:sz w:val="20"/>
                <w:szCs w:val="20"/>
              </w:rPr>
            </w:pPr>
            <w:r w:rsidRPr="008F0B4D">
              <w:rPr>
                <w:sz w:val="20"/>
                <w:szCs w:val="20"/>
              </w:rPr>
              <w:t>Accordingly, we would dismiss the appeal with costs and confirm the order of the Alberta Court of Appeal that Mr. Khadr’s sentence is a youth sentence to be served in a provincial correctional facility for adults.</w:t>
            </w:r>
          </w:p>
        </w:tc>
        <w:tc>
          <w:tcPr>
            <w:tcW w:w="720" w:type="dxa"/>
            <w:tcMar>
              <w:left w:w="0" w:type="dxa"/>
              <w:right w:w="0" w:type="dxa"/>
            </w:tcMar>
          </w:tcPr>
          <w:p w:rsidR="008350CE" w:rsidRPr="00C1697B" w:rsidRDefault="008350CE" w:rsidP="006A6EF8">
            <w:pPr>
              <w:widowControl w:val="0"/>
              <w:jc w:val="center"/>
              <w:rPr>
                <w:sz w:val="20"/>
                <w:szCs w:val="20"/>
              </w:rPr>
            </w:pPr>
          </w:p>
        </w:tc>
        <w:tc>
          <w:tcPr>
            <w:tcW w:w="4380" w:type="dxa"/>
            <w:tcMar>
              <w:left w:w="0" w:type="dxa"/>
              <w:right w:w="0" w:type="dxa"/>
            </w:tcMar>
          </w:tcPr>
          <w:p w:rsidR="008350CE" w:rsidRPr="00CC4D84" w:rsidRDefault="008350CE" w:rsidP="006A6EF8">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8350CE" w:rsidRPr="00C1697B" w:rsidRDefault="008350CE" w:rsidP="006A6EF8">
            <w:pPr>
              <w:widowControl w:val="0"/>
              <w:jc w:val="both"/>
              <w:rPr>
                <w:sz w:val="20"/>
                <w:szCs w:val="20"/>
                <w:lang w:val="fr-CA"/>
              </w:rPr>
            </w:pPr>
          </w:p>
          <w:p w:rsidR="002A1430" w:rsidRPr="008F0B4D" w:rsidRDefault="002A1430" w:rsidP="002A1430">
            <w:pPr>
              <w:jc w:val="both"/>
              <w:rPr>
                <w:sz w:val="20"/>
                <w:szCs w:val="20"/>
                <w:lang w:val="fr-CA"/>
              </w:rPr>
            </w:pPr>
            <w:r w:rsidRPr="008F0B4D">
              <w:rPr>
                <w:sz w:val="20"/>
                <w:szCs w:val="20"/>
                <w:lang w:val="fr-CA"/>
              </w:rPr>
              <w:t>L’appel interjeté contre l’arrêt de la Cour d’appel de l’Alberta (Edmonton), numéro 1303-0267-AC, 2014 ABCA 225, daté du 8 juillet 2014, a été entendu le 14 mai 2015 et la Cour a prononcé oralement le même jour le jugement suivant :</w:t>
            </w:r>
          </w:p>
          <w:p w:rsidR="002A1430" w:rsidRPr="008F0B4D" w:rsidRDefault="002A1430" w:rsidP="002A1430">
            <w:pPr>
              <w:jc w:val="both"/>
              <w:rPr>
                <w:sz w:val="20"/>
                <w:szCs w:val="20"/>
                <w:lang w:val="fr-CA"/>
              </w:rPr>
            </w:pPr>
          </w:p>
          <w:p w:rsidR="002A1430" w:rsidRPr="008F0B4D" w:rsidRDefault="002A1430" w:rsidP="002A1430">
            <w:pPr>
              <w:jc w:val="both"/>
              <w:rPr>
                <w:smallCaps/>
                <w:sz w:val="20"/>
                <w:szCs w:val="20"/>
                <w:lang w:val="fr-CA"/>
              </w:rPr>
            </w:pPr>
            <w:r w:rsidRPr="008F0B4D">
              <w:rPr>
                <w:smallCaps/>
                <w:sz w:val="20"/>
                <w:szCs w:val="20"/>
                <w:lang w:val="fr-CA"/>
              </w:rPr>
              <w:t>[TRADUCTION]</w:t>
            </w:r>
          </w:p>
          <w:p w:rsidR="002A1430" w:rsidRPr="008F0B4D" w:rsidRDefault="002A1430" w:rsidP="002A1430">
            <w:pPr>
              <w:jc w:val="both"/>
              <w:rPr>
                <w:sz w:val="20"/>
                <w:szCs w:val="20"/>
                <w:lang w:val="fr-CA"/>
              </w:rPr>
            </w:pPr>
            <w:r w:rsidRPr="008F0B4D">
              <w:rPr>
                <w:smallCaps/>
                <w:sz w:val="20"/>
                <w:szCs w:val="20"/>
                <w:lang w:val="fr-CA"/>
              </w:rPr>
              <w:t>La Juge en chef</w:t>
            </w:r>
            <w:r w:rsidRPr="008F0B4D">
              <w:rPr>
                <w:sz w:val="20"/>
                <w:szCs w:val="20"/>
                <w:lang w:val="fr-CA"/>
              </w:rPr>
              <w:t xml:space="preserve"> </w:t>
            </w:r>
            <w:r w:rsidRPr="008F0B4D">
              <w:rPr>
                <w:rFonts w:cs="Times New Roman"/>
                <w:sz w:val="20"/>
                <w:szCs w:val="20"/>
                <w:lang w:val="fr-CA"/>
              </w:rPr>
              <w:t xml:space="preserve">— </w:t>
            </w:r>
            <w:r w:rsidRPr="008F0B4D">
              <w:rPr>
                <w:sz w:val="20"/>
                <w:szCs w:val="20"/>
                <w:lang w:val="fr-CA"/>
              </w:rPr>
              <w:t>La seule question en litige dans le présent appel est celle de l’établissement correctionnel où M. Khadr devrait être mis sous garde. C’est une question d’interprétation législative. En somme, si la peine de huit ans infligée à M. Khadr est traitée comme une seule peine globale pour l’ensemble des infractions pour lesquelles il a plaidé coupable, elle est en deçà du seuil minimal d’une peine pour adulte, de sorte que l’al. 20</w:t>
            </w:r>
            <w:r w:rsidRPr="008F0B4D">
              <w:rPr>
                <w:i/>
                <w:sz w:val="20"/>
                <w:szCs w:val="20"/>
                <w:lang w:val="fr-CA"/>
              </w:rPr>
              <w:t>a</w:t>
            </w:r>
            <w:r w:rsidRPr="008F0B4D">
              <w:rPr>
                <w:sz w:val="20"/>
                <w:szCs w:val="20"/>
                <w:lang w:val="fr-CA"/>
              </w:rPr>
              <w:t xml:space="preserve">)(ii) de la </w:t>
            </w:r>
            <w:r w:rsidRPr="008F0B4D">
              <w:rPr>
                <w:i/>
                <w:sz w:val="20"/>
                <w:szCs w:val="20"/>
                <w:lang w:val="fr-FR"/>
              </w:rPr>
              <w:t>Loi sur le transfèrement international des délinquants</w:t>
            </w:r>
            <w:r w:rsidRPr="008F0B4D">
              <w:rPr>
                <w:sz w:val="20"/>
                <w:szCs w:val="20"/>
                <w:lang w:val="fr-FR"/>
              </w:rPr>
              <w:t>, L.C. 2004, c. 21</w:t>
            </w:r>
            <w:r w:rsidRPr="008F0B4D">
              <w:rPr>
                <w:sz w:val="20"/>
                <w:szCs w:val="20"/>
                <w:lang w:val="fr-CA"/>
              </w:rPr>
              <w:t xml:space="preserve"> (« </w:t>
            </w:r>
            <w:r w:rsidRPr="008F0B4D">
              <w:rPr>
                <w:i/>
                <w:sz w:val="20"/>
                <w:szCs w:val="20"/>
                <w:lang w:val="fr-CA"/>
              </w:rPr>
              <w:t>LTID</w:t>
            </w:r>
            <w:r w:rsidRPr="008F0B4D">
              <w:rPr>
                <w:sz w:val="20"/>
                <w:szCs w:val="20"/>
                <w:lang w:val="fr-CA"/>
              </w:rPr>
              <w:t xml:space="preserve"> ») s’applique et que sa peine doit être purgée dans un établissement provincial. </w:t>
            </w:r>
          </w:p>
          <w:p w:rsidR="002A1430" w:rsidRPr="008F0B4D" w:rsidRDefault="002A1430" w:rsidP="002A1430">
            <w:pPr>
              <w:jc w:val="both"/>
              <w:rPr>
                <w:sz w:val="20"/>
                <w:szCs w:val="20"/>
                <w:lang w:val="fr-CA"/>
              </w:rPr>
            </w:pPr>
          </w:p>
          <w:p w:rsidR="002A1430" w:rsidRPr="008F0B4D" w:rsidRDefault="002A1430" w:rsidP="002A1430">
            <w:pPr>
              <w:jc w:val="both"/>
              <w:rPr>
                <w:sz w:val="20"/>
                <w:szCs w:val="20"/>
                <w:lang w:val="fr-CA"/>
              </w:rPr>
            </w:pPr>
            <w:r w:rsidRPr="008F0B4D">
              <w:rPr>
                <w:sz w:val="20"/>
                <w:szCs w:val="20"/>
                <w:lang w:val="fr-CA"/>
              </w:rPr>
              <w:t>À la lumière des observations qui nous ont été présentées, nous sommes d’avis qu’une bonne interprétation des dispositions législatives pertinentes n’autorise pas à traiter la peine de huit ans infligée à M. Khadr comme cinq peines distinctes de huit ans à purger concurremment. Aux fins de la mise sous garde, quelque soit l’interprétation donnée aux dispositions, l’al. 20</w:t>
            </w:r>
            <w:r w:rsidRPr="008F0B4D">
              <w:rPr>
                <w:i/>
                <w:sz w:val="20"/>
                <w:szCs w:val="20"/>
                <w:lang w:val="fr-CA"/>
              </w:rPr>
              <w:t>a</w:t>
            </w:r>
            <w:r w:rsidRPr="008F0B4D">
              <w:rPr>
                <w:sz w:val="20"/>
                <w:szCs w:val="20"/>
                <w:lang w:val="fr-CA"/>
              </w:rPr>
              <w:t xml:space="preserve">) de la </w:t>
            </w:r>
            <w:r w:rsidRPr="008F0B4D">
              <w:rPr>
                <w:i/>
                <w:sz w:val="20"/>
                <w:szCs w:val="20"/>
                <w:lang w:val="fr-CA"/>
              </w:rPr>
              <w:t>LTID</w:t>
            </w:r>
            <w:r w:rsidRPr="008F0B4D">
              <w:rPr>
                <w:sz w:val="20"/>
                <w:szCs w:val="20"/>
                <w:lang w:val="fr-CA"/>
              </w:rPr>
              <w:t xml:space="preserve"> s’applique en l’espèce, de sorte que c’est dans un établissement correctionnel provincial que doit se dérouler la détention. </w:t>
            </w:r>
          </w:p>
          <w:p w:rsidR="002A1430" w:rsidRPr="008F0B4D" w:rsidRDefault="002A1430" w:rsidP="002A1430">
            <w:pPr>
              <w:jc w:val="both"/>
              <w:rPr>
                <w:sz w:val="20"/>
                <w:szCs w:val="20"/>
                <w:lang w:val="fr-CA"/>
              </w:rPr>
            </w:pPr>
          </w:p>
          <w:p w:rsidR="008350CE" w:rsidRPr="00C1697B" w:rsidRDefault="002A1430" w:rsidP="002A1430">
            <w:pPr>
              <w:jc w:val="both"/>
              <w:rPr>
                <w:sz w:val="20"/>
                <w:szCs w:val="20"/>
                <w:lang w:val="fr-CA"/>
              </w:rPr>
            </w:pPr>
            <w:r w:rsidRPr="008F0B4D">
              <w:rPr>
                <w:sz w:val="20"/>
                <w:szCs w:val="20"/>
                <w:lang w:val="fr-CA"/>
              </w:rPr>
              <w:t>En conséquence, nous sommes d’avis de rejeter l’appel avec dépens et de confirmer l’ordonnance de la Cour d’appel de l’Alberta selon laquelle la peine de M. Khadr est une peine spécifique qui doit être purgée dans un établissement correctionnel provincial pour adultes.</w:t>
            </w:r>
          </w:p>
        </w:tc>
      </w:tr>
    </w:tbl>
    <w:p w:rsidR="008350CE" w:rsidRPr="008350CE" w:rsidRDefault="008350CE" w:rsidP="00570496">
      <w:pPr>
        <w:rPr>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570496" w:rsidRPr="002A1430" w:rsidTr="00570496">
        <w:tc>
          <w:tcPr>
            <w:tcW w:w="4380" w:type="dxa"/>
            <w:tcMar>
              <w:left w:w="0" w:type="dxa"/>
              <w:right w:w="0" w:type="dxa"/>
            </w:tcMar>
          </w:tcPr>
          <w:p w:rsidR="00570496" w:rsidRPr="00CC4D84" w:rsidRDefault="00570496" w:rsidP="00570496">
            <w:pPr>
              <w:widowControl w:val="0"/>
              <w:jc w:val="both"/>
              <w:rPr>
                <w:b/>
                <w:sz w:val="20"/>
                <w:szCs w:val="20"/>
                <w:u w:val="single"/>
              </w:rPr>
            </w:pPr>
            <w:r w:rsidRPr="00CC4D84">
              <w:rPr>
                <w:b/>
                <w:sz w:val="20"/>
                <w:szCs w:val="20"/>
                <w:u w:val="single"/>
              </w:rPr>
              <w:t>Nature of the case:</w:t>
            </w:r>
          </w:p>
          <w:p w:rsidR="00570496" w:rsidRPr="001A663B" w:rsidRDefault="00570496" w:rsidP="00570496">
            <w:pPr>
              <w:widowControl w:val="0"/>
              <w:jc w:val="both"/>
              <w:rPr>
                <w:b/>
                <w:sz w:val="20"/>
                <w:szCs w:val="20"/>
              </w:rPr>
            </w:pPr>
          </w:p>
          <w:p w:rsidR="00570496" w:rsidRPr="00C1697B" w:rsidRDefault="005D7D6B" w:rsidP="00570496">
            <w:pPr>
              <w:widowControl w:val="0"/>
              <w:jc w:val="both"/>
              <w:rPr>
                <w:b/>
                <w:sz w:val="20"/>
                <w:szCs w:val="20"/>
              </w:rPr>
            </w:pPr>
            <w:r w:rsidRPr="00C47255">
              <w:rPr>
                <w:sz w:val="20"/>
                <w:szCs w:val="20"/>
              </w:rPr>
              <w:t xml:space="preserve">Criminal law - Sentencing - Extraordinary remedies - </w:t>
            </w:r>
            <w:r w:rsidRPr="00C47255">
              <w:rPr>
                <w:i/>
                <w:sz w:val="20"/>
                <w:szCs w:val="20"/>
              </w:rPr>
              <w:t>Habeas corpus</w:t>
            </w:r>
            <w:r w:rsidRPr="00C47255">
              <w:rPr>
                <w:sz w:val="20"/>
                <w:szCs w:val="20"/>
              </w:rPr>
              <w:t xml:space="preserve"> - Stay of proceedings - Canadian citizen was formerly detained by United States for murder, attempted murder, conspiracy, terrorist activities and spying - He pled guilty and agreed to eight-year sentence with transfer to Canada after first year under </w:t>
            </w:r>
            <w:r w:rsidRPr="00C47255">
              <w:rPr>
                <w:i/>
                <w:sz w:val="20"/>
                <w:szCs w:val="20"/>
              </w:rPr>
              <w:t>International Transfer of Offenders Act</w:t>
            </w:r>
            <w:r w:rsidRPr="00C47255">
              <w:rPr>
                <w:sz w:val="20"/>
                <w:szCs w:val="20"/>
              </w:rPr>
              <w:t xml:space="preserve"> (“</w:t>
            </w:r>
            <w:r w:rsidRPr="00C47255">
              <w:rPr>
                <w:i/>
                <w:sz w:val="20"/>
                <w:szCs w:val="20"/>
              </w:rPr>
              <w:t>ITOA</w:t>
            </w:r>
            <w:r w:rsidRPr="00C47255">
              <w:rPr>
                <w:sz w:val="20"/>
                <w:szCs w:val="20"/>
              </w:rPr>
              <w:t xml:space="preserve">”) - Transfer resulted in placement in federal correctional facility - Offender applied for </w:t>
            </w:r>
            <w:r w:rsidRPr="00C47255">
              <w:rPr>
                <w:i/>
                <w:sz w:val="20"/>
                <w:szCs w:val="20"/>
              </w:rPr>
              <w:t>habeas corpus</w:t>
            </w:r>
            <w:r w:rsidRPr="00C47255">
              <w:rPr>
                <w:sz w:val="20"/>
                <w:szCs w:val="20"/>
              </w:rPr>
              <w:t xml:space="preserve"> on basis </w:t>
            </w:r>
            <w:r w:rsidRPr="00C47255">
              <w:rPr>
                <w:i/>
                <w:sz w:val="20"/>
                <w:szCs w:val="20"/>
              </w:rPr>
              <w:t>ITOA</w:t>
            </w:r>
            <w:r w:rsidRPr="00C47255">
              <w:rPr>
                <w:sz w:val="20"/>
                <w:szCs w:val="20"/>
              </w:rPr>
              <w:t xml:space="preserve"> mandated his placement in provincial correctional facility - Chambers judge dismissed his </w:t>
            </w:r>
            <w:r w:rsidRPr="00C47255">
              <w:rPr>
                <w:i/>
                <w:sz w:val="20"/>
                <w:szCs w:val="20"/>
              </w:rPr>
              <w:t>habeas corpus</w:t>
            </w:r>
            <w:r w:rsidRPr="00C47255">
              <w:rPr>
                <w:sz w:val="20"/>
                <w:szCs w:val="20"/>
              </w:rPr>
              <w:t xml:space="preserve"> application but Court of Appeal allowed it and ordered his transfer to provincial correctional facility for adults - Court of Appeal then stayed his transfer to provincial correctional facility for adults until this Court determines leave application - Whether offender, transferred from another country to Canada, must serve remainder of his foreign single sentence on multiple convictions in federal correctional facility or provincial correctional facility for adults? - What standard of review is applicable to Correctional Service of Canada’s </w:t>
            </w:r>
            <w:r w:rsidRPr="00C47255">
              <w:rPr>
                <w:i/>
                <w:sz w:val="20"/>
                <w:szCs w:val="20"/>
              </w:rPr>
              <w:t>ITOA</w:t>
            </w:r>
            <w:r w:rsidRPr="00C47255">
              <w:rPr>
                <w:sz w:val="20"/>
                <w:szCs w:val="20"/>
              </w:rPr>
              <w:t xml:space="preserve"> interpretation and by that of lower courts? -</w:t>
            </w:r>
            <w:r w:rsidRPr="00C47255">
              <w:rPr>
                <w:i/>
                <w:sz w:val="20"/>
                <w:szCs w:val="20"/>
              </w:rPr>
              <w:t xml:space="preserve"> International Transfer of Offenders Act</w:t>
            </w:r>
            <w:r w:rsidRPr="00C47255">
              <w:rPr>
                <w:sz w:val="20"/>
                <w:szCs w:val="20"/>
              </w:rPr>
              <w:t>, S.C. 2004, c. 21.</w:t>
            </w:r>
          </w:p>
        </w:tc>
        <w:tc>
          <w:tcPr>
            <w:tcW w:w="720" w:type="dxa"/>
            <w:tcMar>
              <w:left w:w="0" w:type="dxa"/>
              <w:right w:w="0" w:type="dxa"/>
            </w:tcMar>
          </w:tcPr>
          <w:p w:rsidR="00570496" w:rsidRPr="00C1697B" w:rsidRDefault="00570496" w:rsidP="00570496">
            <w:pPr>
              <w:widowControl w:val="0"/>
              <w:jc w:val="center"/>
              <w:rPr>
                <w:sz w:val="20"/>
                <w:szCs w:val="20"/>
              </w:rPr>
            </w:pPr>
          </w:p>
        </w:tc>
        <w:tc>
          <w:tcPr>
            <w:tcW w:w="4380" w:type="dxa"/>
            <w:tcMar>
              <w:left w:w="0" w:type="dxa"/>
              <w:right w:w="0" w:type="dxa"/>
            </w:tcMar>
          </w:tcPr>
          <w:p w:rsidR="00570496" w:rsidRPr="00CC4D84" w:rsidRDefault="00570496" w:rsidP="00570496">
            <w:pPr>
              <w:widowControl w:val="0"/>
              <w:jc w:val="both"/>
              <w:rPr>
                <w:b/>
                <w:sz w:val="20"/>
                <w:szCs w:val="20"/>
                <w:u w:val="single"/>
                <w:lang w:val="fr-CA"/>
              </w:rPr>
            </w:pPr>
            <w:r w:rsidRPr="00CC4D84">
              <w:rPr>
                <w:b/>
                <w:sz w:val="20"/>
                <w:szCs w:val="20"/>
                <w:u w:val="single"/>
                <w:lang w:val="fr-CA"/>
              </w:rPr>
              <w:t>Nature de la cause :</w:t>
            </w:r>
          </w:p>
          <w:p w:rsidR="00570496" w:rsidRPr="00C1697B" w:rsidRDefault="00570496" w:rsidP="00570496">
            <w:pPr>
              <w:widowControl w:val="0"/>
              <w:jc w:val="both"/>
              <w:rPr>
                <w:sz w:val="20"/>
                <w:szCs w:val="20"/>
                <w:lang w:val="fr-CA"/>
              </w:rPr>
            </w:pPr>
          </w:p>
          <w:p w:rsidR="00570496" w:rsidRPr="00C1697B" w:rsidRDefault="005D7D6B" w:rsidP="00570496">
            <w:pPr>
              <w:widowControl w:val="0"/>
              <w:jc w:val="both"/>
              <w:rPr>
                <w:sz w:val="20"/>
                <w:szCs w:val="20"/>
                <w:lang w:val="fr-CA"/>
              </w:rPr>
            </w:pPr>
            <w:r w:rsidRPr="00D166B1">
              <w:rPr>
                <w:sz w:val="20"/>
                <w:szCs w:val="20"/>
                <w:lang w:val="fr-CA"/>
              </w:rPr>
              <w:t xml:space="preserve">Droit criminel - Détermination de la peine - Recours extraordinaires - </w:t>
            </w:r>
            <w:r w:rsidRPr="00D166B1">
              <w:rPr>
                <w:i/>
                <w:sz w:val="20"/>
                <w:szCs w:val="20"/>
                <w:lang w:val="fr-CA"/>
              </w:rPr>
              <w:t>Habeas corpus</w:t>
            </w:r>
            <w:r w:rsidRPr="00D166B1">
              <w:rPr>
                <w:sz w:val="20"/>
                <w:szCs w:val="20"/>
                <w:lang w:val="fr-CA"/>
              </w:rPr>
              <w:t xml:space="preserve"> - Arrêt des procédures - Citoyen canadien précédemment détenu par les États-Unis pour meurtre, tentative de meurtre, complot, activités terroristes et espionnage - Il a plaidé coupable et a accepté de purger une peine d’emprisonnement de huit ans avec transfèrement au Canada après la première année en application de la</w:t>
            </w:r>
            <w:r w:rsidRPr="00D166B1">
              <w:rPr>
                <w:i/>
                <w:sz w:val="20"/>
                <w:szCs w:val="20"/>
                <w:lang w:val="fr-CA"/>
              </w:rPr>
              <w:t xml:space="preserve"> Loi sur le transfèrement international des délinquants </w:t>
            </w:r>
            <w:r w:rsidRPr="00D166B1">
              <w:rPr>
                <w:sz w:val="20"/>
                <w:szCs w:val="20"/>
                <w:lang w:val="fr-CA"/>
              </w:rPr>
              <w:t>(« </w:t>
            </w:r>
            <w:r w:rsidRPr="00D166B1">
              <w:rPr>
                <w:i/>
                <w:sz w:val="20"/>
                <w:szCs w:val="20"/>
                <w:lang w:val="fr-CA"/>
              </w:rPr>
              <w:t>LTID</w:t>
            </w:r>
            <w:r w:rsidRPr="00D166B1">
              <w:rPr>
                <w:sz w:val="20"/>
                <w:szCs w:val="20"/>
                <w:lang w:val="fr-CA"/>
              </w:rPr>
              <w:t> ») - À la suite du transfèrement, il a été placé dans un établissement correctionnel fédéral - Le délinquant a demandé l’</w:t>
            </w:r>
            <w:r w:rsidRPr="00D166B1">
              <w:rPr>
                <w:i/>
                <w:sz w:val="20"/>
                <w:szCs w:val="20"/>
                <w:lang w:val="fr-CA"/>
              </w:rPr>
              <w:t>habeas corpus</w:t>
            </w:r>
            <w:r w:rsidRPr="00D166B1">
              <w:rPr>
                <w:sz w:val="20"/>
                <w:szCs w:val="20"/>
                <w:lang w:val="fr-CA"/>
              </w:rPr>
              <w:t>, plaidant que la</w:t>
            </w:r>
            <w:r w:rsidRPr="00D166B1">
              <w:rPr>
                <w:i/>
                <w:sz w:val="20"/>
                <w:szCs w:val="20"/>
                <w:lang w:val="fr-CA"/>
              </w:rPr>
              <w:t xml:space="preserve"> LTID</w:t>
            </w:r>
            <w:r w:rsidRPr="00D166B1">
              <w:rPr>
                <w:sz w:val="20"/>
                <w:szCs w:val="20"/>
                <w:lang w:val="fr-CA"/>
              </w:rPr>
              <w:t xml:space="preserve"> prescrivait sa détention dans un établissement correctionnel provincial - Le juge en son cabinet a rejeté sa demande d’</w:t>
            </w:r>
            <w:r w:rsidRPr="00D166B1">
              <w:rPr>
                <w:i/>
                <w:sz w:val="20"/>
                <w:szCs w:val="20"/>
                <w:lang w:val="fr-CA"/>
              </w:rPr>
              <w:t>habeas corpus</w:t>
            </w:r>
            <w:r w:rsidRPr="00D166B1">
              <w:rPr>
                <w:sz w:val="20"/>
                <w:szCs w:val="20"/>
                <w:lang w:val="fr-CA"/>
              </w:rPr>
              <w:t xml:space="preserve">, mais la Cour d’appel l’a accueillie et a ordonné son transfèrement à un établissement correctionnel provincial pour adultes - La Cour d’appel a ensuite suspendu son transfèrement à un établissement correctionnel provincial pour adultes jusqu’à ce que notre Cour statue sur la demande d’autorisation d’appel - Le délinquant, transféré d’un autre pays au Canada, doit-il purger le reste de la seule et unique peine qui lui a été infligée à l’étranger relativement à des déclarations de culpabilité multiples dans un établissement correctionnel fédéral ou dans un établissement correctionnel provincial pour adultes? - Quelle norme de contrôle s’applique à l’interprétation de la </w:t>
            </w:r>
            <w:r w:rsidRPr="00D166B1">
              <w:rPr>
                <w:i/>
                <w:sz w:val="20"/>
                <w:szCs w:val="20"/>
                <w:lang w:val="fr-CA"/>
              </w:rPr>
              <w:t>LTID</w:t>
            </w:r>
            <w:r w:rsidRPr="00D166B1">
              <w:rPr>
                <w:sz w:val="20"/>
                <w:szCs w:val="20"/>
                <w:lang w:val="fr-CA"/>
              </w:rPr>
              <w:t xml:space="preserve"> donnée par le Service correctionnel du Canada et par les juridictions inférieures? -</w:t>
            </w:r>
            <w:r w:rsidRPr="00D166B1">
              <w:rPr>
                <w:i/>
                <w:sz w:val="20"/>
                <w:szCs w:val="20"/>
                <w:lang w:val="fr-CA"/>
              </w:rPr>
              <w:t xml:space="preserve"> Loi sur le transfèrement international des délinquants</w:t>
            </w:r>
            <w:r w:rsidRPr="00D166B1">
              <w:rPr>
                <w:sz w:val="20"/>
                <w:szCs w:val="20"/>
                <w:lang w:val="fr-CA"/>
              </w:rPr>
              <w:t>, L.C. 2004, ch. 21.</w:t>
            </w:r>
          </w:p>
        </w:tc>
      </w:tr>
    </w:tbl>
    <w:p w:rsidR="00570496" w:rsidRDefault="00570496" w:rsidP="00570496">
      <w:pPr>
        <w:widowControl w:val="0"/>
        <w:rPr>
          <w:sz w:val="20"/>
          <w:szCs w:val="20"/>
          <w:lang w:val="fr-CA"/>
        </w:rPr>
      </w:pPr>
    </w:p>
    <w:p w:rsidR="00570496" w:rsidRDefault="005B3B50" w:rsidP="00570496">
      <w:pPr>
        <w:widowControl w:val="0"/>
        <w:rPr>
          <w:sz w:val="20"/>
          <w:szCs w:val="20"/>
        </w:rPr>
      </w:pPr>
      <w:r>
        <w:rPr>
          <w:sz w:val="20"/>
          <w:szCs w:val="20"/>
          <w:lang w:val="fr-CA"/>
        </w:rPr>
        <w:pict>
          <v:rect id="_x0000_i1078" style="width:2in;height:1pt" o:hrpct="0" o:hralign="center" o:hrstd="t" o:hrnoshade="t" o:hr="t" fillcolor="black [3213]" stroked="f"/>
        </w:pict>
      </w:r>
    </w:p>
    <w:p w:rsidR="00570496" w:rsidRDefault="00570496" w:rsidP="00570496">
      <w:pPr>
        <w:widowControl w:val="0"/>
        <w:rPr>
          <w:sz w:val="20"/>
          <w:szCs w:val="20"/>
        </w:rPr>
      </w:pPr>
    </w:p>
    <w:p w:rsidR="00570496" w:rsidRPr="00570496" w:rsidRDefault="00570496" w:rsidP="007C47C2">
      <w:pPr>
        <w:widowControl w:val="0"/>
        <w:rPr>
          <w:sz w:val="20"/>
          <w:szCs w:val="20"/>
          <w:lang w:val="fr-CA"/>
        </w:rPr>
      </w:pPr>
    </w:p>
    <w:p w:rsidR="00E940EB" w:rsidRDefault="00E940EB" w:rsidP="00732DB7">
      <w:pPr>
        <w:widowControl w:val="0"/>
        <w:rPr>
          <w:sz w:val="20"/>
          <w:szCs w:val="20"/>
          <w:lang w:val="fr-CA"/>
        </w:rPr>
      </w:pPr>
    </w:p>
    <w:p w:rsidR="00D004FC" w:rsidRPr="00C1697B" w:rsidRDefault="00D004FC"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87"/>
          <w:headerReference w:type="default" r:id="rId88"/>
          <w:footerReference w:type="even" r:id="rId89"/>
          <w:footerReference w:type="default" r:id="rId90"/>
          <w:headerReference w:type="first" r:id="rId91"/>
          <w:footerReference w:type="first" r:id="rId92"/>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2A1430"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Default="00FF6EEC" w:rsidP="00FF6EEC">
      <w:pPr>
        <w:rPr>
          <w:b/>
          <w:sz w:val="20"/>
          <w:szCs w:val="20"/>
          <w:lang w:val="fr-CA"/>
        </w:rPr>
      </w:pPr>
    </w:p>
    <w:p w:rsidR="005D7D6B" w:rsidRDefault="005D7D6B" w:rsidP="00FF6EEC">
      <w:pPr>
        <w:rPr>
          <w:b/>
          <w:sz w:val="20"/>
          <w:szCs w:val="20"/>
          <w:lang w:val="fr-CA"/>
        </w:rPr>
      </w:pPr>
      <w:r>
        <w:rPr>
          <w:b/>
          <w:sz w:val="20"/>
          <w:szCs w:val="20"/>
          <w:lang w:val="fr-CA"/>
        </w:rPr>
        <w:t>MAY 14, 2015 / LE 14 MAI 2015</w:t>
      </w:r>
    </w:p>
    <w:p w:rsidR="005D7D6B" w:rsidRDefault="005D7D6B" w:rsidP="00FF6EEC">
      <w:pPr>
        <w:rPr>
          <w:b/>
          <w:sz w:val="20"/>
          <w:szCs w:val="20"/>
          <w:lang w:val="fr-CA"/>
        </w:rPr>
      </w:pPr>
    </w:p>
    <w:p w:rsidR="008346FD" w:rsidRPr="004755AD" w:rsidRDefault="00B158EB" w:rsidP="008346FD">
      <w:pPr>
        <w:ind w:left="1440" w:hanging="1440"/>
        <w:jc w:val="both"/>
        <w:rPr>
          <w:rFonts w:eastAsia="Calibri"/>
          <w:sz w:val="20"/>
          <w:szCs w:val="20"/>
          <w:lang w:val="fr-CA"/>
        </w:rPr>
      </w:pPr>
      <w:r w:rsidRPr="004755AD">
        <w:rPr>
          <w:rFonts w:eastAsia="Calibri"/>
          <w:b/>
          <w:sz w:val="20"/>
          <w:szCs w:val="20"/>
        </w:rPr>
        <w:fldChar w:fldCharType="begin"/>
      </w:r>
      <w:r w:rsidR="008346FD" w:rsidRPr="004755AD">
        <w:rPr>
          <w:rFonts w:eastAsia="Calibri"/>
          <w:b/>
          <w:sz w:val="20"/>
          <w:szCs w:val="20"/>
          <w:lang w:val="fr-CA"/>
        </w:rPr>
        <w:instrText xml:space="preserve"> SEQ CHAPTER \h \r 1</w:instrText>
      </w:r>
      <w:r w:rsidRPr="004755AD">
        <w:rPr>
          <w:rFonts w:eastAsia="Calibri"/>
          <w:b/>
          <w:sz w:val="20"/>
          <w:szCs w:val="20"/>
        </w:rPr>
        <w:fldChar w:fldCharType="end"/>
      </w:r>
      <w:r w:rsidR="008346FD" w:rsidRPr="004755AD">
        <w:rPr>
          <w:rFonts w:eastAsia="Calibri"/>
          <w:b/>
          <w:sz w:val="20"/>
          <w:szCs w:val="20"/>
          <w:lang w:val="fr-CA"/>
        </w:rPr>
        <w:t>35823</w:t>
      </w:r>
      <w:r w:rsidR="008346FD" w:rsidRPr="004755AD">
        <w:rPr>
          <w:rFonts w:eastAsia="Calibri"/>
          <w:sz w:val="20"/>
          <w:szCs w:val="20"/>
          <w:lang w:val="fr-CA"/>
        </w:rPr>
        <w:tab/>
      </w:r>
      <w:r w:rsidR="008346FD" w:rsidRPr="004755AD">
        <w:rPr>
          <w:rFonts w:eastAsia="Calibri"/>
          <w:b/>
          <w:sz w:val="20"/>
          <w:szCs w:val="20"/>
          <w:u w:val="single"/>
          <w:lang w:val="fr-CA"/>
        </w:rPr>
        <w:t>Commission scolaire francophone du Yukon, district scolaire #23 c. Procureure générale du Territoire du Yukon – et – Procureure générale du Québec, procureur général de la Colombie-Britannique, procureur général de la Saskatchewan, procureur général des Territoires du Nord-Ouest, commissaire aux langues officielles du Canada, Conseil scolaire francophone de la Colombie-Britannique, Fédération des parents francophones de Colombie-Britannique, Fédération des parents francophones de l’Alberta, Fédération nationale des conseils scolaires francophones et Fédération des communautés francophones et acadienne du Canada</w:t>
      </w:r>
      <w:r w:rsidR="008346FD" w:rsidRPr="004755AD">
        <w:rPr>
          <w:rFonts w:eastAsia="Calibri"/>
          <w:b/>
          <w:sz w:val="20"/>
          <w:szCs w:val="20"/>
          <w:lang w:val="fr-CA"/>
        </w:rPr>
        <w:t xml:space="preserve"> </w:t>
      </w:r>
      <w:r w:rsidR="008346FD" w:rsidRPr="004755AD">
        <w:rPr>
          <w:rFonts w:eastAsia="Calibri"/>
          <w:iCs/>
          <w:sz w:val="20"/>
          <w:szCs w:val="20"/>
          <w:lang w:val="fr-CA"/>
        </w:rPr>
        <w:t>(Yn)</w:t>
      </w:r>
    </w:p>
    <w:p w:rsidR="008346FD" w:rsidRPr="004755AD" w:rsidRDefault="008346FD" w:rsidP="008346FD">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0"/>
          <w:lang w:val="fr-CA"/>
        </w:rPr>
      </w:pPr>
      <w:r w:rsidRPr="004755AD">
        <w:rPr>
          <w:rFonts w:eastAsia="Calibri"/>
          <w:b/>
          <w:sz w:val="20"/>
          <w:szCs w:val="20"/>
          <w:lang w:val="fr-CA"/>
        </w:rPr>
        <w:t>2015 SCC 25 / 2015 CSC 25</w:t>
      </w:r>
    </w:p>
    <w:p w:rsidR="008346FD" w:rsidRPr="004755AD" w:rsidRDefault="008346FD" w:rsidP="008346FD">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0"/>
          <w:lang w:val="fr-CA"/>
        </w:rPr>
      </w:pPr>
    </w:p>
    <w:p w:rsidR="008346FD" w:rsidRPr="004755AD" w:rsidRDefault="008346FD" w:rsidP="008346FD">
      <w:pPr>
        <w:ind w:left="1440" w:hanging="1440"/>
        <w:rPr>
          <w:rFonts w:eastAsia="Calibri"/>
          <w:sz w:val="20"/>
          <w:szCs w:val="20"/>
          <w:u w:val="single"/>
          <w:lang w:val="fr-CA"/>
        </w:rPr>
      </w:pPr>
      <w:r w:rsidRPr="004755AD">
        <w:rPr>
          <w:rFonts w:eastAsia="Calibri"/>
          <w:sz w:val="20"/>
          <w:szCs w:val="20"/>
          <w:lang w:val="fr-CA"/>
        </w:rPr>
        <w:t>Coram:</w:t>
      </w:r>
      <w:r w:rsidRPr="004755AD">
        <w:rPr>
          <w:rFonts w:eastAsia="Calibri"/>
          <w:sz w:val="20"/>
          <w:szCs w:val="20"/>
          <w:lang w:val="fr-CA"/>
        </w:rPr>
        <w:tab/>
      </w:r>
      <w:r w:rsidRPr="004755AD">
        <w:rPr>
          <w:rFonts w:eastAsia="Calibri"/>
          <w:sz w:val="20"/>
          <w:szCs w:val="20"/>
          <w:u w:val="single"/>
          <w:lang w:val="fr-CA"/>
        </w:rPr>
        <w:t>La juge en chef McLachlin et les juges Abella, Rothstein, Moldaver, Karakatsanis, Wagner et Gascon</w:t>
      </w:r>
    </w:p>
    <w:p w:rsidR="008346FD" w:rsidRPr="004755AD" w:rsidRDefault="008346FD" w:rsidP="008346FD">
      <w:pPr>
        <w:ind w:left="1440" w:hanging="1440"/>
        <w:jc w:val="both"/>
        <w:rPr>
          <w:rFonts w:eastAsia="Calibri"/>
          <w:sz w:val="20"/>
          <w:szCs w:val="20"/>
          <w:u w:val="single"/>
          <w:lang w:val="fr-CA"/>
        </w:rPr>
      </w:pPr>
    </w:p>
    <w:p w:rsidR="008346FD" w:rsidRPr="004755AD" w:rsidRDefault="008346FD" w:rsidP="008346FD">
      <w:pPr>
        <w:jc w:val="both"/>
        <w:rPr>
          <w:sz w:val="20"/>
          <w:szCs w:val="20"/>
        </w:rPr>
      </w:pPr>
      <w:r w:rsidRPr="004755AD">
        <w:rPr>
          <w:sz w:val="20"/>
          <w:szCs w:val="20"/>
          <w:lang w:val="fr-CA"/>
        </w:rPr>
        <w:t xml:space="preserve">L’appel interjeté contre l’arrêt de la Cour d’appel du Yukon, numéro 11-YU684, 2014 YKCA 4, en date du 11 février 2014, entendu le 21 janvier 2015, est rejeté en grande partie, mais les demandes de l’appelante fondées sur la </w:t>
      </w:r>
      <w:r w:rsidRPr="004755AD">
        <w:rPr>
          <w:i/>
          <w:sz w:val="20"/>
          <w:szCs w:val="20"/>
          <w:lang w:val="fr-CA"/>
        </w:rPr>
        <w:t>Loi sur les langues</w:t>
      </w:r>
      <w:r w:rsidRPr="004755AD">
        <w:rPr>
          <w:sz w:val="20"/>
          <w:szCs w:val="20"/>
          <w:lang w:val="fr-CA"/>
        </w:rPr>
        <w:t xml:space="preserve">, L.R.Y. 2002, c. 133, sont jointes aux autres questions renvoyées par la Cour d’appel pour décision à l’issue d’un nouveau procès. </w:t>
      </w:r>
      <w:r w:rsidRPr="004755AD">
        <w:rPr>
          <w:sz w:val="20"/>
          <w:szCs w:val="20"/>
        </w:rPr>
        <w:t>Aucuns dépens ne sont adjugés.</w:t>
      </w:r>
    </w:p>
    <w:p w:rsidR="008346FD" w:rsidRPr="004755AD" w:rsidRDefault="008346FD" w:rsidP="008346FD">
      <w:pPr>
        <w:jc w:val="both"/>
        <w:rPr>
          <w:sz w:val="20"/>
          <w:szCs w:val="20"/>
        </w:rPr>
      </w:pPr>
    </w:p>
    <w:p w:rsidR="008346FD" w:rsidRPr="004755AD" w:rsidRDefault="008346FD" w:rsidP="008346FD">
      <w:pPr>
        <w:jc w:val="both"/>
        <w:rPr>
          <w:sz w:val="20"/>
          <w:szCs w:val="20"/>
        </w:rPr>
      </w:pPr>
      <w:r w:rsidRPr="004755AD">
        <w:rPr>
          <w:sz w:val="20"/>
          <w:szCs w:val="20"/>
        </w:rPr>
        <w:t xml:space="preserve">The appeal from the judgment of the Court of Appeal for the Yukon, Number 11-YU684, 2014 YKCA 4, dated February 11, 2014, heard on January 21, 2015, is largely dismissed, but the appellant’s claims pursuant to the </w:t>
      </w:r>
      <w:r w:rsidRPr="004755AD">
        <w:rPr>
          <w:i/>
          <w:sz w:val="20"/>
          <w:szCs w:val="20"/>
        </w:rPr>
        <w:t>Languages Act</w:t>
      </w:r>
      <w:r w:rsidRPr="004755AD">
        <w:rPr>
          <w:sz w:val="20"/>
          <w:szCs w:val="20"/>
        </w:rPr>
        <w:t>, R.S.Y. 2002, c. 133, are to be joined with the other issues remitted by the Court of Appeal for determination at a new trial. There will be no costs.</w:t>
      </w:r>
    </w:p>
    <w:p w:rsidR="005D7D6B" w:rsidRDefault="005D7D6B" w:rsidP="00FF6EEC">
      <w:pPr>
        <w:rPr>
          <w:b/>
          <w:sz w:val="20"/>
          <w:szCs w:val="20"/>
          <w:lang w:val="fr-CA"/>
        </w:rPr>
      </w:pPr>
    </w:p>
    <w:p w:rsidR="005D7D6B" w:rsidRDefault="005B3B50" w:rsidP="00FF6EEC">
      <w:pPr>
        <w:rPr>
          <w:b/>
          <w:sz w:val="20"/>
          <w:szCs w:val="20"/>
          <w:lang w:val="fr-CA"/>
        </w:rPr>
      </w:pPr>
      <w:r>
        <w:rPr>
          <w:b/>
          <w:sz w:val="20"/>
          <w:szCs w:val="20"/>
        </w:rPr>
        <w:pict>
          <v:rect id="_x0000_i1081" style="width:144.3pt;height:1pt" o:hrpct="300" o:hralign="center" o:hrstd="t" o:hrnoshade="t" o:hr="t" fillcolor="black [3213]" stroked="f"/>
        </w:pict>
      </w:r>
    </w:p>
    <w:p w:rsidR="005D7D6B" w:rsidRDefault="005D7D6B" w:rsidP="00FF6EEC">
      <w:pPr>
        <w:rPr>
          <w:b/>
          <w:sz w:val="20"/>
          <w:szCs w:val="20"/>
          <w:lang w:val="fr-CA"/>
        </w:rPr>
      </w:pPr>
    </w:p>
    <w:p w:rsidR="005D7D6B" w:rsidRDefault="005D7D6B" w:rsidP="005D7D6B">
      <w:pPr>
        <w:rPr>
          <w:b/>
          <w:sz w:val="20"/>
          <w:szCs w:val="20"/>
          <w:lang w:val="fr-CA"/>
        </w:rPr>
      </w:pPr>
      <w:r>
        <w:rPr>
          <w:b/>
          <w:sz w:val="20"/>
          <w:szCs w:val="20"/>
          <w:lang w:val="fr-CA"/>
        </w:rPr>
        <w:t>MAY 15, 2015 / LE 15 MAI 2015</w:t>
      </w:r>
    </w:p>
    <w:p w:rsidR="005D7D6B" w:rsidRDefault="005D7D6B" w:rsidP="00FF6EEC">
      <w:pPr>
        <w:rPr>
          <w:b/>
          <w:sz w:val="20"/>
          <w:szCs w:val="20"/>
          <w:lang w:val="fr-CA"/>
        </w:rPr>
      </w:pPr>
    </w:p>
    <w:p w:rsidR="007F1C8D" w:rsidRPr="00254A42" w:rsidRDefault="00B158EB" w:rsidP="007F1C8D">
      <w:pPr>
        <w:ind w:left="1440" w:hanging="1440"/>
        <w:jc w:val="both"/>
        <w:rPr>
          <w:rFonts w:eastAsia="Calibri"/>
          <w:sz w:val="20"/>
          <w:lang w:val="fr-CA"/>
        </w:rPr>
      </w:pPr>
      <w:r w:rsidRPr="006972A1">
        <w:rPr>
          <w:rFonts w:eastAsia="Calibri"/>
          <w:b/>
          <w:sz w:val="20"/>
        </w:rPr>
        <w:fldChar w:fldCharType="begin"/>
      </w:r>
      <w:r w:rsidR="007F1C8D" w:rsidRPr="00254A42">
        <w:rPr>
          <w:rFonts w:eastAsia="Calibri"/>
          <w:b/>
          <w:sz w:val="20"/>
          <w:lang w:val="fr-CA"/>
        </w:rPr>
        <w:instrText xml:space="preserve"> SEQ CHAPTER \h \r 1</w:instrText>
      </w:r>
      <w:r w:rsidRPr="006972A1">
        <w:rPr>
          <w:rFonts w:eastAsia="Calibri"/>
          <w:b/>
          <w:sz w:val="20"/>
        </w:rPr>
        <w:fldChar w:fldCharType="end"/>
      </w:r>
      <w:r w:rsidR="007F1C8D" w:rsidRPr="00254A42">
        <w:rPr>
          <w:rFonts w:eastAsia="Calibri"/>
          <w:b/>
          <w:sz w:val="20"/>
          <w:lang w:val="fr-CA"/>
        </w:rPr>
        <w:t>35626</w:t>
      </w:r>
      <w:r w:rsidR="007F1C8D" w:rsidRPr="00254A42">
        <w:rPr>
          <w:rFonts w:eastAsia="Calibri"/>
          <w:sz w:val="20"/>
          <w:lang w:val="fr-CA"/>
        </w:rPr>
        <w:tab/>
      </w:r>
      <w:r w:rsidR="007F1C8D" w:rsidRPr="00254A42">
        <w:rPr>
          <w:rFonts w:eastAsia="Calibri"/>
          <w:b/>
          <w:sz w:val="20"/>
          <w:u w:val="single"/>
          <w:lang w:val="fr-CA"/>
        </w:rPr>
        <w:t>Sa Majesté la Reine c. Jeffrey St-Cloud – et – Procureur général de l’Ontario, Criminal Lawyers’ Association (Ontario) et Association canadienne des libertés civiles</w:t>
      </w:r>
      <w:r w:rsidR="007F1C8D" w:rsidRPr="00254A42">
        <w:rPr>
          <w:rFonts w:eastAsia="Calibri"/>
          <w:b/>
          <w:sz w:val="20"/>
          <w:lang w:val="fr-CA"/>
        </w:rPr>
        <w:t xml:space="preserve"> </w:t>
      </w:r>
      <w:r w:rsidR="007F1C8D">
        <w:rPr>
          <w:rFonts w:eastAsia="Calibri"/>
          <w:iCs/>
          <w:sz w:val="20"/>
          <w:lang w:val="fr-CA"/>
        </w:rPr>
        <w:t>(Qc</w:t>
      </w:r>
      <w:r w:rsidR="007F1C8D" w:rsidRPr="00254A42">
        <w:rPr>
          <w:rFonts w:eastAsia="Calibri"/>
          <w:iCs/>
          <w:sz w:val="20"/>
          <w:lang w:val="fr-CA"/>
        </w:rPr>
        <w:t>)</w:t>
      </w:r>
    </w:p>
    <w:p w:rsidR="007F1C8D" w:rsidRPr="00254A42" w:rsidRDefault="007F1C8D" w:rsidP="007F1C8D">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lang w:val="fr-CA"/>
        </w:rPr>
      </w:pPr>
      <w:r w:rsidRPr="00254A42">
        <w:rPr>
          <w:rFonts w:eastAsia="Calibri"/>
          <w:b/>
          <w:sz w:val="20"/>
          <w:lang w:val="fr-CA"/>
        </w:rPr>
        <w:t>2015 SCC 27 / 2015 CSC 27</w:t>
      </w:r>
    </w:p>
    <w:p w:rsidR="007F1C8D" w:rsidRPr="00254A42" w:rsidRDefault="007F1C8D" w:rsidP="007F1C8D">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lang w:val="fr-CA"/>
        </w:rPr>
      </w:pPr>
    </w:p>
    <w:p w:rsidR="007F1C8D" w:rsidRPr="00254A42" w:rsidRDefault="007F1C8D" w:rsidP="007F1C8D">
      <w:pPr>
        <w:ind w:left="1440" w:hanging="1440"/>
        <w:rPr>
          <w:rFonts w:eastAsia="Calibri"/>
          <w:sz w:val="20"/>
          <w:u w:val="single"/>
          <w:lang w:val="fr-CA"/>
        </w:rPr>
      </w:pPr>
      <w:r w:rsidRPr="00254A42">
        <w:rPr>
          <w:rFonts w:eastAsia="Calibri"/>
          <w:sz w:val="20"/>
          <w:lang w:val="fr-CA"/>
        </w:rPr>
        <w:t>Coram:</w:t>
      </w:r>
      <w:r w:rsidRPr="00254A42">
        <w:rPr>
          <w:rFonts w:eastAsia="Calibri"/>
          <w:sz w:val="20"/>
          <w:lang w:val="fr-CA"/>
        </w:rPr>
        <w:tab/>
      </w:r>
      <w:r w:rsidRPr="00254A42">
        <w:rPr>
          <w:rFonts w:eastAsia="Calibri"/>
          <w:sz w:val="20"/>
          <w:u w:val="single"/>
          <w:lang w:val="fr-CA"/>
        </w:rPr>
        <w:t>La juge en chef McLachlin et les juges Abella, Rothstein, Moldaver, Karakatsanis, Wagner et Gascon</w:t>
      </w:r>
    </w:p>
    <w:p w:rsidR="007F1C8D" w:rsidRDefault="007F1C8D" w:rsidP="007F1C8D">
      <w:pPr>
        <w:ind w:left="1440" w:hanging="1440"/>
        <w:jc w:val="both"/>
        <w:rPr>
          <w:rFonts w:eastAsia="Calibri"/>
          <w:sz w:val="20"/>
          <w:u w:val="single"/>
          <w:lang w:val="fr-CA"/>
        </w:rPr>
      </w:pPr>
    </w:p>
    <w:p w:rsidR="007F1C8D" w:rsidRDefault="007F1C8D" w:rsidP="007F1C8D">
      <w:pPr>
        <w:jc w:val="both"/>
        <w:rPr>
          <w:rFonts w:eastAsia="Calibri"/>
          <w:sz w:val="20"/>
        </w:rPr>
      </w:pPr>
      <w:r w:rsidRPr="00254A42">
        <w:rPr>
          <w:rFonts w:eastAsia="Calibri"/>
          <w:sz w:val="20"/>
          <w:lang w:val="fr-CA"/>
        </w:rPr>
        <w:t xml:space="preserve">L’appel interjeté contre l’arrêt de la Cour supérieure du Québec, numéro 500-36-006839-131, 2013 QCCS 5021, en date du 26 septembre 2013, entendu le 6 novembre 2014, est accueilli. </w:t>
      </w:r>
      <w:r w:rsidRPr="00254A42">
        <w:rPr>
          <w:rFonts w:eastAsia="Calibri"/>
          <w:sz w:val="20"/>
        </w:rPr>
        <w:t xml:space="preserve">L’ordonnance de détention est rétablie. </w:t>
      </w:r>
    </w:p>
    <w:p w:rsidR="007F1C8D" w:rsidRPr="007F1C8D" w:rsidRDefault="007F1C8D" w:rsidP="007F1C8D">
      <w:pPr>
        <w:jc w:val="both"/>
        <w:rPr>
          <w:rFonts w:eastAsia="Calibri"/>
          <w:sz w:val="20"/>
        </w:rPr>
      </w:pPr>
    </w:p>
    <w:p w:rsidR="007F1C8D" w:rsidRPr="00254A42" w:rsidRDefault="007F1C8D" w:rsidP="007F1C8D">
      <w:pPr>
        <w:jc w:val="both"/>
        <w:rPr>
          <w:rFonts w:eastAsia="Calibri"/>
          <w:sz w:val="20"/>
        </w:rPr>
      </w:pPr>
      <w:r w:rsidRPr="00254A42">
        <w:rPr>
          <w:rFonts w:eastAsia="Calibri"/>
          <w:sz w:val="20"/>
        </w:rPr>
        <w:t>The appeal from the judgment of the Superior Court of Quebec, Number  500-36-006839-131, 2013 QCCS 5021, dated September 26, 2013, heard on November 6, 2014, is allowed. The detention order is restored.</w:t>
      </w:r>
    </w:p>
    <w:p w:rsidR="005D7D6B" w:rsidRDefault="005D7D6B" w:rsidP="00FF6EEC">
      <w:pPr>
        <w:rPr>
          <w:b/>
          <w:sz w:val="20"/>
          <w:szCs w:val="20"/>
          <w:lang w:val="fr-CA"/>
        </w:rPr>
      </w:pPr>
    </w:p>
    <w:p w:rsidR="005D7D6B" w:rsidRDefault="005B3B50" w:rsidP="00FF6EEC">
      <w:pPr>
        <w:rPr>
          <w:b/>
          <w:sz w:val="20"/>
          <w:szCs w:val="20"/>
          <w:lang w:val="fr-CA"/>
        </w:rPr>
      </w:pPr>
      <w:r>
        <w:rPr>
          <w:b/>
          <w:sz w:val="20"/>
          <w:szCs w:val="20"/>
        </w:rPr>
        <w:pict>
          <v:rect id="_x0000_i1082" style="width:144.3pt;height:1pt" o:hrpct="300" o:hralign="center" o:hrstd="t" o:hrnoshade="t" o:hr="t" fillcolor="black [3213]" stroked="f"/>
        </w:pict>
      </w:r>
    </w:p>
    <w:p w:rsidR="005D7D6B" w:rsidRPr="003B3977" w:rsidRDefault="005D7D6B" w:rsidP="00FF6EEC">
      <w:pPr>
        <w:rPr>
          <w:b/>
          <w:sz w:val="20"/>
          <w:szCs w:val="20"/>
          <w:lang w:val="fr-CA"/>
        </w:rPr>
      </w:pPr>
    </w:p>
    <w:p w:rsidR="0052229C" w:rsidRPr="003B3977" w:rsidRDefault="0052229C" w:rsidP="0052229C">
      <w:pPr>
        <w:spacing w:line="0" w:lineRule="atLeast"/>
        <w:rPr>
          <w:sz w:val="20"/>
          <w:szCs w:val="20"/>
        </w:rPr>
      </w:pPr>
    </w:p>
    <w:p w:rsidR="0052229C" w:rsidRPr="003B3977" w:rsidRDefault="0052229C" w:rsidP="0052229C">
      <w:pPr>
        <w:spacing w:line="0" w:lineRule="atLeast"/>
        <w:rPr>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93"/>
          <w:headerReference w:type="default" r:id="rId94"/>
          <w:footerReference w:type="even" r:id="rId95"/>
          <w:footerReference w:type="default" r:id="rId96"/>
          <w:headerReference w:type="first" r:id="rId97"/>
          <w:footerReference w:type="first" r:id="rId98"/>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971EF1" w:rsidRPr="004660AC" w:rsidRDefault="00971EF1" w:rsidP="00971EF1">
      <w:pPr>
        <w:pStyle w:val="SCCLsocPrefix"/>
        <w:rPr>
          <w:b w:val="0"/>
          <w:smallCaps w:val="0"/>
          <w:sz w:val="20"/>
          <w:szCs w:val="20"/>
          <w:lang w:val="fr-CA"/>
        </w:rPr>
      </w:pPr>
      <w:r w:rsidRPr="004660AC">
        <w:rPr>
          <w:b w:val="0"/>
          <w:i/>
          <w:smallCaps w:val="0"/>
          <w:sz w:val="20"/>
          <w:szCs w:val="20"/>
          <w:lang w:val="fr-CA"/>
        </w:rPr>
        <w:t>Commission scolaire francophone du Yukon, district scolaire #23 c. Procureure générale du Territoire du Yukon</w:t>
      </w:r>
      <w:r w:rsidRPr="004660AC">
        <w:rPr>
          <w:b w:val="0"/>
          <w:smallCaps w:val="0"/>
          <w:sz w:val="20"/>
          <w:szCs w:val="20"/>
          <w:lang w:val="fr-CA"/>
        </w:rPr>
        <w:t xml:space="preserve"> (Yn) (</w:t>
      </w:r>
      <w:hyperlink r:id="rId99" w:history="1">
        <w:r w:rsidRPr="004660AC">
          <w:rPr>
            <w:rStyle w:val="Hyperlink"/>
            <w:b w:val="0"/>
            <w:sz w:val="20"/>
            <w:szCs w:val="20"/>
            <w:lang w:val="fr-CA"/>
          </w:rPr>
          <w:t>35823</w:t>
        </w:r>
      </w:hyperlink>
      <w:r w:rsidRPr="004660AC">
        <w:rPr>
          <w:b w:val="0"/>
          <w:sz w:val="20"/>
          <w:szCs w:val="20"/>
          <w:lang w:val="fr-CA"/>
        </w:rPr>
        <w:t>)</w:t>
      </w:r>
    </w:p>
    <w:p w:rsidR="00073F96" w:rsidRPr="00F67842" w:rsidRDefault="00073F96" w:rsidP="00073F96">
      <w:pPr>
        <w:jc w:val="both"/>
        <w:rPr>
          <w:b/>
          <w:sz w:val="20"/>
          <w:szCs w:val="20"/>
        </w:rPr>
      </w:pPr>
      <w:r w:rsidRPr="00F67842">
        <w:rPr>
          <w:b/>
          <w:sz w:val="20"/>
          <w:szCs w:val="20"/>
        </w:rPr>
        <w:t xml:space="preserve">Indexed as:  Yukon Francophone School Board, Education Area #23 </w:t>
      </w:r>
      <w:r w:rsidRPr="00F67842">
        <w:rPr>
          <w:b/>
          <w:i/>
          <w:sz w:val="20"/>
          <w:szCs w:val="20"/>
        </w:rPr>
        <w:t>v.</w:t>
      </w:r>
      <w:r w:rsidRPr="00F67842">
        <w:rPr>
          <w:b/>
          <w:sz w:val="20"/>
          <w:szCs w:val="20"/>
        </w:rPr>
        <w:t xml:space="preserve"> Yukon (</w:t>
      </w:r>
      <w:r w:rsidRPr="00F67842">
        <w:rPr>
          <w:rStyle w:val="SCCRespondentForIndexChar"/>
          <w:rFonts w:eastAsiaTheme="minorHAnsi"/>
          <w:sz w:val="20"/>
        </w:rPr>
        <w:t>Attorney General)</w:t>
      </w:r>
      <w:r>
        <w:rPr>
          <w:rStyle w:val="SCCRespondentForIndexChar"/>
          <w:rFonts w:eastAsiaTheme="minorHAnsi"/>
          <w:sz w:val="20"/>
        </w:rPr>
        <w:t xml:space="preserve"> /</w:t>
      </w:r>
    </w:p>
    <w:p w:rsidR="00073F96" w:rsidRPr="00293204" w:rsidRDefault="00073F96" w:rsidP="00073F96">
      <w:pPr>
        <w:jc w:val="both"/>
        <w:rPr>
          <w:b/>
          <w:sz w:val="20"/>
          <w:szCs w:val="20"/>
          <w:lang w:val="fr-CA"/>
        </w:rPr>
      </w:pPr>
      <w:r w:rsidRPr="00293204">
        <w:rPr>
          <w:b/>
          <w:sz w:val="20"/>
          <w:szCs w:val="20"/>
          <w:lang w:val="fr-CA"/>
        </w:rPr>
        <w:t xml:space="preserve">Répertorié : Commission scolaire francophone du Yukon, district scolaire </w:t>
      </w:r>
      <w:r w:rsidRPr="00293204">
        <w:rPr>
          <w:sz w:val="20"/>
          <w:szCs w:val="20"/>
          <w:lang w:val="fr-CA"/>
        </w:rPr>
        <w:t>#</w:t>
      </w:r>
      <w:r w:rsidRPr="00293204">
        <w:rPr>
          <w:b/>
          <w:sz w:val="20"/>
          <w:szCs w:val="20"/>
          <w:lang w:val="fr-CA"/>
        </w:rPr>
        <w:t xml:space="preserve">23 </w:t>
      </w:r>
      <w:r w:rsidRPr="00293204">
        <w:rPr>
          <w:b/>
          <w:i/>
          <w:sz w:val="20"/>
          <w:szCs w:val="20"/>
          <w:lang w:val="fr-CA"/>
        </w:rPr>
        <w:t>c.</w:t>
      </w:r>
      <w:r w:rsidRPr="00293204">
        <w:rPr>
          <w:b/>
          <w:sz w:val="20"/>
          <w:szCs w:val="20"/>
          <w:lang w:val="fr-CA"/>
        </w:rPr>
        <w:t xml:space="preserve"> Yukon (Procureure générale)</w:t>
      </w:r>
    </w:p>
    <w:p w:rsidR="0052229C" w:rsidRPr="00971EF1" w:rsidRDefault="0052229C" w:rsidP="0052229C">
      <w:pPr>
        <w:pStyle w:val="SCCSystemYear"/>
        <w:jc w:val="both"/>
        <w:rPr>
          <w:sz w:val="20"/>
        </w:rPr>
      </w:pPr>
      <w:r w:rsidRPr="00971EF1">
        <w:rPr>
          <w:sz w:val="20"/>
        </w:rPr>
        <w:t>Neutral citation:  201</w:t>
      </w:r>
      <w:r w:rsidR="00020DC3" w:rsidRPr="00971EF1">
        <w:rPr>
          <w:sz w:val="20"/>
        </w:rPr>
        <w:t>5</w:t>
      </w:r>
      <w:r w:rsidRPr="00971EF1">
        <w:rPr>
          <w:sz w:val="20"/>
        </w:rPr>
        <w:t xml:space="preserve"> SCC </w:t>
      </w:r>
      <w:r w:rsidR="006B0EB4">
        <w:rPr>
          <w:sz w:val="20"/>
        </w:rPr>
        <w:t>25</w:t>
      </w:r>
      <w:r w:rsidRPr="00971EF1">
        <w:rPr>
          <w:sz w:val="20"/>
        </w:rPr>
        <w:t xml:space="preserve"> / Référence neutre : 201</w:t>
      </w:r>
      <w:r w:rsidR="00020DC3" w:rsidRPr="00971EF1">
        <w:rPr>
          <w:sz w:val="20"/>
        </w:rPr>
        <w:t>5</w:t>
      </w:r>
      <w:r w:rsidRPr="00971EF1">
        <w:rPr>
          <w:sz w:val="20"/>
        </w:rPr>
        <w:t xml:space="preserve"> CSC </w:t>
      </w:r>
      <w:r w:rsidR="006B0EB4">
        <w:rPr>
          <w:sz w:val="20"/>
        </w:rPr>
        <w:t>25</w:t>
      </w:r>
    </w:p>
    <w:p w:rsidR="0052229C" w:rsidRPr="00971EF1" w:rsidRDefault="0052229C" w:rsidP="0052229C">
      <w:pPr>
        <w:rPr>
          <w:rFonts w:cs="Times New Roman"/>
          <w:sz w:val="20"/>
          <w:szCs w:val="20"/>
          <w:lang w:val="fr-CA"/>
        </w:rPr>
      </w:pPr>
      <w:r w:rsidRPr="00971EF1">
        <w:rPr>
          <w:rFonts w:cs="Times New Roman"/>
          <w:sz w:val="20"/>
          <w:szCs w:val="20"/>
          <w:lang w:val="fr-CA"/>
        </w:rPr>
        <w:t xml:space="preserve">Hearing:  </w:t>
      </w:r>
      <w:r w:rsidR="00073F96">
        <w:rPr>
          <w:rFonts w:cs="Times New Roman"/>
          <w:sz w:val="20"/>
          <w:szCs w:val="20"/>
          <w:lang w:val="fr-CA"/>
        </w:rPr>
        <w:t>Janua</w:t>
      </w:r>
      <w:r w:rsidRPr="00971EF1">
        <w:rPr>
          <w:rFonts w:cs="Times New Roman"/>
          <w:sz w:val="20"/>
          <w:szCs w:val="20"/>
          <w:lang w:val="fr-CA"/>
        </w:rPr>
        <w:t>r</w:t>
      </w:r>
      <w:r w:rsidR="00073F96">
        <w:rPr>
          <w:rFonts w:cs="Times New Roman"/>
          <w:sz w:val="20"/>
          <w:szCs w:val="20"/>
          <w:lang w:val="fr-CA"/>
        </w:rPr>
        <w:t>y</w:t>
      </w:r>
      <w:r w:rsidRPr="00971EF1">
        <w:rPr>
          <w:rFonts w:cs="Times New Roman"/>
          <w:sz w:val="20"/>
          <w:szCs w:val="20"/>
          <w:lang w:val="fr-CA"/>
        </w:rPr>
        <w:t xml:space="preserve"> 2</w:t>
      </w:r>
      <w:r w:rsidR="00073F96">
        <w:rPr>
          <w:rFonts w:cs="Times New Roman"/>
          <w:sz w:val="20"/>
          <w:szCs w:val="20"/>
          <w:lang w:val="fr-CA"/>
        </w:rPr>
        <w:t>1</w:t>
      </w:r>
      <w:r w:rsidRPr="00971EF1">
        <w:rPr>
          <w:rFonts w:cs="Times New Roman"/>
          <w:sz w:val="20"/>
          <w:szCs w:val="20"/>
          <w:lang w:val="fr-CA"/>
        </w:rPr>
        <w:t>, 201</w:t>
      </w:r>
      <w:r w:rsidR="00073F96">
        <w:rPr>
          <w:rFonts w:cs="Times New Roman"/>
          <w:sz w:val="20"/>
          <w:szCs w:val="20"/>
          <w:lang w:val="fr-CA"/>
        </w:rPr>
        <w:t>5</w:t>
      </w:r>
      <w:r w:rsidRPr="00971EF1">
        <w:rPr>
          <w:rFonts w:cs="Times New Roman"/>
          <w:sz w:val="20"/>
          <w:szCs w:val="20"/>
          <w:lang w:val="fr-CA"/>
        </w:rPr>
        <w:t xml:space="preserve"> / Judgment:  </w:t>
      </w:r>
      <w:r w:rsidR="00971EF1">
        <w:rPr>
          <w:rFonts w:cs="Times New Roman"/>
          <w:sz w:val="20"/>
          <w:szCs w:val="20"/>
          <w:lang w:val="fr-CA"/>
        </w:rPr>
        <w:t>M</w:t>
      </w:r>
      <w:r w:rsidRPr="00971EF1">
        <w:rPr>
          <w:rFonts w:cs="Times New Roman"/>
          <w:sz w:val="20"/>
          <w:szCs w:val="20"/>
          <w:lang w:val="fr-CA"/>
        </w:rPr>
        <w:t>ay 1</w:t>
      </w:r>
      <w:r w:rsidR="00971EF1">
        <w:rPr>
          <w:rFonts w:cs="Times New Roman"/>
          <w:sz w:val="20"/>
          <w:szCs w:val="20"/>
          <w:lang w:val="fr-CA"/>
        </w:rPr>
        <w:t>4</w:t>
      </w:r>
      <w:r w:rsidRPr="00971EF1">
        <w:rPr>
          <w:rFonts w:cs="Times New Roman"/>
          <w:sz w:val="20"/>
          <w:szCs w:val="20"/>
          <w:lang w:val="fr-CA"/>
        </w:rPr>
        <w:t>, 201</w:t>
      </w:r>
      <w:r w:rsidR="00020DC3" w:rsidRPr="00971EF1">
        <w:rPr>
          <w:rFonts w:cs="Times New Roman"/>
          <w:sz w:val="20"/>
          <w:szCs w:val="20"/>
          <w:lang w:val="fr-CA"/>
        </w:rPr>
        <w:t>5</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Pr>
          <w:rFonts w:cs="Times New Roman"/>
          <w:sz w:val="20"/>
          <w:szCs w:val="20"/>
          <w:lang w:val="fr-CA"/>
        </w:rPr>
        <w:t>2</w:t>
      </w:r>
      <w:r w:rsidR="00073F96">
        <w:rPr>
          <w:rFonts w:cs="Times New Roman"/>
          <w:sz w:val="20"/>
          <w:szCs w:val="20"/>
          <w:lang w:val="fr-CA"/>
        </w:rPr>
        <w:t>1 j</w:t>
      </w:r>
      <w:r>
        <w:rPr>
          <w:rFonts w:cs="Times New Roman"/>
          <w:sz w:val="20"/>
          <w:szCs w:val="20"/>
          <w:lang w:val="fr-CA"/>
        </w:rPr>
        <w:t>a</w:t>
      </w:r>
      <w:r w:rsidR="00073F96">
        <w:rPr>
          <w:rFonts w:cs="Times New Roman"/>
          <w:sz w:val="20"/>
          <w:szCs w:val="20"/>
          <w:lang w:val="fr-CA"/>
        </w:rPr>
        <w:t>n</w:t>
      </w:r>
      <w:r>
        <w:rPr>
          <w:rFonts w:cs="Times New Roman"/>
          <w:sz w:val="20"/>
          <w:szCs w:val="20"/>
          <w:lang w:val="fr-CA"/>
        </w:rPr>
        <w:t>vi</w:t>
      </w:r>
      <w:r w:rsidR="00073F96">
        <w:rPr>
          <w:rFonts w:cs="Times New Roman"/>
          <w:sz w:val="20"/>
          <w:szCs w:val="20"/>
          <w:lang w:val="fr-CA"/>
        </w:rPr>
        <w:t>er</w:t>
      </w:r>
      <w:r w:rsidRPr="003B3977">
        <w:rPr>
          <w:rFonts w:cs="Times New Roman"/>
          <w:sz w:val="20"/>
          <w:szCs w:val="20"/>
          <w:lang w:val="fr-CA"/>
        </w:rPr>
        <w:t xml:space="preserve"> 201</w:t>
      </w:r>
      <w:r w:rsidR="00073F96">
        <w:rPr>
          <w:rFonts w:cs="Times New Roman"/>
          <w:sz w:val="20"/>
          <w:szCs w:val="20"/>
          <w:lang w:val="fr-CA"/>
        </w:rPr>
        <w:t>5</w:t>
      </w:r>
      <w:r w:rsidRPr="003B3977">
        <w:rPr>
          <w:rFonts w:cs="Times New Roman"/>
          <w:sz w:val="20"/>
          <w:szCs w:val="20"/>
          <w:lang w:val="fr-CA"/>
        </w:rPr>
        <w:t xml:space="preserve"> / Jugement : Le </w:t>
      </w:r>
      <w:r>
        <w:rPr>
          <w:rFonts w:cs="Times New Roman"/>
          <w:sz w:val="20"/>
          <w:szCs w:val="20"/>
          <w:lang w:val="fr-CA"/>
        </w:rPr>
        <w:t>1</w:t>
      </w:r>
      <w:r w:rsidR="00971EF1">
        <w:rPr>
          <w:rFonts w:cs="Times New Roman"/>
          <w:sz w:val="20"/>
          <w:szCs w:val="20"/>
          <w:lang w:val="fr-CA"/>
        </w:rPr>
        <w:t>4 m</w:t>
      </w:r>
      <w:r>
        <w:rPr>
          <w:rFonts w:cs="Times New Roman"/>
          <w:sz w:val="20"/>
          <w:szCs w:val="20"/>
          <w:lang w:val="fr-CA"/>
        </w:rPr>
        <w:t>ai</w:t>
      </w:r>
      <w:r w:rsidRPr="003B3977">
        <w:rPr>
          <w:rFonts w:cs="Times New Roman"/>
          <w:sz w:val="20"/>
          <w:szCs w:val="20"/>
          <w:lang w:val="fr-CA"/>
        </w:rPr>
        <w:t xml:space="preserve"> 201</w:t>
      </w:r>
      <w:r w:rsidR="00020DC3">
        <w:rPr>
          <w:rFonts w:cs="Times New Roman"/>
          <w:sz w:val="20"/>
          <w:szCs w:val="20"/>
          <w:lang w:val="fr-CA"/>
        </w:rPr>
        <w:t>5</w:t>
      </w:r>
    </w:p>
    <w:p w:rsidR="005C6840" w:rsidRPr="003B3977" w:rsidRDefault="005B3B50" w:rsidP="005C6840">
      <w:pPr>
        <w:rPr>
          <w:rFonts w:cs="Times New Roman"/>
          <w:sz w:val="20"/>
          <w:szCs w:val="20"/>
          <w:lang w:val="fr-CA"/>
        </w:rPr>
      </w:pPr>
      <w:r>
        <w:rPr>
          <w:rFonts w:cs="Times New Roman"/>
          <w:i/>
          <w:sz w:val="20"/>
          <w:szCs w:val="20"/>
        </w:rPr>
        <w:pict>
          <v:rect id="_x0000_i1085"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073F96" w:rsidRPr="00293204" w:rsidRDefault="00073F96" w:rsidP="00073F96">
      <w:pPr>
        <w:jc w:val="both"/>
        <w:rPr>
          <w:sz w:val="20"/>
          <w:szCs w:val="20"/>
          <w:lang w:val="fr-CA"/>
        </w:rPr>
      </w:pPr>
      <w:r w:rsidRPr="00293204">
        <w:rPr>
          <w:sz w:val="20"/>
          <w:szCs w:val="20"/>
          <w:lang w:val="fr-CA"/>
        </w:rPr>
        <w:t>Présents : La juge en chef McLachlin et les juges Abella, Rothstein, Moldaver, Karakatsanis, Wagner et Gascon.</w:t>
      </w:r>
    </w:p>
    <w:p w:rsidR="00073F96" w:rsidRDefault="00073F96" w:rsidP="00073F96">
      <w:pPr>
        <w:pStyle w:val="SCCNormalDoubleSpacing"/>
        <w:widowControl w:val="0"/>
        <w:spacing w:line="240" w:lineRule="auto"/>
        <w:rPr>
          <w:sz w:val="20"/>
          <w:lang w:val="fr-CA"/>
        </w:rPr>
      </w:pPr>
    </w:p>
    <w:p w:rsidR="00073F96" w:rsidRPr="00293204" w:rsidRDefault="00073F96" w:rsidP="00073F96">
      <w:pPr>
        <w:pStyle w:val="SCCNormalDoubleSpacing"/>
        <w:widowControl w:val="0"/>
        <w:spacing w:line="240" w:lineRule="auto"/>
        <w:rPr>
          <w:i/>
          <w:sz w:val="20"/>
          <w:lang w:val="fr-CA"/>
        </w:rPr>
      </w:pPr>
      <w:r w:rsidRPr="00293204">
        <w:rPr>
          <w:sz w:val="20"/>
          <w:lang w:val="fr-CA"/>
        </w:rPr>
        <w:tab/>
      </w:r>
      <w:r w:rsidRPr="00293204">
        <w:rPr>
          <w:i/>
          <w:sz w:val="20"/>
          <w:lang w:val="fr-CA"/>
        </w:rPr>
        <w:t>Tribunaux — Juges — Impartialité — Crainte raisonnable de partialité — Allégation que les commentaires et les interventions du juge au procès ainsi que son engagement dans la communauté tant avant qu’après sa nomination à titre de juge suscitaient une crainte raisonnable de partialité — Le comportement du juge et son engagement dans la communauté suscitaient</w:t>
      </w:r>
      <w:r w:rsidRPr="00293204">
        <w:rPr>
          <w:i/>
          <w:sz w:val="20"/>
          <w:lang w:val="fr-CA"/>
        </w:rPr>
        <w:noBreakHyphen/>
        <w:t xml:space="preserve">ils une crainte raisonnable de partialité? </w:t>
      </w:r>
    </w:p>
    <w:p w:rsidR="00073F96" w:rsidRDefault="00073F96" w:rsidP="00073F96">
      <w:pPr>
        <w:pStyle w:val="SCCNormalDoubleSpacing"/>
        <w:widowControl w:val="0"/>
        <w:spacing w:line="240" w:lineRule="auto"/>
        <w:rPr>
          <w:i/>
          <w:sz w:val="20"/>
          <w:lang w:val="fr-CA"/>
        </w:rPr>
      </w:pPr>
    </w:p>
    <w:p w:rsidR="00073F96" w:rsidRPr="00293204" w:rsidRDefault="00073F96" w:rsidP="00073F96">
      <w:pPr>
        <w:pStyle w:val="SCCNormalDoubleSpacing"/>
        <w:widowControl w:val="0"/>
        <w:spacing w:line="240" w:lineRule="auto"/>
        <w:rPr>
          <w:i/>
          <w:sz w:val="20"/>
          <w:lang w:val="fr-CA"/>
        </w:rPr>
      </w:pPr>
      <w:r w:rsidRPr="00293204">
        <w:rPr>
          <w:i/>
          <w:sz w:val="20"/>
          <w:lang w:val="fr-CA"/>
        </w:rPr>
        <w:tab/>
        <w:t>Droit constitutionnel — Charte des droits — La commission scolaire peut</w:t>
      </w:r>
      <w:r w:rsidRPr="00293204">
        <w:rPr>
          <w:i/>
          <w:sz w:val="20"/>
          <w:lang w:val="fr-CA"/>
        </w:rPr>
        <w:noBreakHyphen/>
        <w:t>elle décider unilatéralement d’admettre des élèves qui ne sont pas visés par l’art. 23 de la Charte canadienne des droits et libertés?</w:t>
      </w:r>
    </w:p>
    <w:p w:rsidR="00073F96" w:rsidRDefault="00073F96" w:rsidP="00073F96">
      <w:pPr>
        <w:pStyle w:val="SCCNormalDoubleSpacing"/>
        <w:widowControl w:val="0"/>
        <w:spacing w:line="240" w:lineRule="auto"/>
        <w:rPr>
          <w:i/>
          <w:sz w:val="20"/>
          <w:lang w:val="fr-CA"/>
        </w:rPr>
      </w:pPr>
    </w:p>
    <w:p w:rsidR="00073F96" w:rsidRPr="00293204" w:rsidRDefault="00073F96" w:rsidP="00073F96">
      <w:pPr>
        <w:pStyle w:val="SCCNormalDoubleSpacing"/>
        <w:widowControl w:val="0"/>
        <w:spacing w:line="240" w:lineRule="auto"/>
        <w:rPr>
          <w:sz w:val="20"/>
          <w:lang w:val="fr-CA"/>
        </w:rPr>
      </w:pPr>
      <w:r w:rsidRPr="00293204">
        <w:rPr>
          <w:i/>
          <w:sz w:val="20"/>
          <w:lang w:val="fr-CA"/>
        </w:rPr>
        <w:tab/>
      </w:r>
      <w:r w:rsidRPr="00293204">
        <w:rPr>
          <w:sz w:val="20"/>
          <w:lang w:val="fr-CA"/>
        </w:rPr>
        <w:t>La Commission scolaire francophone du Yukon est la première et la seule commission scolaire de ce territoire. Elle ne gère qu’une seule école, l’école Émilie</w:t>
      </w:r>
      <w:r w:rsidRPr="00293204">
        <w:rPr>
          <w:sz w:val="20"/>
          <w:lang w:val="fr-CA"/>
        </w:rPr>
        <w:noBreakHyphen/>
        <w:t xml:space="preserve">Tremblay, une école de langue française fondée en 1984. En 2009, la Commission a intenté une poursuite contre le gouvernement du Yukon pour ce qui, selon elle, constituait des failles dans la prestation de l’instruction dans la langue de la minorité. Le juge du procès a tranché en faveur de la Commission sur la plupart des points. </w:t>
      </w:r>
    </w:p>
    <w:p w:rsidR="00073F96" w:rsidRDefault="00073F96" w:rsidP="00073F96">
      <w:pPr>
        <w:pStyle w:val="SCCNormalDoubleSpacing"/>
        <w:widowControl w:val="0"/>
        <w:spacing w:line="240" w:lineRule="auto"/>
        <w:rPr>
          <w:sz w:val="20"/>
          <w:lang w:val="fr-CA"/>
        </w:rPr>
      </w:pPr>
    </w:p>
    <w:p w:rsidR="00073F96" w:rsidRPr="00293204" w:rsidRDefault="00073F96" w:rsidP="00073F96">
      <w:pPr>
        <w:pStyle w:val="SCCNormalDoubleSpacing"/>
        <w:widowControl w:val="0"/>
        <w:spacing w:line="240" w:lineRule="auto"/>
        <w:rPr>
          <w:sz w:val="20"/>
          <w:lang w:val="fr-CA"/>
        </w:rPr>
      </w:pPr>
      <w:r w:rsidRPr="00293204">
        <w:rPr>
          <w:sz w:val="20"/>
          <w:lang w:val="fr-CA"/>
        </w:rPr>
        <w:tab/>
        <w:t xml:space="preserve">La Cour d’appel a conclu qu’il y avait une crainte raisonnable de partialité de la part du juge du procès en raison de plusieurs incidents survenus durant le procès ainsi que de l’engagement du juge à titre de gouverneur d’un organisme communautaire philanthropique francophone en Alberta. Par conséquent, elle a ordonné la tenue d’un nouveau procès sauf à l’égard de trois questions, dont seulement deux font l’objet du pourvoi devant notre Cour : la conclusion du juge du procès selon laquelle l’art. 23 de la </w:t>
      </w:r>
      <w:r w:rsidRPr="00293204">
        <w:rPr>
          <w:i/>
          <w:sz w:val="20"/>
          <w:lang w:val="fr-CA"/>
        </w:rPr>
        <w:t>Charte</w:t>
      </w:r>
      <w:r w:rsidRPr="00293204">
        <w:rPr>
          <w:sz w:val="20"/>
          <w:lang w:val="fr-CA"/>
        </w:rPr>
        <w:t xml:space="preserve"> accorde à la Commission le droit unilatéral de fixer les critères d’admission de manière à ce que ceux</w:t>
      </w:r>
      <w:r w:rsidRPr="00293204">
        <w:rPr>
          <w:sz w:val="20"/>
          <w:lang w:val="fr-CA"/>
        </w:rPr>
        <w:noBreakHyphen/>
        <w:t xml:space="preserve">ci s’appliquent aux élèves non visés par l’art. 23; la décision du juge du procès que le Yukon est tenu de communiquer avec la Commission en français. </w:t>
      </w:r>
    </w:p>
    <w:p w:rsidR="00073F96" w:rsidRDefault="00073F96" w:rsidP="00073F96">
      <w:pPr>
        <w:pStyle w:val="SCCNormalDoubleSpacing"/>
        <w:widowControl w:val="0"/>
        <w:spacing w:line="240" w:lineRule="auto"/>
        <w:rPr>
          <w:sz w:val="20"/>
          <w:lang w:val="fr-CA"/>
        </w:rPr>
      </w:pPr>
    </w:p>
    <w:p w:rsidR="00073F96" w:rsidRPr="00293204" w:rsidRDefault="00073F96" w:rsidP="00073F96">
      <w:pPr>
        <w:pStyle w:val="SCCNormalDoubleSpacing"/>
        <w:widowControl w:val="0"/>
        <w:spacing w:line="240" w:lineRule="auto"/>
        <w:rPr>
          <w:sz w:val="20"/>
          <w:lang w:val="fr-CA"/>
        </w:rPr>
      </w:pPr>
      <w:r w:rsidRPr="00293204">
        <w:rPr>
          <w:sz w:val="20"/>
          <w:lang w:val="fr-CA"/>
        </w:rPr>
        <w:tab/>
      </w:r>
      <w:r w:rsidRPr="00293204">
        <w:rPr>
          <w:i/>
          <w:sz w:val="20"/>
          <w:lang w:val="fr-CA"/>
        </w:rPr>
        <w:t>Arrêt</w:t>
      </w:r>
      <w:r w:rsidRPr="00293204">
        <w:rPr>
          <w:sz w:val="20"/>
          <w:lang w:val="fr-CA"/>
        </w:rPr>
        <w:t xml:space="preserve"> : L’appel interjeté à l’encontre de la conclusion de la Cour d’appel selon laquelle il existe une crainte raisonnable de partialité nécessitant la tenue d’un nouveau procès est rejeté, mais les demandes de la Commission fondées sur la </w:t>
      </w:r>
      <w:r w:rsidRPr="00293204">
        <w:rPr>
          <w:i/>
          <w:sz w:val="20"/>
          <w:lang w:val="fr-CA"/>
        </w:rPr>
        <w:t>Loi sur les langues</w:t>
      </w:r>
      <w:r w:rsidRPr="00293204">
        <w:rPr>
          <w:sz w:val="20"/>
          <w:lang w:val="fr-CA"/>
        </w:rPr>
        <w:t xml:space="preserve"> doivent être jointes aux autres questions renvoyées à la Cour d’appel pour décision à l’issue d’un nouveau procès. </w:t>
      </w:r>
    </w:p>
    <w:p w:rsidR="00073F96" w:rsidRDefault="00073F96" w:rsidP="00073F96">
      <w:pPr>
        <w:pStyle w:val="SCCNormalDoubleSpacing"/>
        <w:widowControl w:val="0"/>
        <w:spacing w:line="240" w:lineRule="auto"/>
        <w:rPr>
          <w:sz w:val="20"/>
          <w:lang w:val="fr-CA"/>
        </w:rPr>
      </w:pPr>
    </w:p>
    <w:p w:rsidR="00073F96" w:rsidRPr="00293204" w:rsidRDefault="00073F96" w:rsidP="00073F96">
      <w:pPr>
        <w:pStyle w:val="SCCNormalDoubleSpacing"/>
        <w:widowControl w:val="0"/>
        <w:spacing w:line="240" w:lineRule="auto"/>
        <w:rPr>
          <w:sz w:val="20"/>
          <w:lang w:val="fr-CA"/>
        </w:rPr>
      </w:pPr>
      <w:r w:rsidRPr="00293204">
        <w:rPr>
          <w:sz w:val="20"/>
          <w:lang w:val="fr-CA"/>
        </w:rPr>
        <w:tab/>
        <w:t xml:space="preserve">Le critère applicable pour déterminer s’il existe une crainte raisonnable de partialité est de savoir à quelle conclusion en arriverait une personne raisonnable et bien renseignée. L’objectif est de préserver la confiance du public dans le système juridique en assurant non seulement l’existence, mais l’apparence d’un processus décisionnel juste. Les notions d’impartialité et d’absence de préjugé sont devenues des exigences tant juridiques qu’éthiques. Les juges doivent — et sont censés — aborder toute affaire avec impartialité et un esprit ouvert. Puisqu’il y a une présomption d’impartialité judiciaire, le critère servant à déterminer s’il existe une crainte raisonnable de partialité exige une réelle probabilité de partialité. L’impartialité et la neutralité judiciaires ne signifient pas que le juge ne doit avoir aucune conception, opinion ou sensibilité préexistante. Ces notions requièrent plutôt que l’identité et l’expérience du juge ne l’empêchent pas de faire preuve d’ouverture d’esprit à l’égard de la preuve et des questions en litige. Le critère de la crainte raisonnable de partialité reconnaît que, bien que les juges doivent s’efforcer d’atteindre l’impartialité, ils ne sont pas tenus d’abandonner qui ils sont ou ce qu’ils savent. L’identité et l’expérience du juge forment une partie importante de qui il est, et ces deux aspects ne compromettent intrinsèquement ni la neutralité ni l’impartialité. Les juges devraient être encouragés à expérimenter, à apprendre et à saisir la « vie » : la leur et celles d’autrui qui témoignent d’autres réalités. La capacité d’être ouvert d’esprit est renforcée par ces connaissances et cette compréhension. L’impartialité exige donc, non pas qu’un juge passe sous silence ou néglige son vécu ou son identité, mais qu’il aborde chaque affaire avec un esprit ouvert, sans supposition inopportune et injustifiée. </w:t>
      </w:r>
    </w:p>
    <w:p w:rsidR="00073F96" w:rsidRDefault="00073F96" w:rsidP="00073F96">
      <w:pPr>
        <w:pStyle w:val="SCCNormalDoubleSpacing"/>
        <w:widowControl w:val="0"/>
        <w:spacing w:line="240" w:lineRule="auto"/>
        <w:rPr>
          <w:sz w:val="20"/>
          <w:lang w:val="fr-CA"/>
        </w:rPr>
      </w:pPr>
    </w:p>
    <w:p w:rsidR="00073F96" w:rsidRPr="00293204" w:rsidRDefault="00073F96" w:rsidP="00073F96">
      <w:pPr>
        <w:pStyle w:val="SCCNormalDoubleSpacing"/>
        <w:widowControl w:val="0"/>
        <w:spacing w:line="240" w:lineRule="auto"/>
        <w:rPr>
          <w:sz w:val="20"/>
          <w:lang w:val="fr-CA"/>
        </w:rPr>
      </w:pPr>
      <w:r w:rsidRPr="00293204">
        <w:rPr>
          <w:sz w:val="20"/>
          <w:lang w:val="fr-CA"/>
        </w:rPr>
        <w:tab/>
        <w:t xml:space="preserve">En l’espèce, le critère applicable pour conclure à l’existence d’une crainte raisonnable de partialité a été satisfait. Outre les commentaires désobligeants et irrespectueux que le juge du procès a faits envers l’avocat du Yukon, il s’est produit plusieurs incidents qui, lorsqu’examinés dans les circonstances du procès en entier, mènent inexorablement à cette conclusion.  </w:t>
      </w:r>
    </w:p>
    <w:p w:rsidR="00073F96" w:rsidRDefault="00073F96" w:rsidP="00073F96">
      <w:pPr>
        <w:pStyle w:val="SCCNormalDoubleSpacing"/>
        <w:widowControl w:val="0"/>
        <w:spacing w:line="240" w:lineRule="auto"/>
        <w:rPr>
          <w:sz w:val="20"/>
          <w:lang w:val="fr-CA"/>
        </w:rPr>
      </w:pPr>
    </w:p>
    <w:p w:rsidR="00073F96" w:rsidRPr="00293204" w:rsidRDefault="00073F96" w:rsidP="00073F96">
      <w:pPr>
        <w:pStyle w:val="SCCNormalDoubleSpacing"/>
        <w:widowControl w:val="0"/>
        <w:spacing w:line="240" w:lineRule="auto"/>
        <w:rPr>
          <w:sz w:val="20"/>
          <w:lang w:val="fr-CA"/>
        </w:rPr>
      </w:pPr>
      <w:r w:rsidRPr="00293204">
        <w:rPr>
          <w:sz w:val="20"/>
          <w:lang w:val="fr-CA"/>
        </w:rPr>
        <w:tab/>
        <w:t>Tout d’abord, il y a le comportement du juge du procès au cours d’un incident durant lequel l’avocat du Yukon a tenté de contre</w:t>
      </w:r>
      <w:r w:rsidRPr="00293204">
        <w:rPr>
          <w:sz w:val="20"/>
          <w:lang w:val="fr-CA"/>
        </w:rPr>
        <w:noBreakHyphen/>
        <w:t xml:space="preserve">interroger un témoin sur la foi des renseignements confidentiels figurant dans les dossiers d’élèves. Après avoir entendu quelques arguments sur la question de la confidentialité, le juge du procès a dit aux avocats qu’il entendrait d’autres arguments sur cette question le lendemain. Il a cependant ouvert l’audience le jour suivant en rendant une décision défavorable au Yukon et sans donner aux parties l’occasion de présenter d’autres arguments. Ce comportement est peu judicieux en soi, mais le refus du juge du procès d’entendre les arguments du Yukon après le prononcé de sa décision et sa réaction envers l’avocat sont plus troublants. Il a non seulement qualifié de répréhensible le comportement du Yukon, mais aussi accusé l’avocat du Yukon de jouer un petit jeu. Au vu de l’ensemble du dossier, le comportement du juge du procès était troublant et posait problème. </w:t>
      </w:r>
    </w:p>
    <w:p w:rsidR="00073F96" w:rsidRDefault="00073F96" w:rsidP="00073F96">
      <w:pPr>
        <w:pStyle w:val="SCCNormalDoubleSpacing"/>
        <w:widowControl w:val="0"/>
        <w:spacing w:line="240" w:lineRule="auto"/>
        <w:rPr>
          <w:sz w:val="20"/>
          <w:lang w:val="fr-CA"/>
        </w:rPr>
      </w:pPr>
    </w:p>
    <w:p w:rsidR="00073F96" w:rsidRPr="00293204" w:rsidRDefault="00073F96" w:rsidP="00073F96">
      <w:pPr>
        <w:pStyle w:val="SCCNormalDoubleSpacing"/>
        <w:widowControl w:val="0"/>
        <w:spacing w:line="240" w:lineRule="auto"/>
        <w:rPr>
          <w:sz w:val="20"/>
          <w:lang w:val="fr-CA"/>
        </w:rPr>
      </w:pPr>
      <w:r w:rsidRPr="00293204">
        <w:rPr>
          <w:sz w:val="20"/>
          <w:lang w:val="fr-CA"/>
        </w:rPr>
        <w:tab/>
        <w:t>Le juge du procès a également réagi de manière inconvenante à la demande du Yukon visant à présenter par voie d’affidavit la déposition d’un témoin qui avait été victime d’un accident vasculaire cérébral. Le juge a accusé l’avocat du Yukon de tenter de retarder le procès, l’a réprimandé pour avoir attendu le milieu du procès avant de présenter la demande, a laissé entendre que l’incident équivalait à de la mauvaise foi de la part du gouvernement et a averti l’avocat du Yukon qu’il pourrait être condamné personnellement aux dépens s’il présentait la demande. Le juge n’avait aucune raison de proférer des accusations et des réprimandes à l’endroit de l’avocat et, lorsqu’on examine cet incident dans le contexte de la suite du procès, il étaye davantage la conclusion qu’il existe une crainte raisonnable de partialité.</w:t>
      </w:r>
    </w:p>
    <w:p w:rsidR="00073F96" w:rsidRDefault="00073F96" w:rsidP="00073F96">
      <w:pPr>
        <w:pStyle w:val="SCCNormalDoubleSpacing"/>
        <w:widowControl w:val="0"/>
        <w:spacing w:line="240" w:lineRule="auto"/>
        <w:rPr>
          <w:sz w:val="20"/>
          <w:lang w:val="fr-CA"/>
        </w:rPr>
      </w:pPr>
    </w:p>
    <w:p w:rsidR="00073F96" w:rsidRPr="00293204" w:rsidRDefault="00073F96" w:rsidP="00073F96">
      <w:pPr>
        <w:pStyle w:val="SCCNormalDoubleSpacing"/>
        <w:widowControl w:val="0"/>
        <w:spacing w:line="240" w:lineRule="auto"/>
        <w:rPr>
          <w:sz w:val="20"/>
          <w:lang w:val="fr-CA"/>
        </w:rPr>
      </w:pPr>
      <w:r w:rsidRPr="00293204">
        <w:rPr>
          <w:sz w:val="20"/>
          <w:lang w:val="fr-CA"/>
        </w:rPr>
        <w:tab/>
        <w:t>De plus, le refus du juge du procès de permettre au Yukon de déposer une réponse concernant les dépens est très problématique dans le contexte global du procès. Après le prononcé de ses motifs sur le fond, le juge du procès a enjoint aux parties de présenter leurs mémoires des dépens le même jour. À la surprise du Yukon, la Commission a sollicité non seulement les dépens avocat</w:t>
      </w:r>
      <w:r w:rsidRPr="00293204">
        <w:rPr>
          <w:sz w:val="20"/>
          <w:lang w:val="fr-CA"/>
        </w:rPr>
        <w:noBreakHyphen/>
        <w:t>client, mais aussi des dépens punitifs et des dépens avocat</w:t>
      </w:r>
      <w:r w:rsidRPr="00293204">
        <w:rPr>
          <w:sz w:val="20"/>
          <w:lang w:val="fr-CA"/>
        </w:rPr>
        <w:noBreakHyphen/>
        <w:t xml:space="preserve">client remontant à 2002. Le refus du juge du procès de permettre au Yukon de présenter un mémoire en réplique est contestable, surtout compte tenu du fait que le Yukon ne pouvait connaître le montant des dépens sollicités par la Commission au moment où il a déposé son mémoire. Le refus du juge est d’autant plus inquiétant qu’il a décidé d’accorder une somme forfaitaire à la Commission, en plus des dépens rétroactifs. </w:t>
      </w:r>
    </w:p>
    <w:p w:rsidR="00073F96" w:rsidRDefault="00073F96" w:rsidP="00073F96">
      <w:pPr>
        <w:pStyle w:val="SCCNormalDoubleSpacing"/>
        <w:widowControl w:val="0"/>
        <w:spacing w:line="240" w:lineRule="auto"/>
        <w:rPr>
          <w:sz w:val="20"/>
          <w:lang w:val="fr-CA"/>
        </w:rPr>
      </w:pPr>
    </w:p>
    <w:p w:rsidR="00073F96" w:rsidRPr="00293204" w:rsidRDefault="00073F96" w:rsidP="00073F96">
      <w:pPr>
        <w:pStyle w:val="SCCNormalDoubleSpacing"/>
        <w:widowControl w:val="0"/>
        <w:spacing w:line="240" w:lineRule="auto"/>
        <w:rPr>
          <w:sz w:val="20"/>
          <w:lang w:val="fr-CA"/>
        </w:rPr>
      </w:pPr>
      <w:r w:rsidRPr="00293204">
        <w:rPr>
          <w:sz w:val="20"/>
          <w:lang w:val="fr-CA"/>
        </w:rPr>
        <w:tab/>
        <w:t xml:space="preserve">Pris ensemble et situés dans leur contexte, tous ces incidents amèneraient une personne raisonnable et bien renseignée à estimer que le comportement du juge du procès fait naître une crainte raisonnable de partialité.   </w:t>
      </w:r>
    </w:p>
    <w:p w:rsidR="00073F96" w:rsidRDefault="00073F96" w:rsidP="00073F96">
      <w:pPr>
        <w:pStyle w:val="SCCNormalDoubleSpacing"/>
        <w:widowControl w:val="0"/>
        <w:spacing w:line="240" w:lineRule="auto"/>
        <w:rPr>
          <w:sz w:val="20"/>
          <w:lang w:val="fr-CA"/>
        </w:rPr>
      </w:pPr>
    </w:p>
    <w:p w:rsidR="00073F96" w:rsidRPr="00293204" w:rsidRDefault="00073F96" w:rsidP="00073F96">
      <w:pPr>
        <w:pStyle w:val="SCCNormalDoubleSpacing"/>
        <w:widowControl w:val="0"/>
        <w:spacing w:line="240" w:lineRule="auto"/>
        <w:rPr>
          <w:sz w:val="20"/>
          <w:lang w:val="fr-CA"/>
        </w:rPr>
      </w:pPr>
      <w:r w:rsidRPr="00293204">
        <w:rPr>
          <w:sz w:val="20"/>
          <w:lang w:val="fr-CA"/>
        </w:rPr>
        <w:tab/>
        <w:t>Cependant, la Cour d’appel a commis une erreur lorsqu’elle a conclu que l’exercice actuel, par le juge du procès, de la fonction de gouverneur de la Fondation franco</w:t>
      </w:r>
      <w:r w:rsidRPr="00293204">
        <w:rPr>
          <w:sz w:val="20"/>
          <w:lang w:val="fr-CA"/>
        </w:rPr>
        <w:noBreakHyphen/>
        <w:t xml:space="preserve">albertaine a largement contribué à une crainte raisonnable de partialité. L’appartenance à une association affiliée aux intérêts d’une race, d’une nationalité, d’une religion ou d’une langue en particulier ne peut servir de fondement, sans plus, pour conclure raisonnablement qu’il y a apparence de partialité. Le Canada a déployé beaucoup d’efforts pour se doter d’une magistrature plus diversifiée. Cette même diversité ne devrait pas faire office de présomption que l’identité du juge ferme l’esprit judiciaire. </w:t>
      </w:r>
    </w:p>
    <w:p w:rsidR="00073F96" w:rsidRDefault="00073F96" w:rsidP="00073F96">
      <w:pPr>
        <w:pStyle w:val="SCCNormalDoubleSpacing"/>
        <w:widowControl w:val="0"/>
        <w:spacing w:line="240" w:lineRule="auto"/>
        <w:rPr>
          <w:sz w:val="20"/>
          <w:lang w:val="fr-CA"/>
        </w:rPr>
      </w:pPr>
    </w:p>
    <w:p w:rsidR="00073F96" w:rsidRPr="00293204" w:rsidRDefault="00073F96" w:rsidP="00073F96">
      <w:pPr>
        <w:pStyle w:val="SCCNormalDoubleSpacing"/>
        <w:widowControl w:val="0"/>
        <w:spacing w:line="240" w:lineRule="auto"/>
        <w:rPr>
          <w:sz w:val="20"/>
          <w:lang w:val="fr-CA"/>
        </w:rPr>
      </w:pPr>
      <w:r w:rsidRPr="00293204">
        <w:rPr>
          <w:sz w:val="20"/>
          <w:lang w:val="fr-CA"/>
        </w:rPr>
        <w:tab/>
        <w:t>En l’espèce, il est difficile de voir comment, au vu de la preuve, on pourrait conclure que la vision de la Fondation franco</w:t>
      </w:r>
      <w:r w:rsidRPr="00293204">
        <w:rPr>
          <w:sz w:val="20"/>
          <w:lang w:val="fr-CA"/>
        </w:rPr>
        <w:noBreakHyphen/>
        <w:t>albertaine pourrait « très bien s’harmoniser » avec certaines positions mises de l’avant par la Commission dans la présente affaire ou que l’engagement du juge du procès au sein de l’organisme l’empêchait d’aborder l’affaire avec un esprit ouvert. À elles seules, les déclarations vagues concernant la mission et la vision de l’organisme ne réfutent pas la présomption d’impartialité. Même si la prise en compte de la fonction de gouverneur de la Fondation franco</w:t>
      </w:r>
      <w:r w:rsidRPr="00293204">
        <w:rPr>
          <w:sz w:val="20"/>
          <w:lang w:val="fr-CA"/>
        </w:rPr>
        <w:noBreakHyphen/>
        <w:t>albertaine exercée présentement par le juge du procès faisait partie à juste titre de l’analyse contextuelle de la partialité en l’espèce, son engagement dans un organisme, dont les attributions sont en grande partie indéfinies d’après la preuve, ne saurait faire naître une crainte raisonnable de partialité.</w:t>
      </w:r>
    </w:p>
    <w:p w:rsidR="00073F96" w:rsidRDefault="00073F96" w:rsidP="00073F96">
      <w:pPr>
        <w:pStyle w:val="SCCNormalDoubleSpacing"/>
        <w:widowControl w:val="0"/>
        <w:spacing w:line="240" w:lineRule="auto"/>
        <w:rPr>
          <w:sz w:val="20"/>
          <w:lang w:val="fr-CA"/>
        </w:rPr>
      </w:pPr>
    </w:p>
    <w:p w:rsidR="00073F96" w:rsidRPr="00293204" w:rsidRDefault="00073F96" w:rsidP="00073F96">
      <w:pPr>
        <w:pStyle w:val="SCCNormalDoubleSpacing"/>
        <w:widowControl w:val="0"/>
        <w:spacing w:line="240" w:lineRule="auto"/>
        <w:rPr>
          <w:sz w:val="20"/>
          <w:lang w:val="fr-CA"/>
        </w:rPr>
      </w:pPr>
      <w:r w:rsidRPr="00293204">
        <w:rPr>
          <w:sz w:val="20"/>
          <w:lang w:val="fr-CA"/>
        </w:rPr>
        <w:tab/>
        <w:t>Il n’y a pas lieu de modifier la conclusion de la Cour d’appel que la Commission n’était pas habilitée à décider unilatéralement qui pouvait être admis à son école. Il ne fait aucun doute qu’une province ou un territoire puisse déléguer à une commission scolaire la fonction de fixer les critères d’admission à l’égard des enfants de non</w:t>
      </w:r>
      <w:r w:rsidRPr="00293204">
        <w:rPr>
          <w:sz w:val="20"/>
          <w:lang w:val="fr-CA"/>
        </w:rPr>
        <w:noBreakHyphen/>
        <w:t>ayants droit. Par cette délégation, on peut conférer à une commission scolaire de la minorité linguistique un large pouvoir discrétionnaire pour admettre les enfants de non</w:t>
      </w:r>
      <w:r w:rsidRPr="00293204">
        <w:rPr>
          <w:sz w:val="20"/>
          <w:lang w:val="fr-CA"/>
        </w:rPr>
        <w:noBreakHyphen/>
        <w:t>ayants droit. En l’espèce, toutefois, le Yukon n’a pas délégué à la Commission la fonction de fixer les critères d’admission à l’égard des enfants de non</w:t>
      </w:r>
      <w:r w:rsidRPr="00293204">
        <w:rPr>
          <w:sz w:val="20"/>
          <w:lang w:val="fr-CA"/>
        </w:rPr>
        <w:noBreakHyphen/>
        <w:t xml:space="preserve">ayants droit. À défaut d’une telle délégation, la Commission n’a pas le pouvoir de fixer unilatéralement des critères d’admission différents de ceux établis dans le règlement territorial applicable à l’instruction en français.  </w:t>
      </w:r>
    </w:p>
    <w:p w:rsidR="00073F96" w:rsidRDefault="00073F96" w:rsidP="00073F96">
      <w:pPr>
        <w:pStyle w:val="SCCNormalDoubleSpacing"/>
        <w:widowControl w:val="0"/>
        <w:spacing w:line="240" w:lineRule="auto"/>
        <w:rPr>
          <w:sz w:val="20"/>
          <w:lang w:val="fr-CA"/>
        </w:rPr>
      </w:pPr>
    </w:p>
    <w:p w:rsidR="00073F96" w:rsidRPr="00293204" w:rsidRDefault="00073F96" w:rsidP="00073F96">
      <w:pPr>
        <w:pStyle w:val="SCCNormalDoubleSpacing"/>
        <w:widowControl w:val="0"/>
        <w:spacing w:line="240" w:lineRule="auto"/>
        <w:rPr>
          <w:sz w:val="20"/>
          <w:lang w:val="fr-CA"/>
        </w:rPr>
      </w:pPr>
      <w:r w:rsidRPr="00293204">
        <w:rPr>
          <w:sz w:val="20"/>
          <w:lang w:val="fr-CA"/>
        </w:rPr>
        <w:tab/>
        <w:t xml:space="preserve">La Commission n’est pas pour autant empêchée de faire valoir que le Yukon n’a pas assuré suffisamment le respect de l’art. 23 et rien ne l’empêche de soutenir que l’approche adoptée par le Yukon à l’égard des admissions fait obstacle à la réalisation de l’objet de l’art. 23. </w:t>
      </w:r>
    </w:p>
    <w:p w:rsidR="00073F96" w:rsidRDefault="00073F96" w:rsidP="00073F96">
      <w:pPr>
        <w:pStyle w:val="SCCNormalDoubleSpacing"/>
        <w:widowControl w:val="0"/>
        <w:spacing w:line="240" w:lineRule="auto"/>
        <w:rPr>
          <w:sz w:val="20"/>
          <w:lang w:val="fr-CA"/>
        </w:rPr>
      </w:pPr>
    </w:p>
    <w:p w:rsidR="00073F96" w:rsidRDefault="00073F96" w:rsidP="00073F96">
      <w:pPr>
        <w:pStyle w:val="SCCNormalDoubleSpacing"/>
        <w:widowControl w:val="0"/>
        <w:spacing w:line="240" w:lineRule="auto"/>
        <w:rPr>
          <w:sz w:val="20"/>
          <w:lang w:val="fr-CA"/>
        </w:rPr>
      </w:pPr>
      <w:r w:rsidRPr="00293204">
        <w:rPr>
          <w:sz w:val="20"/>
          <w:lang w:val="fr-CA"/>
        </w:rPr>
        <w:tab/>
        <w:t>Enfin,</w:t>
      </w:r>
      <w:r w:rsidRPr="00293204">
        <w:rPr>
          <w:b/>
          <w:sz w:val="20"/>
          <w:lang w:val="fr-CA"/>
        </w:rPr>
        <w:t xml:space="preserve"> </w:t>
      </w:r>
      <w:r w:rsidRPr="00293204">
        <w:rPr>
          <w:sz w:val="20"/>
          <w:lang w:val="fr-CA"/>
        </w:rPr>
        <w:t>on ne voit pas pourquoi la Cour d’appel a décidé que la présente affaire ne se prêtait pas à la définition des droits conférés par la</w:t>
      </w:r>
      <w:r w:rsidRPr="00293204">
        <w:rPr>
          <w:i/>
          <w:sz w:val="20"/>
          <w:lang w:val="fr-CA"/>
        </w:rPr>
        <w:t xml:space="preserve"> Loi sur les langues</w:t>
      </w:r>
      <w:r w:rsidRPr="00293204">
        <w:rPr>
          <w:sz w:val="20"/>
          <w:lang w:val="fr-CA"/>
        </w:rPr>
        <w:t xml:space="preserve"> du Yukon. Les demandes de la Commission fondées sur la</w:t>
      </w:r>
      <w:r w:rsidRPr="00293204">
        <w:rPr>
          <w:i/>
          <w:sz w:val="20"/>
          <w:lang w:val="fr-CA"/>
        </w:rPr>
        <w:t xml:space="preserve"> Loi sur les langues</w:t>
      </w:r>
      <w:r w:rsidRPr="00293204">
        <w:rPr>
          <w:sz w:val="20"/>
          <w:lang w:val="fr-CA"/>
        </w:rPr>
        <w:t xml:space="preserve"> soulèvent des questions de fait importantes qui pourraient fort bien mener à la conclusion que des parties des demandes étaient justifiées et que ces demandes devraient être tranchées lors du nouveau procès à la lumière d’un dossier de preuve complet.  </w:t>
      </w:r>
    </w:p>
    <w:p w:rsidR="00073F96" w:rsidRDefault="00073F96" w:rsidP="00073F96">
      <w:pPr>
        <w:pStyle w:val="SCCNormalDoubleSpacing"/>
        <w:widowControl w:val="0"/>
        <w:spacing w:line="240" w:lineRule="auto"/>
        <w:rPr>
          <w:sz w:val="20"/>
          <w:lang w:val="fr-CA"/>
        </w:rPr>
      </w:pPr>
    </w:p>
    <w:p w:rsidR="00073F96" w:rsidRPr="00293204" w:rsidRDefault="00073F96" w:rsidP="00073F96">
      <w:pPr>
        <w:pStyle w:val="SCCNormalDoubleSpacing"/>
        <w:spacing w:line="240" w:lineRule="auto"/>
        <w:rPr>
          <w:sz w:val="20"/>
          <w:lang w:val="fr-CA"/>
        </w:rPr>
      </w:pPr>
      <w:r w:rsidRPr="00073F96">
        <w:rPr>
          <w:sz w:val="20"/>
          <w:lang w:val="fr-CA"/>
        </w:rPr>
        <w:tab/>
      </w:r>
      <w:r w:rsidRPr="00293204">
        <w:rPr>
          <w:sz w:val="20"/>
          <w:lang w:val="fr-CA"/>
        </w:rPr>
        <w:t>POURVOI contre un arrêt de la Cour d’appel du Yukon (les juges Groberman, Bennett et MacKenzie), 2014 YKCA 4, 351 B.C.A.C. 216, 599 W.A.C. 216, 2014 CarswellYukon 11 (WL Can.), qui a annulé une décision du juge Ouellette, 2011 YKSC 57, [2011] Y.J. n</w:t>
      </w:r>
      <w:r w:rsidRPr="00293204">
        <w:rPr>
          <w:sz w:val="20"/>
          <w:vertAlign w:val="superscript"/>
          <w:lang w:val="fr-CA"/>
        </w:rPr>
        <w:t>o</w:t>
      </w:r>
      <w:r w:rsidRPr="00293204">
        <w:rPr>
          <w:sz w:val="20"/>
          <w:lang w:val="fr-CA"/>
        </w:rPr>
        <w:t xml:space="preserve"> 132 (QL), 2011 CarswellYukon 67 (WL Can.), et ordonné la tenue d’un nouveau procès. Pourvoi rejeté en grande partie. </w:t>
      </w:r>
    </w:p>
    <w:p w:rsidR="00073F96" w:rsidRDefault="00073F96" w:rsidP="00073F96">
      <w:pPr>
        <w:pStyle w:val="SCCNormalDoubleSpacing"/>
        <w:spacing w:line="240" w:lineRule="auto"/>
        <w:rPr>
          <w:i/>
          <w:sz w:val="20"/>
          <w:lang w:val="fr-CA"/>
        </w:rPr>
      </w:pPr>
    </w:p>
    <w:p w:rsidR="00073F96" w:rsidRPr="00293204" w:rsidRDefault="00073F96" w:rsidP="00073F96">
      <w:pPr>
        <w:pStyle w:val="SCCNormalDoubleSpacing"/>
        <w:spacing w:line="240" w:lineRule="auto"/>
        <w:rPr>
          <w:sz w:val="20"/>
          <w:lang w:val="fr-CA"/>
        </w:rPr>
      </w:pPr>
      <w:r w:rsidRPr="00293204">
        <w:rPr>
          <w:i/>
          <w:sz w:val="20"/>
          <w:lang w:val="fr-CA"/>
        </w:rPr>
        <w:tab/>
        <w:t>Roger J. F. Lepage</w:t>
      </w:r>
      <w:r w:rsidRPr="00293204">
        <w:rPr>
          <w:sz w:val="20"/>
          <w:lang w:val="fr-CA"/>
        </w:rPr>
        <w:t xml:space="preserve">, </w:t>
      </w:r>
      <w:r w:rsidRPr="00293204">
        <w:rPr>
          <w:i/>
          <w:sz w:val="20"/>
          <w:lang w:val="fr-CA"/>
        </w:rPr>
        <w:t xml:space="preserve">Francis P. Poulin </w:t>
      </w:r>
      <w:r w:rsidRPr="00293204">
        <w:rPr>
          <w:sz w:val="20"/>
          <w:lang w:val="fr-CA"/>
        </w:rPr>
        <w:t xml:space="preserve">et </w:t>
      </w:r>
      <w:r w:rsidRPr="00293204">
        <w:rPr>
          <w:i/>
          <w:sz w:val="20"/>
          <w:lang w:val="fr-CA"/>
        </w:rPr>
        <w:t>André Poulin</w:t>
      </w:r>
      <w:r w:rsidRPr="00293204">
        <w:rPr>
          <w:i/>
          <w:sz w:val="20"/>
          <w:lang w:val="fr-CA"/>
        </w:rPr>
        <w:noBreakHyphen/>
        <w:t>Denis</w:t>
      </w:r>
      <w:r w:rsidRPr="00293204">
        <w:rPr>
          <w:sz w:val="20"/>
          <w:lang w:val="fr-CA"/>
        </w:rPr>
        <w:t>, pour l’appelante.</w:t>
      </w:r>
    </w:p>
    <w:p w:rsidR="00073F96" w:rsidRDefault="00073F96" w:rsidP="00073F96">
      <w:pPr>
        <w:pStyle w:val="SCCNormalDoubleSpacing"/>
        <w:spacing w:line="240" w:lineRule="auto"/>
        <w:rPr>
          <w:i/>
          <w:sz w:val="20"/>
          <w:lang w:val="fr-CA"/>
        </w:rPr>
      </w:pPr>
    </w:p>
    <w:p w:rsidR="00073F96" w:rsidRPr="00293204" w:rsidRDefault="00073F96" w:rsidP="00073F96">
      <w:pPr>
        <w:pStyle w:val="SCCNormalDoubleSpacing"/>
        <w:spacing w:line="240" w:lineRule="auto"/>
        <w:rPr>
          <w:sz w:val="20"/>
          <w:lang w:val="fr-CA"/>
        </w:rPr>
      </w:pPr>
      <w:r w:rsidRPr="00293204">
        <w:rPr>
          <w:i/>
          <w:sz w:val="20"/>
          <w:lang w:val="fr-CA"/>
        </w:rPr>
        <w:tab/>
        <w:t>François Baril</w:t>
      </w:r>
      <w:r w:rsidRPr="00293204">
        <w:rPr>
          <w:sz w:val="20"/>
          <w:lang w:val="fr-CA"/>
        </w:rPr>
        <w:t xml:space="preserve">, </w:t>
      </w:r>
      <w:r w:rsidRPr="00293204">
        <w:rPr>
          <w:i/>
          <w:sz w:val="20"/>
          <w:lang w:val="fr-CA"/>
        </w:rPr>
        <w:t>Maxime Faille</w:t>
      </w:r>
      <w:r w:rsidRPr="00293204">
        <w:rPr>
          <w:sz w:val="20"/>
          <w:lang w:val="fr-CA"/>
        </w:rPr>
        <w:t xml:space="preserve"> et </w:t>
      </w:r>
      <w:r w:rsidRPr="00293204">
        <w:rPr>
          <w:i/>
          <w:sz w:val="20"/>
          <w:lang w:val="fr-CA"/>
        </w:rPr>
        <w:t>Mark Pindera</w:t>
      </w:r>
      <w:r w:rsidRPr="00293204">
        <w:rPr>
          <w:sz w:val="20"/>
          <w:lang w:val="fr-CA"/>
        </w:rPr>
        <w:t>, pour l’intimée.</w:t>
      </w:r>
    </w:p>
    <w:p w:rsidR="00073F96" w:rsidRDefault="00073F96" w:rsidP="00073F96">
      <w:pPr>
        <w:pStyle w:val="SCCNormalDoubleSpacing"/>
        <w:spacing w:line="240" w:lineRule="auto"/>
        <w:rPr>
          <w:i/>
          <w:sz w:val="20"/>
          <w:lang w:val="fr-CA"/>
        </w:rPr>
      </w:pPr>
    </w:p>
    <w:p w:rsidR="00073F96" w:rsidRPr="00293204" w:rsidRDefault="00073F96" w:rsidP="00073F96">
      <w:pPr>
        <w:pStyle w:val="SCCNormalDoubleSpacing"/>
        <w:spacing w:line="240" w:lineRule="auto"/>
        <w:rPr>
          <w:sz w:val="20"/>
          <w:lang w:val="fr-CA"/>
        </w:rPr>
      </w:pPr>
      <w:r w:rsidRPr="00293204">
        <w:rPr>
          <w:i/>
          <w:sz w:val="20"/>
          <w:lang w:val="fr-CA"/>
        </w:rPr>
        <w:tab/>
        <w:t>Dominique A. Jobin</w:t>
      </w:r>
      <w:r w:rsidRPr="00293204">
        <w:rPr>
          <w:sz w:val="20"/>
          <w:lang w:val="fr-CA"/>
        </w:rPr>
        <w:t>, pour l’intervenante la procureure générale du Québec.</w:t>
      </w:r>
    </w:p>
    <w:p w:rsidR="00073F96" w:rsidRDefault="00073F96" w:rsidP="00073F96">
      <w:pPr>
        <w:pStyle w:val="SCCNormalDoubleSpacing"/>
        <w:spacing w:line="240" w:lineRule="auto"/>
        <w:rPr>
          <w:sz w:val="20"/>
          <w:lang w:val="fr-CA"/>
        </w:rPr>
      </w:pPr>
    </w:p>
    <w:p w:rsidR="00073F96" w:rsidRPr="00293204" w:rsidRDefault="00073F96" w:rsidP="00073F96">
      <w:pPr>
        <w:pStyle w:val="SCCNormalDoubleSpacing"/>
        <w:spacing w:line="240" w:lineRule="auto"/>
        <w:rPr>
          <w:sz w:val="20"/>
          <w:lang w:val="fr-CA"/>
        </w:rPr>
      </w:pPr>
      <w:r w:rsidRPr="00293204">
        <w:rPr>
          <w:sz w:val="20"/>
          <w:lang w:val="fr-CA"/>
        </w:rPr>
        <w:tab/>
      </w:r>
      <w:r w:rsidRPr="00293204">
        <w:rPr>
          <w:i/>
          <w:sz w:val="20"/>
          <w:lang w:val="fr-CA"/>
        </w:rPr>
        <w:t>Karrie Wolfe</w:t>
      </w:r>
      <w:r w:rsidRPr="00293204">
        <w:rPr>
          <w:sz w:val="20"/>
          <w:lang w:val="fr-CA"/>
        </w:rPr>
        <w:t>, pour l’intervenant le procureur général de la Colombie</w:t>
      </w:r>
      <w:r w:rsidRPr="00293204">
        <w:rPr>
          <w:sz w:val="20"/>
          <w:lang w:val="fr-CA"/>
        </w:rPr>
        <w:noBreakHyphen/>
        <w:t>Britannique.</w:t>
      </w:r>
    </w:p>
    <w:p w:rsidR="00073F96" w:rsidRDefault="00073F96" w:rsidP="00073F96">
      <w:pPr>
        <w:pStyle w:val="SCCNormalDoubleSpacing"/>
        <w:spacing w:line="240" w:lineRule="auto"/>
        <w:rPr>
          <w:sz w:val="20"/>
          <w:lang w:val="fr-CA"/>
        </w:rPr>
      </w:pPr>
    </w:p>
    <w:p w:rsidR="00073F96" w:rsidRPr="00293204" w:rsidRDefault="00073F96" w:rsidP="00073F96">
      <w:pPr>
        <w:pStyle w:val="SCCNormalDoubleSpacing"/>
        <w:spacing w:line="240" w:lineRule="auto"/>
        <w:rPr>
          <w:sz w:val="20"/>
          <w:lang w:val="fr-CA"/>
        </w:rPr>
      </w:pPr>
      <w:r w:rsidRPr="00293204">
        <w:rPr>
          <w:sz w:val="20"/>
          <w:lang w:val="fr-CA"/>
        </w:rPr>
        <w:tab/>
      </w:r>
      <w:r w:rsidRPr="00293204">
        <w:rPr>
          <w:i/>
          <w:sz w:val="20"/>
          <w:lang w:val="fr-CA"/>
        </w:rPr>
        <w:t>Alan F. Jacobson</w:t>
      </w:r>
      <w:r w:rsidRPr="00293204">
        <w:rPr>
          <w:sz w:val="20"/>
          <w:lang w:val="fr-CA"/>
        </w:rPr>
        <w:t xml:space="preserve"> et </w:t>
      </w:r>
      <w:r w:rsidRPr="00293204">
        <w:rPr>
          <w:i/>
          <w:sz w:val="20"/>
          <w:lang w:val="fr-CA"/>
        </w:rPr>
        <w:t>Barbara C. Mysko</w:t>
      </w:r>
      <w:r w:rsidRPr="00293204">
        <w:rPr>
          <w:sz w:val="20"/>
          <w:lang w:val="fr-CA"/>
        </w:rPr>
        <w:t>, pour l’intervenant le procureur général de la Saskatchewan.</w:t>
      </w:r>
    </w:p>
    <w:p w:rsidR="00073F96" w:rsidRDefault="00073F96" w:rsidP="00073F96">
      <w:pPr>
        <w:pStyle w:val="SCCNormalDoubleSpacing"/>
        <w:spacing w:line="240" w:lineRule="auto"/>
        <w:rPr>
          <w:sz w:val="20"/>
          <w:lang w:val="fr-CA"/>
        </w:rPr>
      </w:pPr>
    </w:p>
    <w:p w:rsidR="00073F96" w:rsidRPr="00293204" w:rsidRDefault="00073F96" w:rsidP="00073F96">
      <w:pPr>
        <w:pStyle w:val="SCCNormalDoubleSpacing"/>
        <w:spacing w:line="240" w:lineRule="auto"/>
        <w:rPr>
          <w:sz w:val="20"/>
          <w:lang w:val="fr-CA"/>
        </w:rPr>
      </w:pPr>
      <w:r w:rsidRPr="00293204">
        <w:rPr>
          <w:sz w:val="20"/>
          <w:lang w:val="fr-CA"/>
        </w:rPr>
        <w:tab/>
      </w:r>
      <w:r w:rsidRPr="00293204">
        <w:rPr>
          <w:i/>
          <w:sz w:val="20"/>
          <w:lang w:val="fr-CA"/>
        </w:rPr>
        <w:t>Guy Régimbald</w:t>
      </w:r>
      <w:r w:rsidRPr="00293204">
        <w:rPr>
          <w:sz w:val="20"/>
          <w:lang w:val="fr-CA"/>
        </w:rPr>
        <w:t>, pour l’intervenant le procureur général des Territoires du Nord</w:t>
      </w:r>
      <w:r w:rsidRPr="00293204">
        <w:rPr>
          <w:sz w:val="20"/>
          <w:lang w:val="fr-CA"/>
        </w:rPr>
        <w:noBreakHyphen/>
        <w:t>Ouest.</w:t>
      </w:r>
    </w:p>
    <w:p w:rsidR="00073F96" w:rsidRDefault="00073F96" w:rsidP="00073F96">
      <w:pPr>
        <w:pStyle w:val="SCCNormalDoubleSpacing"/>
        <w:spacing w:line="240" w:lineRule="auto"/>
        <w:rPr>
          <w:i/>
          <w:sz w:val="20"/>
          <w:lang w:val="fr-CA"/>
        </w:rPr>
      </w:pPr>
    </w:p>
    <w:p w:rsidR="00073F96" w:rsidRPr="00293204" w:rsidRDefault="00073F96" w:rsidP="00073F96">
      <w:pPr>
        <w:pStyle w:val="SCCNormalDoubleSpacing"/>
        <w:spacing w:line="240" w:lineRule="auto"/>
        <w:rPr>
          <w:sz w:val="20"/>
          <w:lang w:val="fr-CA"/>
        </w:rPr>
      </w:pPr>
      <w:r w:rsidRPr="00293204">
        <w:rPr>
          <w:i/>
          <w:sz w:val="20"/>
          <w:lang w:val="fr-CA"/>
        </w:rPr>
        <w:tab/>
        <w:t>Pascale Giguère</w:t>
      </w:r>
      <w:r w:rsidRPr="00293204">
        <w:rPr>
          <w:sz w:val="20"/>
          <w:lang w:val="fr-CA"/>
        </w:rPr>
        <w:t xml:space="preserve"> et </w:t>
      </w:r>
      <w:r w:rsidRPr="00293204">
        <w:rPr>
          <w:i/>
          <w:sz w:val="20"/>
          <w:lang w:val="fr-CA"/>
        </w:rPr>
        <w:t>Mathew Croitoru</w:t>
      </w:r>
      <w:r w:rsidRPr="00293204">
        <w:rPr>
          <w:sz w:val="20"/>
          <w:lang w:val="fr-CA"/>
        </w:rPr>
        <w:t>, pour l’intervenant le commissaire aux langues officielles du Canada.</w:t>
      </w:r>
    </w:p>
    <w:p w:rsidR="00073F96" w:rsidRDefault="00073F96" w:rsidP="00073F96">
      <w:pPr>
        <w:pStyle w:val="SCCNormalDoubleSpacing"/>
        <w:spacing w:line="240" w:lineRule="auto"/>
        <w:rPr>
          <w:i/>
          <w:sz w:val="20"/>
          <w:lang w:val="fr-CA"/>
        </w:rPr>
      </w:pPr>
    </w:p>
    <w:p w:rsidR="00073F96" w:rsidRPr="00293204" w:rsidRDefault="00073F96" w:rsidP="00073F96">
      <w:pPr>
        <w:pStyle w:val="SCCNormalDoubleSpacing"/>
        <w:spacing w:line="240" w:lineRule="auto"/>
        <w:rPr>
          <w:sz w:val="20"/>
          <w:lang w:val="fr-CA"/>
        </w:rPr>
      </w:pPr>
      <w:r w:rsidRPr="00293204">
        <w:rPr>
          <w:i/>
          <w:sz w:val="20"/>
          <w:lang w:val="fr-CA"/>
        </w:rPr>
        <w:tab/>
        <w:t>Robert W. Grant, c.r.,</w:t>
      </w:r>
      <w:r w:rsidRPr="00293204">
        <w:rPr>
          <w:sz w:val="20"/>
          <w:lang w:val="fr-CA"/>
        </w:rPr>
        <w:t xml:space="preserve"> </w:t>
      </w:r>
      <w:r w:rsidRPr="00293204">
        <w:rPr>
          <w:i/>
          <w:sz w:val="20"/>
          <w:lang w:val="fr-CA"/>
        </w:rPr>
        <w:t>Maxine Vincelette</w:t>
      </w:r>
      <w:r w:rsidRPr="00293204">
        <w:rPr>
          <w:sz w:val="20"/>
          <w:lang w:val="fr-CA"/>
        </w:rPr>
        <w:t xml:space="preserve"> et </w:t>
      </w:r>
      <w:r w:rsidRPr="00293204">
        <w:rPr>
          <w:i/>
          <w:sz w:val="20"/>
          <w:lang w:val="fr-CA"/>
        </w:rPr>
        <w:t>David P. Taylor,</w:t>
      </w:r>
      <w:r w:rsidRPr="00293204">
        <w:rPr>
          <w:sz w:val="20"/>
          <w:lang w:val="fr-CA"/>
        </w:rPr>
        <w:t xml:space="preserve"> pour les intervenants le Conseil scolaire francophone de la Colombie</w:t>
      </w:r>
      <w:r w:rsidRPr="00293204">
        <w:rPr>
          <w:sz w:val="20"/>
          <w:lang w:val="fr-CA"/>
        </w:rPr>
        <w:noBreakHyphen/>
        <w:t>Britannique et la Fédération des parents francophones de Colombie</w:t>
      </w:r>
      <w:r w:rsidRPr="00293204">
        <w:rPr>
          <w:sz w:val="20"/>
          <w:lang w:val="fr-CA"/>
        </w:rPr>
        <w:noBreakHyphen/>
        <w:t>Britannique.</w:t>
      </w:r>
    </w:p>
    <w:p w:rsidR="00073F96" w:rsidRDefault="00073F96" w:rsidP="00073F96">
      <w:pPr>
        <w:pStyle w:val="SCCNormalDoubleSpacing"/>
        <w:spacing w:line="240" w:lineRule="auto"/>
        <w:rPr>
          <w:i/>
          <w:sz w:val="20"/>
          <w:lang w:val="fr-CA"/>
        </w:rPr>
      </w:pPr>
    </w:p>
    <w:p w:rsidR="00073F96" w:rsidRPr="00293204" w:rsidRDefault="00073F96" w:rsidP="00073F96">
      <w:pPr>
        <w:pStyle w:val="SCCNormalDoubleSpacing"/>
        <w:spacing w:line="240" w:lineRule="auto"/>
        <w:rPr>
          <w:sz w:val="20"/>
          <w:lang w:val="fr-CA"/>
        </w:rPr>
      </w:pPr>
      <w:r w:rsidRPr="00293204">
        <w:rPr>
          <w:i/>
          <w:sz w:val="20"/>
          <w:lang w:val="fr-CA"/>
        </w:rPr>
        <w:tab/>
        <w:t>Nicolas M. Rouleau</w:t>
      </w:r>
      <w:r w:rsidRPr="00293204">
        <w:rPr>
          <w:sz w:val="20"/>
          <w:lang w:val="fr-CA"/>
        </w:rPr>
        <w:t xml:space="preserve"> et </w:t>
      </w:r>
      <w:r w:rsidRPr="00293204">
        <w:rPr>
          <w:i/>
          <w:sz w:val="20"/>
          <w:lang w:val="fr-CA"/>
        </w:rPr>
        <w:t>Sylvain Rouleau</w:t>
      </w:r>
      <w:r w:rsidRPr="00293204">
        <w:rPr>
          <w:sz w:val="20"/>
          <w:lang w:val="fr-CA"/>
        </w:rPr>
        <w:t>, pour l’intervenante la Fédération des parents francophones de l’Alberta.</w:t>
      </w:r>
    </w:p>
    <w:p w:rsidR="00073F96" w:rsidRDefault="00073F96" w:rsidP="00073F96">
      <w:pPr>
        <w:pStyle w:val="SCCNormalDoubleSpacing"/>
        <w:spacing w:line="240" w:lineRule="auto"/>
        <w:rPr>
          <w:i/>
          <w:sz w:val="20"/>
          <w:lang w:val="fr-CA"/>
        </w:rPr>
      </w:pPr>
    </w:p>
    <w:p w:rsidR="00073F96" w:rsidRPr="00293204" w:rsidRDefault="00073F96" w:rsidP="00073F96">
      <w:pPr>
        <w:pStyle w:val="SCCNormalDoubleSpacing"/>
        <w:spacing w:line="240" w:lineRule="auto"/>
        <w:rPr>
          <w:sz w:val="20"/>
          <w:lang w:val="fr-CA"/>
        </w:rPr>
      </w:pPr>
      <w:r w:rsidRPr="00293204">
        <w:rPr>
          <w:i/>
          <w:sz w:val="20"/>
          <w:lang w:val="fr-CA"/>
        </w:rPr>
        <w:tab/>
        <w:t>Mark C. Power</w:t>
      </w:r>
      <w:r w:rsidRPr="00293204">
        <w:rPr>
          <w:sz w:val="20"/>
          <w:lang w:val="fr-CA"/>
        </w:rPr>
        <w:t xml:space="preserve"> et </w:t>
      </w:r>
      <w:r w:rsidRPr="00293204">
        <w:rPr>
          <w:i/>
          <w:sz w:val="20"/>
          <w:lang w:val="fr-CA"/>
        </w:rPr>
        <w:t>Justin Dubois</w:t>
      </w:r>
      <w:r w:rsidRPr="00293204">
        <w:rPr>
          <w:sz w:val="20"/>
          <w:lang w:val="fr-CA"/>
        </w:rPr>
        <w:t>, pour les intervenantes la Fédération nationale des conseils scolaires francophones et la Fédération des communautés francophones et acadienne du Canada.</w:t>
      </w:r>
    </w:p>
    <w:p w:rsidR="00073F96" w:rsidRDefault="00073F96" w:rsidP="00073F96">
      <w:pPr>
        <w:pStyle w:val="SCCLawFirm"/>
        <w:spacing w:line="240" w:lineRule="auto"/>
        <w:rPr>
          <w:sz w:val="20"/>
          <w:lang w:val="fr-CA"/>
        </w:rPr>
      </w:pPr>
    </w:p>
    <w:p w:rsidR="00073F96" w:rsidRPr="00293204" w:rsidRDefault="00073F96" w:rsidP="00073F96">
      <w:pPr>
        <w:pStyle w:val="SCCLawFirm"/>
        <w:spacing w:line="240" w:lineRule="auto"/>
        <w:rPr>
          <w:sz w:val="20"/>
          <w:lang w:val="fr-CA"/>
        </w:rPr>
      </w:pPr>
      <w:r w:rsidRPr="00293204">
        <w:rPr>
          <w:sz w:val="20"/>
          <w:lang w:val="fr-CA"/>
        </w:rPr>
        <w:tab/>
        <w:t>Procureurs de l’appelante : Miller Thomson, Regina.</w:t>
      </w:r>
    </w:p>
    <w:p w:rsidR="00073F96" w:rsidRDefault="00073F96" w:rsidP="00073F96">
      <w:pPr>
        <w:pStyle w:val="SCCLawFirm"/>
        <w:spacing w:line="240" w:lineRule="auto"/>
        <w:rPr>
          <w:sz w:val="20"/>
          <w:lang w:val="fr-CA"/>
        </w:rPr>
      </w:pPr>
    </w:p>
    <w:p w:rsidR="00073F96" w:rsidRPr="00293204" w:rsidRDefault="00073F96" w:rsidP="00073F96">
      <w:pPr>
        <w:pStyle w:val="SCCLawFirm"/>
        <w:spacing w:line="240" w:lineRule="auto"/>
        <w:rPr>
          <w:sz w:val="20"/>
          <w:lang w:val="fr-CA"/>
        </w:rPr>
      </w:pPr>
      <w:r w:rsidRPr="00293204">
        <w:rPr>
          <w:sz w:val="20"/>
          <w:lang w:val="fr-CA"/>
        </w:rPr>
        <w:tab/>
        <w:t>Procureurs de l’intimée : Gowling Lafleur Henderson, Ottawa; Procureure générale du Territoire du Yukon, Whitehorse.</w:t>
      </w:r>
    </w:p>
    <w:p w:rsidR="00073F96" w:rsidRDefault="00073F96" w:rsidP="00073F96">
      <w:pPr>
        <w:pStyle w:val="SCCLawFirm"/>
        <w:spacing w:line="240" w:lineRule="auto"/>
        <w:rPr>
          <w:sz w:val="20"/>
          <w:lang w:val="fr-CA"/>
        </w:rPr>
      </w:pPr>
    </w:p>
    <w:p w:rsidR="00073F96" w:rsidRPr="00293204" w:rsidRDefault="00073F96" w:rsidP="00073F96">
      <w:pPr>
        <w:pStyle w:val="SCCLawFirm"/>
        <w:spacing w:line="240" w:lineRule="auto"/>
        <w:rPr>
          <w:sz w:val="20"/>
          <w:lang w:val="fr-CA"/>
        </w:rPr>
      </w:pPr>
      <w:r w:rsidRPr="00293204">
        <w:rPr>
          <w:sz w:val="20"/>
          <w:lang w:val="fr-CA"/>
        </w:rPr>
        <w:tab/>
        <w:t>Procureur de l’intervenante la procureure générale du Québec : Procureure générale du Québec, Québec.</w:t>
      </w:r>
    </w:p>
    <w:p w:rsidR="00073F96" w:rsidRDefault="00073F96" w:rsidP="00073F96">
      <w:pPr>
        <w:pStyle w:val="SCCLawFirm"/>
        <w:spacing w:line="240" w:lineRule="auto"/>
        <w:rPr>
          <w:sz w:val="20"/>
          <w:lang w:val="fr-CA"/>
        </w:rPr>
      </w:pPr>
    </w:p>
    <w:p w:rsidR="00073F96" w:rsidRPr="00293204" w:rsidRDefault="00073F96" w:rsidP="00073F96">
      <w:pPr>
        <w:pStyle w:val="SCCLawFirm"/>
        <w:spacing w:line="240" w:lineRule="auto"/>
        <w:rPr>
          <w:sz w:val="20"/>
          <w:lang w:val="fr-CA"/>
        </w:rPr>
      </w:pPr>
      <w:r w:rsidRPr="00293204">
        <w:rPr>
          <w:sz w:val="20"/>
          <w:lang w:val="fr-CA"/>
        </w:rPr>
        <w:tab/>
        <w:t>Procureur de l’intervenant le procureur général de la Colombie</w:t>
      </w:r>
      <w:r w:rsidRPr="00293204">
        <w:rPr>
          <w:sz w:val="20"/>
          <w:lang w:val="fr-CA"/>
        </w:rPr>
        <w:noBreakHyphen/>
        <w:t>Britannique : Procureur général de la Colombie</w:t>
      </w:r>
      <w:r w:rsidRPr="00293204">
        <w:rPr>
          <w:sz w:val="20"/>
          <w:lang w:val="fr-CA"/>
        </w:rPr>
        <w:noBreakHyphen/>
        <w:t>Britannique, Victoria.</w:t>
      </w:r>
    </w:p>
    <w:p w:rsidR="00073F96" w:rsidRDefault="00073F96" w:rsidP="00073F96">
      <w:pPr>
        <w:pStyle w:val="SCCLawFirm"/>
        <w:spacing w:line="240" w:lineRule="auto"/>
        <w:rPr>
          <w:sz w:val="20"/>
          <w:lang w:val="fr-CA"/>
        </w:rPr>
      </w:pPr>
    </w:p>
    <w:p w:rsidR="00073F96" w:rsidRPr="00293204" w:rsidRDefault="00073F96" w:rsidP="00073F96">
      <w:pPr>
        <w:pStyle w:val="SCCLawFirm"/>
        <w:spacing w:line="240" w:lineRule="auto"/>
        <w:rPr>
          <w:sz w:val="20"/>
          <w:lang w:val="fr-CA"/>
        </w:rPr>
      </w:pPr>
      <w:r w:rsidRPr="00293204">
        <w:rPr>
          <w:sz w:val="20"/>
          <w:lang w:val="fr-CA"/>
        </w:rPr>
        <w:tab/>
        <w:t>Procureur de l’intervenant le procureur général de la Saskatchewan : Procureur général de la Saskatchewan, Regina.</w:t>
      </w:r>
    </w:p>
    <w:p w:rsidR="00073F96" w:rsidRDefault="00073F96" w:rsidP="00073F96">
      <w:pPr>
        <w:pStyle w:val="SCCLawFirm"/>
        <w:spacing w:line="240" w:lineRule="auto"/>
        <w:rPr>
          <w:sz w:val="20"/>
          <w:lang w:val="fr-CA"/>
        </w:rPr>
      </w:pPr>
    </w:p>
    <w:p w:rsidR="00073F96" w:rsidRPr="00293204" w:rsidRDefault="00073F96" w:rsidP="00073F96">
      <w:pPr>
        <w:pStyle w:val="SCCLawFirm"/>
        <w:spacing w:line="240" w:lineRule="auto"/>
        <w:rPr>
          <w:sz w:val="20"/>
          <w:lang w:val="fr-CA"/>
        </w:rPr>
      </w:pPr>
      <w:r w:rsidRPr="00293204">
        <w:rPr>
          <w:sz w:val="20"/>
          <w:lang w:val="fr-CA"/>
        </w:rPr>
        <w:tab/>
        <w:t>Procureurs de l’intervenant le procureur général des Territoires du Nord</w:t>
      </w:r>
      <w:r w:rsidRPr="00293204">
        <w:rPr>
          <w:sz w:val="20"/>
          <w:lang w:val="fr-CA"/>
        </w:rPr>
        <w:noBreakHyphen/>
        <w:t>Ouest : Gowling Lafleur Henderson, Ottawa.</w:t>
      </w:r>
    </w:p>
    <w:p w:rsidR="00073F96" w:rsidRDefault="00073F96" w:rsidP="00073F96">
      <w:pPr>
        <w:pStyle w:val="SCCLawFirm"/>
        <w:spacing w:line="240" w:lineRule="auto"/>
        <w:rPr>
          <w:sz w:val="20"/>
          <w:lang w:val="fr-CA"/>
        </w:rPr>
      </w:pPr>
    </w:p>
    <w:p w:rsidR="00073F96" w:rsidRPr="00293204" w:rsidRDefault="00073F96" w:rsidP="00073F96">
      <w:pPr>
        <w:pStyle w:val="SCCLawFirm"/>
        <w:spacing w:line="240" w:lineRule="auto"/>
        <w:rPr>
          <w:sz w:val="20"/>
          <w:lang w:val="fr-CA"/>
        </w:rPr>
      </w:pPr>
      <w:r w:rsidRPr="00293204">
        <w:rPr>
          <w:sz w:val="20"/>
          <w:lang w:val="fr-CA"/>
        </w:rPr>
        <w:tab/>
        <w:t>Procureur de l’intervenant le commissaire aux langues officielles du Canada : Commissariat aux langues officielles du Canada, Gatineau.</w:t>
      </w:r>
    </w:p>
    <w:p w:rsidR="00073F96" w:rsidRDefault="00073F96" w:rsidP="00073F96">
      <w:pPr>
        <w:pStyle w:val="SCCLawFirm"/>
        <w:spacing w:line="240" w:lineRule="auto"/>
        <w:rPr>
          <w:sz w:val="20"/>
          <w:lang w:val="fr-CA"/>
        </w:rPr>
      </w:pPr>
    </w:p>
    <w:p w:rsidR="00073F96" w:rsidRPr="00293204" w:rsidRDefault="00073F96" w:rsidP="00073F96">
      <w:pPr>
        <w:pStyle w:val="SCCLawFirm"/>
        <w:spacing w:line="240" w:lineRule="auto"/>
        <w:rPr>
          <w:sz w:val="20"/>
          <w:lang w:val="fr-CA"/>
        </w:rPr>
      </w:pPr>
      <w:r w:rsidRPr="00293204">
        <w:rPr>
          <w:sz w:val="20"/>
          <w:lang w:val="fr-CA"/>
        </w:rPr>
        <w:tab/>
        <w:t>Procureurs des intervenants le Conseil scolaire francophone de la Colombie</w:t>
      </w:r>
      <w:r w:rsidRPr="00293204">
        <w:rPr>
          <w:sz w:val="20"/>
          <w:lang w:val="fr-CA"/>
        </w:rPr>
        <w:noBreakHyphen/>
        <w:t>Britannique et la Fédération des parents francophones de Colombie</w:t>
      </w:r>
      <w:r w:rsidRPr="00293204">
        <w:rPr>
          <w:sz w:val="20"/>
          <w:lang w:val="fr-CA"/>
        </w:rPr>
        <w:noBreakHyphen/>
        <w:t>Britannique : Gall, Legge, Grant &amp; Munroe, Vancouver; Juristes Power, Vancouver.</w:t>
      </w:r>
    </w:p>
    <w:p w:rsidR="00073F96" w:rsidRDefault="00073F96" w:rsidP="00073F96">
      <w:pPr>
        <w:pStyle w:val="SCCLawFirm"/>
        <w:spacing w:line="240" w:lineRule="auto"/>
        <w:rPr>
          <w:sz w:val="20"/>
          <w:lang w:val="fr-CA"/>
        </w:rPr>
      </w:pPr>
    </w:p>
    <w:p w:rsidR="00073F96" w:rsidRPr="00293204" w:rsidRDefault="00073F96" w:rsidP="00073F96">
      <w:pPr>
        <w:pStyle w:val="SCCLawFirm"/>
        <w:spacing w:line="240" w:lineRule="auto"/>
        <w:rPr>
          <w:sz w:val="20"/>
          <w:lang w:val="fr-CA"/>
        </w:rPr>
      </w:pPr>
      <w:r w:rsidRPr="00293204">
        <w:rPr>
          <w:sz w:val="20"/>
          <w:lang w:val="fr-CA"/>
        </w:rPr>
        <w:tab/>
        <w:t>Procureurs de l’intervenante la Fédération des parents francophones de l’Alberta : Nicolas M. Rouleau, Toronto; WeirFoulds, Toronto.</w:t>
      </w:r>
    </w:p>
    <w:p w:rsidR="00073F96" w:rsidRDefault="00073F96" w:rsidP="00073F96">
      <w:pPr>
        <w:pStyle w:val="SCCLawFirm"/>
        <w:spacing w:line="240" w:lineRule="auto"/>
        <w:rPr>
          <w:sz w:val="20"/>
          <w:lang w:val="fr-CA"/>
        </w:rPr>
      </w:pPr>
    </w:p>
    <w:p w:rsidR="00073F96" w:rsidRDefault="00073F96" w:rsidP="00073F96">
      <w:pPr>
        <w:pStyle w:val="SCCLawFirm"/>
        <w:spacing w:line="240" w:lineRule="auto"/>
        <w:rPr>
          <w:sz w:val="20"/>
          <w:lang w:val="fr-CA"/>
        </w:rPr>
      </w:pPr>
      <w:r w:rsidRPr="00293204">
        <w:rPr>
          <w:sz w:val="20"/>
          <w:lang w:val="fr-CA"/>
        </w:rPr>
        <w:tab/>
        <w:t>Procureurs des intervenantes la Fédération nationale des conseils scolaires francophones et la Fédération des communautés francophones et acadienne du Canada : Juristes Power, Vancouver.</w:t>
      </w:r>
    </w:p>
    <w:p w:rsidR="0052229C" w:rsidRPr="00822540" w:rsidRDefault="0052229C" w:rsidP="0052229C">
      <w:pPr>
        <w:rPr>
          <w:rFonts w:cs="Times New Roman"/>
          <w:sz w:val="20"/>
          <w:szCs w:val="20"/>
        </w:rPr>
      </w:pPr>
      <w:r w:rsidRPr="00822540">
        <w:rPr>
          <w:rFonts w:cs="Times New Roman"/>
          <w:sz w:val="20"/>
          <w:szCs w:val="20"/>
        </w:rPr>
        <w:t>________________________</w:t>
      </w:r>
    </w:p>
    <w:p w:rsidR="0052229C" w:rsidRPr="00822540" w:rsidRDefault="0052229C" w:rsidP="0052229C">
      <w:pPr>
        <w:rPr>
          <w:rFonts w:cs="Times New Roman"/>
          <w:sz w:val="20"/>
          <w:szCs w:val="20"/>
        </w:rPr>
      </w:pPr>
    </w:p>
    <w:p w:rsidR="00073F96" w:rsidRPr="00F67842" w:rsidRDefault="00073F96" w:rsidP="00073F96">
      <w:pPr>
        <w:jc w:val="both"/>
        <w:rPr>
          <w:sz w:val="20"/>
          <w:szCs w:val="20"/>
        </w:rPr>
      </w:pPr>
      <w:r w:rsidRPr="00F67842">
        <w:rPr>
          <w:sz w:val="20"/>
          <w:szCs w:val="20"/>
        </w:rPr>
        <w:t>Present: McLachlin C.J. and Abella, Rothstein, Moldaver, Karakatsanis, Wagner and Gascon JJ.</w:t>
      </w:r>
    </w:p>
    <w:p w:rsidR="00073F96" w:rsidRDefault="00073F96" w:rsidP="00073F96">
      <w:pPr>
        <w:pStyle w:val="SCCNormalDoubleSpacing"/>
        <w:widowControl w:val="0"/>
        <w:spacing w:line="240" w:lineRule="auto"/>
        <w:rPr>
          <w:sz w:val="20"/>
        </w:rPr>
      </w:pPr>
    </w:p>
    <w:p w:rsidR="00073F96" w:rsidRPr="00F67842" w:rsidRDefault="00073F96" w:rsidP="00073F96">
      <w:pPr>
        <w:pStyle w:val="SCCNormalDoubleSpacing"/>
        <w:widowControl w:val="0"/>
        <w:spacing w:line="240" w:lineRule="auto"/>
        <w:rPr>
          <w:i/>
          <w:sz w:val="20"/>
        </w:rPr>
      </w:pPr>
      <w:r w:rsidRPr="00F67842">
        <w:rPr>
          <w:sz w:val="20"/>
        </w:rPr>
        <w:tab/>
      </w:r>
      <w:r w:rsidRPr="00F67842">
        <w:rPr>
          <w:i/>
          <w:sz w:val="20"/>
        </w:rPr>
        <w:t>Courts — Judges — Impartiality — Reasonable apprehension of bias — Allegation that judge’s comments and interventions at trial as well as his community involvement before and after appointment as a judge gave rise to reasonable apprehension of bias — Whether judge’s conduct and community involvement raised reasonable apprehension of bias.</w:t>
      </w:r>
    </w:p>
    <w:p w:rsidR="00073F96" w:rsidRDefault="00073F96" w:rsidP="00073F96">
      <w:pPr>
        <w:pStyle w:val="SCCNormalDoubleSpacing"/>
        <w:widowControl w:val="0"/>
        <w:spacing w:line="240" w:lineRule="auto"/>
        <w:rPr>
          <w:i/>
          <w:sz w:val="20"/>
        </w:rPr>
      </w:pPr>
    </w:p>
    <w:p w:rsidR="00073F96" w:rsidRPr="00F67842" w:rsidRDefault="00073F96" w:rsidP="00073F96">
      <w:pPr>
        <w:pStyle w:val="SCCNormalDoubleSpacing"/>
        <w:widowControl w:val="0"/>
        <w:spacing w:line="240" w:lineRule="auto"/>
        <w:rPr>
          <w:b/>
          <w:i/>
          <w:sz w:val="20"/>
        </w:rPr>
      </w:pPr>
      <w:r w:rsidRPr="00F67842">
        <w:rPr>
          <w:i/>
          <w:sz w:val="20"/>
        </w:rPr>
        <w:tab/>
        <w:t>Constitutional law — Charter of rights — Whether school board can unilaterally decide to admit students who are not covered by s. 23 of the Canadian Charter of Rights and Freedoms.</w:t>
      </w:r>
    </w:p>
    <w:p w:rsidR="00073F96" w:rsidRDefault="00073F96" w:rsidP="00073F96">
      <w:pPr>
        <w:pStyle w:val="SCCNormalDoubleSpacing"/>
        <w:widowControl w:val="0"/>
        <w:spacing w:line="240" w:lineRule="auto"/>
        <w:rPr>
          <w:sz w:val="20"/>
        </w:rPr>
      </w:pPr>
    </w:p>
    <w:p w:rsidR="00073F96" w:rsidRPr="00F67842" w:rsidRDefault="00073F96" w:rsidP="00073F96">
      <w:pPr>
        <w:pStyle w:val="SCCNormalDoubleSpacing"/>
        <w:widowControl w:val="0"/>
        <w:spacing w:line="240" w:lineRule="auto"/>
        <w:rPr>
          <w:sz w:val="20"/>
        </w:rPr>
      </w:pPr>
      <w:r w:rsidRPr="00F67842">
        <w:rPr>
          <w:sz w:val="20"/>
        </w:rPr>
        <w:tab/>
        <w:t>The Yukon Francophone School Board is the first and only school board in the Yukon. It has responsibility for one school, École Émilie</w:t>
      </w:r>
      <w:r w:rsidRPr="00F67842">
        <w:rPr>
          <w:sz w:val="20"/>
        </w:rPr>
        <w:noBreakHyphen/>
        <w:t>Tremblay, a French</w:t>
      </w:r>
      <w:r w:rsidRPr="00F67842">
        <w:rPr>
          <w:sz w:val="20"/>
        </w:rPr>
        <w:noBreakHyphen/>
        <w:t>language school founded in 1984. In 2009, the Board sued the Yukon government for what it claimed were deficiencies in the provision of minority language education. The trial judge ruled in the Board’s favour on most issues.</w:t>
      </w:r>
    </w:p>
    <w:p w:rsidR="00073F96" w:rsidRDefault="00073F96" w:rsidP="00073F96">
      <w:pPr>
        <w:pStyle w:val="SCCNormalDoubleSpacing"/>
        <w:widowControl w:val="0"/>
        <w:spacing w:line="240" w:lineRule="auto"/>
        <w:rPr>
          <w:sz w:val="20"/>
        </w:rPr>
      </w:pPr>
    </w:p>
    <w:p w:rsidR="00073F96" w:rsidRPr="00F67842" w:rsidRDefault="00073F96" w:rsidP="00073F96">
      <w:pPr>
        <w:pStyle w:val="SCCNormalDoubleSpacing"/>
        <w:widowControl w:val="0"/>
        <w:spacing w:line="240" w:lineRule="auto"/>
        <w:rPr>
          <w:sz w:val="20"/>
        </w:rPr>
      </w:pPr>
      <w:r w:rsidRPr="00F67842">
        <w:rPr>
          <w:sz w:val="20"/>
        </w:rPr>
        <w:tab/>
        <w:t xml:space="preserve">The Court of Appeal concluded that there was a reasonable apprehension of bias on the part of the trial judge based on a number of incidents during the trial as well as the trial judge’s involvement as a governor of a philanthropic francophone community organization in Alberta. Accordingly, it ordered a new trial except on three issues, only two of which were appealed to this Court: the trial judge’s conclusion that, under s. 23 of the </w:t>
      </w:r>
      <w:r w:rsidRPr="00F67842">
        <w:rPr>
          <w:i/>
          <w:sz w:val="20"/>
        </w:rPr>
        <w:t>Charter</w:t>
      </w:r>
      <w:r w:rsidRPr="00F67842">
        <w:rPr>
          <w:sz w:val="20"/>
        </w:rPr>
        <w:t>, the Board had the unilateral right to set admission criteria so as to include students who are not covered by s. 23; and the trial judge’s decision that the Yukon is required to communicate with the Board in French.</w:t>
      </w:r>
    </w:p>
    <w:p w:rsidR="00073F96" w:rsidRDefault="00073F96" w:rsidP="00073F96">
      <w:pPr>
        <w:pStyle w:val="SCCNormalDoubleSpacing"/>
        <w:widowControl w:val="0"/>
        <w:spacing w:line="240" w:lineRule="auto"/>
        <w:rPr>
          <w:sz w:val="20"/>
        </w:rPr>
      </w:pPr>
    </w:p>
    <w:p w:rsidR="00073F96" w:rsidRPr="00F67842" w:rsidRDefault="00073F96" w:rsidP="00073F96">
      <w:pPr>
        <w:pStyle w:val="SCCNormalDoubleSpacing"/>
        <w:widowControl w:val="0"/>
        <w:spacing w:line="240" w:lineRule="auto"/>
        <w:rPr>
          <w:sz w:val="20"/>
        </w:rPr>
      </w:pPr>
      <w:r w:rsidRPr="00F67842">
        <w:rPr>
          <w:sz w:val="20"/>
        </w:rPr>
        <w:tab/>
      </w:r>
      <w:r w:rsidRPr="00F67842">
        <w:rPr>
          <w:i/>
          <w:sz w:val="20"/>
        </w:rPr>
        <w:t>Held</w:t>
      </w:r>
      <w:r w:rsidRPr="00F67842">
        <w:rPr>
          <w:sz w:val="20"/>
        </w:rPr>
        <w:t xml:space="preserve">: The appeal from the Court of Appeal’s conclusion that there was a reasonable apprehension of bias requiring a new trial is dismissed, but the Board’s claims pursuant to the </w:t>
      </w:r>
      <w:r w:rsidRPr="00F67842">
        <w:rPr>
          <w:i/>
          <w:sz w:val="20"/>
        </w:rPr>
        <w:t>Languages Act</w:t>
      </w:r>
      <w:r w:rsidRPr="00F67842">
        <w:rPr>
          <w:sz w:val="20"/>
        </w:rPr>
        <w:t xml:space="preserve"> should be joined with the other issues remitted by the Court of Appeal for determination at a new trial.</w:t>
      </w:r>
    </w:p>
    <w:p w:rsidR="00073F96" w:rsidRDefault="00073F96" w:rsidP="00073F96">
      <w:pPr>
        <w:pStyle w:val="SCCNormalDoubleSpacing"/>
        <w:widowControl w:val="0"/>
        <w:spacing w:line="240" w:lineRule="auto"/>
        <w:rPr>
          <w:sz w:val="20"/>
        </w:rPr>
      </w:pPr>
    </w:p>
    <w:p w:rsidR="00073F96" w:rsidRPr="00F67842" w:rsidRDefault="00073F96" w:rsidP="00073F96">
      <w:pPr>
        <w:pStyle w:val="SCCNormalDoubleSpacing"/>
        <w:widowControl w:val="0"/>
        <w:spacing w:line="240" w:lineRule="auto"/>
        <w:rPr>
          <w:sz w:val="20"/>
        </w:rPr>
      </w:pPr>
      <w:r w:rsidRPr="00F67842">
        <w:rPr>
          <w:sz w:val="20"/>
        </w:rPr>
        <w:tab/>
        <w:t>The test for a reasonable apprehension of bias is what would a reasonable, informed person think. The objective is to protect public confidence in the legal system by ensuring not only the reality, but the appearance of a fair adjudicative process. Impartiality and the absence of bias have developed as both legal and ethical requirements. Judges are required — and expected — to approach every case with impartiality and an open mind. Because there is a presumption of judicial impartiality, the test for a reasonable apprehension of bias requires a real likelihood or probability of bias. Judicial impartiality and neutrality do not mean that a judge must have no prior conceptions, opinions or sensibilities. Rather, they require that the judge’s identity and experiences not close his or her mind to the evidence and issues. The reasonable apprehension of bias test recognizes that while judges must strive for impartiality, they are not required to abandon who they are or what they know. A judge’s identity and experiences are an important part of who he or she is, and neither neutrality nor impartiality is inherently compromised by them. Judges should be encouraged to experience, learn and understand “life” — their own and those whose lives reflect different realities. The ability to be open</w:t>
      </w:r>
      <w:r w:rsidRPr="00F67842">
        <w:rPr>
          <w:sz w:val="20"/>
        </w:rPr>
        <w:noBreakHyphen/>
        <w:t>minded is enhanced by such knowledge and understanding. Impartiality thus demands not that a judge discount or disregard his or her life experiences or identity, but that he or she approach each case with an open mind, free from inappropriate and undue assumptions.</w:t>
      </w:r>
    </w:p>
    <w:p w:rsidR="00073F96" w:rsidRDefault="00073F96" w:rsidP="00073F96">
      <w:pPr>
        <w:pStyle w:val="SCCNormalDoubleSpacing"/>
        <w:widowControl w:val="0"/>
        <w:spacing w:line="240" w:lineRule="auto"/>
        <w:rPr>
          <w:sz w:val="20"/>
        </w:rPr>
      </w:pPr>
    </w:p>
    <w:p w:rsidR="00073F96" w:rsidRPr="00F67842" w:rsidRDefault="00073F96" w:rsidP="00073F96">
      <w:pPr>
        <w:pStyle w:val="SCCNormalDoubleSpacing"/>
        <w:widowControl w:val="0"/>
        <w:spacing w:line="240" w:lineRule="auto"/>
        <w:rPr>
          <w:sz w:val="20"/>
        </w:rPr>
      </w:pPr>
      <w:r w:rsidRPr="00F67842">
        <w:rPr>
          <w:sz w:val="20"/>
        </w:rPr>
        <w:tab/>
        <w:t>In the present case, the threshold for a finding of a reasonable apprehension of bias has been met. In addition to several disparaging and disrespectful remarks made by the trial judge and directed at counsel for the Yukon, several incidents occurred which, when viewed in the circumstances of the entire trial, lead inexorably to this conclusion.</w:t>
      </w:r>
    </w:p>
    <w:p w:rsidR="00073F96" w:rsidRDefault="00073F96" w:rsidP="00073F96">
      <w:pPr>
        <w:pStyle w:val="SCCNormalDoubleSpacing"/>
        <w:widowControl w:val="0"/>
        <w:spacing w:line="240" w:lineRule="auto"/>
        <w:rPr>
          <w:sz w:val="20"/>
        </w:rPr>
      </w:pPr>
    </w:p>
    <w:p w:rsidR="00073F96" w:rsidRPr="00F67842" w:rsidRDefault="00073F96" w:rsidP="00073F96">
      <w:pPr>
        <w:pStyle w:val="SCCNormalDoubleSpacing"/>
        <w:widowControl w:val="0"/>
        <w:spacing w:line="240" w:lineRule="auto"/>
        <w:rPr>
          <w:sz w:val="20"/>
        </w:rPr>
      </w:pPr>
      <w:r w:rsidRPr="00F67842">
        <w:rPr>
          <w:sz w:val="20"/>
        </w:rPr>
        <w:tab/>
        <w:t>The first was the trial judge’s conduct during an incident where counsel for the Yukon attempted to cross</w:t>
      </w:r>
      <w:r w:rsidRPr="00F67842">
        <w:rPr>
          <w:sz w:val="20"/>
        </w:rPr>
        <w:noBreakHyphen/>
        <w:t>examine a witness based on confidential information contained in student files. After hearing some argument on the confidentiality issue, the trial judge told counsel he would entertain additional arguments on the matter the following day. However, he started the next day’s proceedings with a ruling unfavourable to the Yukon and without giving the parties an opportunity to present further argument. While this by itself is unwise, the trial judge’s refusal to hear the Yukon’s arguments after his ruling, and his reaction to counsel, are more disturbing. He both characterized the Yukon’s behaviour as reprehensible and accused counsel for the Yukon of playing games. Viewed in the context of the entire record, the trial judge’s conduct was troubling and problematic.</w:t>
      </w:r>
    </w:p>
    <w:p w:rsidR="00073F96" w:rsidRDefault="00073F96" w:rsidP="00073F96">
      <w:pPr>
        <w:pStyle w:val="SCCNormalDoubleSpacing"/>
        <w:widowControl w:val="0"/>
        <w:spacing w:line="240" w:lineRule="auto"/>
        <w:rPr>
          <w:sz w:val="20"/>
        </w:rPr>
      </w:pPr>
    </w:p>
    <w:p w:rsidR="00073F96" w:rsidRPr="00F67842" w:rsidRDefault="00073F96" w:rsidP="00073F96">
      <w:pPr>
        <w:pStyle w:val="SCCNormalDoubleSpacing"/>
        <w:widowControl w:val="0"/>
        <w:spacing w:line="240" w:lineRule="auto"/>
        <w:rPr>
          <w:sz w:val="20"/>
        </w:rPr>
      </w:pPr>
      <w:r w:rsidRPr="00F67842">
        <w:rPr>
          <w:sz w:val="20"/>
        </w:rPr>
        <w:tab/>
        <w:t>The trial judge’s treatment of the Yukon’s request to submit affidavit evidence from a witness who had suffered a stroke was also improper. The judge accused counsel for the Yukon of trying to delay the trial, criticized him for waiting half</w:t>
      </w:r>
      <w:r w:rsidRPr="00F67842">
        <w:rPr>
          <w:sz w:val="20"/>
        </w:rPr>
        <w:noBreakHyphen/>
        <w:t>way through the trial to make the application, suggested that that the incident amounted to bad faith on the part of the government, and warned counsel for the Yukon that he could be ordered to pay costs personally if he brought the application. There was no basis for the accusations and criticism levelled at counsel and, viewed in the context of the rest of the trial, this incident provides further support for a finding of a reasonable apprehension of bias.</w:t>
      </w:r>
    </w:p>
    <w:p w:rsidR="00073F96" w:rsidRDefault="00073F96" w:rsidP="00073F96">
      <w:pPr>
        <w:pStyle w:val="SCCNormalDoubleSpacing"/>
        <w:widowControl w:val="0"/>
        <w:spacing w:line="240" w:lineRule="auto"/>
        <w:rPr>
          <w:sz w:val="20"/>
        </w:rPr>
      </w:pPr>
    </w:p>
    <w:p w:rsidR="00073F96" w:rsidRPr="00F67842" w:rsidRDefault="00073F96" w:rsidP="00073F96">
      <w:pPr>
        <w:pStyle w:val="SCCNormalDoubleSpacing"/>
        <w:widowControl w:val="0"/>
        <w:spacing w:line="240" w:lineRule="auto"/>
        <w:rPr>
          <w:sz w:val="20"/>
        </w:rPr>
      </w:pPr>
      <w:r w:rsidRPr="00F67842">
        <w:rPr>
          <w:sz w:val="20"/>
        </w:rPr>
        <w:tab/>
        <w:t>Moreover, the trial judge’s refusal to allow the Yukon to file a reply on costs is highly problematic in the overall context of the trial. After the release of his reasons on the merits, the trial judge required each party to file their costs submissions on the same day. To the Yukon’s surprise, the Board sought not only solicitor</w:t>
      </w:r>
      <w:r w:rsidRPr="00F67842">
        <w:rPr>
          <w:sz w:val="20"/>
        </w:rPr>
        <w:noBreakHyphen/>
        <w:t>client costs, but also punitive damages and solicitor</w:t>
      </w:r>
      <w:r w:rsidRPr="00F67842">
        <w:rPr>
          <w:sz w:val="20"/>
        </w:rPr>
        <w:noBreakHyphen/>
        <w:t>client costs retroactive to 2002. The trial judge’s refusal to allow the Yukon to file a reply factum is questionable, particularly in light of the fact that the Yukon could not have known the quantum of costs sought by the Board at the time it filed its factum. The judge’s refusal is made all the more worrisome by his decision to award a lump</w:t>
      </w:r>
      <w:r w:rsidRPr="00F67842">
        <w:rPr>
          <w:sz w:val="20"/>
        </w:rPr>
        <w:noBreakHyphen/>
        <w:t>sum payment to the Board, in addition to retroactive costs.</w:t>
      </w:r>
    </w:p>
    <w:p w:rsidR="00073F96" w:rsidRDefault="00073F96" w:rsidP="00073F96">
      <w:pPr>
        <w:pStyle w:val="SCCNormalDoubleSpacing"/>
        <w:widowControl w:val="0"/>
        <w:spacing w:line="240" w:lineRule="auto"/>
        <w:rPr>
          <w:sz w:val="20"/>
        </w:rPr>
      </w:pPr>
    </w:p>
    <w:p w:rsidR="00073F96" w:rsidRPr="00F67842" w:rsidRDefault="00073F96" w:rsidP="00073F96">
      <w:pPr>
        <w:pStyle w:val="SCCNormalDoubleSpacing"/>
        <w:widowControl w:val="0"/>
        <w:spacing w:line="240" w:lineRule="auto"/>
        <w:rPr>
          <w:sz w:val="20"/>
        </w:rPr>
      </w:pPr>
      <w:r w:rsidRPr="00F67842">
        <w:rPr>
          <w:sz w:val="20"/>
        </w:rPr>
        <w:tab/>
        <w:t>All of these incidents, taken together and viewed in their context, would lead a reasonable and informed person to see the trial judge’s conduct as giving rise to a reasonable apprehension of bias.</w:t>
      </w:r>
    </w:p>
    <w:p w:rsidR="00073F96" w:rsidRDefault="00073F96" w:rsidP="00073F96">
      <w:pPr>
        <w:pStyle w:val="SCCNormalDoubleSpacing"/>
        <w:widowControl w:val="0"/>
        <w:spacing w:line="240" w:lineRule="auto"/>
        <w:rPr>
          <w:sz w:val="20"/>
        </w:rPr>
      </w:pPr>
    </w:p>
    <w:p w:rsidR="00073F96" w:rsidRPr="00F67842" w:rsidRDefault="00073F96" w:rsidP="00073F96">
      <w:pPr>
        <w:pStyle w:val="SCCNormalDoubleSpacing"/>
        <w:widowControl w:val="0"/>
        <w:spacing w:line="240" w:lineRule="auto"/>
        <w:rPr>
          <w:sz w:val="20"/>
        </w:rPr>
      </w:pPr>
      <w:r w:rsidRPr="00F67842">
        <w:rPr>
          <w:sz w:val="20"/>
        </w:rPr>
        <w:tab/>
        <w:t>However, the Court of Appeal erred when it concluded that the trial judge’s current service as a governor of the Fondation franco</w:t>
      </w:r>
      <w:r w:rsidRPr="00F67842">
        <w:rPr>
          <w:sz w:val="20"/>
        </w:rPr>
        <w:noBreakHyphen/>
        <w:t>albertaine substantially contributed to a reasonable apprehension of bias. Membership in an association affiliated with the interests of a particular race, nationality, religion, or language is not, without more, a basis for concluding that a perception of bias can reasonably be said to arise. Canada has devoted a great deal of effort to creating a more diverse bench. That very diversity should not operate as a presumption that a judge’s identity closes the judicial mind.</w:t>
      </w:r>
    </w:p>
    <w:p w:rsidR="00073F96" w:rsidRDefault="00073F96" w:rsidP="00073F96">
      <w:pPr>
        <w:pStyle w:val="SCCNormalDoubleSpacing"/>
        <w:widowControl w:val="0"/>
        <w:spacing w:line="240" w:lineRule="auto"/>
        <w:rPr>
          <w:sz w:val="20"/>
        </w:rPr>
      </w:pPr>
    </w:p>
    <w:p w:rsidR="00073F96" w:rsidRPr="00F67842" w:rsidRDefault="00073F96" w:rsidP="00073F96">
      <w:pPr>
        <w:pStyle w:val="SCCNormalDoubleSpacing"/>
        <w:widowControl w:val="0"/>
        <w:spacing w:line="240" w:lineRule="auto"/>
        <w:rPr>
          <w:sz w:val="20"/>
        </w:rPr>
      </w:pPr>
      <w:r w:rsidRPr="00F67842">
        <w:rPr>
          <w:sz w:val="20"/>
        </w:rPr>
        <w:tab/>
        <w:t>In the present case, it is difficult to see how, based on the evidence, one could conclude that the Fondation franco</w:t>
      </w:r>
      <w:r w:rsidRPr="00F67842">
        <w:rPr>
          <w:sz w:val="20"/>
        </w:rPr>
        <w:noBreakHyphen/>
        <w:t>albertaine’s vision could be said to “clearly align” with certain positions taken by Board in this case or that the trial judge’s involvement in the organization foreclosed his ability to approach this case with an open mind. Standing alone, vague statements about the organization’s mission and vision do not displace the presumption of impartiality. Although consideration of the trial judge’s current role as governor of the Fondation franco</w:t>
      </w:r>
      <w:r w:rsidRPr="00F67842">
        <w:rPr>
          <w:sz w:val="20"/>
        </w:rPr>
        <w:noBreakHyphen/>
        <w:t>albertaine was a valid part of the contextual bias inquiry in this case, his involvement with an organization whose functions are largely undefined on the evidence cannot be said to give rise to a reasonable apprehension of bias.</w:t>
      </w:r>
    </w:p>
    <w:p w:rsidR="00073F96" w:rsidRDefault="00073F96" w:rsidP="00073F96">
      <w:pPr>
        <w:pStyle w:val="SCCNormalDoubleSpacing"/>
        <w:widowControl w:val="0"/>
        <w:spacing w:line="240" w:lineRule="auto"/>
        <w:rPr>
          <w:sz w:val="20"/>
        </w:rPr>
      </w:pPr>
    </w:p>
    <w:p w:rsidR="00073F96" w:rsidRPr="00F67842" w:rsidRDefault="00073F96" w:rsidP="00073F96">
      <w:pPr>
        <w:pStyle w:val="SCCNormalDoubleSpacing"/>
        <w:widowControl w:val="0"/>
        <w:spacing w:line="240" w:lineRule="auto"/>
        <w:rPr>
          <w:sz w:val="20"/>
          <w:lang w:val="en-US"/>
        </w:rPr>
      </w:pPr>
      <w:r w:rsidRPr="00F67842">
        <w:rPr>
          <w:sz w:val="20"/>
        </w:rPr>
        <w:tab/>
        <w:t>The Court of Appeal’s conclusion that the Board could not unilaterally decide whom to admit to its school should not be disturbed. There is no doubt that a province or territory can delegate the function of setting admission criteria for children of non</w:t>
      </w:r>
      <w:r w:rsidRPr="00F67842">
        <w:rPr>
          <w:sz w:val="20"/>
        </w:rPr>
        <w:noBreakHyphen/>
        <w:t>rights holders to a school board. This delegation can include granting a minority language school board wide discretion to admit the children of non</w:t>
      </w:r>
      <w:r w:rsidRPr="00F67842">
        <w:rPr>
          <w:sz w:val="20"/>
        </w:rPr>
        <w:noBreakHyphen/>
        <w:t>rights holders. In this case, however, the Yukon has not delegated the function of setting admission criteria for the children of non</w:t>
      </w:r>
      <w:r w:rsidRPr="00F67842">
        <w:rPr>
          <w:sz w:val="20"/>
        </w:rPr>
        <w:noBreakHyphen/>
        <w:t>rights holders to the Board. In the absence of any such delegation, there is no authority for the Board to unilaterally set admission criteria which are different from what is set out in the territorial regulation applicable to French</w:t>
      </w:r>
      <w:r w:rsidRPr="00F67842">
        <w:rPr>
          <w:sz w:val="20"/>
        </w:rPr>
        <w:noBreakHyphen/>
        <w:t>language instruction.</w:t>
      </w:r>
      <w:r w:rsidRPr="00F67842">
        <w:rPr>
          <w:sz w:val="20"/>
          <w:lang w:val="en-US"/>
        </w:rPr>
        <w:t xml:space="preserve"> </w:t>
      </w:r>
    </w:p>
    <w:p w:rsidR="00073F96" w:rsidRDefault="00073F96" w:rsidP="00073F96">
      <w:pPr>
        <w:pStyle w:val="SCCNormalDoubleSpacing"/>
        <w:widowControl w:val="0"/>
        <w:spacing w:line="240" w:lineRule="auto"/>
        <w:rPr>
          <w:sz w:val="20"/>
          <w:lang w:val="en-US"/>
        </w:rPr>
      </w:pPr>
    </w:p>
    <w:p w:rsidR="00073F96" w:rsidRPr="00F67842" w:rsidRDefault="00073F96" w:rsidP="00073F96">
      <w:pPr>
        <w:pStyle w:val="SCCNormalDoubleSpacing"/>
        <w:widowControl w:val="0"/>
        <w:spacing w:line="240" w:lineRule="auto"/>
        <w:rPr>
          <w:sz w:val="20"/>
        </w:rPr>
      </w:pPr>
      <w:r w:rsidRPr="00F67842">
        <w:rPr>
          <w:sz w:val="20"/>
          <w:lang w:val="en-US"/>
        </w:rPr>
        <w:tab/>
        <w:t>This, however, does not preclude the Board from claiming that the Yukon has insufficiently ensured compliance with s. 23, and nothing stops the Board from arguing that the Yukon’s approach to admissions prevents the realization of s. 23’s purpose.</w:t>
      </w:r>
    </w:p>
    <w:p w:rsidR="00073F96" w:rsidRDefault="00073F96" w:rsidP="00073F96">
      <w:pPr>
        <w:pStyle w:val="SCCNormalDoubleSpacing"/>
        <w:widowControl w:val="0"/>
        <w:spacing w:line="240" w:lineRule="auto"/>
        <w:rPr>
          <w:sz w:val="20"/>
          <w:lang w:val="en-US"/>
        </w:rPr>
      </w:pPr>
    </w:p>
    <w:p w:rsidR="00073F96" w:rsidRDefault="00073F96" w:rsidP="00073F96">
      <w:pPr>
        <w:pStyle w:val="SCCNormalDoubleSpacing"/>
        <w:widowControl w:val="0"/>
        <w:spacing w:line="240" w:lineRule="auto"/>
        <w:rPr>
          <w:sz w:val="20"/>
        </w:rPr>
      </w:pPr>
      <w:r w:rsidRPr="00F67842">
        <w:rPr>
          <w:sz w:val="20"/>
          <w:lang w:val="en-US"/>
        </w:rPr>
        <w:tab/>
        <w:t xml:space="preserve">Finally, it is unclear why the Court of Appeal decided that this case was not a suitable vehicle for determination of rights under the Yukon’s </w:t>
      </w:r>
      <w:r w:rsidRPr="00F67842">
        <w:rPr>
          <w:i/>
          <w:sz w:val="20"/>
          <w:lang w:val="en-US"/>
        </w:rPr>
        <w:t>Languages Act</w:t>
      </w:r>
      <w:r w:rsidRPr="00F67842">
        <w:rPr>
          <w:sz w:val="20"/>
          <w:lang w:val="en-US"/>
        </w:rPr>
        <w:t xml:space="preserve">. </w:t>
      </w:r>
      <w:r w:rsidRPr="00F67842">
        <w:rPr>
          <w:sz w:val="20"/>
        </w:rPr>
        <w:t>The Board’s claims raise significant factual issues that may well lead to a finding that parts of the claims were justified and should be determined at the new trial with the benefit of a full evidentiary record.</w:t>
      </w:r>
    </w:p>
    <w:p w:rsidR="00073F96" w:rsidRDefault="00073F96" w:rsidP="00073F96">
      <w:pPr>
        <w:pStyle w:val="SCCNormalDoubleSpacing"/>
        <w:widowControl w:val="0"/>
        <w:spacing w:line="240" w:lineRule="auto"/>
        <w:rPr>
          <w:sz w:val="20"/>
        </w:rPr>
      </w:pPr>
    </w:p>
    <w:p w:rsidR="00073F96" w:rsidRPr="00F67842" w:rsidRDefault="00073F96" w:rsidP="00073F96">
      <w:pPr>
        <w:pStyle w:val="SCCNormalDoubleSpacing"/>
        <w:spacing w:line="240" w:lineRule="auto"/>
        <w:rPr>
          <w:sz w:val="20"/>
        </w:rPr>
      </w:pPr>
      <w:r w:rsidRPr="00F67842">
        <w:rPr>
          <w:sz w:val="20"/>
        </w:rPr>
        <w:tab/>
        <w:t>APPEAL from a judgment of the Yukon Court of Appeal (Groberman, Bennett and MacKenzie JJ.A.), 2014 YKCA 4, 351 B.C.A.C. 216, 599 W.A.C. 216, 2014 CarswellYukon 10 (WL Can.), setting aside a decision of Ouellette J., 2011 YKSC 57, [2011] Y.J. n</w:t>
      </w:r>
      <w:r w:rsidRPr="00F67842">
        <w:rPr>
          <w:sz w:val="20"/>
          <w:vertAlign w:val="superscript"/>
        </w:rPr>
        <w:t>o</w:t>
      </w:r>
      <w:r w:rsidRPr="00F67842">
        <w:rPr>
          <w:sz w:val="20"/>
        </w:rPr>
        <w:t> 132 (QL), 2011 CarswellYukon 64 (WL Can.), and ordering a new trial. Appeal largely dismissed.</w:t>
      </w:r>
    </w:p>
    <w:p w:rsidR="00073F96" w:rsidRDefault="00073F96" w:rsidP="00073F96">
      <w:pPr>
        <w:pStyle w:val="SCCNormalDoubleSpacing"/>
        <w:spacing w:line="240" w:lineRule="auto"/>
        <w:rPr>
          <w:rStyle w:val="SCCCounselNameChar"/>
          <w:sz w:val="20"/>
        </w:rPr>
      </w:pPr>
    </w:p>
    <w:p w:rsidR="00073F96" w:rsidRPr="00F67842" w:rsidRDefault="00073F96" w:rsidP="00073F96">
      <w:pPr>
        <w:pStyle w:val="SCCNormalDoubleSpacing"/>
        <w:spacing w:line="240" w:lineRule="auto"/>
        <w:rPr>
          <w:sz w:val="20"/>
        </w:rPr>
      </w:pPr>
      <w:r w:rsidRPr="00F67842">
        <w:rPr>
          <w:rStyle w:val="SCCCounselNameChar"/>
          <w:sz w:val="20"/>
        </w:rPr>
        <w:tab/>
        <w:t>Roger J. F. Lepage</w:t>
      </w:r>
      <w:r w:rsidRPr="00073F96">
        <w:rPr>
          <w:rStyle w:val="SCCCounselSeparatorChar"/>
          <w:rFonts w:eastAsia="Calibri"/>
          <w:sz w:val="20"/>
          <w:lang w:val="en-CA"/>
        </w:rPr>
        <w:t xml:space="preserve">, </w:t>
      </w:r>
      <w:r w:rsidRPr="00F67842">
        <w:rPr>
          <w:rStyle w:val="SCCCounselNameChar"/>
          <w:sz w:val="20"/>
        </w:rPr>
        <w:t xml:space="preserve">Francis P. Poulin </w:t>
      </w:r>
      <w:r w:rsidRPr="00073F96">
        <w:rPr>
          <w:rStyle w:val="SCCCounselSeparatorChar"/>
          <w:rFonts w:eastAsia="Calibri"/>
          <w:sz w:val="20"/>
          <w:lang w:val="en-CA"/>
        </w:rPr>
        <w:t xml:space="preserve">and </w:t>
      </w:r>
      <w:r w:rsidRPr="00F67842">
        <w:rPr>
          <w:rStyle w:val="SCCCounselNameChar"/>
          <w:sz w:val="20"/>
        </w:rPr>
        <w:t>André Poulin</w:t>
      </w:r>
      <w:r w:rsidRPr="00F67842">
        <w:rPr>
          <w:rStyle w:val="SCCCounselNameChar"/>
          <w:sz w:val="20"/>
        </w:rPr>
        <w:noBreakHyphen/>
        <w:t>Denis</w:t>
      </w:r>
      <w:r w:rsidRPr="00F67842">
        <w:rPr>
          <w:rStyle w:val="SCCCounselPartyRoleChar"/>
          <w:sz w:val="20"/>
        </w:rPr>
        <w:t>, for the appellant.</w:t>
      </w:r>
    </w:p>
    <w:p w:rsidR="00073F96" w:rsidRDefault="00073F96" w:rsidP="00073F96">
      <w:pPr>
        <w:pStyle w:val="SCCNormalDoubleSpacing"/>
        <w:spacing w:line="240" w:lineRule="auto"/>
        <w:rPr>
          <w:rStyle w:val="SCCCounselNameChar"/>
          <w:sz w:val="20"/>
        </w:rPr>
      </w:pPr>
    </w:p>
    <w:p w:rsidR="00073F96" w:rsidRPr="00F67842" w:rsidRDefault="00073F96" w:rsidP="00073F96">
      <w:pPr>
        <w:pStyle w:val="SCCNormalDoubleSpacing"/>
        <w:spacing w:line="240" w:lineRule="auto"/>
        <w:rPr>
          <w:sz w:val="20"/>
        </w:rPr>
      </w:pPr>
      <w:r w:rsidRPr="00F67842">
        <w:rPr>
          <w:rStyle w:val="SCCCounselNameChar"/>
          <w:sz w:val="20"/>
        </w:rPr>
        <w:tab/>
        <w:t>François Baril</w:t>
      </w:r>
      <w:r w:rsidRPr="00073F96">
        <w:rPr>
          <w:rStyle w:val="SCCCounselSeparatorChar"/>
          <w:rFonts w:eastAsia="Calibri"/>
          <w:sz w:val="20"/>
          <w:lang w:val="en-CA"/>
        </w:rPr>
        <w:t xml:space="preserve">, </w:t>
      </w:r>
      <w:r w:rsidRPr="00F67842">
        <w:rPr>
          <w:rStyle w:val="SCCCounselNameChar"/>
          <w:sz w:val="20"/>
        </w:rPr>
        <w:t>Maxime Faille</w:t>
      </w:r>
      <w:r w:rsidRPr="00073F96">
        <w:rPr>
          <w:rStyle w:val="SCCCounselSeparatorChar"/>
          <w:rFonts w:eastAsia="Calibri"/>
          <w:sz w:val="20"/>
          <w:lang w:val="en-CA"/>
        </w:rPr>
        <w:t xml:space="preserve"> and </w:t>
      </w:r>
      <w:r w:rsidRPr="00F67842">
        <w:rPr>
          <w:rStyle w:val="SCCCounselNameChar"/>
          <w:sz w:val="20"/>
        </w:rPr>
        <w:t>Mark Pindera</w:t>
      </w:r>
      <w:r w:rsidRPr="00F67842">
        <w:rPr>
          <w:rStyle w:val="SCCCounselPartyRoleChar"/>
          <w:sz w:val="20"/>
        </w:rPr>
        <w:t>, for the respondent.</w:t>
      </w:r>
    </w:p>
    <w:p w:rsidR="00073F96" w:rsidRDefault="00073F96" w:rsidP="00073F96">
      <w:pPr>
        <w:pStyle w:val="SCCNormalDoubleSpacing"/>
        <w:spacing w:line="240" w:lineRule="auto"/>
        <w:rPr>
          <w:rStyle w:val="SCCCounselNameChar"/>
          <w:sz w:val="20"/>
        </w:rPr>
      </w:pPr>
    </w:p>
    <w:p w:rsidR="00073F96" w:rsidRPr="00F67842" w:rsidRDefault="00073F96" w:rsidP="00073F96">
      <w:pPr>
        <w:pStyle w:val="SCCNormalDoubleSpacing"/>
        <w:spacing w:line="240" w:lineRule="auto"/>
        <w:rPr>
          <w:rStyle w:val="SCCCounselPartyRoleChar"/>
          <w:sz w:val="20"/>
        </w:rPr>
      </w:pPr>
      <w:r w:rsidRPr="00F67842">
        <w:rPr>
          <w:rStyle w:val="SCCCounselNameChar"/>
          <w:sz w:val="20"/>
        </w:rPr>
        <w:tab/>
        <w:t>Dominique A. Jobin</w:t>
      </w:r>
      <w:r w:rsidRPr="00F67842">
        <w:rPr>
          <w:rStyle w:val="SCCCounselPartyRoleChar"/>
          <w:sz w:val="20"/>
        </w:rPr>
        <w:t>, for the intervener the Attorney General of Quebec.</w:t>
      </w:r>
    </w:p>
    <w:p w:rsidR="00073F96" w:rsidRDefault="00073F96" w:rsidP="00073F96">
      <w:pPr>
        <w:pStyle w:val="SCCNormalDoubleSpacing"/>
        <w:spacing w:line="240" w:lineRule="auto"/>
        <w:rPr>
          <w:rStyle w:val="SCCCounselPartyRoleChar"/>
          <w:sz w:val="20"/>
        </w:rPr>
      </w:pPr>
    </w:p>
    <w:p w:rsidR="00073F96" w:rsidRPr="00F67842" w:rsidRDefault="00073F96" w:rsidP="00073F96">
      <w:pPr>
        <w:pStyle w:val="SCCNormalDoubleSpacing"/>
        <w:spacing w:line="240" w:lineRule="auto"/>
        <w:rPr>
          <w:rStyle w:val="SCCCounselPartyRoleChar"/>
          <w:sz w:val="20"/>
        </w:rPr>
      </w:pPr>
      <w:r w:rsidRPr="00F67842">
        <w:rPr>
          <w:rStyle w:val="SCCCounselPartyRoleChar"/>
          <w:sz w:val="20"/>
        </w:rPr>
        <w:tab/>
      </w:r>
      <w:r w:rsidRPr="00F67842">
        <w:rPr>
          <w:rStyle w:val="SCCCounselNameChar"/>
          <w:sz w:val="20"/>
        </w:rPr>
        <w:t>Karrie Wolfe</w:t>
      </w:r>
      <w:r w:rsidRPr="00F67842">
        <w:rPr>
          <w:rStyle w:val="SCCCounselPartyRoleChar"/>
          <w:sz w:val="20"/>
        </w:rPr>
        <w:t>, for the intervener the Attorney General of British Columbia.</w:t>
      </w:r>
    </w:p>
    <w:p w:rsidR="00073F96" w:rsidRDefault="00073F96" w:rsidP="00073F96">
      <w:pPr>
        <w:pStyle w:val="SCCNormalDoubleSpacing"/>
        <w:spacing w:line="240" w:lineRule="auto"/>
        <w:rPr>
          <w:rStyle w:val="SCCCounselPartyRoleChar"/>
          <w:sz w:val="20"/>
        </w:rPr>
      </w:pPr>
    </w:p>
    <w:p w:rsidR="00073F96" w:rsidRPr="00F67842" w:rsidRDefault="00073F96" w:rsidP="00073F96">
      <w:pPr>
        <w:pStyle w:val="SCCNormalDoubleSpacing"/>
        <w:spacing w:line="240" w:lineRule="auto"/>
        <w:rPr>
          <w:rStyle w:val="SCCCounselPartyRoleChar"/>
          <w:sz w:val="20"/>
        </w:rPr>
      </w:pPr>
      <w:r w:rsidRPr="00F67842">
        <w:rPr>
          <w:rStyle w:val="SCCCounselPartyRoleChar"/>
          <w:sz w:val="20"/>
        </w:rPr>
        <w:tab/>
      </w:r>
      <w:r w:rsidRPr="00F67842">
        <w:rPr>
          <w:rStyle w:val="SCCCounselNameChar"/>
          <w:sz w:val="20"/>
        </w:rPr>
        <w:t>Alan F. Jacobson</w:t>
      </w:r>
      <w:r w:rsidRPr="00073F96">
        <w:rPr>
          <w:rStyle w:val="SCCCounselSeparatorChar"/>
          <w:rFonts w:eastAsia="Calibri"/>
          <w:sz w:val="20"/>
          <w:lang w:val="en-CA"/>
        </w:rPr>
        <w:t xml:space="preserve"> and </w:t>
      </w:r>
      <w:r w:rsidRPr="00F67842">
        <w:rPr>
          <w:rStyle w:val="SCCCounselNameChar"/>
          <w:sz w:val="20"/>
        </w:rPr>
        <w:t>Barbara C. Mysko</w:t>
      </w:r>
      <w:r w:rsidRPr="00F67842">
        <w:rPr>
          <w:rStyle w:val="SCCCounselPartyRoleChar"/>
          <w:sz w:val="20"/>
        </w:rPr>
        <w:t>, for the intervener the Attorney General for Saskatchewan.</w:t>
      </w:r>
    </w:p>
    <w:p w:rsidR="00073F96" w:rsidRDefault="00073F96" w:rsidP="00073F96">
      <w:pPr>
        <w:pStyle w:val="SCCNormalDoubleSpacing"/>
        <w:spacing w:line="240" w:lineRule="auto"/>
        <w:rPr>
          <w:rStyle w:val="SCCCounselNameChar"/>
          <w:sz w:val="20"/>
        </w:rPr>
      </w:pPr>
    </w:p>
    <w:p w:rsidR="00073F96" w:rsidRPr="00F67842" w:rsidRDefault="00073F96" w:rsidP="00073F96">
      <w:pPr>
        <w:pStyle w:val="SCCNormalDoubleSpacing"/>
        <w:spacing w:line="240" w:lineRule="auto"/>
        <w:rPr>
          <w:sz w:val="20"/>
        </w:rPr>
      </w:pPr>
      <w:r w:rsidRPr="00F67842">
        <w:rPr>
          <w:rStyle w:val="SCCCounselNameChar"/>
          <w:sz w:val="20"/>
        </w:rPr>
        <w:tab/>
        <w:t>Guy Régimbald</w:t>
      </w:r>
      <w:r w:rsidRPr="00F67842">
        <w:rPr>
          <w:rStyle w:val="SCCCounselPartyRoleChar"/>
          <w:sz w:val="20"/>
        </w:rPr>
        <w:t>, for the intervener the Attorney General of the Northwest Territories.</w:t>
      </w:r>
    </w:p>
    <w:p w:rsidR="00073F96" w:rsidRDefault="00073F96" w:rsidP="00073F96">
      <w:pPr>
        <w:pStyle w:val="SCCNormalDoubleSpacing"/>
        <w:spacing w:line="240" w:lineRule="auto"/>
        <w:rPr>
          <w:rStyle w:val="SCCCounselNameChar"/>
          <w:sz w:val="20"/>
        </w:rPr>
      </w:pPr>
    </w:p>
    <w:p w:rsidR="00073F96" w:rsidRPr="00F67842" w:rsidRDefault="00073F96" w:rsidP="00073F96">
      <w:pPr>
        <w:pStyle w:val="SCCNormalDoubleSpacing"/>
        <w:spacing w:line="240" w:lineRule="auto"/>
        <w:rPr>
          <w:sz w:val="20"/>
        </w:rPr>
      </w:pPr>
      <w:r w:rsidRPr="00F67842">
        <w:rPr>
          <w:rStyle w:val="SCCCounselNameChar"/>
          <w:sz w:val="20"/>
        </w:rPr>
        <w:tab/>
        <w:t>Pascale Giguère</w:t>
      </w:r>
      <w:r w:rsidRPr="00073F96">
        <w:rPr>
          <w:rStyle w:val="SCCCounselSeparatorChar"/>
          <w:rFonts w:eastAsia="Calibri"/>
          <w:sz w:val="20"/>
          <w:lang w:val="en-CA"/>
        </w:rPr>
        <w:t xml:space="preserve"> and </w:t>
      </w:r>
      <w:r w:rsidRPr="00F67842">
        <w:rPr>
          <w:rStyle w:val="SCCCounselNameChar"/>
          <w:sz w:val="20"/>
        </w:rPr>
        <w:t>Mathew Croitoru</w:t>
      </w:r>
      <w:r w:rsidRPr="00F67842">
        <w:rPr>
          <w:rStyle w:val="SCCCounselPartyRoleChar"/>
          <w:sz w:val="20"/>
        </w:rPr>
        <w:t>, for the intervener the Commissioner of Official Languages of Canada.</w:t>
      </w:r>
    </w:p>
    <w:p w:rsidR="00073F96" w:rsidRDefault="00073F96" w:rsidP="00073F96">
      <w:pPr>
        <w:pStyle w:val="SCCNormalDoubleSpacing"/>
        <w:spacing w:line="240" w:lineRule="auto"/>
        <w:rPr>
          <w:rStyle w:val="SCCCounselNameChar"/>
          <w:sz w:val="20"/>
        </w:rPr>
      </w:pPr>
    </w:p>
    <w:p w:rsidR="00073F96" w:rsidRPr="00F67842" w:rsidRDefault="00073F96" w:rsidP="00073F96">
      <w:pPr>
        <w:pStyle w:val="SCCNormalDoubleSpacing"/>
        <w:spacing w:line="240" w:lineRule="auto"/>
        <w:rPr>
          <w:sz w:val="20"/>
          <w:lang w:val="fr-CA"/>
        </w:rPr>
      </w:pPr>
      <w:r w:rsidRPr="00F67842">
        <w:rPr>
          <w:rStyle w:val="SCCCounselNameChar"/>
          <w:sz w:val="20"/>
        </w:rPr>
        <w:tab/>
      </w:r>
      <w:r w:rsidRPr="00F67842">
        <w:rPr>
          <w:rStyle w:val="SCCCounselNameChar"/>
          <w:sz w:val="20"/>
          <w:lang w:val="fr-CA"/>
        </w:rPr>
        <w:t>Robert W. Grant, Q.C.,</w:t>
      </w:r>
      <w:r w:rsidRPr="00F67842">
        <w:rPr>
          <w:rStyle w:val="SCCCounselSeparatorChar"/>
          <w:rFonts w:eastAsia="Calibri"/>
          <w:sz w:val="20"/>
        </w:rPr>
        <w:t xml:space="preserve"> </w:t>
      </w:r>
      <w:r w:rsidRPr="00F67842">
        <w:rPr>
          <w:rStyle w:val="SCCCounselNameChar"/>
          <w:sz w:val="20"/>
          <w:lang w:val="fr-CA"/>
        </w:rPr>
        <w:t xml:space="preserve">Maxine Vincelette </w:t>
      </w:r>
      <w:r w:rsidRPr="00F67842">
        <w:rPr>
          <w:rStyle w:val="SCCCounselSeparatorChar"/>
          <w:rFonts w:eastAsia="Calibri"/>
          <w:sz w:val="20"/>
        </w:rPr>
        <w:t>and</w:t>
      </w:r>
      <w:r w:rsidRPr="00F67842">
        <w:rPr>
          <w:rStyle w:val="SCCCounselNameChar"/>
          <w:sz w:val="20"/>
          <w:lang w:val="fr-CA"/>
        </w:rPr>
        <w:t xml:space="preserve"> David P. Taylor</w:t>
      </w:r>
      <w:r w:rsidRPr="00F67842">
        <w:rPr>
          <w:rStyle w:val="SCCCounselPartyRoleChar"/>
          <w:sz w:val="20"/>
          <w:lang w:val="fr-CA"/>
        </w:rPr>
        <w:t>, for the interveners Conseil scolaire francophone de la Colombie</w:t>
      </w:r>
      <w:r w:rsidRPr="00F67842">
        <w:rPr>
          <w:rStyle w:val="SCCCounselPartyRoleChar"/>
          <w:sz w:val="20"/>
          <w:lang w:val="fr-CA"/>
        </w:rPr>
        <w:noBreakHyphen/>
        <w:t>Britannique and Fédération des parents francophones de Colombie</w:t>
      </w:r>
      <w:r w:rsidRPr="00F67842">
        <w:rPr>
          <w:rStyle w:val="SCCCounselPartyRoleChar"/>
          <w:sz w:val="20"/>
          <w:lang w:val="fr-CA"/>
        </w:rPr>
        <w:noBreakHyphen/>
        <w:t>Britannique.</w:t>
      </w:r>
    </w:p>
    <w:p w:rsidR="00073F96" w:rsidRDefault="00073F96" w:rsidP="00073F96">
      <w:pPr>
        <w:pStyle w:val="SCCNormalDoubleSpacing"/>
        <w:spacing w:line="240" w:lineRule="auto"/>
        <w:rPr>
          <w:rStyle w:val="SCCCounselNameChar"/>
          <w:sz w:val="20"/>
          <w:lang w:val="fr-CA"/>
        </w:rPr>
      </w:pPr>
    </w:p>
    <w:p w:rsidR="00073F96" w:rsidRPr="00F67842" w:rsidRDefault="00073F96" w:rsidP="00073F96">
      <w:pPr>
        <w:pStyle w:val="SCCNormalDoubleSpacing"/>
        <w:spacing w:line="240" w:lineRule="auto"/>
        <w:rPr>
          <w:sz w:val="20"/>
          <w:lang w:val="fr-CA"/>
        </w:rPr>
      </w:pPr>
      <w:r w:rsidRPr="00F67842">
        <w:rPr>
          <w:rStyle w:val="SCCCounselNameChar"/>
          <w:sz w:val="20"/>
          <w:lang w:val="fr-CA"/>
        </w:rPr>
        <w:tab/>
        <w:t>Nicolas M. Rouleau</w:t>
      </w:r>
      <w:r w:rsidRPr="00F67842">
        <w:rPr>
          <w:rStyle w:val="SCCCounselSeparatorChar"/>
          <w:rFonts w:eastAsia="Calibri"/>
          <w:sz w:val="20"/>
        </w:rPr>
        <w:t xml:space="preserve"> and </w:t>
      </w:r>
      <w:r w:rsidRPr="00F67842">
        <w:rPr>
          <w:rStyle w:val="SCCCounselNameChar"/>
          <w:sz w:val="20"/>
          <w:lang w:val="fr-CA"/>
        </w:rPr>
        <w:t>Sylvain Rouleau</w:t>
      </w:r>
      <w:r w:rsidRPr="00F67842">
        <w:rPr>
          <w:rStyle w:val="SCCCounselPartyRoleChar"/>
          <w:sz w:val="20"/>
          <w:lang w:val="fr-CA"/>
        </w:rPr>
        <w:t>, for the intervener Fédération des parents francophones de l’Alberta.</w:t>
      </w:r>
    </w:p>
    <w:p w:rsidR="00073F96" w:rsidRDefault="00073F96" w:rsidP="00073F96">
      <w:pPr>
        <w:pStyle w:val="SCCNormalDoubleSpacing"/>
        <w:spacing w:line="240" w:lineRule="auto"/>
        <w:rPr>
          <w:rStyle w:val="SCCCounselNameChar"/>
          <w:sz w:val="20"/>
          <w:lang w:val="fr-CA"/>
        </w:rPr>
      </w:pPr>
    </w:p>
    <w:p w:rsidR="00073F96" w:rsidRPr="00F67842" w:rsidRDefault="00073F96" w:rsidP="00073F96">
      <w:pPr>
        <w:pStyle w:val="SCCNormalDoubleSpacing"/>
        <w:spacing w:line="240" w:lineRule="auto"/>
        <w:rPr>
          <w:sz w:val="20"/>
          <w:lang w:val="fr-CA"/>
        </w:rPr>
      </w:pPr>
      <w:r w:rsidRPr="00F67842">
        <w:rPr>
          <w:rStyle w:val="SCCCounselNameChar"/>
          <w:sz w:val="20"/>
          <w:lang w:val="fr-CA"/>
        </w:rPr>
        <w:tab/>
        <w:t>Mark C. Power</w:t>
      </w:r>
      <w:r w:rsidRPr="00F67842">
        <w:rPr>
          <w:rStyle w:val="SCCCounselPartyRoleChar"/>
          <w:sz w:val="20"/>
          <w:lang w:val="fr-CA"/>
        </w:rPr>
        <w:t xml:space="preserve"> and </w:t>
      </w:r>
      <w:r w:rsidRPr="00F67842">
        <w:rPr>
          <w:rStyle w:val="SCCCounselPartyRoleChar"/>
          <w:i/>
          <w:sz w:val="20"/>
          <w:lang w:val="fr-CA"/>
        </w:rPr>
        <w:t>Justin Dubois</w:t>
      </w:r>
      <w:r w:rsidRPr="00F67842">
        <w:rPr>
          <w:rStyle w:val="SCCCounselPartyRoleChar"/>
          <w:sz w:val="20"/>
          <w:lang w:val="fr-CA"/>
        </w:rPr>
        <w:t>, for the interveners Fédération nationale des conseils scolaires francophones and Fédération des communautés francophones et acadienne du Canada.</w:t>
      </w:r>
    </w:p>
    <w:p w:rsidR="00073F96" w:rsidRDefault="00073F96" w:rsidP="00073F96">
      <w:pPr>
        <w:pStyle w:val="SCCLawFirm"/>
        <w:spacing w:line="240" w:lineRule="auto"/>
        <w:rPr>
          <w:sz w:val="20"/>
          <w:lang w:val="fr-CA"/>
        </w:rPr>
      </w:pPr>
    </w:p>
    <w:p w:rsidR="00073F96" w:rsidRPr="00F67842" w:rsidRDefault="00073F96" w:rsidP="00073F96">
      <w:pPr>
        <w:pStyle w:val="SCCLawFirm"/>
        <w:spacing w:line="240" w:lineRule="auto"/>
        <w:rPr>
          <w:sz w:val="20"/>
        </w:rPr>
      </w:pPr>
      <w:r w:rsidRPr="00F67842">
        <w:rPr>
          <w:sz w:val="20"/>
          <w:lang w:val="fr-CA"/>
        </w:rPr>
        <w:tab/>
      </w:r>
      <w:r w:rsidRPr="00F67842">
        <w:rPr>
          <w:sz w:val="20"/>
        </w:rPr>
        <w:t>Solicitors for the appellant: Miller Thomson, Regina.</w:t>
      </w:r>
    </w:p>
    <w:p w:rsidR="00073F96" w:rsidRDefault="00073F96" w:rsidP="00073F96">
      <w:pPr>
        <w:pStyle w:val="SCCLawFirm"/>
        <w:spacing w:line="240" w:lineRule="auto"/>
        <w:rPr>
          <w:sz w:val="20"/>
        </w:rPr>
      </w:pPr>
    </w:p>
    <w:p w:rsidR="00073F96" w:rsidRPr="00F67842" w:rsidRDefault="00073F96" w:rsidP="00073F96">
      <w:pPr>
        <w:pStyle w:val="SCCLawFirm"/>
        <w:spacing w:line="240" w:lineRule="auto"/>
        <w:rPr>
          <w:sz w:val="20"/>
        </w:rPr>
      </w:pPr>
      <w:r w:rsidRPr="00F67842">
        <w:rPr>
          <w:sz w:val="20"/>
        </w:rPr>
        <w:tab/>
        <w:t>Solicitors for the respondent: Gowling Lafleur Henderson, Ottawa; Attorney General of the Yukon Territory, Whitehorse.</w:t>
      </w:r>
    </w:p>
    <w:p w:rsidR="00073F96" w:rsidRDefault="00073F96" w:rsidP="00073F96">
      <w:pPr>
        <w:pStyle w:val="SCCLawFirm"/>
        <w:spacing w:line="240" w:lineRule="auto"/>
        <w:rPr>
          <w:sz w:val="20"/>
        </w:rPr>
      </w:pPr>
    </w:p>
    <w:p w:rsidR="00073F96" w:rsidRPr="00F67842" w:rsidRDefault="00073F96" w:rsidP="00073F96">
      <w:pPr>
        <w:pStyle w:val="SCCLawFirm"/>
        <w:spacing w:line="240" w:lineRule="auto"/>
        <w:rPr>
          <w:sz w:val="20"/>
        </w:rPr>
      </w:pPr>
      <w:r w:rsidRPr="00F67842">
        <w:rPr>
          <w:sz w:val="20"/>
        </w:rPr>
        <w:tab/>
        <w:t>Solicitor for the intervener the Attorney General of Quebec: Attorney General of Quebec, Québec.</w:t>
      </w:r>
    </w:p>
    <w:p w:rsidR="00073F96" w:rsidRDefault="00073F96" w:rsidP="00073F96">
      <w:pPr>
        <w:pStyle w:val="SCCLawFirm"/>
        <w:spacing w:line="240" w:lineRule="auto"/>
        <w:rPr>
          <w:sz w:val="20"/>
        </w:rPr>
      </w:pPr>
    </w:p>
    <w:p w:rsidR="00073F96" w:rsidRPr="00F67842" w:rsidRDefault="00073F96" w:rsidP="00073F96">
      <w:pPr>
        <w:pStyle w:val="SCCLawFirm"/>
        <w:spacing w:line="240" w:lineRule="auto"/>
        <w:rPr>
          <w:sz w:val="20"/>
        </w:rPr>
      </w:pPr>
      <w:r w:rsidRPr="00F67842">
        <w:rPr>
          <w:sz w:val="20"/>
        </w:rPr>
        <w:tab/>
        <w:t>Solicitor for the intervener the Attorney General of British Columbia: Attorney General of British Columbia, Victoria.</w:t>
      </w:r>
    </w:p>
    <w:p w:rsidR="00073F96" w:rsidRDefault="00073F96" w:rsidP="00073F96">
      <w:pPr>
        <w:pStyle w:val="SCCLawFirm"/>
        <w:spacing w:line="240" w:lineRule="auto"/>
        <w:rPr>
          <w:sz w:val="20"/>
        </w:rPr>
      </w:pPr>
    </w:p>
    <w:p w:rsidR="00073F96" w:rsidRPr="00F67842" w:rsidRDefault="00073F96" w:rsidP="00073F96">
      <w:pPr>
        <w:pStyle w:val="SCCLawFirm"/>
        <w:spacing w:line="240" w:lineRule="auto"/>
        <w:rPr>
          <w:sz w:val="20"/>
        </w:rPr>
      </w:pPr>
      <w:r w:rsidRPr="00F67842">
        <w:rPr>
          <w:sz w:val="20"/>
        </w:rPr>
        <w:tab/>
        <w:t>Solicitor for the intervener the Attorney General for Saskatchewan: Attorney General for Saskatchewan, Regina.</w:t>
      </w:r>
    </w:p>
    <w:p w:rsidR="00073F96" w:rsidRDefault="00073F96" w:rsidP="00073F96">
      <w:pPr>
        <w:pStyle w:val="SCCLawFirm"/>
        <w:spacing w:line="240" w:lineRule="auto"/>
        <w:rPr>
          <w:sz w:val="20"/>
        </w:rPr>
      </w:pPr>
    </w:p>
    <w:p w:rsidR="00073F96" w:rsidRPr="00F67842" w:rsidRDefault="00073F96" w:rsidP="00073F96">
      <w:pPr>
        <w:pStyle w:val="SCCLawFirm"/>
        <w:spacing w:line="240" w:lineRule="auto"/>
        <w:rPr>
          <w:sz w:val="20"/>
        </w:rPr>
      </w:pPr>
      <w:r w:rsidRPr="00F67842">
        <w:rPr>
          <w:sz w:val="20"/>
        </w:rPr>
        <w:tab/>
        <w:t>Solicitors for the intervener the Attorney General of the Northwest Territories: Gowling Lafleur Henderson, Ottawa.</w:t>
      </w:r>
    </w:p>
    <w:p w:rsidR="00073F96" w:rsidRDefault="00073F96" w:rsidP="00073F96">
      <w:pPr>
        <w:pStyle w:val="SCCLawFirm"/>
        <w:spacing w:line="240" w:lineRule="auto"/>
        <w:rPr>
          <w:sz w:val="20"/>
        </w:rPr>
      </w:pPr>
    </w:p>
    <w:p w:rsidR="00073F96" w:rsidRPr="00F67842" w:rsidRDefault="00073F96" w:rsidP="00073F96">
      <w:pPr>
        <w:pStyle w:val="SCCLawFirm"/>
        <w:spacing w:line="240" w:lineRule="auto"/>
        <w:rPr>
          <w:sz w:val="20"/>
        </w:rPr>
      </w:pPr>
      <w:r w:rsidRPr="00F67842">
        <w:rPr>
          <w:sz w:val="20"/>
        </w:rPr>
        <w:tab/>
        <w:t>Solicitor for the intervener the Commissioner of Official Languages of Canada: Office of the Commissioner of Official Languages, Gatineau.</w:t>
      </w:r>
    </w:p>
    <w:p w:rsidR="00073F96" w:rsidRDefault="00073F96" w:rsidP="00073F96">
      <w:pPr>
        <w:pStyle w:val="SCCLawFirm"/>
        <w:spacing w:line="240" w:lineRule="auto"/>
        <w:rPr>
          <w:sz w:val="20"/>
        </w:rPr>
      </w:pPr>
    </w:p>
    <w:p w:rsidR="00073F96" w:rsidRPr="00F67842" w:rsidRDefault="00073F96" w:rsidP="00073F96">
      <w:pPr>
        <w:pStyle w:val="SCCLawFirm"/>
        <w:spacing w:line="240" w:lineRule="auto"/>
        <w:rPr>
          <w:sz w:val="20"/>
          <w:lang w:val="fr-CA"/>
        </w:rPr>
      </w:pPr>
      <w:r w:rsidRPr="00F67842">
        <w:rPr>
          <w:sz w:val="20"/>
        </w:rPr>
        <w:tab/>
      </w:r>
      <w:r w:rsidRPr="00F67842">
        <w:rPr>
          <w:sz w:val="20"/>
          <w:lang w:val="fr-CA"/>
        </w:rPr>
        <w:t>Solicitors for the interveners Conseil scolaire francophone de la Colombie</w:t>
      </w:r>
      <w:r w:rsidRPr="00F67842">
        <w:rPr>
          <w:sz w:val="20"/>
          <w:lang w:val="fr-CA"/>
        </w:rPr>
        <w:noBreakHyphen/>
        <w:t>Britannique and Fédération des parents francophones de Colombie</w:t>
      </w:r>
      <w:r w:rsidRPr="00F67842">
        <w:rPr>
          <w:sz w:val="20"/>
          <w:lang w:val="fr-CA"/>
        </w:rPr>
        <w:noBreakHyphen/>
        <w:t>Britannique: Gall, Legge, Grant &amp; Munroe, Vancouver; Power Law, Vancouver.</w:t>
      </w:r>
    </w:p>
    <w:p w:rsidR="00073F96" w:rsidRDefault="00073F96" w:rsidP="00073F96">
      <w:pPr>
        <w:pStyle w:val="SCCLawFirm"/>
        <w:spacing w:line="240" w:lineRule="auto"/>
        <w:rPr>
          <w:sz w:val="20"/>
          <w:lang w:val="fr-CA"/>
        </w:rPr>
      </w:pPr>
    </w:p>
    <w:p w:rsidR="00073F96" w:rsidRPr="00F67842" w:rsidRDefault="00073F96" w:rsidP="00073F96">
      <w:pPr>
        <w:pStyle w:val="SCCLawFirm"/>
        <w:spacing w:line="240" w:lineRule="auto"/>
        <w:rPr>
          <w:sz w:val="20"/>
          <w:lang w:val="fr-CA"/>
        </w:rPr>
      </w:pPr>
      <w:r w:rsidRPr="00F67842">
        <w:rPr>
          <w:sz w:val="20"/>
          <w:lang w:val="fr-CA"/>
        </w:rPr>
        <w:tab/>
        <w:t>Solicitors for the intervener Fédération des parents francophones de l’Alberta: Nicolas M. Rouleau, Toronto; WeirFoulds, Toronto.</w:t>
      </w:r>
    </w:p>
    <w:p w:rsidR="00073F96" w:rsidRDefault="00073F96" w:rsidP="00073F96">
      <w:pPr>
        <w:pStyle w:val="SCCLawFirm"/>
        <w:spacing w:line="240" w:lineRule="auto"/>
        <w:rPr>
          <w:sz w:val="20"/>
          <w:lang w:val="fr-CA"/>
        </w:rPr>
      </w:pPr>
    </w:p>
    <w:p w:rsidR="00073F96" w:rsidRDefault="00073F96" w:rsidP="00073F96">
      <w:pPr>
        <w:pStyle w:val="SCCLawFirm"/>
        <w:spacing w:line="240" w:lineRule="auto"/>
        <w:rPr>
          <w:sz w:val="20"/>
          <w:lang w:val="fr-CA"/>
        </w:rPr>
      </w:pPr>
      <w:r w:rsidRPr="00F67842">
        <w:rPr>
          <w:sz w:val="20"/>
          <w:lang w:val="fr-CA"/>
        </w:rPr>
        <w:tab/>
        <w:t>Solicitors for the interveners Fédération nationale des conseils scolaires francophones and Fédération des communautés francophones et acadienne du Canada: Power Law, Vancouver.</w:t>
      </w:r>
    </w:p>
    <w:p w:rsidR="003B3977" w:rsidRPr="00073F96" w:rsidRDefault="003B3977" w:rsidP="005C6840">
      <w:pPr>
        <w:rPr>
          <w:rFonts w:cs="Times New Roman"/>
          <w:sz w:val="20"/>
          <w:szCs w:val="20"/>
          <w:lang w:val="fr-CA"/>
        </w:rPr>
      </w:pPr>
    </w:p>
    <w:p w:rsidR="005C6840" w:rsidRDefault="005B3B50" w:rsidP="005C6840">
      <w:pPr>
        <w:rPr>
          <w:lang w:val="fr-CA"/>
        </w:rPr>
      </w:pPr>
      <w:r>
        <w:rPr>
          <w:rFonts w:cs="Times New Roman"/>
          <w:sz w:val="20"/>
          <w:szCs w:val="20"/>
          <w:lang w:val="fr-CA"/>
        </w:rPr>
        <w:pict>
          <v:rect id="_x0000_i1086" style="width:144.3pt;height:1pt" o:hrpct="300" o:hralign="center" o:hrstd="t" o:hrnoshade="t" o:hr="t" fillcolor="black [3213]" stroked="f"/>
        </w:pict>
      </w:r>
      <w:r w:rsidR="005C6840">
        <w:rPr>
          <w:lang w:val="fr-CA"/>
        </w:rPr>
        <w:br w:type="page"/>
      </w:r>
    </w:p>
    <w:p w:rsidR="00971EF1" w:rsidRPr="002B0921" w:rsidRDefault="00971EF1" w:rsidP="00971EF1">
      <w:pPr>
        <w:tabs>
          <w:tab w:val="center" w:pos="4680"/>
        </w:tabs>
        <w:rPr>
          <w:sz w:val="20"/>
          <w:szCs w:val="20"/>
          <w:lang w:val="fr-CA"/>
        </w:rPr>
      </w:pPr>
      <w:r w:rsidRPr="002B0921">
        <w:rPr>
          <w:rFonts w:eastAsia="Calibri"/>
          <w:i/>
          <w:sz w:val="20"/>
          <w:szCs w:val="20"/>
          <w:lang w:val="fr-CA"/>
        </w:rPr>
        <w:t>Sa Majesté la Reine c</w:t>
      </w:r>
      <w:r w:rsidRPr="002B0921">
        <w:rPr>
          <w:rFonts w:eastAsia="Calibri"/>
          <w:i/>
          <w:smallCaps/>
          <w:sz w:val="20"/>
          <w:szCs w:val="20"/>
          <w:lang w:val="fr-CA"/>
        </w:rPr>
        <w:t>.</w:t>
      </w:r>
      <w:r w:rsidRPr="002B0921">
        <w:rPr>
          <w:rFonts w:eastAsia="Calibri"/>
          <w:i/>
          <w:sz w:val="20"/>
          <w:szCs w:val="20"/>
          <w:lang w:val="fr-CA"/>
        </w:rPr>
        <w:t xml:space="preserve"> Jeffrey St-Cloud</w:t>
      </w:r>
      <w:r w:rsidRPr="002B0921">
        <w:rPr>
          <w:rFonts w:eastAsia="Calibri"/>
          <w:sz w:val="20"/>
          <w:szCs w:val="20"/>
          <w:lang w:val="fr-CA"/>
        </w:rPr>
        <w:t xml:space="preserve"> (Qc) (</w:t>
      </w:r>
      <w:hyperlink r:id="rId100" w:history="1">
        <w:r w:rsidRPr="002B0921">
          <w:rPr>
            <w:rStyle w:val="Hyperlink"/>
            <w:rFonts w:eastAsia="Calibri"/>
            <w:smallCaps/>
            <w:sz w:val="20"/>
            <w:szCs w:val="20"/>
            <w:lang w:val="fr-CA"/>
          </w:rPr>
          <w:t>35626</w:t>
        </w:r>
      </w:hyperlink>
      <w:r w:rsidRPr="002B0921">
        <w:rPr>
          <w:rFonts w:eastAsia="Calibri"/>
          <w:smallCaps/>
          <w:sz w:val="20"/>
          <w:szCs w:val="20"/>
          <w:lang w:val="fr-CA"/>
        </w:rPr>
        <w:t>)</w:t>
      </w:r>
    </w:p>
    <w:p w:rsidR="006A6EF8" w:rsidRPr="006A6EF8" w:rsidRDefault="006A6EF8" w:rsidP="006A6EF8">
      <w:pPr>
        <w:jc w:val="both"/>
        <w:rPr>
          <w:b/>
          <w:sz w:val="20"/>
          <w:szCs w:val="20"/>
        </w:rPr>
      </w:pPr>
      <w:r w:rsidRPr="00DC0133">
        <w:rPr>
          <w:b/>
          <w:sz w:val="20"/>
          <w:szCs w:val="20"/>
        </w:rPr>
        <w:t xml:space="preserve">Indexed as: </w:t>
      </w:r>
      <w:r w:rsidRPr="006A6EF8">
        <w:rPr>
          <w:rStyle w:val="SCCAppellantForIndexChar"/>
          <w:rFonts w:eastAsiaTheme="minorHAnsi"/>
          <w:sz w:val="20"/>
          <w:lang w:val="en-CA"/>
        </w:rPr>
        <w:t>R.</w:t>
      </w:r>
      <w:r w:rsidRPr="00DC0133">
        <w:rPr>
          <w:b/>
          <w:sz w:val="20"/>
          <w:szCs w:val="20"/>
        </w:rPr>
        <w:t xml:space="preserve"> </w:t>
      </w:r>
      <w:r w:rsidRPr="00DC0133">
        <w:rPr>
          <w:b/>
          <w:i/>
          <w:sz w:val="20"/>
          <w:szCs w:val="20"/>
        </w:rPr>
        <w:t>v.</w:t>
      </w:r>
      <w:r w:rsidRPr="00DC0133">
        <w:rPr>
          <w:b/>
          <w:sz w:val="20"/>
          <w:szCs w:val="20"/>
        </w:rPr>
        <w:t xml:space="preserve"> </w:t>
      </w:r>
      <w:r w:rsidRPr="00DC0133">
        <w:rPr>
          <w:rStyle w:val="SCCRespondentForIndexChar"/>
          <w:rFonts w:eastAsiaTheme="minorHAnsi"/>
          <w:sz w:val="20"/>
        </w:rPr>
        <w:t>St</w:t>
      </w:r>
      <w:r w:rsidRPr="00DC0133">
        <w:rPr>
          <w:rStyle w:val="SCCRespondentForIndexChar"/>
          <w:rFonts w:eastAsiaTheme="minorHAnsi"/>
          <w:sz w:val="20"/>
        </w:rPr>
        <w:noBreakHyphen/>
        <w:t>Cloud</w:t>
      </w:r>
      <w:r>
        <w:rPr>
          <w:rStyle w:val="SCCRespondentForIndexChar"/>
          <w:rFonts w:eastAsiaTheme="minorHAnsi"/>
          <w:sz w:val="20"/>
        </w:rPr>
        <w:t xml:space="preserve"> / </w:t>
      </w:r>
      <w:r w:rsidRPr="006A6EF8">
        <w:rPr>
          <w:b/>
          <w:sz w:val="20"/>
          <w:szCs w:val="20"/>
        </w:rPr>
        <w:t>Répertorié : </w:t>
      </w:r>
      <w:r w:rsidRPr="006A6EF8">
        <w:rPr>
          <w:rStyle w:val="SCCAppellantForIndexChar"/>
          <w:rFonts w:eastAsiaTheme="minorHAnsi"/>
          <w:sz w:val="20"/>
          <w:lang w:val="en-CA"/>
        </w:rPr>
        <w:t>R.</w:t>
      </w:r>
      <w:r w:rsidRPr="006A6EF8">
        <w:rPr>
          <w:b/>
          <w:sz w:val="20"/>
          <w:szCs w:val="20"/>
        </w:rPr>
        <w:t xml:space="preserve"> </w:t>
      </w:r>
      <w:r w:rsidRPr="006A6EF8">
        <w:rPr>
          <w:b/>
          <w:i/>
          <w:sz w:val="20"/>
          <w:szCs w:val="20"/>
        </w:rPr>
        <w:t>c.</w:t>
      </w:r>
      <w:r w:rsidRPr="006A6EF8">
        <w:rPr>
          <w:b/>
          <w:sz w:val="20"/>
          <w:szCs w:val="20"/>
        </w:rPr>
        <w:t xml:space="preserve"> </w:t>
      </w:r>
      <w:r w:rsidRPr="006A6EF8">
        <w:rPr>
          <w:rStyle w:val="SCCRespondentForIndexChar"/>
          <w:rFonts w:eastAsiaTheme="minorHAnsi"/>
          <w:sz w:val="20"/>
        </w:rPr>
        <w:t>St</w:t>
      </w:r>
      <w:r w:rsidRPr="006A6EF8">
        <w:rPr>
          <w:rStyle w:val="SCCRespondentForIndexChar"/>
          <w:rFonts w:eastAsiaTheme="minorHAnsi"/>
          <w:sz w:val="20"/>
        </w:rPr>
        <w:noBreakHyphen/>
        <w:t>Cloud</w:t>
      </w:r>
    </w:p>
    <w:p w:rsidR="0052229C" w:rsidRPr="00352A49" w:rsidRDefault="0052229C" w:rsidP="0052229C">
      <w:pPr>
        <w:pStyle w:val="SCCSystemYear"/>
        <w:jc w:val="both"/>
        <w:rPr>
          <w:sz w:val="20"/>
        </w:rPr>
      </w:pPr>
      <w:r w:rsidRPr="00352A49">
        <w:rPr>
          <w:sz w:val="20"/>
        </w:rPr>
        <w:t>Neutral citation:  201</w:t>
      </w:r>
      <w:r w:rsidR="00020DC3">
        <w:rPr>
          <w:sz w:val="20"/>
        </w:rPr>
        <w:t>5</w:t>
      </w:r>
      <w:r w:rsidRPr="00352A49">
        <w:rPr>
          <w:sz w:val="20"/>
        </w:rPr>
        <w:t xml:space="preserve"> SCC </w:t>
      </w:r>
      <w:r w:rsidR="00073F96">
        <w:rPr>
          <w:sz w:val="20"/>
        </w:rPr>
        <w:t>2</w:t>
      </w:r>
      <w:r w:rsidR="00B92ABD">
        <w:rPr>
          <w:sz w:val="20"/>
        </w:rPr>
        <w:t>7</w:t>
      </w:r>
      <w:r w:rsidRPr="00352A49">
        <w:rPr>
          <w:sz w:val="20"/>
        </w:rPr>
        <w:t xml:space="preserve"> / Référence neutre : 201</w:t>
      </w:r>
      <w:r w:rsidR="00020DC3">
        <w:rPr>
          <w:sz w:val="20"/>
        </w:rPr>
        <w:t>5</w:t>
      </w:r>
      <w:r w:rsidRPr="00352A49">
        <w:rPr>
          <w:sz w:val="20"/>
        </w:rPr>
        <w:t xml:space="preserve"> CSC </w:t>
      </w:r>
      <w:r w:rsidR="00073F96">
        <w:rPr>
          <w:sz w:val="20"/>
        </w:rPr>
        <w:t>2</w:t>
      </w:r>
      <w:r w:rsidR="00B92ABD">
        <w:rPr>
          <w:sz w:val="20"/>
        </w:rPr>
        <w:t>7</w:t>
      </w:r>
    </w:p>
    <w:p w:rsidR="0052229C" w:rsidRPr="00352A49" w:rsidRDefault="0052229C" w:rsidP="0052229C">
      <w:pPr>
        <w:rPr>
          <w:sz w:val="20"/>
          <w:szCs w:val="20"/>
          <w:lang w:val="fr-CA"/>
        </w:rPr>
      </w:pPr>
      <w:r w:rsidRPr="00352A49">
        <w:rPr>
          <w:sz w:val="20"/>
          <w:szCs w:val="20"/>
          <w:lang w:val="fr-CA"/>
        </w:rPr>
        <w:t xml:space="preserve">Hearing:  </w:t>
      </w:r>
      <w:r w:rsidR="00E557C5">
        <w:rPr>
          <w:sz w:val="20"/>
          <w:szCs w:val="20"/>
          <w:lang w:val="fr-CA"/>
        </w:rPr>
        <w:t>November</w:t>
      </w:r>
      <w:r w:rsidRPr="00352A49">
        <w:rPr>
          <w:sz w:val="20"/>
          <w:szCs w:val="20"/>
          <w:lang w:val="fr-CA"/>
        </w:rPr>
        <w:t xml:space="preserve"> </w:t>
      </w:r>
      <w:r w:rsidR="00E557C5">
        <w:rPr>
          <w:sz w:val="20"/>
          <w:szCs w:val="20"/>
          <w:lang w:val="fr-CA"/>
        </w:rPr>
        <w:t>6</w:t>
      </w:r>
      <w:r w:rsidRPr="00352A49">
        <w:rPr>
          <w:sz w:val="20"/>
          <w:szCs w:val="20"/>
          <w:lang w:val="fr-CA"/>
        </w:rPr>
        <w:t>, 201</w:t>
      </w:r>
      <w:r w:rsidR="00020DC3">
        <w:rPr>
          <w:sz w:val="20"/>
          <w:szCs w:val="20"/>
          <w:lang w:val="fr-CA"/>
        </w:rPr>
        <w:t>4</w:t>
      </w:r>
      <w:r w:rsidRPr="00352A49">
        <w:rPr>
          <w:sz w:val="20"/>
          <w:szCs w:val="20"/>
          <w:lang w:val="fr-CA"/>
        </w:rPr>
        <w:t xml:space="preserve"> / Judgment:  </w:t>
      </w:r>
      <w:r w:rsidR="00971EF1">
        <w:rPr>
          <w:sz w:val="20"/>
          <w:szCs w:val="20"/>
          <w:lang w:val="fr-CA"/>
        </w:rPr>
        <w:t>M</w:t>
      </w:r>
      <w:r w:rsidRPr="00352A49">
        <w:rPr>
          <w:sz w:val="20"/>
          <w:szCs w:val="20"/>
          <w:lang w:val="fr-CA"/>
        </w:rPr>
        <w:t>ay 1</w:t>
      </w:r>
      <w:r w:rsidR="00971EF1">
        <w:rPr>
          <w:sz w:val="20"/>
          <w:szCs w:val="20"/>
          <w:lang w:val="fr-CA"/>
        </w:rPr>
        <w:t>5</w:t>
      </w:r>
      <w:r w:rsidRPr="00352A49">
        <w:rPr>
          <w:sz w:val="20"/>
          <w:szCs w:val="20"/>
          <w:lang w:val="fr-CA"/>
        </w:rPr>
        <w:t>, 201</w:t>
      </w:r>
      <w:r w:rsidR="00020DC3">
        <w:rPr>
          <w:sz w:val="20"/>
          <w:szCs w:val="20"/>
          <w:lang w:val="fr-CA"/>
        </w:rPr>
        <w:t>5</w:t>
      </w:r>
    </w:p>
    <w:p w:rsidR="0052229C" w:rsidRPr="003B3977" w:rsidRDefault="0052229C" w:rsidP="0052229C">
      <w:pPr>
        <w:rPr>
          <w:sz w:val="20"/>
          <w:szCs w:val="20"/>
          <w:lang w:val="fr-CA"/>
        </w:rPr>
      </w:pPr>
      <w:r w:rsidRPr="003B3977">
        <w:rPr>
          <w:sz w:val="20"/>
          <w:szCs w:val="20"/>
          <w:lang w:val="fr-CA"/>
        </w:rPr>
        <w:t xml:space="preserve">Audition : Le </w:t>
      </w:r>
      <w:r w:rsidR="00E557C5">
        <w:rPr>
          <w:sz w:val="20"/>
          <w:szCs w:val="20"/>
          <w:lang w:val="fr-CA"/>
        </w:rPr>
        <w:t>6 nove</w:t>
      </w:r>
      <w:r w:rsidRPr="003B3977">
        <w:rPr>
          <w:sz w:val="20"/>
          <w:szCs w:val="20"/>
          <w:lang w:val="fr-CA"/>
        </w:rPr>
        <w:t>m</w:t>
      </w:r>
      <w:r w:rsidR="00E557C5">
        <w:rPr>
          <w:sz w:val="20"/>
          <w:szCs w:val="20"/>
          <w:lang w:val="fr-CA"/>
        </w:rPr>
        <w:t>bre</w:t>
      </w:r>
      <w:r w:rsidRPr="003B3977">
        <w:rPr>
          <w:sz w:val="20"/>
          <w:szCs w:val="20"/>
          <w:lang w:val="fr-CA"/>
        </w:rPr>
        <w:t xml:space="preserve"> 201</w:t>
      </w:r>
      <w:r w:rsidR="00020DC3">
        <w:rPr>
          <w:sz w:val="20"/>
          <w:szCs w:val="20"/>
          <w:lang w:val="fr-CA"/>
        </w:rPr>
        <w:t>4</w:t>
      </w:r>
      <w:r w:rsidRPr="003B3977">
        <w:rPr>
          <w:sz w:val="20"/>
          <w:szCs w:val="20"/>
          <w:lang w:val="fr-CA"/>
        </w:rPr>
        <w:t xml:space="preserve"> / Jugement : Le </w:t>
      </w:r>
      <w:r>
        <w:rPr>
          <w:sz w:val="20"/>
          <w:szCs w:val="20"/>
          <w:lang w:val="fr-CA"/>
        </w:rPr>
        <w:t>1</w:t>
      </w:r>
      <w:r w:rsidR="00971EF1">
        <w:rPr>
          <w:sz w:val="20"/>
          <w:szCs w:val="20"/>
          <w:lang w:val="fr-CA"/>
        </w:rPr>
        <w:t>5</w:t>
      </w:r>
      <w:r>
        <w:rPr>
          <w:sz w:val="20"/>
          <w:szCs w:val="20"/>
          <w:lang w:val="fr-CA"/>
        </w:rPr>
        <w:t xml:space="preserve"> </w:t>
      </w:r>
      <w:r w:rsidR="00971EF1">
        <w:rPr>
          <w:sz w:val="20"/>
          <w:szCs w:val="20"/>
          <w:lang w:val="fr-CA"/>
        </w:rPr>
        <w:t>m</w:t>
      </w:r>
      <w:r>
        <w:rPr>
          <w:sz w:val="20"/>
          <w:szCs w:val="20"/>
          <w:lang w:val="fr-CA"/>
        </w:rPr>
        <w:t>ai</w:t>
      </w:r>
      <w:r w:rsidRPr="003B3977">
        <w:rPr>
          <w:sz w:val="20"/>
          <w:szCs w:val="20"/>
          <w:lang w:val="fr-CA"/>
        </w:rPr>
        <w:t xml:space="preserve"> 201</w:t>
      </w:r>
      <w:r w:rsidR="00020DC3">
        <w:rPr>
          <w:sz w:val="20"/>
          <w:szCs w:val="20"/>
          <w:lang w:val="fr-CA"/>
        </w:rPr>
        <w:t>5</w:t>
      </w:r>
    </w:p>
    <w:p w:rsidR="005C6840" w:rsidRPr="003B3977" w:rsidRDefault="005B3B50" w:rsidP="005C6840">
      <w:pPr>
        <w:rPr>
          <w:sz w:val="20"/>
          <w:szCs w:val="20"/>
          <w:lang w:val="fr-CA"/>
        </w:rPr>
      </w:pPr>
      <w:r>
        <w:rPr>
          <w:i/>
          <w:sz w:val="20"/>
          <w:szCs w:val="20"/>
        </w:rPr>
        <w:pict>
          <v:rect id="_x0000_i1087" style="width:480.95pt;height:1pt" o:hralign="center" o:hrstd="t" o:hrnoshade="t" o:hr="t" fillcolor="black [3213]" stroked="f"/>
        </w:pict>
      </w:r>
    </w:p>
    <w:p w:rsidR="005C6840" w:rsidRDefault="005C6840" w:rsidP="005C6840">
      <w:pPr>
        <w:spacing w:line="0" w:lineRule="atLeast"/>
        <w:rPr>
          <w:sz w:val="20"/>
          <w:szCs w:val="20"/>
          <w:lang w:val="fr-CA"/>
        </w:rPr>
      </w:pPr>
    </w:p>
    <w:p w:rsidR="009619CA" w:rsidRPr="00535976" w:rsidRDefault="009619CA" w:rsidP="009619CA">
      <w:pPr>
        <w:jc w:val="both"/>
        <w:rPr>
          <w:sz w:val="20"/>
          <w:szCs w:val="20"/>
          <w:lang w:val="fr-CA"/>
        </w:rPr>
      </w:pPr>
      <w:r w:rsidRPr="00535976">
        <w:rPr>
          <w:sz w:val="20"/>
          <w:szCs w:val="20"/>
          <w:lang w:val="fr-CA"/>
        </w:rPr>
        <w:t>Présents : La juge en chef McLachlin et les juges Abella, Rothstein, Moldaver, Karakatsanis, Wagner et Gascon.</w:t>
      </w:r>
    </w:p>
    <w:p w:rsidR="009619CA" w:rsidRDefault="009619CA" w:rsidP="009619CA">
      <w:pPr>
        <w:pStyle w:val="SCCNormalDoubleSpacing"/>
        <w:spacing w:line="240" w:lineRule="auto"/>
        <w:rPr>
          <w:sz w:val="20"/>
          <w:lang w:val="fr-CA"/>
        </w:rPr>
      </w:pPr>
    </w:p>
    <w:p w:rsidR="009619CA" w:rsidRPr="00535976" w:rsidRDefault="009619CA" w:rsidP="009619CA">
      <w:pPr>
        <w:pStyle w:val="SCCNormalDoubleSpacing"/>
        <w:spacing w:line="240" w:lineRule="auto"/>
        <w:rPr>
          <w:i/>
          <w:sz w:val="20"/>
          <w:lang w:val="fr-CA"/>
        </w:rPr>
      </w:pPr>
      <w:r w:rsidRPr="00535976">
        <w:rPr>
          <w:sz w:val="20"/>
          <w:lang w:val="fr-CA"/>
        </w:rPr>
        <w:tab/>
      </w:r>
      <w:r w:rsidRPr="00535976">
        <w:rPr>
          <w:i/>
          <w:sz w:val="20"/>
          <w:lang w:val="fr-CA"/>
        </w:rPr>
        <w:t>Droit criminel — Mise en liberté provisoire — Motifs justifiant la détention — Juge de paix ordonnant la détention de l’accusé en attente de son procès pour le motif prévu à l’art. 515(10)c) du Code criminel, soit que celle</w:t>
      </w:r>
      <w:r w:rsidRPr="00535976">
        <w:rPr>
          <w:i/>
          <w:sz w:val="20"/>
          <w:lang w:val="fr-CA"/>
        </w:rPr>
        <w:noBreakHyphen/>
        <w:t>ci « est nécessaire pour ne pas miner la confiance du public envers l’administration de la justice » — Juge réviseur ordonnant la mise en liberté de l’accusé — Quelle est l’interprétation que doit recevoir l’art. 515(10)c) du Code criminel? — Rejet de l’interprétation restrictive — Code criminel, L.R.C. 1985, c. C</w:t>
      </w:r>
      <w:r w:rsidRPr="00535976">
        <w:rPr>
          <w:i/>
          <w:sz w:val="20"/>
          <w:lang w:val="fr-CA"/>
        </w:rPr>
        <w:noBreakHyphen/>
        <w:t>46, art. 515(10)c).</w:t>
      </w:r>
    </w:p>
    <w:p w:rsidR="009619CA" w:rsidRDefault="009619CA" w:rsidP="009619CA">
      <w:pPr>
        <w:pStyle w:val="SCCNormalDoubleSpacing"/>
        <w:spacing w:line="240" w:lineRule="auto"/>
        <w:rPr>
          <w:i/>
          <w:sz w:val="20"/>
          <w:lang w:val="fr-CA"/>
        </w:rPr>
      </w:pPr>
    </w:p>
    <w:p w:rsidR="009619CA" w:rsidRPr="00535976" w:rsidRDefault="009619CA" w:rsidP="009619CA">
      <w:pPr>
        <w:pStyle w:val="SCCNormalDoubleSpacing"/>
        <w:spacing w:line="240" w:lineRule="auto"/>
        <w:rPr>
          <w:i/>
          <w:sz w:val="20"/>
          <w:lang w:val="fr-CA"/>
        </w:rPr>
      </w:pPr>
      <w:r w:rsidRPr="00535976">
        <w:rPr>
          <w:i/>
          <w:sz w:val="20"/>
          <w:lang w:val="fr-CA"/>
        </w:rPr>
        <w:tab/>
        <w:t>Droit criminel — Mise en liberté provisoire — Révision de la décision d’un juge de paix — Décision du juge de paix d’ordonner la détention de l’accusé infirmée par le juge réviseur — Quels sont les cas donnant ouverture à la révision prévue aux art. 520 et 521 du Code criminel en matière de mise en liberté provisoire? — Le juge réviseur a</w:t>
      </w:r>
      <w:r w:rsidRPr="00535976">
        <w:rPr>
          <w:i/>
          <w:sz w:val="20"/>
          <w:lang w:val="fr-CA"/>
        </w:rPr>
        <w:noBreakHyphen/>
        <w:t>t</w:t>
      </w:r>
      <w:r w:rsidRPr="00535976">
        <w:rPr>
          <w:i/>
          <w:sz w:val="20"/>
          <w:lang w:val="fr-CA"/>
        </w:rPr>
        <w:noBreakHyphen/>
        <w:t>il erronément exercé son rôle en substituant purement et simplement son appréciation de la preuve à celle du juge de paix? — Code criminel, L.R.C. 1985, c. C</w:t>
      </w:r>
      <w:r w:rsidRPr="00535976">
        <w:rPr>
          <w:i/>
          <w:sz w:val="20"/>
          <w:lang w:val="fr-CA"/>
        </w:rPr>
        <w:noBreakHyphen/>
        <w:t>46, art. 520, 521.</w:t>
      </w:r>
    </w:p>
    <w:p w:rsidR="009619CA" w:rsidRDefault="009619CA" w:rsidP="009619CA">
      <w:pPr>
        <w:pStyle w:val="SCCNormalDoubleSpacing"/>
        <w:spacing w:line="240" w:lineRule="auto"/>
        <w:rPr>
          <w:sz w:val="20"/>
          <w:lang w:val="fr-CA"/>
        </w:rPr>
      </w:pPr>
    </w:p>
    <w:p w:rsidR="009619CA" w:rsidRPr="00535976" w:rsidRDefault="009619CA" w:rsidP="009619CA">
      <w:pPr>
        <w:pStyle w:val="SCCNormalDoubleSpacing"/>
        <w:spacing w:line="240" w:lineRule="auto"/>
        <w:rPr>
          <w:sz w:val="20"/>
          <w:lang w:val="fr-CA"/>
        </w:rPr>
      </w:pPr>
      <w:r w:rsidRPr="00535976">
        <w:rPr>
          <w:sz w:val="20"/>
          <w:lang w:val="fr-CA"/>
        </w:rPr>
        <w:tab/>
        <w:t xml:space="preserve">S fait face à un chef d’accusation de voies de fait graves en vertu de l’art. 268 du </w:t>
      </w:r>
      <w:r w:rsidRPr="00535976">
        <w:rPr>
          <w:i/>
          <w:sz w:val="20"/>
          <w:lang w:val="fr-CA"/>
        </w:rPr>
        <w:t>Code criminel</w:t>
      </w:r>
      <w:r w:rsidRPr="00535976">
        <w:rPr>
          <w:sz w:val="20"/>
          <w:lang w:val="fr-CA"/>
        </w:rPr>
        <w:t xml:space="preserve"> pour avoir, avec deux autres individus, agressé un chauffeur d’autobus. Le ministère public s’est opposé à la mise en liberté provisoire de S. Le juge de paix qui a entendu la demande initiale de mise en liberté a conclu que la détention était nécessaire sur la base des al. 515(10)</w:t>
      </w:r>
      <w:r w:rsidRPr="00535976">
        <w:rPr>
          <w:i/>
          <w:sz w:val="20"/>
          <w:lang w:val="fr-CA"/>
        </w:rPr>
        <w:t>b</w:t>
      </w:r>
      <w:r w:rsidRPr="00535976">
        <w:rPr>
          <w:sz w:val="20"/>
          <w:lang w:val="fr-CA"/>
        </w:rPr>
        <w:t xml:space="preserve">) et </w:t>
      </w:r>
      <w:r w:rsidRPr="00535976">
        <w:rPr>
          <w:i/>
          <w:sz w:val="20"/>
          <w:lang w:val="fr-CA"/>
        </w:rPr>
        <w:t>c</w:t>
      </w:r>
      <w:r w:rsidRPr="00535976">
        <w:rPr>
          <w:sz w:val="20"/>
          <w:lang w:val="fr-CA"/>
        </w:rPr>
        <w:t xml:space="preserve">) </w:t>
      </w:r>
      <w:r w:rsidRPr="00535976">
        <w:rPr>
          <w:i/>
          <w:sz w:val="20"/>
          <w:lang w:val="fr-CA"/>
        </w:rPr>
        <w:t>C.cr.</w:t>
      </w:r>
      <w:r w:rsidRPr="00535976">
        <w:rPr>
          <w:sz w:val="20"/>
          <w:lang w:val="fr-CA"/>
        </w:rPr>
        <w:t>, soit que la détention provisoire de S était nécessaire pour la protection ou la sécurité du public et pour ne pas miner la confiance du public envers l’administration de la justice. Le juge de paix qui a entendu la deuxième demande de mise en liberté à la fin de l’enquête préliminaire a estimé que la détention de S était toujours justifiée en vertu de l’al. 515(10)</w:t>
      </w:r>
      <w:r w:rsidRPr="00535976">
        <w:rPr>
          <w:i/>
          <w:sz w:val="20"/>
          <w:lang w:val="fr-CA"/>
        </w:rPr>
        <w:t>c</w:t>
      </w:r>
      <w:r w:rsidRPr="00535976">
        <w:rPr>
          <w:sz w:val="20"/>
          <w:lang w:val="fr-CA"/>
        </w:rPr>
        <w:t xml:space="preserve">). S a alors présenté une demande de révision en application de l’art. 520 </w:t>
      </w:r>
      <w:r w:rsidRPr="00535976">
        <w:rPr>
          <w:i/>
          <w:sz w:val="20"/>
          <w:lang w:val="fr-CA"/>
        </w:rPr>
        <w:t>C.cr.</w:t>
      </w:r>
      <w:r w:rsidRPr="00535976">
        <w:rPr>
          <w:sz w:val="20"/>
          <w:lang w:val="fr-CA"/>
        </w:rPr>
        <w:t xml:space="preserve"> devant un juge de la Cour supérieure, qui a décidé que la détention de S n’était pas nécessaire au regard de l’al. 515(10)</w:t>
      </w:r>
      <w:r w:rsidRPr="00535976">
        <w:rPr>
          <w:i/>
          <w:sz w:val="20"/>
          <w:lang w:val="fr-CA"/>
        </w:rPr>
        <w:t>c</w:t>
      </w:r>
      <w:r w:rsidRPr="00535976">
        <w:rPr>
          <w:sz w:val="20"/>
          <w:lang w:val="fr-CA"/>
        </w:rPr>
        <w:t xml:space="preserve">) et a ordonné sa mise en liberté. </w:t>
      </w:r>
    </w:p>
    <w:p w:rsidR="009619CA" w:rsidRDefault="009619CA" w:rsidP="009619CA">
      <w:pPr>
        <w:pStyle w:val="SCCNormalDoubleSpacing"/>
        <w:spacing w:line="240" w:lineRule="auto"/>
        <w:rPr>
          <w:sz w:val="20"/>
          <w:lang w:val="fr-CA"/>
        </w:rPr>
      </w:pPr>
    </w:p>
    <w:p w:rsidR="009619CA" w:rsidRPr="00535976" w:rsidRDefault="009619CA" w:rsidP="009619CA">
      <w:pPr>
        <w:pStyle w:val="SCCNormalDoubleSpacing"/>
        <w:spacing w:line="240" w:lineRule="auto"/>
        <w:rPr>
          <w:sz w:val="20"/>
          <w:lang w:val="fr-CA"/>
        </w:rPr>
      </w:pPr>
      <w:r w:rsidRPr="00535976">
        <w:rPr>
          <w:sz w:val="20"/>
          <w:lang w:val="fr-CA"/>
        </w:rPr>
        <w:tab/>
      </w:r>
      <w:r w:rsidRPr="00535976">
        <w:rPr>
          <w:i/>
          <w:sz w:val="20"/>
          <w:lang w:val="fr-CA"/>
        </w:rPr>
        <w:t>Arrêt</w:t>
      </w:r>
      <w:r w:rsidRPr="00535976">
        <w:rPr>
          <w:sz w:val="20"/>
          <w:lang w:val="fr-CA"/>
        </w:rPr>
        <w:t> : Le pourvoi est accueilli et l’ordonnance de détention est rétablie.</w:t>
      </w:r>
    </w:p>
    <w:p w:rsidR="009619CA" w:rsidRDefault="009619CA" w:rsidP="009619CA">
      <w:pPr>
        <w:pStyle w:val="SCCNormalDoubleSpacing"/>
        <w:spacing w:line="240" w:lineRule="auto"/>
        <w:rPr>
          <w:sz w:val="20"/>
          <w:lang w:val="fr-CA"/>
        </w:rPr>
      </w:pPr>
    </w:p>
    <w:p w:rsidR="009619CA" w:rsidRPr="00535976" w:rsidRDefault="009619CA" w:rsidP="009619CA">
      <w:pPr>
        <w:pStyle w:val="SCCNormalDoubleSpacing"/>
        <w:spacing w:line="240" w:lineRule="auto"/>
        <w:rPr>
          <w:sz w:val="20"/>
          <w:lang w:val="fr-CA"/>
        </w:rPr>
      </w:pPr>
      <w:r w:rsidRPr="00535976">
        <w:rPr>
          <w:sz w:val="20"/>
          <w:lang w:val="fr-CA"/>
        </w:rPr>
        <w:tab/>
        <w:t>Le motif énoncé à l’al. 515(10)</w:t>
      </w:r>
      <w:r w:rsidRPr="00535976">
        <w:rPr>
          <w:i/>
          <w:sz w:val="20"/>
          <w:lang w:val="fr-CA"/>
        </w:rPr>
        <w:t>c</w:t>
      </w:r>
      <w:r w:rsidRPr="00535976">
        <w:rPr>
          <w:sz w:val="20"/>
          <w:lang w:val="fr-CA"/>
        </w:rPr>
        <w:t xml:space="preserve">) du </w:t>
      </w:r>
      <w:r w:rsidRPr="00535976">
        <w:rPr>
          <w:i/>
          <w:sz w:val="20"/>
          <w:lang w:val="fr-CA"/>
        </w:rPr>
        <w:t>Code criminel</w:t>
      </w:r>
      <w:r w:rsidRPr="00535976">
        <w:rPr>
          <w:sz w:val="20"/>
          <w:lang w:val="fr-CA"/>
        </w:rPr>
        <w:t>, soit que la détention de l’accusé « est nécessaire pour ne pas miner la confiance du public envers l’administration de la justice », est un motif distinct permettant à lui seul d’ordonner la détention avant procès d’un accusé. Il ne s’agit pas d’un motif résiduel de détention, applicable seulement lorsque les deux premiers motifs de détention prévus aux al. 515(10)</w:t>
      </w:r>
      <w:r w:rsidRPr="00535976">
        <w:rPr>
          <w:i/>
          <w:sz w:val="20"/>
          <w:lang w:val="fr-CA"/>
        </w:rPr>
        <w:t>a</w:t>
      </w:r>
      <w:r w:rsidRPr="00535976">
        <w:rPr>
          <w:sz w:val="20"/>
          <w:lang w:val="fr-CA"/>
        </w:rPr>
        <w:t xml:space="preserve">) et </w:t>
      </w:r>
      <w:r w:rsidRPr="00535976">
        <w:rPr>
          <w:i/>
          <w:sz w:val="20"/>
          <w:lang w:val="fr-CA"/>
        </w:rPr>
        <w:t>b</w:t>
      </w:r>
      <w:r w:rsidRPr="00535976">
        <w:rPr>
          <w:sz w:val="20"/>
          <w:lang w:val="fr-CA"/>
        </w:rPr>
        <w:t>) ne sont pas satisfaits. La portée de l’al. 515(10)</w:t>
      </w:r>
      <w:r w:rsidRPr="00535976">
        <w:rPr>
          <w:i/>
          <w:sz w:val="20"/>
          <w:lang w:val="fr-CA"/>
        </w:rPr>
        <w:t>c</w:t>
      </w:r>
      <w:r w:rsidRPr="00535976">
        <w:rPr>
          <w:sz w:val="20"/>
          <w:lang w:val="fr-CA"/>
        </w:rPr>
        <w:t>) a été indûment restreinte par les tribunaux dans certains cas; cette disposition ne doit pas être interprétée restrictivement ou appliquée avec parcimonie. Le recours à ce motif de détention ne se limite pas aux circonstances exceptionnelles, aux crimes inexplicables, aux crimes les plus odieux ou encore à certaines catégories de crimes. Le fait que la détention ne puisse être justifiée qu’en de rares occasions n’est qu’une conséquence de l’application de l’al. 515(10)</w:t>
      </w:r>
      <w:r w:rsidRPr="00535976">
        <w:rPr>
          <w:i/>
          <w:sz w:val="20"/>
          <w:lang w:val="fr-CA"/>
        </w:rPr>
        <w:t>c</w:t>
      </w:r>
      <w:r w:rsidRPr="00535976">
        <w:rPr>
          <w:sz w:val="20"/>
          <w:lang w:val="fr-CA"/>
        </w:rPr>
        <w:t>), et non une condition préalable à son application, un critère dont doit tenir compte le tribunal dans son analyse ou le but de cette disposition. Le libellé de l’al. 515(10)</w:t>
      </w:r>
      <w:r w:rsidRPr="00535976">
        <w:rPr>
          <w:i/>
          <w:sz w:val="20"/>
          <w:lang w:val="fr-CA"/>
        </w:rPr>
        <w:t>c</w:t>
      </w:r>
      <w:r w:rsidRPr="00535976">
        <w:rPr>
          <w:sz w:val="20"/>
          <w:lang w:val="fr-CA"/>
        </w:rPr>
        <w:t>) est clair et n’exige pas des circonstances exceptionnelles ou rares. Le caractère inexplicable ou inexpliqué du crime n’est pas non plus un critère qui devrait guider les juges dans leur analyse de l’al. 515(10)</w:t>
      </w:r>
      <w:r w:rsidRPr="00535976">
        <w:rPr>
          <w:i/>
          <w:sz w:val="20"/>
          <w:lang w:val="fr-CA"/>
        </w:rPr>
        <w:t>c</w:t>
      </w:r>
      <w:r w:rsidRPr="00535976">
        <w:rPr>
          <w:sz w:val="20"/>
          <w:lang w:val="fr-CA"/>
        </w:rPr>
        <w:t>). Cette notion est ambiguë et source de confusion. Puisque bon nombre de crimes peuvent être explicables d’une façon ou d’une autre, le critère du crime inexplicable est peu utile. De surcroît, l’utilisation d’un critère fondée sur la notion de crime inexplicable pourrait donner lieu à des conclusions peu souhaitables, car des crimes odieux et horribles pourraient ne pas satisfaire à ce critère. Cette notion risque de créer dans l’esprit du public l’impression que les juges justifient certains crimes, soit ceux qui sont explicables.</w:t>
      </w:r>
    </w:p>
    <w:p w:rsidR="009619CA" w:rsidRDefault="009619CA" w:rsidP="009619CA">
      <w:pPr>
        <w:pStyle w:val="SCCNormalDoubleSpacing"/>
        <w:spacing w:line="240" w:lineRule="auto"/>
        <w:rPr>
          <w:sz w:val="20"/>
          <w:lang w:val="fr-CA"/>
        </w:rPr>
      </w:pPr>
    </w:p>
    <w:p w:rsidR="009619CA" w:rsidRPr="00535976" w:rsidRDefault="009619CA" w:rsidP="009619CA">
      <w:pPr>
        <w:pStyle w:val="SCCNormalDoubleSpacing"/>
        <w:spacing w:line="240" w:lineRule="auto"/>
        <w:rPr>
          <w:sz w:val="20"/>
          <w:lang w:val="fr-CA"/>
        </w:rPr>
      </w:pPr>
      <w:r w:rsidRPr="00535976">
        <w:rPr>
          <w:sz w:val="20"/>
          <w:lang w:val="fr-CA"/>
        </w:rPr>
        <w:tab/>
        <w:t>Afin de déterminer si la détention de l’accusé est nécessaire pour ne pas miner la confiance du public envers l’administration de la justice, le juge doit d’abord tenir compte des quatre circonstances mentionnées expressément à l’al. 515(10)</w:t>
      </w:r>
      <w:r w:rsidRPr="00535976">
        <w:rPr>
          <w:i/>
          <w:sz w:val="20"/>
          <w:lang w:val="fr-CA"/>
        </w:rPr>
        <w:t>c</w:t>
      </w:r>
      <w:r w:rsidRPr="00535976">
        <w:rPr>
          <w:sz w:val="20"/>
          <w:lang w:val="fr-CA"/>
        </w:rPr>
        <w:t>). En premier lieu, le juge doit décider si l’accusation paraît fondée. Le poursuivant n’est pas tenu de prouver hors de tout doute raisonnable que l’accusé a commis l’infraction, et le juge doit se garder de jouer le rôle du juge du procès ou du jury : la crédibilité des témoins, la fiabilité de la preuve scientifique et d’autres questions devront être analysées lors du procès et non à l’audience relative à la mise en liberté. Le juge doit tout de même tenir compte de la qualité de la preuve présentée par le poursuivant afin de déterminer le poids qu’il accordera à cette circonstance dans son exercice de pondération. Le juge doit également considérer tout moyen de défense soulevé par l’accusé. Si la défense paraît fondée, le juge doit en tenir compte dans son analyse de l’apparence de fondement de l’accusation.</w:t>
      </w:r>
    </w:p>
    <w:p w:rsidR="009619CA" w:rsidRDefault="009619CA" w:rsidP="009619CA">
      <w:pPr>
        <w:pStyle w:val="SCCNormalDoubleSpacing"/>
        <w:spacing w:line="240" w:lineRule="auto"/>
        <w:rPr>
          <w:sz w:val="20"/>
          <w:lang w:val="fr-CA"/>
        </w:rPr>
      </w:pPr>
    </w:p>
    <w:p w:rsidR="009619CA" w:rsidRPr="00535976" w:rsidRDefault="009619CA" w:rsidP="009619CA">
      <w:pPr>
        <w:pStyle w:val="SCCNormalDoubleSpacing"/>
        <w:spacing w:line="240" w:lineRule="auto"/>
        <w:rPr>
          <w:sz w:val="20"/>
          <w:lang w:val="fr-CA"/>
        </w:rPr>
      </w:pPr>
      <w:r w:rsidRPr="00535976">
        <w:rPr>
          <w:sz w:val="20"/>
          <w:lang w:val="fr-CA"/>
        </w:rPr>
        <w:tab/>
        <w:t>Le juge doit ensuite déterminer la gravité objective de l’infraction, c’est</w:t>
      </w:r>
      <w:r w:rsidRPr="00535976">
        <w:rPr>
          <w:sz w:val="20"/>
          <w:lang w:val="fr-CA"/>
        </w:rPr>
        <w:noBreakHyphen/>
        <w:t>à</w:t>
      </w:r>
      <w:r w:rsidRPr="00535976">
        <w:rPr>
          <w:sz w:val="20"/>
          <w:lang w:val="fr-CA"/>
        </w:rPr>
        <w:noBreakHyphen/>
        <w:t xml:space="preserve">dire par rapport aux autres infractions du </w:t>
      </w:r>
      <w:r w:rsidRPr="00535976">
        <w:rPr>
          <w:i/>
          <w:sz w:val="20"/>
          <w:lang w:val="fr-CA"/>
        </w:rPr>
        <w:t>Code criminel</w:t>
      </w:r>
      <w:r w:rsidRPr="00535976">
        <w:rPr>
          <w:sz w:val="20"/>
          <w:lang w:val="fr-CA"/>
        </w:rPr>
        <w:t xml:space="preserve">. Cette gravité s’évalue en fonction de la sentence maximale — et, le cas échéant, de la sentence minimale — prévue par le </w:t>
      </w:r>
      <w:r w:rsidRPr="00535976">
        <w:rPr>
          <w:i/>
          <w:sz w:val="20"/>
          <w:lang w:val="fr-CA"/>
        </w:rPr>
        <w:t>Code criminel</w:t>
      </w:r>
      <w:r w:rsidRPr="00535976">
        <w:rPr>
          <w:sz w:val="20"/>
          <w:lang w:val="fr-CA"/>
        </w:rPr>
        <w:t xml:space="preserve"> à l’égard de l’infraction.</w:t>
      </w:r>
    </w:p>
    <w:p w:rsidR="009619CA" w:rsidRDefault="009619CA" w:rsidP="009619CA">
      <w:pPr>
        <w:pStyle w:val="SCCNormalDoubleSpacing"/>
        <w:spacing w:line="240" w:lineRule="auto"/>
        <w:rPr>
          <w:sz w:val="20"/>
          <w:lang w:val="fr-CA"/>
        </w:rPr>
      </w:pPr>
    </w:p>
    <w:p w:rsidR="009619CA" w:rsidRPr="00535976" w:rsidRDefault="009619CA" w:rsidP="009619CA">
      <w:pPr>
        <w:pStyle w:val="SCCNormalDoubleSpacing"/>
        <w:spacing w:line="240" w:lineRule="auto"/>
        <w:rPr>
          <w:sz w:val="20"/>
          <w:lang w:val="fr-CA"/>
        </w:rPr>
      </w:pPr>
      <w:r w:rsidRPr="00535976">
        <w:rPr>
          <w:sz w:val="20"/>
          <w:lang w:val="fr-CA"/>
        </w:rPr>
        <w:tab/>
        <w:t>Puis, le juge doit considérer les circonstances entourant la perpétration de l’infraction, y compris l’usage d’une arme à feu. Celles qui peuvent être pertinentes pour l’application de l’al. 515(10)</w:t>
      </w:r>
      <w:r w:rsidRPr="00535976">
        <w:rPr>
          <w:i/>
          <w:sz w:val="20"/>
          <w:lang w:val="fr-CA"/>
        </w:rPr>
        <w:t>c</w:t>
      </w:r>
      <w:r w:rsidRPr="00535976">
        <w:rPr>
          <w:sz w:val="20"/>
          <w:lang w:val="fr-CA"/>
        </w:rPr>
        <w:t>) sont entre autres les suivantes : le caractère violent, odieux ou haineux de l’infraction, le fait que celle</w:t>
      </w:r>
      <w:r w:rsidRPr="00535976">
        <w:rPr>
          <w:sz w:val="20"/>
          <w:lang w:val="fr-CA"/>
        </w:rPr>
        <w:noBreakHyphen/>
        <w:t>ci s’inscrive dans un contexte de violence domestique, de gang criminel ou d’organisation terroriste, et le fait qu’elle ait été commise à l’égard d’une personne vulnérable. S’il s’agit d’une infraction commise par plusieurs personnes, le degré de participation de l’accusé peut s’avérer pertinent. Les facteurs aggravants ou atténuants dont le tribunal tient compte dans la détermination de la peine peuvent également être considérés.</w:t>
      </w:r>
    </w:p>
    <w:p w:rsidR="009619CA" w:rsidRDefault="009619CA" w:rsidP="009619CA">
      <w:pPr>
        <w:pStyle w:val="SCCNormalDoubleSpacing"/>
        <w:spacing w:line="240" w:lineRule="auto"/>
        <w:rPr>
          <w:sz w:val="20"/>
          <w:lang w:val="fr-CA"/>
        </w:rPr>
      </w:pPr>
    </w:p>
    <w:p w:rsidR="009619CA" w:rsidRPr="00535976" w:rsidRDefault="009619CA" w:rsidP="009619CA">
      <w:pPr>
        <w:pStyle w:val="SCCNormalDoubleSpacing"/>
        <w:spacing w:line="240" w:lineRule="auto"/>
        <w:rPr>
          <w:sz w:val="20"/>
          <w:lang w:val="fr-CA"/>
        </w:rPr>
      </w:pPr>
      <w:r w:rsidRPr="00535976">
        <w:rPr>
          <w:sz w:val="20"/>
          <w:lang w:val="fr-CA"/>
        </w:rPr>
        <w:tab/>
        <w:t>Enfin, la quatrième circonstance à considérer est le fait que le prévenu encourt une longue peine d’emprisonnement. Bien qu’il ne soit pas souhaitable d’établir une règle fixant précisément le nombre d’années qui constitue une longue peine d’emprisonnement, certaines indications sont nécessaires. Puisqu’aucun crime n’est exempté de l’application possible de l’al. 515(10)</w:t>
      </w:r>
      <w:r w:rsidRPr="00535976">
        <w:rPr>
          <w:i/>
          <w:sz w:val="20"/>
          <w:lang w:val="fr-CA"/>
        </w:rPr>
        <w:t>c</w:t>
      </w:r>
      <w:r w:rsidRPr="00535976">
        <w:rPr>
          <w:sz w:val="20"/>
          <w:lang w:val="fr-CA"/>
        </w:rPr>
        <w:t>), une longue peine d’emprisonnement ne s’entend pas seulement des peines d’emprisonnement à perpétuité. De plus, afin de déterminer si l’accusé encourt réellement une longue peine d’emprisonnement, le juge doit tenir compte de toutes les circonstances connues au moment de l’audience et des principes devant moduler la peine applicable. Cette quatrième circonstance s’évalue de façon subjective.</w:t>
      </w:r>
    </w:p>
    <w:p w:rsidR="009619CA" w:rsidRDefault="009619CA" w:rsidP="009619CA">
      <w:pPr>
        <w:pStyle w:val="SCCNormalDoubleSpacing"/>
        <w:spacing w:line="240" w:lineRule="auto"/>
        <w:rPr>
          <w:sz w:val="20"/>
          <w:lang w:val="fr-CA"/>
        </w:rPr>
      </w:pPr>
    </w:p>
    <w:p w:rsidR="009619CA" w:rsidRPr="00535976" w:rsidRDefault="009619CA" w:rsidP="009619CA">
      <w:pPr>
        <w:pStyle w:val="SCCNormalDoubleSpacing"/>
        <w:spacing w:line="240" w:lineRule="auto"/>
        <w:rPr>
          <w:sz w:val="20"/>
          <w:lang w:val="fr-CA"/>
        </w:rPr>
      </w:pPr>
      <w:r w:rsidRPr="00535976">
        <w:rPr>
          <w:sz w:val="20"/>
          <w:lang w:val="fr-CA"/>
        </w:rPr>
        <w:tab/>
        <w:t>Les circonstances énumérées à l’al. 515(10)</w:t>
      </w:r>
      <w:r w:rsidRPr="00535976">
        <w:rPr>
          <w:i/>
          <w:sz w:val="20"/>
          <w:lang w:val="fr-CA"/>
        </w:rPr>
        <w:t>c</w:t>
      </w:r>
      <w:r w:rsidRPr="00535976">
        <w:rPr>
          <w:sz w:val="20"/>
          <w:lang w:val="fr-CA"/>
        </w:rPr>
        <w:t>) ne sont pas exhaustives. Le tribunal doit plutôt tenir compte de toutes les circonstances propres à chaque cas d’espèce, en prêtant une attention particulière aux quatre circonstances énumérées. Aucune circonstance n’est déterminante en soi : le juge doit considérer les effets combinés de toutes les circonstances de chaque affaire qui lui permettront de déterminer si la détention est justifiée. Il s’agit d’un exercice de pondération de toutes les circonstances pertinentes, au terme duquel le tribunal doit ultimement se poser la question suivante : la détention est</w:t>
      </w:r>
      <w:r w:rsidRPr="00535976">
        <w:rPr>
          <w:sz w:val="20"/>
          <w:lang w:val="fr-CA"/>
        </w:rPr>
        <w:noBreakHyphen/>
        <w:t>elle nécessaire pour ne pas miner la confiance du public envers l’administration de la justice? Le tribunal ne doit donc pas automatiquement ordonner la détention même si les quatre circonstances énumérées favorisent ce résultat. D’autres circonstances qui peuvent être pertinentes sont les circonstances propres à l’accusé (âge, antécédents criminels, condition physique ou mentale, appartenance à une organisation criminelle), le statut de la victime et l’impact sur la société d’un crime commis contre cette personne, ainsi que le fait que le procès de l’accusé aura lieu à une date très éloignée.</w:t>
      </w:r>
    </w:p>
    <w:p w:rsidR="009619CA" w:rsidRDefault="009619CA" w:rsidP="009619CA">
      <w:pPr>
        <w:pStyle w:val="SCCNormalDoubleSpacing"/>
        <w:spacing w:line="240" w:lineRule="auto"/>
        <w:rPr>
          <w:sz w:val="20"/>
          <w:lang w:val="fr-CA"/>
        </w:rPr>
      </w:pPr>
    </w:p>
    <w:p w:rsidR="009619CA" w:rsidRPr="00535976" w:rsidRDefault="009619CA" w:rsidP="009619CA">
      <w:pPr>
        <w:pStyle w:val="SCCNormalDoubleSpacing"/>
        <w:spacing w:line="240" w:lineRule="auto"/>
        <w:rPr>
          <w:sz w:val="20"/>
          <w:lang w:val="fr-CA"/>
        </w:rPr>
      </w:pPr>
      <w:r w:rsidRPr="00535976">
        <w:rPr>
          <w:sz w:val="20"/>
          <w:lang w:val="fr-CA"/>
        </w:rPr>
        <w:tab/>
        <w:t>L’exercice de pondération de toutes les circonstances auquel doit se livrer le juge en application de l’al. 515(10)</w:t>
      </w:r>
      <w:r w:rsidRPr="00535976">
        <w:rPr>
          <w:i/>
          <w:sz w:val="20"/>
          <w:lang w:val="fr-CA"/>
        </w:rPr>
        <w:t>c</w:t>
      </w:r>
      <w:r w:rsidRPr="00535976">
        <w:rPr>
          <w:sz w:val="20"/>
          <w:lang w:val="fr-CA"/>
        </w:rPr>
        <w:t>) doit être en tout temps guidé par le point de vue du « public », c’est</w:t>
      </w:r>
      <w:r w:rsidRPr="00535976">
        <w:rPr>
          <w:sz w:val="20"/>
          <w:lang w:val="fr-CA"/>
        </w:rPr>
        <w:noBreakHyphen/>
        <w:t>à</w:t>
      </w:r>
      <w:r w:rsidRPr="00535976">
        <w:rPr>
          <w:sz w:val="20"/>
          <w:lang w:val="fr-CA"/>
        </w:rPr>
        <w:noBreakHyphen/>
        <w:t xml:space="preserve">dire celui d’une personne raisonnable, bien  informée de la philosophie des dispositions législatives, des valeurs consacrées par la </w:t>
      </w:r>
      <w:r w:rsidRPr="00535976">
        <w:rPr>
          <w:i/>
          <w:sz w:val="20"/>
          <w:lang w:val="fr-CA"/>
        </w:rPr>
        <w:t>Charte canadienne des droits et libertés</w:t>
      </w:r>
      <w:r w:rsidRPr="00535976">
        <w:rPr>
          <w:sz w:val="20"/>
          <w:lang w:val="fr-CA"/>
        </w:rPr>
        <w:t xml:space="preserve"> et des circonstances réelles de l’affaire. Cette personne est une personne réfléchie et non une personne aux réactions émotives, mal informée sur les circonstances de l’affaire ou en désaccord avec les valeurs fondamentales de notre société. Elle n’est toutefois pas un juriste et, bien qu’elle soit au fait de l’importance de la présomption d’innocence et du droit à la liberté dans notre société, qu’elle s’attende à ce que les personnes accusées d’un crime subissent leur procès dans un délai raisonnable, qu’elle sache que les infractions criminelles requièrent la preuve d’une intention coupable et que certaines défenses tendent à démontrer l’absence de cette intention, elle n’est pas en mesure d’apprécier les subtilités des différentes défenses qui s’offrent à l’accusé. La confiance de cette personne raisonnable envers l’administration de la justice peut être minée tout autant si le tribunal refuse d’ordonner une détention justifiée compte tenu des circonstances de l’espèce, que lorsqu’il l’ordonne alors qu’elle est injustifiée.</w:t>
      </w:r>
    </w:p>
    <w:p w:rsidR="009619CA" w:rsidRDefault="009619CA" w:rsidP="009619CA">
      <w:pPr>
        <w:pStyle w:val="SCCNormalDoubleSpacing"/>
        <w:spacing w:line="240" w:lineRule="auto"/>
        <w:rPr>
          <w:sz w:val="20"/>
          <w:lang w:val="fr-CA"/>
        </w:rPr>
      </w:pPr>
    </w:p>
    <w:p w:rsidR="009619CA" w:rsidRPr="00535976" w:rsidRDefault="009619CA" w:rsidP="009619CA">
      <w:pPr>
        <w:pStyle w:val="SCCNormalDoubleSpacing"/>
        <w:spacing w:line="240" w:lineRule="auto"/>
        <w:rPr>
          <w:sz w:val="20"/>
          <w:lang w:val="fr-CA"/>
        </w:rPr>
      </w:pPr>
      <w:r w:rsidRPr="00535976">
        <w:rPr>
          <w:sz w:val="20"/>
          <w:lang w:val="fr-CA"/>
        </w:rPr>
        <w:tab/>
        <w:t xml:space="preserve">Les articles 520 et 521 du </w:t>
      </w:r>
      <w:r w:rsidRPr="00535976">
        <w:rPr>
          <w:i/>
          <w:sz w:val="20"/>
          <w:lang w:val="fr-CA"/>
        </w:rPr>
        <w:t>Code criminel</w:t>
      </w:r>
      <w:r w:rsidRPr="00535976">
        <w:rPr>
          <w:sz w:val="20"/>
          <w:lang w:val="fr-CA"/>
        </w:rPr>
        <w:t xml:space="preserve"> ne confèrent pas au juge réviseur un pouvoir discrétionnaire illimité pour modifier la décision initiale relative à la détention ou à la mise en liberté de l’accusé. Ces dispositions n’établissent pas une procédure </w:t>
      </w:r>
      <w:r w:rsidRPr="00535976">
        <w:rPr>
          <w:i/>
          <w:sz w:val="20"/>
          <w:lang w:val="fr-CA"/>
        </w:rPr>
        <w:t>de novo</w:t>
      </w:r>
      <w:r w:rsidRPr="00535976">
        <w:rPr>
          <w:sz w:val="20"/>
          <w:lang w:val="fr-CA"/>
        </w:rPr>
        <w:t>, mais plutôt un recours de nature hybride. Le juge doit se demander s’il est opportun qu’il exerce ce pouvoir de révision. L’opportunité d’exercer ce pouvoir ne se présentera que dans trois cas : 1) en présence d’une preuve nouvelle admissible si celle</w:t>
      </w:r>
      <w:r w:rsidRPr="00535976">
        <w:rPr>
          <w:sz w:val="20"/>
          <w:lang w:val="fr-CA"/>
        </w:rPr>
        <w:noBreakHyphen/>
        <w:t xml:space="preserve">ci démontre un changement important et pertinent dans les circonstances de l’affaire; 2) en présence d’une erreur de droit dans la décision contestée; ou 3) en présence d’une décision manifestement inappropriée. </w:t>
      </w:r>
    </w:p>
    <w:p w:rsidR="009619CA" w:rsidRDefault="009619CA" w:rsidP="009619CA">
      <w:pPr>
        <w:pStyle w:val="SCCNormalDoubleSpacing"/>
        <w:spacing w:line="240" w:lineRule="auto"/>
        <w:rPr>
          <w:sz w:val="20"/>
          <w:lang w:val="fr-CA"/>
        </w:rPr>
      </w:pPr>
    </w:p>
    <w:p w:rsidR="009619CA" w:rsidRPr="00535976" w:rsidRDefault="009619CA" w:rsidP="009619CA">
      <w:pPr>
        <w:pStyle w:val="SCCNormalDoubleSpacing"/>
        <w:spacing w:line="240" w:lineRule="auto"/>
        <w:rPr>
          <w:sz w:val="20"/>
          <w:lang w:val="fr-CA"/>
        </w:rPr>
      </w:pPr>
      <w:r w:rsidRPr="00535976">
        <w:rPr>
          <w:sz w:val="20"/>
          <w:lang w:val="fr-CA"/>
        </w:rPr>
        <w:tab/>
        <w:t xml:space="preserve">Les quatre critères de l’arrêt </w:t>
      </w:r>
      <w:r w:rsidRPr="00535976">
        <w:rPr>
          <w:i/>
          <w:sz w:val="20"/>
          <w:lang w:val="fr-CA"/>
        </w:rPr>
        <w:t>Palmer c. La Reine</w:t>
      </w:r>
      <w:r w:rsidRPr="00535976">
        <w:rPr>
          <w:sz w:val="20"/>
          <w:lang w:val="fr-CA"/>
        </w:rPr>
        <w:t>, [1980] 1 R.C.S. 759, sont pertinents pour déterminer en quoi consiste une preuve nouvelle pour les besoins de la révision prévue aux art. 520 et 521. Étant donné la nature généralement expéditive du processus de mise en liberté provisoire et les risques d’atteinte aux droits de l’accusé, et puisque l’audience sur mise en liberté survient au tout début des procédures criminelles et non à la fin comme l’appel de la peine, les juges réviseurs doivent faire preuve de souplesse dans l’application de ces quatre critères. En ce qui concerne le premier critère, la diligence raisonnable, le juge réviseur peut tenir compte d’éléments de preuve véritablement nouveaux ou d’éléments qui existaient au moment de l’audience initiale sur la mise en liberté de l’accusé, mais qui n’ont pas été présentés pour une raison légitime et raisonnable. Cette preuve nouvelle ne se limite pas à des éléments auxquels l’accusé n’a pas eu accès avant l’audience initiale. Il appartiendra aux juges réviseurs de déterminer, dans chaque cas, si la raison pour laquelle l’accusé n’a pas présenté plus tôt ces éléments de preuve préexistants était légitime et raisonnable. Quant au deuxième critère, il suffit que la preuve soit pertinente pour les besoins du par. 515(10). Ce critère sera donc rarement décisif lors d’une demande de révision en vertu des art. 520 et 521, puisque l’éventail de preuves pertinentes sera généralement assez large. En ce qui concerne le troisième critère — soit que la preuve doit être plausible, en ce sens qu’on puisse raisonnablement y ajouter foi —, il doit être interprété à la lumière de l’assouplissement des règles de preuve à l’étape de la mise en liberté sous caution, en particulier de l’al. 518(1)</w:t>
      </w:r>
      <w:r w:rsidRPr="00535976">
        <w:rPr>
          <w:i/>
          <w:sz w:val="20"/>
          <w:lang w:val="fr-CA"/>
        </w:rPr>
        <w:t>e</w:t>
      </w:r>
      <w:r w:rsidRPr="00535976">
        <w:rPr>
          <w:sz w:val="20"/>
          <w:lang w:val="fr-CA"/>
        </w:rPr>
        <w:t xml:space="preserve">) du </w:t>
      </w:r>
      <w:r w:rsidRPr="00535976">
        <w:rPr>
          <w:i/>
          <w:sz w:val="20"/>
          <w:lang w:val="fr-CA"/>
        </w:rPr>
        <w:t>Code criminel</w:t>
      </w:r>
      <w:r w:rsidRPr="00535976">
        <w:rPr>
          <w:sz w:val="20"/>
          <w:lang w:val="fr-CA"/>
        </w:rPr>
        <w:t xml:space="preserve">, lequel prévoit que « le juge de paix peut recevoir toute preuve qu’il considère plausible ou digne de foi dans les circonstances de l’espèce et fonder sa décision sur cette preuve ». Enfin, il convient de modifier ainsi le quatrième critère de l’arrêt </w:t>
      </w:r>
      <w:r w:rsidRPr="00535976">
        <w:rPr>
          <w:i/>
          <w:sz w:val="20"/>
          <w:lang w:val="fr-CA"/>
        </w:rPr>
        <w:t>Palmer</w:t>
      </w:r>
      <w:r w:rsidRPr="00535976">
        <w:rPr>
          <w:sz w:val="20"/>
          <w:lang w:val="fr-CA"/>
        </w:rPr>
        <w:t> : la preuve nouvelle doit être telle qu’il est raisonnable de penser que, compte tenu de toutes les circonstances pertinentes, elle aurait été susceptible d’influencer l’exercice de pondération auquel s’est livré le premier juge pour l’application de l’al. 515(10)</w:t>
      </w:r>
      <w:r w:rsidRPr="00535976">
        <w:rPr>
          <w:i/>
          <w:sz w:val="20"/>
          <w:lang w:val="fr-CA"/>
        </w:rPr>
        <w:t>c</w:t>
      </w:r>
      <w:r w:rsidRPr="00535976">
        <w:rPr>
          <w:sz w:val="20"/>
          <w:lang w:val="fr-CA"/>
        </w:rPr>
        <w:t>). Cette nouvelle preuve doit donc être significative. Si la preuve nouvelle satisfait aux quatre critères d’admissibilité, le juge réviseur est autorisé à reprendre l’analyse fondée sur l’al. 515(10)</w:t>
      </w:r>
      <w:r w:rsidRPr="00535976">
        <w:rPr>
          <w:i/>
          <w:sz w:val="20"/>
          <w:lang w:val="fr-CA"/>
        </w:rPr>
        <w:t>c</w:t>
      </w:r>
      <w:r w:rsidRPr="00535976">
        <w:rPr>
          <w:sz w:val="20"/>
          <w:lang w:val="fr-CA"/>
        </w:rPr>
        <w:t>) comme s’il était le premier décideur.</w:t>
      </w:r>
    </w:p>
    <w:p w:rsidR="009619CA" w:rsidRDefault="009619CA" w:rsidP="009619CA">
      <w:pPr>
        <w:pStyle w:val="SCCNormalDoubleSpacing"/>
        <w:spacing w:line="240" w:lineRule="auto"/>
        <w:rPr>
          <w:sz w:val="20"/>
          <w:lang w:val="fr-CA"/>
        </w:rPr>
      </w:pPr>
    </w:p>
    <w:p w:rsidR="009619CA" w:rsidRPr="00535976" w:rsidRDefault="009619CA" w:rsidP="009619CA">
      <w:pPr>
        <w:pStyle w:val="SCCNormalDoubleSpacing"/>
        <w:spacing w:line="240" w:lineRule="auto"/>
        <w:rPr>
          <w:sz w:val="20"/>
          <w:lang w:val="fr-CA"/>
        </w:rPr>
      </w:pPr>
      <w:r w:rsidRPr="00535976">
        <w:rPr>
          <w:sz w:val="20"/>
          <w:lang w:val="fr-CA"/>
        </w:rPr>
        <w:tab/>
        <w:t>L’opportunité d’intervenir existera aussi lorsqu’une erreur de droit a été commise par le premier juge, ou lorsque la décision contestée est manifestement inappropriée, c’est</w:t>
      </w:r>
      <w:r w:rsidRPr="00535976">
        <w:rPr>
          <w:sz w:val="20"/>
          <w:lang w:val="fr-CA"/>
        </w:rPr>
        <w:noBreakHyphen/>
        <w:t>à</w:t>
      </w:r>
      <w:r w:rsidRPr="00535976">
        <w:rPr>
          <w:sz w:val="20"/>
          <w:lang w:val="fr-CA"/>
        </w:rPr>
        <w:noBreakHyphen/>
        <w:t>dire lorsque le juge ayant rendu la décision contestée a accordé trop d’importance à un facteur pertinent ou pas suffisamment à un autre. Il ne s’agit donc pas d’accorder aux juges réviseurs le pouvoir d’intervenir à l’égard de la décision initiale simplement parce qu’ils auraient accordé un poids différent aux facteurs pertinents.</w:t>
      </w:r>
    </w:p>
    <w:p w:rsidR="009619CA" w:rsidRDefault="009619CA" w:rsidP="009619CA">
      <w:pPr>
        <w:pStyle w:val="SCCNormalDoubleSpacing"/>
        <w:spacing w:line="240" w:lineRule="auto"/>
        <w:rPr>
          <w:sz w:val="20"/>
          <w:lang w:val="fr-CA"/>
        </w:rPr>
      </w:pPr>
    </w:p>
    <w:p w:rsidR="009619CA" w:rsidRDefault="009619CA" w:rsidP="009619CA">
      <w:pPr>
        <w:pStyle w:val="SCCNormalDoubleSpacing"/>
        <w:spacing w:line="240" w:lineRule="auto"/>
        <w:rPr>
          <w:sz w:val="20"/>
          <w:lang w:val="fr-CA"/>
        </w:rPr>
      </w:pPr>
      <w:r w:rsidRPr="00535976">
        <w:rPr>
          <w:sz w:val="20"/>
          <w:lang w:val="fr-CA"/>
        </w:rPr>
        <w:tab/>
        <w:t>En l’espèce, le juge de la Cour supérieure est intervenu alors qu’il n’y avait pas matière à révision, vu l’absence de changement de circonstances et d’erreur de droit, et le fait que la décision initiale n’était pas manifestement inappropriée. La pondération de toutes les circonstances pertinentes, comme le requiert l’al. 515(10)</w:t>
      </w:r>
      <w:r w:rsidRPr="00535976">
        <w:rPr>
          <w:i/>
          <w:sz w:val="20"/>
          <w:lang w:val="fr-CA"/>
        </w:rPr>
        <w:t>c</w:t>
      </w:r>
      <w:r w:rsidRPr="00535976">
        <w:rPr>
          <w:sz w:val="20"/>
          <w:lang w:val="fr-CA"/>
        </w:rPr>
        <w:t>), rendait nécessaire la détention de S afin de ne pas miner la confiance du public envers l’administration de la justice.</w:t>
      </w:r>
    </w:p>
    <w:p w:rsidR="009619CA" w:rsidRDefault="009619CA" w:rsidP="009619CA">
      <w:pPr>
        <w:pStyle w:val="SCCNormalDoubleSpacing"/>
        <w:spacing w:line="240" w:lineRule="auto"/>
        <w:rPr>
          <w:sz w:val="20"/>
          <w:lang w:val="fr-CA"/>
        </w:rPr>
      </w:pPr>
    </w:p>
    <w:p w:rsidR="009619CA" w:rsidRPr="00535976" w:rsidRDefault="009619CA" w:rsidP="009619CA">
      <w:pPr>
        <w:pStyle w:val="SCCNormalDoubleSpacing"/>
        <w:spacing w:line="240" w:lineRule="auto"/>
        <w:rPr>
          <w:sz w:val="20"/>
          <w:lang w:val="fr-CA"/>
        </w:rPr>
      </w:pPr>
      <w:r w:rsidRPr="006A6EF8">
        <w:rPr>
          <w:sz w:val="20"/>
          <w:lang w:val="fr-CA"/>
        </w:rPr>
        <w:tab/>
      </w:r>
      <w:r w:rsidRPr="00535976">
        <w:rPr>
          <w:sz w:val="20"/>
          <w:lang w:val="fr-CA"/>
        </w:rPr>
        <w:t>POURVOI contre une décision de la Cour supérieure du Québec (le juge Martin), 2013 QCCS 5021, [2013] AZ</w:t>
      </w:r>
      <w:r w:rsidRPr="00535976">
        <w:rPr>
          <w:sz w:val="20"/>
          <w:lang w:val="fr-CA"/>
        </w:rPr>
        <w:noBreakHyphen/>
        <w:t>51009868, [2013] J.Q. n</w:t>
      </w:r>
      <w:r w:rsidRPr="00535976">
        <w:rPr>
          <w:sz w:val="20"/>
          <w:vertAlign w:val="superscript"/>
          <w:lang w:val="fr-CA"/>
        </w:rPr>
        <w:t>o</w:t>
      </w:r>
      <w:r w:rsidRPr="00535976">
        <w:rPr>
          <w:sz w:val="20"/>
          <w:lang w:val="fr-CA"/>
        </w:rPr>
        <w:t xml:space="preserve"> 14227 (QL), 2013 CarswellQue 10825 (WL Can.), qui a accueilli une requête en révision d’une ordonnance de détention en vertu de l’art. 520 du </w:t>
      </w:r>
      <w:r w:rsidRPr="00535976">
        <w:rPr>
          <w:i/>
          <w:sz w:val="20"/>
          <w:lang w:val="fr-CA"/>
        </w:rPr>
        <w:t>Code criminel</w:t>
      </w:r>
      <w:r w:rsidRPr="00535976">
        <w:rPr>
          <w:sz w:val="20"/>
          <w:lang w:val="fr-CA"/>
        </w:rPr>
        <w:t>. Pourvoi accueilli.</w:t>
      </w:r>
    </w:p>
    <w:p w:rsidR="009619CA" w:rsidRDefault="009619CA" w:rsidP="009619CA">
      <w:pPr>
        <w:pStyle w:val="SCCNormalDoubleSpacing"/>
        <w:spacing w:line="240" w:lineRule="auto"/>
        <w:rPr>
          <w:rStyle w:val="SCCCounselNameChar"/>
          <w:i w:val="0"/>
          <w:sz w:val="20"/>
          <w:lang w:val="fr-CA"/>
        </w:rPr>
      </w:pPr>
    </w:p>
    <w:p w:rsidR="009619CA" w:rsidRPr="00535976" w:rsidRDefault="009619CA" w:rsidP="009619CA">
      <w:pPr>
        <w:pStyle w:val="SCCNormalDoubleSpacing"/>
        <w:spacing w:line="240" w:lineRule="auto"/>
        <w:rPr>
          <w:sz w:val="20"/>
          <w:lang w:val="fr-CA"/>
        </w:rPr>
      </w:pPr>
      <w:r w:rsidRPr="00535976">
        <w:rPr>
          <w:rStyle w:val="SCCCounselNameChar"/>
          <w:sz w:val="20"/>
          <w:lang w:val="fr-CA"/>
        </w:rPr>
        <w:tab/>
        <w:t>Christian Jarry</w:t>
      </w:r>
      <w:r w:rsidRPr="00535976">
        <w:rPr>
          <w:rStyle w:val="SCCCounselSeparatorChar"/>
          <w:rFonts w:eastAsia="Calibri"/>
          <w:sz w:val="20"/>
        </w:rPr>
        <w:t xml:space="preserve"> et </w:t>
      </w:r>
      <w:r w:rsidRPr="00535976">
        <w:rPr>
          <w:rStyle w:val="SCCCounselNameChar"/>
          <w:sz w:val="20"/>
          <w:lang w:val="fr-CA"/>
        </w:rPr>
        <w:t>Geneviève Langlois</w:t>
      </w:r>
      <w:r w:rsidRPr="00535976">
        <w:rPr>
          <w:rStyle w:val="SCCCounselPartyRoleChar"/>
          <w:sz w:val="20"/>
          <w:lang w:val="fr-CA"/>
        </w:rPr>
        <w:t>, pour l’appelante.</w:t>
      </w:r>
    </w:p>
    <w:p w:rsidR="009619CA" w:rsidRDefault="009619CA" w:rsidP="009619CA">
      <w:pPr>
        <w:pStyle w:val="SCCNormalDoubleSpacing"/>
        <w:spacing w:line="240" w:lineRule="auto"/>
        <w:rPr>
          <w:rStyle w:val="SCCCounselNameChar"/>
          <w:i w:val="0"/>
          <w:sz w:val="20"/>
          <w:lang w:val="fr-CA"/>
        </w:rPr>
      </w:pPr>
    </w:p>
    <w:p w:rsidR="009619CA" w:rsidRPr="00535976" w:rsidRDefault="009619CA" w:rsidP="009619CA">
      <w:pPr>
        <w:pStyle w:val="SCCNormalDoubleSpacing"/>
        <w:spacing w:line="240" w:lineRule="auto"/>
        <w:rPr>
          <w:sz w:val="20"/>
          <w:lang w:val="fr-CA"/>
        </w:rPr>
      </w:pPr>
      <w:r w:rsidRPr="00535976">
        <w:rPr>
          <w:rStyle w:val="SCCCounselNameChar"/>
          <w:sz w:val="20"/>
          <w:lang w:val="fr-CA"/>
        </w:rPr>
        <w:tab/>
        <w:t>André Lapointe</w:t>
      </w:r>
      <w:r w:rsidRPr="00535976">
        <w:rPr>
          <w:rStyle w:val="SCCCounselSeparatorChar"/>
          <w:rFonts w:eastAsia="Calibri"/>
          <w:sz w:val="20"/>
        </w:rPr>
        <w:t xml:space="preserve"> et </w:t>
      </w:r>
      <w:r w:rsidRPr="00535976">
        <w:rPr>
          <w:rStyle w:val="SCCCounselNameChar"/>
          <w:sz w:val="20"/>
          <w:lang w:val="fr-CA"/>
        </w:rPr>
        <w:t>Guylaine Tardif</w:t>
      </w:r>
      <w:r w:rsidRPr="00535976">
        <w:rPr>
          <w:rStyle w:val="SCCCounselPartyRoleChar"/>
          <w:sz w:val="20"/>
          <w:lang w:val="fr-CA"/>
        </w:rPr>
        <w:t>, pour l’intimé.</w:t>
      </w:r>
    </w:p>
    <w:p w:rsidR="009619CA" w:rsidRDefault="009619CA" w:rsidP="009619CA">
      <w:pPr>
        <w:pStyle w:val="SCCNormalDoubleSpacing"/>
        <w:spacing w:line="240" w:lineRule="auto"/>
        <w:rPr>
          <w:rStyle w:val="SCCCounselNameChar"/>
          <w:i w:val="0"/>
          <w:sz w:val="20"/>
          <w:lang w:val="fr-CA"/>
        </w:rPr>
      </w:pPr>
    </w:p>
    <w:p w:rsidR="009619CA" w:rsidRPr="00535976" w:rsidRDefault="009619CA" w:rsidP="009619CA">
      <w:pPr>
        <w:pStyle w:val="SCCNormalDoubleSpacing"/>
        <w:spacing w:line="240" w:lineRule="auto"/>
        <w:rPr>
          <w:sz w:val="20"/>
          <w:lang w:val="fr-CA"/>
        </w:rPr>
      </w:pPr>
      <w:r w:rsidRPr="00535976">
        <w:rPr>
          <w:rStyle w:val="SCCCounselNameChar"/>
          <w:sz w:val="20"/>
          <w:lang w:val="fr-CA"/>
        </w:rPr>
        <w:tab/>
        <w:t>Robert E. Gattrell</w:t>
      </w:r>
      <w:r w:rsidRPr="00535976">
        <w:rPr>
          <w:rStyle w:val="SCCCounselSeparatorChar"/>
          <w:rFonts w:eastAsia="Calibri"/>
          <w:sz w:val="20"/>
        </w:rPr>
        <w:t xml:space="preserve"> et </w:t>
      </w:r>
      <w:r w:rsidRPr="00535976">
        <w:rPr>
          <w:rStyle w:val="SCCCounselNameChar"/>
          <w:sz w:val="20"/>
          <w:lang w:val="fr-CA"/>
        </w:rPr>
        <w:t>Avene Derwa</w:t>
      </w:r>
      <w:r w:rsidRPr="00535976">
        <w:rPr>
          <w:rStyle w:val="SCCCounselPartyRoleChar"/>
          <w:sz w:val="20"/>
          <w:lang w:val="fr-CA"/>
        </w:rPr>
        <w:t>, pour l’intervenant le procureur général de l’Ontario.</w:t>
      </w:r>
    </w:p>
    <w:p w:rsidR="009619CA" w:rsidRDefault="009619CA" w:rsidP="009619CA">
      <w:pPr>
        <w:pStyle w:val="SCCNormalDoubleSpacing"/>
        <w:spacing w:line="240" w:lineRule="auto"/>
        <w:rPr>
          <w:rStyle w:val="SCCCounselNameChar"/>
          <w:i w:val="0"/>
          <w:sz w:val="20"/>
          <w:lang w:val="fr-CA"/>
        </w:rPr>
      </w:pPr>
    </w:p>
    <w:p w:rsidR="009619CA" w:rsidRPr="00535976" w:rsidRDefault="009619CA" w:rsidP="009619CA">
      <w:pPr>
        <w:pStyle w:val="SCCNormalDoubleSpacing"/>
        <w:spacing w:line="240" w:lineRule="auto"/>
        <w:rPr>
          <w:sz w:val="20"/>
          <w:lang w:val="fr-CA"/>
        </w:rPr>
      </w:pPr>
      <w:r w:rsidRPr="00535976">
        <w:rPr>
          <w:rStyle w:val="SCCCounselNameChar"/>
          <w:sz w:val="20"/>
          <w:lang w:val="fr-CA"/>
        </w:rPr>
        <w:tab/>
        <w:t>John Norris</w:t>
      </w:r>
      <w:r w:rsidRPr="00535976">
        <w:rPr>
          <w:rStyle w:val="SCCCounselSeparatorChar"/>
          <w:rFonts w:eastAsia="Calibri"/>
          <w:sz w:val="20"/>
        </w:rPr>
        <w:t xml:space="preserve"> et </w:t>
      </w:r>
      <w:r w:rsidRPr="00535976">
        <w:rPr>
          <w:rStyle w:val="SCCCounselNameChar"/>
          <w:sz w:val="20"/>
          <w:lang w:val="fr-CA"/>
        </w:rPr>
        <w:t>Christine Mainville</w:t>
      </w:r>
      <w:r w:rsidRPr="00535976">
        <w:rPr>
          <w:rStyle w:val="SCCCounselPartyRoleChar"/>
          <w:sz w:val="20"/>
          <w:lang w:val="fr-CA"/>
        </w:rPr>
        <w:t>, pour l’intervenante Criminal Lawyers’ Association (Ontario).</w:t>
      </w:r>
    </w:p>
    <w:p w:rsidR="009619CA" w:rsidRDefault="009619CA" w:rsidP="009619CA">
      <w:pPr>
        <w:pStyle w:val="SCCNormalDoubleSpacing"/>
        <w:spacing w:line="240" w:lineRule="auto"/>
        <w:rPr>
          <w:rStyle w:val="SCCCounselNameChar"/>
          <w:i w:val="0"/>
          <w:sz w:val="20"/>
          <w:lang w:val="fr-CA"/>
        </w:rPr>
      </w:pPr>
    </w:p>
    <w:p w:rsidR="009619CA" w:rsidRPr="00535976" w:rsidRDefault="009619CA" w:rsidP="009619CA">
      <w:pPr>
        <w:pStyle w:val="SCCNormalDoubleSpacing"/>
        <w:spacing w:line="240" w:lineRule="auto"/>
        <w:rPr>
          <w:sz w:val="20"/>
          <w:lang w:val="fr-CA"/>
        </w:rPr>
      </w:pPr>
      <w:r w:rsidRPr="00535976">
        <w:rPr>
          <w:rStyle w:val="SCCCounselNameChar"/>
          <w:sz w:val="20"/>
          <w:lang w:val="fr-CA"/>
        </w:rPr>
        <w:tab/>
        <w:t>Anil K. Kapoor</w:t>
      </w:r>
      <w:r w:rsidRPr="00535976">
        <w:rPr>
          <w:rStyle w:val="SCCCounselSeparatorChar"/>
          <w:rFonts w:eastAsia="Calibri"/>
          <w:sz w:val="20"/>
        </w:rPr>
        <w:t xml:space="preserve"> et </w:t>
      </w:r>
      <w:r w:rsidRPr="00535976">
        <w:rPr>
          <w:rStyle w:val="SCCCounselNameChar"/>
          <w:sz w:val="20"/>
          <w:lang w:val="fr-CA"/>
        </w:rPr>
        <w:t>Lindsay Daviau</w:t>
      </w:r>
      <w:r w:rsidRPr="00535976">
        <w:rPr>
          <w:rStyle w:val="SCCCounselPartyRoleChar"/>
          <w:sz w:val="20"/>
          <w:lang w:val="fr-CA"/>
        </w:rPr>
        <w:t>, pour l’intervenante l’</w:t>
      </w:r>
      <w:r w:rsidRPr="00535976">
        <w:rPr>
          <w:sz w:val="20"/>
          <w:lang w:val="fr-CA"/>
        </w:rPr>
        <w:t>Association canadienne des libertés civiles</w:t>
      </w:r>
      <w:r w:rsidRPr="00535976">
        <w:rPr>
          <w:rStyle w:val="SCCCounselPartyRoleChar"/>
          <w:sz w:val="20"/>
          <w:lang w:val="fr-CA"/>
        </w:rPr>
        <w:t>.</w:t>
      </w:r>
    </w:p>
    <w:p w:rsidR="009619CA" w:rsidRDefault="009619CA" w:rsidP="009619CA">
      <w:pPr>
        <w:pStyle w:val="SCCLawFirm"/>
        <w:spacing w:line="240" w:lineRule="auto"/>
        <w:rPr>
          <w:sz w:val="20"/>
          <w:lang w:val="fr-CA"/>
        </w:rPr>
      </w:pPr>
    </w:p>
    <w:p w:rsidR="009619CA" w:rsidRPr="00535976" w:rsidRDefault="009619CA" w:rsidP="009619CA">
      <w:pPr>
        <w:pStyle w:val="SCCLawFirm"/>
        <w:spacing w:line="240" w:lineRule="auto"/>
        <w:rPr>
          <w:sz w:val="20"/>
          <w:lang w:val="fr-CA"/>
        </w:rPr>
      </w:pPr>
      <w:r w:rsidRPr="00535976">
        <w:rPr>
          <w:sz w:val="20"/>
          <w:lang w:val="fr-CA"/>
        </w:rPr>
        <w:tab/>
        <w:t>Procureur de l’appelante : Poursuites criminelles et pénales du Québec, Montréal.</w:t>
      </w:r>
    </w:p>
    <w:p w:rsidR="009619CA" w:rsidRDefault="009619CA" w:rsidP="009619CA">
      <w:pPr>
        <w:pStyle w:val="SCCLawFirm"/>
        <w:spacing w:line="240" w:lineRule="auto"/>
        <w:rPr>
          <w:sz w:val="20"/>
          <w:lang w:val="fr-CA"/>
        </w:rPr>
      </w:pPr>
    </w:p>
    <w:p w:rsidR="009619CA" w:rsidRPr="00535976" w:rsidRDefault="009619CA" w:rsidP="009619CA">
      <w:pPr>
        <w:pStyle w:val="SCCLawFirm"/>
        <w:spacing w:line="240" w:lineRule="auto"/>
        <w:rPr>
          <w:sz w:val="20"/>
          <w:lang w:val="fr-CA"/>
        </w:rPr>
      </w:pPr>
      <w:r w:rsidRPr="00535976">
        <w:rPr>
          <w:sz w:val="20"/>
          <w:lang w:val="fr-CA"/>
        </w:rPr>
        <w:tab/>
        <w:t>Procureurs de l’intimé : André Lapointe, Montréal; Guylaine Tardif, Montréal.</w:t>
      </w:r>
    </w:p>
    <w:p w:rsidR="009619CA" w:rsidRDefault="009619CA" w:rsidP="009619CA">
      <w:pPr>
        <w:pStyle w:val="SCCLawFirm"/>
        <w:spacing w:line="240" w:lineRule="auto"/>
        <w:rPr>
          <w:sz w:val="20"/>
          <w:lang w:val="fr-CA"/>
        </w:rPr>
      </w:pPr>
    </w:p>
    <w:p w:rsidR="009619CA" w:rsidRPr="00535976" w:rsidRDefault="009619CA" w:rsidP="009619CA">
      <w:pPr>
        <w:pStyle w:val="SCCLawFirm"/>
        <w:spacing w:line="240" w:lineRule="auto"/>
        <w:rPr>
          <w:sz w:val="20"/>
          <w:lang w:val="fr-CA"/>
        </w:rPr>
      </w:pPr>
      <w:r w:rsidRPr="00535976">
        <w:rPr>
          <w:sz w:val="20"/>
          <w:lang w:val="fr-CA"/>
        </w:rPr>
        <w:tab/>
        <w:t>Procureur de l’intervenant le procureur général de l’Ontario : Procureur général de l’Ontario, Toronto.</w:t>
      </w:r>
    </w:p>
    <w:p w:rsidR="009619CA" w:rsidRDefault="009619CA" w:rsidP="009619CA">
      <w:pPr>
        <w:rPr>
          <w:sz w:val="20"/>
          <w:lang w:val="fr-CA"/>
        </w:rPr>
      </w:pPr>
    </w:p>
    <w:p w:rsidR="009619CA" w:rsidRPr="00535976" w:rsidRDefault="009619CA" w:rsidP="009619CA">
      <w:pPr>
        <w:pStyle w:val="SCCLawFirm"/>
        <w:spacing w:line="240" w:lineRule="auto"/>
        <w:rPr>
          <w:sz w:val="20"/>
          <w:lang w:val="fr-CA"/>
        </w:rPr>
      </w:pPr>
      <w:r w:rsidRPr="00535976">
        <w:rPr>
          <w:sz w:val="20"/>
          <w:lang w:val="fr-CA"/>
        </w:rPr>
        <w:tab/>
        <w:t>Procureurs de l’intervenante Criminal Lawyers’ Association (Ontario) : John Norris, Toronto; Henein Hutchison, Toronto.</w:t>
      </w:r>
    </w:p>
    <w:p w:rsidR="009619CA" w:rsidRDefault="009619CA" w:rsidP="009619CA">
      <w:pPr>
        <w:pStyle w:val="SCCLawFirm"/>
        <w:spacing w:line="240" w:lineRule="auto"/>
        <w:rPr>
          <w:sz w:val="20"/>
          <w:lang w:val="fr-CA"/>
        </w:rPr>
      </w:pPr>
    </w:p>
    <w:p w:rsidR="009619CA" w:rsidRDefault="009619CA" w:rsidP="009619CA">
      <w:pPr>
        <w:pStyle w:val="SCCLawFirm"/>
        <w:spacing w:line="240" w:lineRule="auto"/>
        <w:rPr>
          <w:sz w:val="20"/>
          <w:lang w:val="fr-CA"/>
        </w:rPr>
      </w:pPr>
      <w:r w:rsidRPr="00535976">
        <w:rPr>
          <w:sz w:val="20"/>
          <w:lang w:val="fr-CA"/>
        </w:rPr>
        <w:tab/>
        <w:t xml:space="preserve">Procureurs de l’intervenante </w:t>
      </w:r>
      <w:r w:rsidRPr="00535976">
        <w:rPr>
          <w:rStyle w:val="SCCCounselPartyRoleChar"/>
          <w:sz w:val="20"/>
          <w:lang w:val="fr-CA"/>
        </w:rPr>
        <w:t>l’</w:t>
      </w:r>
      <w:r w:rsidRPr="00535976">
        <w:rPr>
          <w:sz w:val="20"/>
          <w:lang w:val="fr-CA"/>
        </w:rPr>
        <w:t>Association canadienne des libertés civiles : Kapoor Barristers, Toronto.</w:t>
      </w:r>
    </w:p>
    <w:p w:rsidR="0052229C" w:rsidRPr="009619CA" w:rsidRDefault="0052229C" w:rsidP="0052229C">
      <w:pPr>
        <w:rPr>
          <w:sz w:val="20"/>
          <w:szCs w:val="20"/>
        </w:rPr>
      </w:pPr>
      <w:r w:rsidRPr="009619CA">
        <w:rPr>
          <w:sz w:val="20"/>
          <w:szCs w:val="20"/>
        </w:rPr>
        <w:t>________________________</w:t>
      </w:r>
    </w:p>
    <w:p w:rsidR="0052229C" w:rsidRPr="009619CA" w:rsidRDefault="0052229C" w:rsidP="0052229C">
      <w:pPr>
        <w:rPr>
          <w:sz w:val="20"/>
          <w:szCs w:val="20"/>
        </w:rPr>
      </w:pPr>
    </w:p>
    <w:p w:rsidR="009619CA" w:rsidRPr="00DC0133" w:rsidRDefault="009619CA" w:rsidP="009619CA">
      <w:pPr>
        <w:jc w:val="both"/>
        <w:rPr>
          <w:sz w:val="20"/>
          <w:szCs w:val="20"/>
        </w:rPr>
      </w:pPr>
      <w:r w:rsidRPr="00DC0133">
        <w:rPr>
          <w:sz w:val="20"/>
          <w:szCs w:val="20"/>
        </w:rPr>
        <w:t>Present: McLachlin C.J. and Abella, Rothstein, Moldaver, Karakatsanis, Wagner and Gascon JJ.</w:t>
      </w:r>
    </w:p>
    <w:p w:rsidR="009619CA" w:rsidRDefault="009619CA" w:rsidP="009619CA">
      <w:pPr>
        <w:pStyle w:val="SCCNormalDoubleSpacing"/>
        <w:spacing w:line="240" w:lineRule="auto"/>
        <w:rPr>
          <w:sz w:val="20"/>
        </w:rPr>
      </w:pPr>
    </w:p>
    <w:p w:rsidR="009619CA" w:rsidRPr="00DC0133" w:rsidRDefault="009619CA" w:rsidP="009619CA">
      <w:pPr>
        <w:pStyle w:val="SCCNormalDoubleSpacing"/>
        <w:spacing w:line="240" w:lineRule="auto"/>
        <w:rPr>
          <w:i/>
          <w:sz w:val="20"/>
        </w:rPr>
      </w:pPr>
      <w:r w:rsidRPr="00DC0133">
        <w:rPr>
          <w:sz w:val="20"/>
        </w:rPr>
        <w:tab/>
      </w:r>
      <w:r w:rsidRPr="00DC0133">
        <w:rPr>
          <w:i/>
          <w:sz w:val="20"/>
        </w:rPr>
        <w:t>Criminal law — Interim release — Grounds justifying detention — Justice of peace ordering detention of accused awaiting trial on ground set out in s. 515(10)(c) of Criminal Code, that is, that his detention “is necessary to maintain confidence in the administration of justice” — Reviewing judge ordering release of accused — Proper interpretation of s. 515(10)(c) of Criminal Code — Restrictive interpretation rejected — Criminal Code, R.S.C. 1985, c. C</w:t>
      </w:r>
      <w:r w:rsidRPr="00DC0133">
        <w:rPr>
          <w:i/>
          <w:sz w:val="20"/>
        </w:rPr>
        <w:noBreakHyphen/>
        <w:t>46, s. 515(10)(c).</w:t>
      </w:r>
    </w:p>
    <w:p w:rsidR="009619CA" w:rsidRDefault="009619CA" w:rsidP="009619CA">
      <w:pPr>
        <w:pStyle w:val="SCCNormalDoubleSpacing"/>
        <w:spacing w:line="240" w:lineRule="auto"/>
        <w:rPr>
          <w:i/>
          <w:sz w:val="20"/>
        </w:rPr>
      </w:pPr>
    </w:p>
    <w:p w:rsidR="009619CA" w:rsidRPr="00DC0133" w:rsidRDefault="009619CA" w:rsidP="009619CA">
      <w:pPr>
        <w:pStyle w:val="SCCNormalDoubleSpacing"/>
        <w:spacing w:line="240" w:lineRule="auto"/>
        <w:rPr>
          <w:i/>
          <w:sz w:val="20"/>
        </w:rPr>
      </w:pPr>
      <w:r w:rsidRPr="00DC0133">
        <w:rPr>
          <w:i/>
          <w:sz w:val="20"/>
        </w:rPr>
        <w:tab/>
        <w:t>Criminal law — Interim release — Review of decision of justice of peace — Decision by justice of peace to order detention of accused reversed by reviewing judge — Cases in which review provided for in ss. 520 and 521 of Criminal Code is available in interim release context — Whether reviewing judge erred in exercising his role by simply substituting his assessment of evidence for that of justice of peace — Criminal Code, R.S.C. 1985, c. C</w:t>
      </w:r>
      <w:r w:rsidRPr="00DC0133">
        <w:rPr>
          <w:i/>
          <w:sz w:val="20"/>
        </w:rPr>
        <w:noBreakHyphen/>
        <w:t>46, ss. 520, 521.</w:t>
      </w:r>
    </w:p>
    <w:p w:rsidR="009619CA" w:rsidRDefault="009619CA" w:rsidP="009619CA">
      <w:pPr>
        <w:pStyle w:val="SCCNormalDoubleSpacing"/>
        <w:spacing w:line="240" w:lineRule="auto"/>
        <w:rPr>
          <w:sz w:val="20"/>
        </w:rPr>
      </w:pPr>
    </w:p>
    <w:p w:rsidR="009619CA" w:rsidRPr="00DC0133" w:rsidRDefault="009619CA" w:rsidP="009619CA">
      <w:pPr>
        <w:pStyle w:val="SCCNormalDoubleSpacing"/>
        <w:spacing w:line="240" w:lineRule="auto"/>
        <w:rPr>
          <w:sz w:val="20"/>
        </w:rPr>
      </w:pPr>
      <w:r w:rsidRPr="00DC0133">
        <w:rPr>
          <w:sz w:val="20"/>
        </w:rPr>
        <w:tab/>
        <w:t xml:space="preserve">S was charged with one count of aggravated assault under s. 268 of the </w:t>
      </w:r>
      <w:r w:rsidRPr="00DC0133">
        <w:rPr>
          <w:i/>
          <w:sz w:val="20"/>
        </w:rPr>
        <w:t xml:space="preserve">Criminal Code </w:t>
      </w:r>
      <w:r w:rsidRPr="00DC0133">
        <w:rPr>
          <w:sz w:val="20"/>
        </w:rPr>
        <w:t>for having assaulted a bus driver together with two other individuals. The Crown opposed the interim release of S. The justice of the peace who heard the initial application for release found that detention was necessary on the basis of s. 515(10)(</w:t>
      </w:r>
      <w:r w:rsidRPr="00DC0133">
        <w:rPr>
          <w:i/>
          <w:iCs/>
          <w:sz w:val="20"/>
        </w:rPr>
        <w:t>b</w:t>
      </w:r>
      <w:r w:rsidRPr="00DC0133">
        <w:rPr>
          <w:sz w:val="20"/>
        </w:rPr>
        <w:t>) and (</w:t>
      </w:r>
      <w:r w:rsidRPr="00DC0133">
        <w:rPr>
          <w:i/>
          <w:iCs/>
          <w:sz w:val="20"/>
        </w:rPr>
        <w:t>c</w:t>
      </w:r>
      <w:r w:rsidRPr="00DC0133">
        <w:rPr>
          <w:sz w:val="20"/>
        </w:rPr>
        <w:t>) </w:t>
      </w:r>
      <w:r w:rsidRPr="00DC0133">
        <w:rPr>
          <w:i/>
          <w:iCs/>
          <w:sz w:val="20"/>
        </w:rPr>
        <w:t>Cr.C.</w:t>
      </w:r>
      <w:r w:rsidRPr="00DC0133">
        <w:rPr>
          <w:sz w:val="20"/>
        </w:rPr>
        <w:t>, that is, because the interim detention of S was necessary for the protection or safety of the public, and to maintain confidence in the administration of justice. The justice who heard the second application for release on completion of the preliminary inquiry found that the detention of S was still justified under s. 515(10)(</w:t>
      </w:r>
      <w:r w:rsidRPr="00DC0133">
        <w:rPr>
          <w:i/>
          <w:iCs/>
          <w:sz w:val="20"/>
        </w:rPr>
        <w:t>c</w:t>
      </w:r>
      <w:r w:rsidRPr="00DC0133">
        <w:rPr>
          <w:sz w:val="20"/>
        </w:rPr>
        <w:t>). S then applied under s. 520 </w:t>
      </w:r>
      <w:r w:rsidRPr="00DC0133">
        <w:rPr>
          <w:i/>
          <w:iCs/>
          <w:sz w:val="20"/>
        </w:rPr>
        <w:t>Cr.C.</w:t>
      </w:r>
      <w:r w:rsidRPr="00DC0133">
        <w:rPr>
          <w:iCs/>
          <w:sz w:val="20"/>
        </w:rPr>
        <w:t xml:space="preserve"> for a review by </w:t>
      </w:r>
      <w:r w:rsidRPr="00DC0133">
        <w:rPr>
          <w:sz w:val="20"/>
        </w:rPr>
        <w:t>a Superior Court judge, who determined that the detention of S was not necessary under s. 515(10)(</w:t>
      </w:r>
      <w:r w:rsidRPr="00DC0133">
        <w:rPr>
          <w:i/>
          <w:sz w:val="20"/>
        </w:rPr>
        <w:t>c</w:t>
      </w:r>
      <w:r w:rsidRPr="00DC0133">
        <w:rPr>
          <w:sz w:val="20"/>
        </w:rPr>
        <w:t xml:space="preserve">) and ordered his release. </w:t>
      </w:r>
    </w:p>
    <w:p w:rsidR="009619CA" w:rsidRDefault="009619CA" w:rsidP="009619CA">
      <w:pPr>
        <w:pStyle w:val="SCCNormalDoubleSpacing"/>
        <w:spacing w:line="240" w:lineRule="auto"/>
        <w:rPr>
          <w:sz w:val="20"/>
        </w:rPr>
      </w:pPr>
    </w:p>
    <w:p w:rsidR="009619CA" w:rsidRPr="00DC0133" w:rsidRDefault="009619CA" w:rsidP="009619CA">
      <w:pPr>
        <w:pStyle w:val="SCCNormalDoubleSpacing"/>
        <w:spacing w:line="240" w:lineRule="auto"/>
        <w:rPr>
          <w:sz w:val="20"/>
        </w:rPr>
      </w:pPr>
      <w:r w:rsidRPr="00DC0133">
        <w:rPr>
          <w:sz w:val="20"/>
        </w:rPr>
        <w:tab/>
      </w:r>
      <w:r w:rsidRPr="00DC0133">
        <w:rPr>
          <w:i/>
          <w:sz w:val="20"/>
        </w:rPr>
        <w:t>Held</w:t>
      </w:r>
      <w:r w:rsidRPr="00DC0133">
        <w:rPr>
          <w:sz w:val="20"/>
        </w:rPr>
        <w:t>: The appeal should be allowed and the detention order restored.</w:t>
      </w:r>
    </w:p>
    <w:p w:rsidR="009619CA" w:rsidRDefault="009619CA" w:rsidP="009619CA">
      <w:pPr>
        <w:pStyle w:val="SCCNormalDoubleSpacing"/>
        <w:spacing w:line="240" w:lineRule="auto"/>
        <w:rPr>
          <w:sz w:val="20"/>
        </w:rPr>
      </w:pPr>
    </w:p>
    <w:p w:rsidR="009619CA" w:rsidRPr="00DC0133" w:rsidRDefault="009619CA" w:rsidP="009619CA">
      <w:pPr>
        <w:pStyle w:val="SCCNormalDoubleSpacing"/>
        <w:spacing w:line="240" w:lineRule="auto"/>
        <w:rPr>
          <w:sz w:val="20"/>
        </w:rPr>
      </w:pPr>
      <w:r w:rsidRPr="00DC0133">
        <w:rPr>
          <w:sz w:val="20"/>
        </w:rPr>
        <w:tab/>
        <w:t>The ground set out in s. 515(10)(</w:t>
      </w:r>
      <w:r w:rsidRPr="00DC0133">
        <w:rPr>
          <w:i/>
          <w:sz w:val="20"/>
        </w:rPr>
        <w:t>c</w:t>
      </w:r>
      <w:r w:rsidRPr="00DC0133">
        <w:rPr>
          <w:sz w:val="20"/>
        </w:rPr>
        <w:t xml:space="preserve">) of the </w:t>
      </w:r>
      <w:r w:rsidRPr="00DC0133">
        <w:rPr>
          <w:i/>
          <w:sz w:val="20"/>
        </w:rPr>
        <w:t>Criminal Code</w:t>
      </w:r>
      <w:r w:rsidRPr="00DC0133">
        <w:rPr>
          <w:sz w:val="20"/>
        </w:rPr>
        <w:t>, that is, that the detention of the accused “is necessary to maintain confidence in the administration of justice”, is a distinct ground that itself provides a basis for ordering the pre</w:t>
      </w:r>
      <w:r w:rsidRPr="00DC0133">
        <w:rPr>
          <w:sz w:val="20"/>
        </w:rPr>
        <w:noBreakHyphen/>
        <w:t xml:space="preserve">trial detention of an accused. It is not a </w:t>
      </w:r>
      <w:r w:rsidRPr="00DC0133">
        <w:rPr>
          <w:iCs/>
          <w:sz w:val="20"/>
        </w:rPr>
        <w:t>residual ground for detention that applies only where the first two grounds for detention</w:t>
      </w:r>
      <w:r w:rsidRPr="00DC0133">
        <w:rPr>
          <w:sz w:val="20"/>
        </w:rPr>
        <w:t xml:space="preserve"> provided for in s. 515(10)(</w:t>
      </w:r>
      <w:r w:rsidRPr="00DC0133">
        <w:rPr>
          <w:i/>
          <w:sz w:val="20"/>
        </w:rPr>
        <w:t>a</w:t>
      </w:r>
      <w:r w:rsidRPr="00DC0133">
        <w:rPr>
          <w:sz w:val="20"/>
        </w:rPr>
        <w:t>) and (</w:t>
      </w:r>
      <w:r w:rsidRPr="00DC0133">
        <w:rPr>
          <w:i/>
          <w:sz w:val="20"/>
        </w:rPr>
        <w:t>b</w:t>
      </w:r>
      <w:r w:rsidRPr="00DC0133">
        <w:rPr>
          <w:sz w:val="20"/>
        </w:rPr>
        <w:t>) are not satisfied. The scope of s. 515(10)(</w:t>
      </w:r>
      <w:r w:rsidRPr="00DC0133">
        <w:rPr>
          <w:i/>
          <w:iCs/>
          <w:sz w:val="20"/>
        </w:rPr>
        <w:t>c</w:t>
      </w:r>
      <w:r w:rsidRPr="00DC0133">
        <w:rPr>
          <w:sz w:val="20"/>
        </w:rPr>
        <w:t xml:space="preserve">) has been unduly restricted by the courts in some cases; this provision </w:t>
      </w:r>
      <w:r w:rsidRPr="00DC0133">
        <w:rPr>
          <w:iCs/>
          <w:sz w:val="20"/>
        </w:rPr>
        <w:t>must not be interpreted narrowly or applied sparingly</w:t>
      </w:r>
      <w:r w:rsidRPr="00DC0133">
        <w:rPr>
          <w:sz w:val="20"/>
        </w:rPr>
        <w:t>. The application of this ground for detention is not limited to exceptional circumstances, to unexplainable crimes, to the most heinous of crimes or to certain classes of crimes. The fact that detention may be justified only in rare cases is but a consequence of the application of s. 515(10)(</w:t>
      </w:r>
      <w:r w:rsidRPr="00DC0133">
        <w:rPr>
          <w:i/>
          <w:sz w:val="20"/>
        </w:rPr>
        <w:t>c</w:t>
      </w:r>
      <w:r w:rsidRPr="00DC0133">
        <w:rPr>
          <w:sz w:val="20"/>
        </w:rPr>
        <w:t>), and not a precondition to its application, a criterion a court must consider in its analysis or the purpose of the provision. Section 515(10)(</w:t>
      </w:r>
      <w:r w:rsidRPr="00DC0133">
        <w:rPr>
          <w:i/>
          <w:iCs/>
          <w:sz w:val="20"/>
        </w:rPr>
        <w:t>c</w:t>
      </w:r>
      <w:r w:rsidRPr="00DC0133">
        <w:rPr>
          <w:sz w:val="20"/>
        </w:rPr>
        <w:t>) is worded clearly, and it does not require exceptional or rare circumstances. Nor is the question whether a crime is unexplainable or unexplained a criterion that should guide justices in their analysis under s. 515(10)(</w:t>
      </w:r>
      <w:r w:rsidRPr="00DC0133">
        <w:rPr>
          <w:i/>
          <w:sz w:val="20"/>
        </w:rPr>
        <w:t>c</w:t>
      </w:r>
      <w:r w:rsidRPr="00DC0133">
        <w:rPr>
          <w:sz w:val="20"/>
        </w:rPr>
        <w:t>). This concept is ambiguous and confusing. Because many crimes may be explainable in one way or another, the unexplainable crime criterion is of little assistance. The application of a criterion based on the notion of an unexplainable crime could also lead to undesirable conclusions, since crimes that are heinous and horrific might not satisfy it. Such a criterion could give the public the impression that justices are justifying certain crimes, that is, crimes that are explainable.</w:t>
      </w:r>
    </w:p>
    <w:p w:rsidR="009619CA" w:rsidRDefault="009619CA" w:rsidP="009619CA">
      <w:pPr>
        <w:pStyle w:val="SCCNormalDoubleSpacing"/>
        <w:spacing w:line="240" w:lineRule="auto"/>
        <w:rPr>
          <w:sz w:val="20"/>
        </w:rPr>
      </w:pPr>
    </w:p>
    <w:p w:rsidR="009619CA" w:rsidRPr="00DC0133" w:rsidRDefault="009619CA" w:rsidP="009619CA">
      <w:pPr>
        <w:pStyle w:val="SCCNormalDoubleSpacing"/>
        <w:spacing w:line="240" w:lineRule="auto"/>
        <w:rPr>
          <w:sz w:val="20"/>
        </w:rPr>
      </w:pPr>
      <w:r w:rsidRPr="00DC0133">
        <w:rPr>
          <w:sz w:val="20"/>
        </w:rPr>
        <w:tab/>
        <w:t>In determining whether the detention of an accused is necessary to maintain confidence in the administration of justice, the justice must first consider the four circumstances that are expressly referred to in s. 515(10)(</w:t>
      </w:r>
      <w:r w:rsidRPr="00DC0133">
        <w:rPr>
          <w:i/>
          <w:sz w:val="20"/>
        </w:rPr>
        <w:t>c</w:t>
      </w:r>
      <w:r w:rsidRPr="00DC0133">
        <w:rPr>
          <w:sz w:val="20"/>
        </w:rPr>
        <w:t>). First of all, the justice must determine the apparent strength of the prosecution’s case. The prosecutor is not required to prove beyond a reasonable doubt that the accused committed the offence, and the justice must be careful not to play the role of trial judge or jury: matters such as the credibility of witnesses and the reliability of scientific evidence must be analyzed at trial, not at the release hearing. The justice must nevertheless consider the quality of the evidence tendered by the prosecutor in order to determine the weight to be given to this circumstance in his or her balancing exercise. The justice must also consider any defence raised by the accused. If there appears to be some basis for the defence, the justice must take this into account in analyzing the apparent strength of the prosecution’s case.</w:t>
      </w:r>
    </w:p>
    <w:p w:rsidR="009619CA" w:rsidRDefault="009619CA" w:rsidP="009619CA">
      <w:pPr>
        <w:pStyle w:val="SCCNormalDoubleSpacing"/>
        <w:spacing w:line="240" w:lineRule="auto"/>
        <w:rPr>
          <w:sz w:val="20"/>
        </w:rPr>
      </w:pPr>
    </w:p>
    <w:p w:rsidR="009619CA" w:rsidRPr="00DC0133" w:rsidRDefault="009619CA" w:rsidP="009619CA">
      <w:pPr>
        <w:pStyle w:val="SCCNormalDoubleSpacing"/>
        <w:spacing w:line="240" w:lineRule="auto"/>
        <w:rPr>
          <w:sz w:val="20"/>
        </w:rPr>
      </w:pPr>
      <w:r w:rsidRPr="00DC0133">
        <w:rPr>
          <w:sz w:val="20"/>
        </w:rPr>
        <w:tab/>
        <w:t xml:space="preserve">Next, the justice must determine the objective gravity of the offence in comparison with the other offences in the </w:t>
      </w:r>
      <w:r w:rsidRPr="00DC0133">
        <w:rPr>
          <w:i/>
          <w:iCs/>
          <w:sz w:val="20"/>
        </w:rPr>
        <w:t>Criminal Code</w:t>
      </w:r>
      <w:r w:rsidRPr="00DC0133">
        <w:rPr>
          <w:sz w:val="20"/>
        </w:rPr>
        <w:t xml:space="preserve">. This is assessed on the basis of the maximum sentence — and the minimum sentence, if any — provided for in the </w:t>
      </w:r>
      <w:r w:rsidRPr="00DC0133">
        <w:rPr>
          <w:i/>
          <w:sz w:val="20"/>
        </w:rPr>
        <w:t>Criminal</w:t>
      </w:r>
      <w:r w:rsidRPr="00DC0133">
        <w:rPr>
          <w:sz w:val="20"/>
        </w:rPr>
        <w:t xml:space="preserve"> </w:t>
      </w:r>
      <w:r w:rsidRPr="00DC0133">
        <w:rPr>
          <w:i/>
          <w:sz w:val="20"/>
        </w:rPr>
        <w:t>Code</w:t>
      </w:r>
      <w:r w:rsidRPr="00DC0133">
        <w:rPr>
          <w:sz w:val="20"/>
        </w:rPr>
        <w:t xml:space="preserve"> for the offence.</w:t>
      </w:r>
    </w:p>
    <w:p w:rsidR="009619CA" w:rsidRDefault="009619CA" w:rsidP="009619CA">
      <w:pPr>
        <w:pStyle w:val="SCCNormalDoubleSpacing"/>
        <w:spacing w:line="240" w:lineRule="auto"/>
        <w:rPr>
          <w:sz w:val="20"/>
        </w:rPr>
      </w:pPr>
    </w:p>
    <w:p w:rsidR="009619CA" w:rsidRPr="00DC0133" w:rsidRDefault="009619CA" w:rsidP="009619CA">
      <w:pPr>
        <w:pStyle w:val="SCCNormalDoubleSpacing"/>
        <w:spacing w:line="240" w:lineRule="auto"/>
        <w:rPr>
          <w:sz w:val="20"/>
        </w:rPr>
      </w:pPr>
      <w:r w:rsidRPr="00DC0133">
        <w:rPr>
          <w:sz w:val="20"/>
        </w:rPr>
        <w:tab/>
        <w:t>The justice must then consider the circumstances surrounding the commission of the offence, including whether a firearm was used. Those that might be relevant under s. 515(10)(</w:t>
      </w:r>
      <w:r w:rsidRPr="00DC0133">
        <w:rPr>
          <w:i/>
          <w:iCs/>
          <w:sz w:val="20"/>
        </w:rPr>
        <w:t>c</w:t>
      </w:r>
      <w:r w:rsidRPr="00DC0133">
        <w:rPr>
          <w:sz w:val="20"/>
        </w:rPr>
        <w:t>) include the following: the fact that the offence is a violent, heinous or hateful one, that it was committed in a context involving domestic violence, a criminal gang or a terrorist organization, or that the victim was a vulnerable person. If the offence was committed by several people, the extent to which the accused participated in it may be relevant. The aggravating or mitigating factors that are considered by courts for sentencing purposes can also be taken into account.</w:t>
      </w:r>
    </w:p>
    <w:p w:rsidR="009619CA" w:rsidRDefault="009619CA" w:rsidP="009619CA">
      <w:pPr>
        <w:pStyle w:val="SCCNormalDoubleSpacing"/>
        <w:spacing w:line="240" w:lineRule="auto"/>
        <w:rPr>
          <w:sz w:val="20"/>
        </w:rPr>
      </w:pPr>
    </w:p>
    <w:p w:rsidR="009619CA" w:rsidRPr="00DC0133" w:rsidRDefault="009619CA" w:rsidP="009619CA">
      <w:pPr>
        <w:pStyle w:val="SCCNormalDoubleSpacing"/>
        <w:spacing w:line="240" w:lineRule="auto"/>
        <w:rPr>
          <w:sz w:val="20"/>
        </w:rPr>
      </w:pPr>
      <w:r w:rsidRPr="00DC0133">
        <w:rPr>
          <w:sz w:val="20"/>
        </w:rPr>
        <w:tab/>
        <w:t>Finally, the fourth circumstance to consider is the fact that the accused is liable for a potentially lengthy term of imprisonment. Although it is not desirable to establish a strict rule regarding the number of years that constitutes a lengthy term of imprisonment, some guidance is required. Because no crime is exempt from the possible application of s. 515(10)(</w:t>
      </w:r>
      <w:r w:rsidRPr="00DC0133">
        <w:rPr>
          <w:i/>
          <w:iCs/>
          <w:sz w:val="20"/>
        </w:rPr>
        <w:t>c</w:t>
      </w:r>
      <w:r w:rsidRPr="00DC0133">
        <w:rPr>
          <w:sz w:val="20"/>
        </w:rPr>
        <w:t>), the words “lengthy term of imprisonment” do not refer only to a life sentence. Moreover, to determine whether the accused is actually liable for a potentially lengthy term of imprisonment, the justice must consider all the circumstances of the case known at the time of the hearing, as well as the principles for tailoring the applicable sentence. This fourth circumstance is assessed subjectively.</w:t>
      </w:r>
    </w:p>
    <w:p w:rsidR="009619CA" w:rsidRDefault="009619CA" w:rsidP="009619CA">
      <w:pPr>
        <w:pStyle w:val="SCCNormalDoubleSpacing"/>
        <w:spacing w:line="240" w:lineRule="auto"/>
        <w:rPr>
          <w:sz w:val="20"/>
        </w:rPr>
      </w:pPr>
    </w:p>
    <w:p w:rsidR="009619CA" w:rsidRPr="00DC0133" w:rsidRDefault="009619CA" w:rsidP="009619CA">
      <w:pPr>
        <w:pStyle w:val="SCCNormalDoubleSpacing"/>
        <w:spacing w:line="240" w:lineRule="auto"/>
        <w:rPr>
          <w:sz w:val="20"/>
        </w:rPr>
      </w:pPr>
      <w:r w:rsidRPr="00DC0133">
        <w:rPr>
          <w:sz w:val="20"/>
        </w:rPr>
        <w:tab/>
        <w:t>The circumstances listed in s. 515(10)(</w:t>
      </w:r>
      <w:r w:rsidRPr="00DC0133">
        <w:rPr>
          <w:i/>
          <w:iCs/>
          <w:sz w:val="20"/>
        </w:rPr>
        <w:t>c</w:t>
      </w:r>
      <w:r w:rsidRPr="00DC0133">
        <w:rPr>
          <w:sz w:val="20"/>
        </w:rPr>
        <w:t>) are not exhaustive. The court must consider all the circumstances of each case, paying particular attention to the four listed circumstances. No single circumstance is determinative: the justice must consider the combined effect of all the circumstances of each case to determine whether detention is justified. This involves balancing all the relevant circumstances. At the end of this balancing exercise, the ultimate question to be asked by the court is whether detention is necessary to maintain confidence in the administration of justice. Thus, the court must not order detention automatically even where the four listed circumstances support such a result. Some other circumstances that might be relevant are the personal circumstances of the accused (age, criminal record, physical or mental condition, and membership in a criminal organization), the status of the victim and the impact on society of a crime committed against that person, and the fact that the trial of the accused will be held at a much later date.</w:t>
      </w:r>
    </w:p>
    <w:p w:rsidR="009619CA" w:rsidRDefault="009619CA" w:rsidP="009619CA">
      <w:pPr>
        <w:pStyle w:val="SCCNormalDoubleSpacing"/>
        <w:spacing w:line="240" w:lineRule="auto"/>
        <w:rPr>
          <w:sz w:val="20"/>
        </w:rPr>
      </w:pPr>
    </w:p>
    <w:p w:rsidR="009619CA" w:rsidRPr="00DC0133" w:rsidRDefault="009619CA" w:rsidP="009619CA">
      <w:pPr>
        <w:pStyle w:val="SCCNormalDoubleSpacing"/>
        <w:spacing w:line="240" w:lineRule="auto"/>
        <w:rPr>
          <w:sz w:val="20"/>
        </w:rPr>
      </w:pPr>
      <w:r w:rsidRPr="00DC0133">
        <w:rPr>
          <w:sz w:val="20"/>
        </w:rPr>
        <w:tab/>
        <w:t>The justice’s balancing of all the circumstances under s. 515(10)(</w:t>
      </w:r>
      <w:r w:rsidRPr="00DC0133">
        <w:rPr>
          <w:i/>
          <w:iCs/>
          <w:sz w:val="20"/>
        </w:rPr>
        <w:t>c</w:t>
      </w:r>
      <w:r w:rsidRPr="00DC0133">
        <w:rPr>
          <w:sz w:val="20"/>
        </w:rPr>
        <w:t xml:space="preserve">) must always be guided by the perspective of the “public”, that is, of a reasonable person who is properly informed about the philosophy of the legislative provisions, the values of the </w:t>
      </w:r>
      <w:r w:rsidRPr="00DC0133">
        <w:rPr>
          <w:i/>
          <w:sz w:val="20"/>
        </w:rPr>
        <w:t>Canadian Charter of Rights and Freedoms</w:t>
      </w:r>
      <w:r w:rsidRPr="00DC0133">
        <w:rPr>
          <w:sz w:val="20"/>
        </w:rPr>
        <w:t>, and the actual circumstances of the case. The person in question is a thoughtful person, not one who is prone to emotional reactions, whose knowledge of the circumstances of the case is inaccurate or who disagrees with our society’s fundamental values. However, this person is not a legal expert, and, although he or she is aware of the importance of the presumption of innocence and the right to liberty in our society, expects that someone charged with a crime will be tried within a reasonable period of time, and knows that a criminal offence requires proof of culpable intent and that the purpose of certain defences is to show the absence of such intent, the person is not able to appreciate the subtleties of the various defences that are available to the accused. This reasonable person’s confidence in the administration of justice may be undermined not only if a court declines to order detention where detention is justified having regard to the circumstances of the case, but also if it orders detention where detention is not justified.</w:t>
      </w:r>
    </w:p>
    <w:p w:rsidR="009619CA" w:rsidRDefault="009619CA" w:rsidP="009619CA">
      <w:pPr>
        <w:pStyle w:val="SCCNormalDoubleSpacing"/>
        <w:spacing w:line="240" w:lineRule="auto"/>
        <w:rPr>
          <w:sz w:val="20"/>
        </w:rPr>
      </w:pPr>
    </w:p>
    <w:p w:rsidR="009619CA" w:rsidRPr="00DC0133" w:rsidRDefault="009619CA" w:rsidP="009619CA">
      <w:pPr>
        <w:pStyle w:val="SCCNormalDoubleSpacing"/>
        <w:spacing w:line="240" w:lineRule="auto"/>
        <w:rPr>
          <w:sz w:val="20"/>
        </w:rPr>
      </w:pPr>
      <w:r w:rsidRPr="00DC0133">
        <w:rPr>
          <w:sz w:val="20"/>
        </w:rPr>
        <w:tab/>
        <w:t xml:space="preserve">Sections 520 and 521 of the </w:t>
      </w:r>
      <w:r w:rsidRPr="00DC0133">
        <w:rPr>
          <w:i/>
          <w:iCs/>
          <w:sz w:val="20"/>
        </w:rPr>
        <w:t>Criminal Code</w:t>
      </w:r>
      <w:r w:rsidRPr="00DC0133">
        <w:rPr>
          <w:sz w:val="20"/>
        </w:rPr>
        <w:t xml:space="preserve"> do not confer an open</w:t>
      </w:r>
      <w:r w:rsidRPr="00DC0133">
        <w:rPr>
          <w:sz w:val="20"/>
        </w:rPr>
        <w:noBreakHyphen/>
        <w:t xml:space="preserve">ended discretion on the reviewing judge to vary the initial decision concerning the detention or release of the accused. They establish not a </w:t>
      </w:r>
      <w:r w:rsidRPr="00DC0133">
        <w:rPr>
          <w:i/>
          <w:sz w:val="20"/>
        </w:rPr>
        <w:t>de novo</w:t>
      </w:r>
      <w:r w:rsidRPr="00DC0133">
        <w:rPr>
          <w:sz w:val="20"/>
        </w:rPr>
        <w:t xml:space="preserve"> proceeding, but a hybrid remedy. The judge must determine whether it is appropriate to exercise his or her power of review. Exercising this power will be appropriate in only three situations: (1) where there is admissible new evidence if that evidence shows a material and relevant change in the circumstances of the case; (2) where the impugned decision contains an error of law; or (3) where the decision is clearly inappropriate. </w:t>
      </w:r>
    </w:p>
    <w:p w:rsidR="009619CA" w:rsidRDefault="009619CA" w:rsidP="009619CA">
      <w:pPr>
        <w:pStyle w:val="SCCNormalDoubleSpacing"/>
        <w:spacing w:line="240" w:lineRule="auto"/>
        <w:rPr>
          <w:sz w:val="20"/>
        </w:rPr>
      </w:pPr>
    </w:p>
    <w:p w:rsidR="009619CA" w:rsidRPr="00DC0133" w:rsidRDefault="009619CA" w:rsidP="009619CA">
      <w:pPr>
        <w:pStyle w:val="SCCNormalDoubleSpacing"/>
        <w:spacing w:line="240" w:lineRule="auto"/>
        <w:rPr>
          <w:sz w:val="20"/>
        </w:rPr>
      </w:pPr>
      <w:r w:rsidRPr="00DC0133">
        <w:rPr>
          <w:sz w:val="20"/>
        </w:rPr>
        <w:tab/>
        <w:t xml:space="preserve">The four criteria from </w:t>
      </w:r>
      <w:r w:rsidRPr="00DC0133">
        <w:rPr>
          <w:i/>
          <w:sz w:val="20"/>
        </w:rPr>
        <w:t xml:space="preserve">Palmer </w:t>
      </w:r>
      <w:r w:rsidRPr="00DC0133">
        <w:rPr>
          <w:i/>
          <w:iCs/>
          <w:sz w:val="20"/>
        </w:rPr>
        <w:t>v. The Queen</w:t>
      </w:r>
      <w:r w:rsidRPr="00DC0133">
        <w:rPr>
          <w:sz w:val="20"/>
        </w:rPr>
        <w:t>, [1980] 1 S.C.R. 759, are relevant to the determination of what constitutes new evidence for the purposes of the review provided for in ss. 520 and 521. Given the generally expeditious nature of the interim release process and the risks of violating the rights of the accused, and since the release hearing takes place at the very start of criminal proceedings and not at the end like the sentence appeal, a reviewing judge must be flexible in applying these four criteria. Regarding the first criterion, due diligence, the reviewing judge may consider evidence that is truly new or evidence that existed at the time of the initial release hearing but was not tendered for some reason that is legitimate and reasonable. Such new evidence is not limited to evidence that was unavailable to the accused before the initial hearing. In each case, the reviewing judge will have to determine whether the reason why the accused did not tender such pre</w:t>
      </w:r>
      <w:r w:rsidRPr="00DC0133">
        <w:rPr>
          <w:sz w:val="20"/>
        </w:rPr>
        <w:noBreakHyphen/>
        <w:t xml:space="preserve">existing evidence earlier was legitimate and reasonable. As to the second </w:t>
      </w:r>
      <w:r w:rsidRPr="00DC0133">
        <w:rPr>
          <w:iCs/>
          <w:sz w:val="20"/>
        </w:rPr>
        <w:t>criterion</w:t>
      </w:r>
      <w:r w:rsidRPr="00DC0133">
        <w:rPr>
          <w:sz w:val="20"/>
        </w:rPr>
        <w:t>, it will suffice that the evidence be relevant for the purposes of s. 515(10). This criterion will therefore rarely be decisive in the context of an application for review under ss. 520 and 521</w:t>
      </w:r>
      <w:r w:rsidRPr="00DC0133">
        <w:rPr>
          <w:iCs/>
          <w:sz w:val="20"/>
        </w:rPr>
        <w:t>, since</w:t>
      </w:r>
      <w:r w:rsidRPr="00DC0133">
        <w:rPr>
          <w:sz w:val="20"/>
        </w:rPr>
        <w:t xml:space="preserve"> the range of relevant evidence will generally be quite broad. The third criterion — that the evidence must be credible in the sense that it is reasonably capable of belief — must be interpreted in light of the relaxation of the rules of evidence at the bail stage and in particular of s. 518(1)(</w:t>
      </w:r>
      <w:r w:rsidRPr="00DC0133">
        <w:rPr>
          <w:i/>
          <w:sz w:val="20"/>
        </w:rPr>
        <w:t>e</w:t>
      </w:r>
      <w:r w:rsidRPr="00DC0133">
        <w:rPr>
          <w:sz w:val="20"/>
        </w:rPr>
        <w:t xml:space="preserve">) of the </w:t>
      </w:r>
      <w:r w:rsidRPr="00DC0133">
        <w:rPr>
          <w:i/>
          <w:sz w:val="20"/>
        </w:rPr>
        <w:t>Criminal Code</w:t>
      </w:r>
      <w:r w:rsidRPr="00DC0133">
        <w:rPr>
          <w:sz w:val="20"/>
        </w:rPr>
        <w:t xml:space="preserve">, which provides that “the justice may receive and base his decision on evidence considered credible or trustworthy by him in the circumstances of each case”. Finally, the fourth </w:t>
      </w:r>
      <w:r w:rsidRPr="00DC0133">
        <w:rPr>
          <w:i/>
          <w:iCs/>
          <w:sz w:val="20"/>
        </w:rPr>
        <w:t>Palmer</w:t>
      </w:r>
      <w:r w:rsidRPr="00DC0133">
        <w:rPr>
          <w:sz w:val="20"/>
        </w:rPr>
        <w:t xml:space="preserve"> criterion should be modified as follows: the new evidence must be such that it is reasonable to think, having regard to all the relevant circumstances, that it could have affected the balancing exercise engaged in by the justice under s. 515(10</w:t>
      </w:r>
      <w:r w:rsidRPr="00DC0133">
        <w:rPr>
          <w:iCs/>
          <w:sz w:val="20"/>
        </w:rPr>
        <w:t>)(</w:t>
      </w:r>
      <w:r w:rsidRPr="00DC0133">
        <w:rPr>
          <w:i/>
          <w:iCs/>
          <w:sz w:val="20"/>
        </w:rPr>
        <w:t>c</w:t>
      </w:r>
      <w:r w:rsidRPr="00DC0133">
        <w:rPr>
          <w:sz w:val="20"/>
        </w:rPr>
        <w:t>). The new evidence must therefore be significant. If the new evidence meets the four criteria for admissibility, the reviewing judge is authorized to repeat the analysis under s. 515(10)(</w:t>
      </w:r>
      <w:r w:rsidRPr="00DC0133">
        <w:rPr>
          <w:i/>
          <w:iCs/>
          <w:sz w:val="20"/>
        </w:rPr>
        <w:t>c</w:t>
      </w:r>
      <w:r w:rsidRPr="00DC0133">
        <w:rPr>
          <w:sz w:val="20"/>
        </w:rPr>
        <w:t>) as if he or she were the initial decision maker.</w:t>
      </w:r>
    </w:p>
    <w:p w:rsidR="009619CA" w:rsidRDefault="009619CA" w:rsidP="009619CA">
      <w:pPr>
        <w:pStyle w:val="SCCNormalDoubleSpacing"/>
        <w:spacing w:line="240" w:lineRule="auto"/>
        <w:rPr>
          <w:sz w:val="20"/>
        </w:rPr>
      </w:pPr>
    </w:p>
    <w:p w:rsidR="009619CA" w:rsidRPr="00DC0133" w:rsidRDefault="009619CA" w:rsidP="009619CA">
      <w:pPr>
        <w:pStyle w:val="SCCNormalDoubleSpacing"/>
        <w:spacing w:line="240" w:lineRule="auto"/>
        <w:rPr>
          <w:sz w:val="20"/>
        </w:rPr>
      </w:pPr>
      <w:r w:rsidRPr="00DC0133">
        <w:rPr>
          <w:sz w:val="20"/>
        </w:rPr>
        <w:tab/>
        <w:t>It will also be appropriate to intervene if the justice has erred in law or if the impugned decision was clearly inappropriate, that is, if the justice who rendered it gave excessive weight to one relevant factor or insufficient weight to another. The reviewing judge therefore does not have the power to interfere with the initial decision simply because he or she would have weighed the relevant factors differently.</w:t>
      </w:r>
    </w:p>
    <w:p w:rsidR="009619CA" w:rsidRDefault="009619CA" w:rsidP="009619CA">
      <w:pPr>
        <w:pStyle w:val="SCCNormalDoubleSpacing"/>
        <w:spacing w:line="240" w:lineRule="auto"/>
        <w:rPr>
          <w:sz w:val="20"/>
        </w:rPr>
      </w:pPr>
    </w:p>
    <w:p w:rsidR="009619CA" w:rsidRDefault="009619CA" w:rsidP="009619CA">
      <w:pPr>
        <w:pStyle w:val="SCCNormalDoubleSpacing"/>
        <w:spacing w:line="240" w:lineRule="auto"/>
        <w:rPr>
          <w:sz w:val="20"/>
        </w:rPr>
      </w:pPr>
      <w:r w:rsidRPr="00DC0133">
        <w:rPr>
          <w:sz w:val="20"/>
        </w:rPr>
        <w:tab/>
        <w:t>In this case, the Superior Court judge intervened even though there was no basis for a review, given that there was no change in circumstances and no error of law, and that the initial decision was not clearly inappropriate. When all the relevant circumstances are weighed as required by s. 515(10)(</w:t>
      </w:r>
      <w:r w:rsidRPr="00DC0133">
        <w:rPr>
          <w:i/>
          <w:iCs/>
          <w:sz w:val="20"/>
        </w:rPr>
        <w:t>c</w:t>
      </w:r>
      <w:r w:rsidRPr="00DC0133">
        <w:rPr>
          <w:sz w:val="20"/>
        </w:rPr>
        <w:t>), the detention of S was necessary to maintain confidence in the administration of justice.</w:t>
      </w:r>
    </w:p>
    <w:p w:rsidR="009619CA" w:rsidRDefault="009619CA" w:rsidP="009619CA">
      <w:pPr>
        <w:pStyle w:val="SCCNormalDoubleSpacing"/>
        <w:spacing w:line="240" w:lineRule="auto"/>
        <w:rPr>
          <w:sz w:val="20"/>
        </w:rPr>
      </w:pPr>
    </w:p>
    <w:p w:rsidR="009619CA" w:rsidRPr="00DC0133" w:rsidRDefault="009619CA" w:rsidP="009619CA">
      <w:pPr>
        <w:pStyle w:val="SCCNormalDoubleSpacing"/>
        <w:spacing w:line="240" w:lineRule="auto"/>
        <w:rPr>
          <w:sz w:val="20"/>
        </w:rPr>
      </w:pPr>
      <w:r w:rsidRPr="00DC0133">
        <w:rPr>
          <w:sz w:val="20"/>
        </w:rPr>
        <w:tab/>
        <w:t>APPEAL from a decision of the Quebec Superior Court (Martin J.), 2013 QCCS 5021, [2013] AZ</w:t>
      </w:r>
      <w:r w:rsidRPr="00DC0133">
        <w:rPr>
          <w:sz w:val="20"/>
        </w:rPr>
        <w:noBreakHyphen/>
        <w:t>51009868, [2013] J.Q. n</w:t>
      </w:r>
      <w:r w:rsidRPr="00DC0133">
        <w:rPr>
          <w:sz w:val="20"/>
          <w:vertAlign w:val="superscript"/>
        </w:rPr>
        <w:t>o</w:t>
      </w:r>
      <w:r w:rsidRPr="00DC0133">
        <w:rPr>
          <w:sz w:val="20"/>
        </w:rPr>
        <w:t xml:space="preserve"> 14227 (QL), 2013 CarswellQue 10825 (WL Can.), allowing an application under s. 520 of the </w:t>
      </w:r>
      <w:r w:rsidRPr="00DC0133">
        <w:rPr>
          <w:i/>
          <w:sz w:val="20"/>
        </w:rPr>
        <w:t>Criminal Code</w:t>
      </w:r>
      <w:r w:rsidRPr="00DC0133">
        <w:rPr>
          <w:sz w:val="20"/>
        </w:rPr>
        <w:t xml:space="preserve"> for review of a detention order. Appeal allowed.</w:t>
      </w:r>
    </w:p>
    <w:p w:rsidR="009619CA" w:rsidRDefault="009619CA" w:rsidP="009619CA">
      <w:pPr>
        <w:pStyle w:val="SCCNormalDoubleSpacing"/>
        <w:spacing w:line="240" w:lineRule="auto"/>
        <w:rPr>
          <w:rStyle w:val="SCCCounselNameChar"/>
          <w:i w:val="0"/>
          <w:sz w:val="20"/>
        </w:rPr>
      </w:pPr>
    </w:p>
    <w:p w:rsidR="009619CA" w:rsidRPr="00DC0133" w:rsidRDefault="009619CA" w:rsidP="009619CA">
      <w:pPr>
        <w:pStyle w:val="SCCNormalDoubleSpacing"/>
        <w:spacing w:line="240" w:lineRule="auto"/>
        <w:rPr>
          <w:sz w:val="20"/>
        </w:rPr>
      </w:pPr>
      <w:r w:rsidRPr="00DC0133">
        <w:rPr>
          <w:rStyle w:val="SCCCounselNameChar"/>
          <w:sz w:val="20"/>
        </w:rPr>
        <w:tab/>
        <w:t>Christian Jarry</w:t>
      </w:r>
      <w:r w:rsidRPr="006A6EF8">
        <w:rPr>
          <w:rStyle w:val="SCCCounselSeparatorChar"/>
          <w:rFonts w:eastAsia="Calibri"/>
          <w:sz w:val="20"/>
          <w:lang w:val="en-CA"/>
        </w:rPr>
        <w:t xml:space="preserve"> and </w:t>
      </w:r>
      <w:r w:rsidRPr="00DC0133">
        <w:rPr>
          <w:rStyle w:val="SCCCounselNameChar"/>
          <w:sz w:val="20"/>
        </w:rPr>
        <w:t>Geneviève Langlois</w:t>
      </w:r>
      <w:r w:rsidRPr="00DC0133">
        <w:rPr>
          <w:rStyle w:val="SCCCounselPartyRoleChar"/>
          <w:sz w:val="20"/>
        </w:rPr>
        <w:t>, for the appellant.</w:t>
      </w:r>
    </w:p>
    <w:p w:rsidR="009619CA" w:rsidRDefault="009619CA" w:rsidP="009619CA">
      <w:pPr>
        <w:pStyle w:val="SCCNormalDoubleSpacing"/>
        <w:spacing w:line="240" w:lineRule="auto"/>
        <w:rPr>
          <w:rStyle w:val="SCCCounselNameChar"/>
          <w:i w:val="0"/>
          <w:sz w:val="20"/>
        </w:rPr>
      </w:pPr>
    </w:p>
    <w:p w:rsidR="009619CA" w:rsidRPr="00DC0133" w:rsidRDefault="009619CA" w:rsidP="009619CA">
      <w:pPr>
        <w:pStyle w:val="SCCNormalDoubleSpacing"/>
        <w:spacing w:line="240" w:lineRule="auto"/>
        <w:rPr>
          <w:sz w:val="20"/>
        </w:rPr>
      </w:pPr>
      <w:r w:rsidRPr="00DC0133">
        <w:rPr>
          <w:rStyle w:val="SCCCounselNameChar"/>
          <w:sz w:val="20"/>
        </w:rPr>
        <w:tab/>
        <w:t>André Lapointe</w:t>
      </w:r>
      <w:r w:rsidRPr="006A6EF8">
        <w:rPr>
          <w:rStyle w:val="SCCCounselSeparatorChar"/>
          <w:rFonts w:eastAsia="Calibri"/>
          <w:sz w:val="20"/>
          <w:lang w:val="en-CA"/>
        </w:rPr>
        <w:t xml:space="preserve"> and </w:t>
      </w:r>
      <w:r w:rsidRPr="00DC0133">
        <w:rPr>
          <w:rStyle w:val="SCCCounselNameChar"/>
          <w:sz w:val="20"/>
        </w:rPr>
        <w:t>Guylaine Tardif</w:t>
      </w:r>
      <w:r w:rsidRPr="00DC0133">
        <w:rPr>
          <w:rStyle w:val="SCCCounselPartyRoleChar"/>
          <w:sz w:val="20"/>
        </w:rPr>
        <w:t>, for the respondent.</w:t>
      </w:r>
    </w:p>
    <w:p w:rsidR="009619CA" w:rsidRDefault="009619CA" w:rsidP="009619CA">
      <w:pPr>
        <w:pStyle w:val="SCCNormalDoubleSpacing"/>
        <w:spacing w:line="240" w:lineRule="auto"/>
        <w:rPr>
          <w:rStyle w:val="SCCCounselNameChar"/>
          <w:i w:val="0"/>
          <w:sz w:val="20"/>
        </w:rPr>
      </w:pPr>
    </w:p>
    <w:p w:rsidR="009619CA" w:rsidRPr="00DC0133" w:rsidRDefault="009619CA" w:rsidP="009619CA">
      <w:pPr>
        <w:pStyle w:val="SCCNormalDoubleSpacing"/>
        <w:spacing w:line="240" w:lineRule="auto"/>
        <w:rPr>
          <w:sz w:val="20"/>
        </w:rPr>
      </w:pPr>
      <w:r w:rsidRPr="00DC0133">
        <w:rPr>
          <w:rStyle w:val="SCCCounselNameChar"/>
          <w:sz w:val="20"/>
        </w:rPr>
        <w:tab/>
        <w:t>Robert E. Gattrell</w:t>
      </w:r>
      <w:r w:rsidRPr="006A6EF8">
        <w:rPr>
          <w:rStyle w:val="SCCCounselSeparatorChar"/>
          <w:rFonts w:eastAsia="Calibri"/>
          <w:sz w:val="20"/>
          <w:lang w:val="en-CA"/>
        </w:rPr>
        <w:t xml:space="preserve"> and </w:t>
      </w:r>
      <w:r w:rsidRPr="00DC0133">
        <w:rPr>
          <w:rStyle w:val="SCCCounselNameChar"/>
          <w:sz w:val="20"/>
        </w:rPr>
        <w:t>Avene Derwa</w:t>
      </w:r>
      <w:r w:rsidRPr="00DC0133">
        <w:rPr>
          <w:rStyle w:val="SCCCounselPartyRoleChar"/>
          <w:sz w:val="20"/>
        </w:rPr>
        <w:t>, for the intervener the Attorney General of Ontario.</w:t>
      </w:r>
    </w:p>
    <w:p w:rsidR="009619CA" w:rsidRDefault="009619CA" w:rsidP="009619CA">
      <w:pPr>
        <w:pStyle w:val="SCCNormalDoubleSpacing"/>
        <w:spacing w:line="240" w:lineRule="auto"/>
        <w:rPr>
          <w:rStyle w:val="SCCCounselNameChar"/>
          <w:i w:val="0"/>
          <w:sz w:val="20"/>
        </w:rPr>
      </w:pPr>
    </w:p>
    <w:p w:rsidR="009619CA" w:rsidRPr="00DC0133" w:rsidRDefault="009619CA" w:rsidP="009619CA">
      <w:pPr>
        <w:pStyle w:val="SCCNormalDoubleSpacing"/>
        <w:spacing w:line="240" w:lineRule="auto"/>
        <w:rPr>
          <w:sz w:val="20"/>
        </w:rPr>
      </w:pPr>
      <w:r w:rsidRPr="00DC0133">
        <w:rPr>
          <w:rStyle w:val="SCCCounselNameChar"/>
          <w:sz w:val="20"/>
        </w:rPr>
        <w:tab/>
        <w:t>John Norris</w:t>
      </w:r>
      <w:r w:rsidRPr="006A6EF8">
        <w:rPr>
          <w:rStyle w:val="SCCCounselSeparatorChar"/>
          <w:rFonts w:eastAsia="Calibri"/>
          <w:sz w:val="20"/>
          <w:lang w:val="en-CA"/>
        </w:rPr>
        <w:t xml:space="preserve"> and </w:t>
      </w:r>
      <w:r w:rsidRPr="00DC0133">
        <w:rPr>
          <w:rStyle w:val="SCCCounselNameChar"/>
          <w:sz w:val="20"/>
        </w:rPr>
        <w:t>Christine Mainville</w:t>
      </w:r>
      <w:r w:rsidRPr="00DC0133">
        <w:rPr>
          <w:rStyle w:val="SCCCounselPartyRoleChar"/>
          <w:sz w:val="20"/>
        </w:rPr>
        <w:t>, for the intervener the Criminal Lawyers’ Association (Ontario).</w:t>
      </w:r>
    </w:p>
    <w:p w:rsidR="009619CA" w:rsidRDefault="009619CA" w:rsidP="009619CA">
      <w:pPr>
        <w:pStyle w:val="SCCNormalDoubleSpacing"/>
        <w:spacing w:line="240" w:lineRule="auto"/>
        <w:rPr>
          <w:rStyle w:val="SCCCounselNameChar"/>
          <w:i w:val="0"/>
          <w:sz w:val="20"/>
        </w:rPr>
      </w:pPr>
    </w:p>
    <w:p w:rsidR="009619CA" w:rsidRPr="00DC0133" w:rsidRDefault="009619CA" w:rsidP="009619CA">
      <w:pPr>
        <w:pStyle w:val="SCCNormalDoubleSpacing"/>
        <w:spacing w:line="240" w:lineRule="auto"/>
        <w:rPr>
          <w:sz w:val="20"/>
        </w:rPr>
      </w:pPr>
      <w:r w:rsidRPr="00DC0133">
        <w:rPr>
          <w:rStyle w:val="SCCCounselNameChar"/>
          <w:sz w:val="20"/>
        </w:rPr>
        <w:tab/>
        <w:t>Anil K. Kapoor</w:t>
      </w:r>
      <w:r w:rsidRPr="006A6EF8">
        <w:rPr>
          <w:rStyle w:val="SCCCounselSeparatorChar"/>
          <w:rFonts w:eastAsia="Calibri"/>
          <w:sz w:val="20"/>
          <w:lang w:val="en-CA"/>
        </w:rPr>
        <w:t xml:space="preserve"> and </w:t>
      </w:r>
      <w:r w:rsidRPr="00DC0133">
        <w:rPr>
          <w:rStyle w:val="SCCCounselNameChar"/>
          <w:sz w:val="20"/>
        </w:rPr>
        <w:t>Lindsay Daviau</w:t>
      </w:r>
      <w:r w:rsidRPr="00DC0133">
        <w:rPr>
          <w:rStyle w:val="SCCCounselPartyRoleChar"/>
          <w:sz w:val="20"/>
        </w:rPr>
        <w:t>, for the intervener the Canadian Civil Liberties Association.</w:t>
      </w:r>
    </w:p>
    <w:p w:rsidR="009619CA" w:rsidRDefault="009619CA" w:rsidP="009619CA">
      <w:pPr>
        <w:pStyle w:val="SCCLawFirm"/>
        <w:spacing w:line="240" w:lineRule="auto"/>
        <w:rPr>
          <w:sz w:val="20"/>
        </w:rPr>
      </w:pPr>
    </w:p>
    <w:p w:rsidR="009619CA" w:rsidRPr="00DC0133" w:rsidRDefault="009619CA" w:rsidP="009619CA">
      <w:pPr>
        <w:pStyle w:val="SCCLawFirm"/>
        <w:spacing w:line="240" w:lineRule="auto"/>
        <w:rPr>
          <w:sz w:val="20"/>
          <w:lang w:val="fr-CA"/>
        </w:rPr>
      </w:pPr>
      <w:r w:rsidRPr="00DC0133">
        <w:rPr>
          <w:sz w:val="20"/>
        </w:rPr>
        <w:tab/>
      </w:r>
      <w:r w:rsidRPr="00DC0133">
        <w:rPr>
          <w:sz w:val="20"/>
          <w:lang w:val="fr-CA"/>
        </w:rPr>
        <w:t>Solicitor for the appellant: Poursuites criminelles et pénales du Québec, Montréal.</w:t>
      </w:r>
    </w:p>
    <w:p w:rsidR="009619CA" w:rsidRDefault="009619CA" w:rsidP="009619CA">
      <w:pPr>
        <w:pStyle w:val="SCCLawFirm"/>
        <w:spacing w:line="240" w:lineRule="auto"/>
        <w:rPr>
          <w:sz w:val="20"/>
          <w:lang w:val="fr-CA"/>
        </w:rPr>
      </w:pPr>
    </w:p>
    <w:p w:rsidR="009619CA" w:rsidRPr="00DC0133" w:rsidRDefault="009619CA" w:rsidP="009619CA">
      <w:pPr>
        <w:pStyle w:val="SCCLawFirm"/>
        <w:spacing w:line="240" w:lineRule="auto"/>
        <w:rPr>
          <w:sz w:val="20"/>
          <w:lang w:val="fr-CA"/>
        </w:rPr>
      </w:pPr>
      <w:r w:rsidRPr="00DC0133">
        <w:rPr>
          <w:sz w:val="20"/>
          <w:lang w:val="fr-CA"/>
        </w:rPr>
        <w:tab/>
        <w:t>Solicitors for the respondent: André Lapointe, Montréal; Guylaine Tardif, Montréal.</w:t>
      </w:r>
    </w:p>
    <w:p w:rsidR="009619CA" w:rsidRDefault="009619CA" w:rsidP="009619CA">
      <w:pPr>
        <w:pStyle w:val="SCCLawFirm"/>
        <w:spacing w:line="240" w:lineRule="auto"/>
        <w:rPr>
          <w:sz w:val="20"/>
          <w:lang w:val="fr-CA"/>
        </w:rPr>
      </w:pPr>
    </w:p>
    <w:p w:rsidR="009619CA" w:rsidRPr="00DC0133" w:rsidRDefault="009619CA" w:rsidP="009619CA">
      <w:pPr>
        <w:pStyle w:val="SCCLawFirm"/>
        <w:spacing w:line="240" w:lineRule="auto"/>
        <w:rPr>
          <w:sz w:val="20"/>
        </w:rPr>
      </w:pPr>
      <w:r w:rsidRPr="00DC0133">
        <w:rPr>
          <w:sz w:val="20"/>
          <w:lang w:val="fr-CA"/>
        </w:rPr>
        <w:tab/>
      </w:r>
      <w:r w:rsidRPr="00DC0133">
        <w:rPr>
          <w:sz w:val="20"/>
        </w:rPr>
        <w:t>Solicitor for the intervener the Attorney General of Ontario: Attorney General of Ontario, Toronto.</w:t>
      </w:r>
    </w:p>
    <w:p w:rsidR="009619CA" w:rsidRDefault="009619CA" w:rsidP="009619CA">
      <w:pPr>
        <w:pStyle w:val="SCCLawFirm"/>
        <w:spacing w:line="240" w:lineRule="auto"/>
        <w:rPr>
          <w:sz w:val="20"/>
        </w:rPr>
      </w:pPr>
    </w:p>
    <w:p w:rsidR="009619CA" w:rsidRPr="00DC0133" w:rsidRDefault="009619CA" w:rsidP="009619CA">
      <w:pPr>
        <w:pStyle w:val="SCCLawFirm"/>
        <w:spacing w:line="240" w:lineRule="auto"/>
        <w:rPr>
          <w:sz w:val="20"/>
        </w:rPr>
      </w:pPr>
      <w:r w:rsidRPr="00DC0133">
        <w:rPr>
          <w:sz w:val="20"/>
        </w:rPr>
        <w:tab/>
        <w:t>Solicitors for the intervener the Criminal Lawyers’ Association (Ontario): John Norris, Toronto; Henein Hutchison, Toronto.</w:t>
      </w:r>
    </w:p>
    <w:p w:rsidR="009619CA" w:rsidRDefault="009619CA" w:rsidP="009619CA">
      <w:pPr>
        <w:pStyle w:val="SCCLawFirm"/>
        <w:spacing w:line="240" w:lineRule="auto"/>
        <w:rPr>
          <w:sz w:val="20"/>
        </w:rPr>
      </w:pPr>
    </w:p>
    <w:p w:rsidR="009619CA" w:rsidRDefault="009619CA" w:rsidP="009619CA">
      <w:pPr>
        <w:pStyle w:val="SCCLawFirm"/>
        <w:spacing w:line="240" w:lineRule="auto"/>
        <w:rPr>
          <w:sz w:val="20"/>
        </w:rPr>
      </w:pPr>
      <w:r w:rsidRPr="00DC0133">
        <w:rPr>
          <w:sz w:val="20"/>
        </w:rPr>
        <w:tab/>
        <w:t>Solicitors for the intervener the Canadian Civil Liberties Association: Kapoor Barristers, Toronto.</w:t>
      </w:r>
    </w:p>
    <w:p w:rsidR="009619CA" w:rsidRPr="009619CA" w:rsidRDefault="009619CA" w:rsidP="00902E51">
      <w:pPr>
        <w:rPr>
          <w:sz w:val="20"/>
          <w:szCs w:val="20"/>
        </w:rPr>
      </w:pPr>
    </w:p>
    <w:p w:rsidR="005C6840" w:rsidRPr="00C50A5C" w:rsidRDefault="005B3B50" w:rsidP="009619CA">
      <w:pPr>
        <w:rPr>
          <w:sz w:val="20"/>
          <w:szCs w:val="20"/>
        </w:rPr>
      </w:pPr>
      <w:r>
        <w:rPr>
          <w:rFonts w:cs="Times New Roman"/>
          <w:sz w:val="20"/>
          <w:szCs w:val="20"/>
          <w:lang w:val="fr-CA"/>
        </w:rPr>
        <w:pict>
          <v:rect id="_x0000_i1088" style="width:144.3pt;height:1pt" o:hrpct="300" o:hralign="center" o:hrstd="t" o:hrnoshade="t" o:hr="t" fillcolor="black [3213]" stroked="f"/>
        </w:pict>
      </w:r>
    </w:p>
    <w:p w:rsidR="00102926" w:rsidRPr="00C50A5C" w:rsidRDefault="00102926" w:rsidP="00782AE4">
      <w:pPr>
        <w:jc w:val="both"/>
        <w:rPr>
          <w:sz w:val="20"/>
          <w:szCs w:val="20"/>
        </w:rPr>
        <w:sectPr w:rsidR="00102926" w:rsidRPr="00C50A5C" w:rsidSect="00782AE4">
          <w:headerReference w:type="even" r:id="rId101"/>
          <w:headerReference w:type="default" r:id="rId102"/>
          <w:footerReference w:type="even" r:id="rId103"/>
          <w:footerReference w:type="default" r:id="rId104"/>
          <w:headerReference w:type="first" r:id="rId105"/>
          <w:footerReference w:type="first" r:id="rId106"/>
          <w:pgSz w:w="12240" w:h="15840"/>
          <w:pgMar w:top="720" w:right="965" w:bottom="1080" w:left="1656" w:header="576" w:footer="960" w:gutter="0"/>
          <w:cols w:space="720"/>
          <w:titlePg/>
          <w:docGrid w:linePitch="272"/>
        </w:sectPr>
      </w:pPr>
    </w:p>
    <w:p w:rsidR="008112A9" w:rsidRPr="00151DAD" w:rsidRDefault="00B158EB" w:rsidP="008112A9">
      <w:pPr>
        <w:widowControl w:val="0"/>
        <w:spacing w:line="180" w:lineRule="auto"/>
        <w:jc w:val="center"/>
        <w:rPr>
          <w:rFonts w:asciiTheme="minorHAnsi" w:hAnsiTheme="minorHAnsi" w:cstheme="minorHAnsi"/>
          <w:b/>
          <w:szCs w:val="24"/>
          <w:lang w:val="fr-CA"/>
        </w:rPr>
      </w:pPr>
      <w:r w:rsidRPr="002E0C7E">
        <w:rPr>
          <w:rFonts w:asciiTheme="minorHAnsi" w:hAnsiTheme="minorHAnsi" w:cstheme="minorHAnsi"/>
          <w:b/>
          <w:szCs w:val="24"/>
        </w:rPr>
        <w:fldChar w:fldCharType="begin"/>
      </w:r>
      <w:r w:rsidR="008112A9" w:rsidRPr="00151DAD">
        <w:rPr>
          <w:rFonts w:asciiTheme="minorHAnsi" w:hAnsiTheme="minorHAnsi" w:cstheme="minorHAnsi"/>
          <w:b/>
          <w:szCs w:val="24"/>
          <w:lang w:val="fr-CA"/>
        </w:rPr>
        <w:instrText xml:space="preserve"> SEQ CHAPTER \h \r 1</w:instrText>
      </w:r>
      <w:r w:rsidRPr="002E0C7E">
        <w:rPr>
          <w:rFonts w:asciiTheme="minorHAnsi" w:hAnsiTheme="minorHAnsi" w:cstheme="minorHAnsi"/>
          <w:b/>
          <w:szCs w:val="24"/>
        </w:rPr>
        <w:fldChar w:fldCharType="end"/>
      </w:r>
      <w:r w:rsidR="008112A9" w:rsidRPr="00151DAD">
        <w:rPr>
          <w:rFonts w:asciiTheme="minorHAnsi" w:hAnsiTheme="minorHAnsi" w:cstheme="minorHAnsi"/>
          <w:b/>
          <w:szCs w:val="24"/>
          <w:lang w:val="fr-CA"/>
        </w:rPr>
        <w:t>SUPREME COURT OF CANADA SCHEDULE / CALENDRIER DE LA COUR SUPREME</w:t>
      </w:r>
    </w:p>
    <w:p w:rsidR="008112A9" w:rsidRPr="00151DAD" w:rsidRDefault="008112A9" w:rsidP="008112A9">
      <w:pPr>
        <w:widowControl w:val="0"/>
        <w:spacing w:line="180" w:lineRule="auto"/>
        <w:rPr>
          <w:rFonts w:asciiTheme="minorHAnsi" w:hAnsiTheme="minorHAnsi" w:cstheme="minorHAnsi"/>
          <w:szCs w:val="24"/>
          <w:lang w:val="fr-CA"/>
        </w:rPr>
      </w:pPr>
    </w:p>
    <w:p w:rsidR="008112A9" w:rsidRPr="00151DAD" w:rsidRDefault="008112A9" w:rsidP="008112A9">
      <w:pPr>
        <w:widowControl w:val="0"/>
        <w:tabs>
          <w:tab w:val="center" w:pos="5400"/>
          <w:tab w:val="right" w:pos="10440"/>
        </w:tabs>
        <w:rPr>
          <w:rFonts w:ascii="Arial" w:hAnsi="Arial"/>
          <w:sz w:val="18"/>
          <w:lang w:val="fr-CA"/>
        </w:rPr>
      </w:pPr>
      <w:r w:rsidRPr="00151DAD">
        <w:rPr>
          <w:rFonts w:ascii="Arial" w:hAnsi="Arial"/>
          <w:sz w:val="18"/>
          <w:lang w:val="fr-CA"/>
        </w:rPr>
        <w:tab/>
      </w:r>
      <w:r w:rsidRPr="00151DAD">
        <w:rPr>
          <w:rFonts w:ascii="Arial" w:hAnsi="Arial"/>
          <w:i/>
          <w:sz w:val="36"/>
          <w:lang w:val="fr-CA"/>
        </w:rPr>
        <w:t xml:space="preserve">- </w:t>
      </w:r>
      <w:r w:rsidRPr="00151DAD">
        <w:rPr>
          <w:rFonts w:ascii="Arial" w:hAnsi="Arial"/>
          <w:b/>
          <w:i/>
          <w:sz w:val="36"/>
          <w:lang w:val="fr-CA"/>
        </w:rPr>
        <w:t>2014</w:t>
      </w:r>
      <w:r w:rsidRPr="00151DAD">
        <w:rPr>
          <w:rFonts w:ascii="Arial" w:hAnsi="Arial"/>
          <w:i/>
          <w:sz w:val="36"/>
          <w:lang w:val="fr-CA"/>
        </w:rPr>
        <w:t xml:space="preserve"> -</w:t>
      </w:r>
      <w:r w:rsidRPr="00151DAD">
        <w:rPr>
          <w:rFonts w:ascii="Arial" w:hAnsi="Arial"/>
          <w:sz w:val="18"/>
          <w:lang w:val="fr-CA"/>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935056">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35056">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935056">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35056">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935056">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35056">
            <w:pPr>
              <w:widowControl w:val="0"/>
              <w:jc w:val="center"/>
              <w:rPr>
                <w:rFonts w:ascii="Arial" w:hAnsi="Arial"/>
                <w:sz w:val="14"/>
              </w:rPr>
            </w:pPr>
            <w:r w:rsidRPr="002E0C7E">
              <w:rPr>
                <w:rFonts w:ascii="Arial" w:hAnsi="Arial"/>
                <w:b/>
                <w:sz w:val="14"/>
              </w:rPr>
              <w:t>DECEMBER - DÉCEMBRE</w:t>
            </w:r>
          </w:p>
        </w:tc>
      </w:tr>
      <w:tr w:rsidR="008112A9" w:rsidRPr="002E0C7E" w:rsidTr="00935056">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S</w:t>
            </w:r>
          </w:p>
          <w:p w:rsidR="008112A9" w:rsidRPr="002E0C7E" w:rsidRDefault="008112A9" w:rsidP="00935056">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M</w:t>
            </w:r>
          </w:p>
          <w:p w:rsidR="008112A9" w:rsidRPr="002E0C7E" w:rsidRDefault="008112A9" w:rsidP="00935056">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T</w:t>
            </w:r>
          </w:p>
          <w:p w:rsidR="008112A9" w:rsidRPr="002E0C7E" w:rsidRDefault="008112A9" w:rsidP="00935056">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W</w:t>
            </w:r>
          </w:p>
          <w:p w:rsidR="008112A9" w:rsidRPr="002E0C7E" w:rsidRDefault="008112A9" w:rsidP="00935056">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T</w:t>
            </w:r>
          </w:p>
          <w:p w:rsidR="008112A9" w:rsidRPr="002E0C7E" w:rsidRDefault="008112A9" w:rsidP="00935056">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F</w:t>
            </w:r>
          </w:p>
          <w:p w:rsidR="008112A9" w:rsidRPr="002E0C7E" w:rsidRDefault="008112A9" w:rsidP="00935056">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S</w:t>
            </w:r>
          </w:p>
          <w:p w:rsidR="008112A9" w:rsidRPr="002E0C7E" w:rsidRDefault="008112A9" w:rsidP="00935056">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S</w:t>
            </w:r>
          </w:p>
          <w:p w:rsidR="008112A9" w:rsidRPr="002E0C7E" w:rsidRDefault="008112A9" w:rsidP="00935056">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M</w:t>
            </w:r>
          </w:p>
          <w:p w:rsidR="008112A9" w:rsidRPr="002E0C7E" w:rsidRDefault="008112A9" w:rsidP="00935056">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T</w:t>
            </w:r>
          </w:p>
          <w:p w:rsidR="008112A9" w:rsidRPr="002E0C7E" w:rsidRDefault="008112A9" w:rsidP="00935056">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W</w:t>
            </w:r>
          </w:p>
          <w:p w:rsidR="008112A9" w:rsidRPr="002E0C7E" w:rsidRDefault="008112A9" w:rsidP="00935056">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T</w:t>
            </w:r>
          </w:p>
          <w:p w:rsidR="008112A9" w:rsidRPr="002E0C7E" w:rsidRDefault="008112A9" w:rsidP="00935056">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F</w:t>
            </w:r>
          </w:p>
          <w:p w:rsidR="008112A9" w:rsidRPr="002E0C7E" w:rsidRDefault="008112A9" w:rsidP="00935056">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S</w:t>
            </w:r>
          </w:p>
          <w:p w:rsidR="008112A9" w:rsidRPr="002E0C7E" w:rsidRDefault="008112A9" w:rsidP="00935056">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S</w:t>
            </w:r>
          </w:p>
          <w:p w:rsidR="008112A9" w:rsidRPr="002E0C7E" w:rsidRDefault="008112A9" w:rsidP="00935056">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M</w:t>
            </w:r>
          </w:p>
          <w:p w:rsidR="008112A9" w:rsidRPr="002E0C7E" w:rsidRDefault="008112A9" w:rsidP="00935056">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T</w:t>
            </w:r>
          </w:p>
          <w:p w:rsidR="008112A9" w:rsidRPr="002E0C7E" w:rsidRDefault="008112A9" w:rsidP="00935056">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W</w:t>
            </w:r>
          </w:p>
          <w:p w:rsidR="008112A9" w:rsidRPr="002E0C7E" w:rsidRDefault="008112A9" w:rsidP="00935056">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T</w:t>
            </w:r>
          </w:p>
          <w:p w:rsidR="008112A9" w:rsidRPr="002E0C7E" w:rsidRDefault="008112A9" w:rsidP="00935056">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F</w:t>
            </w:r>
          </w:p>
          <w:p w:rsidR="008112A9" w:rsidRPr="002E0C7E" w:rsidRDefault="008112A9" w:rsidP="00935056">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S</w:t>
            </w:r>
          </w:p>
          <w:p w:rsidR="008112A9" w:rsidRPr="002E0C7E" w:rsidRDefault="008112A9" w:rsidP="00935056">
            <w:pPr>
              <w:widowControl w:val="0"/>
              <w:jc w:val="center"/>
              <w:rPr>
                <w:rFonts w:ascii="Arial" w:hAnsi="Arial"/>
                <w:sz w:val="14"/>
              </w:rPr>
            </w:pPr>
            <w:r w:rsidRPr="002E0C7E">
              <w:rPr>
                <w:rFonts w:ascii="Arial" w:hAnsi="Arial"/>
                <w:sz w:val="14"/>
              </w:rPr>
              <w:t>S</w:t>
            </w:r>
          </w:p>
        </w:tc>
      </w:tr>
      <w:tr w:rsidR="008112A9" w:rsidRPr="002E0C7E" w:rsidTr="00935056">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935056">
            <w:pPr>
              <w:widowControl w:val="0"/>
              <w:jc w:val="center"/>
              <w:rPr>
                <w:rFonts w:ascii="Arial" w:hAnsi="Arial"/>
                <w:b/>
                <w:sz w:val="14"/>
              </w:rPr>
            </w:pPr>
            <w:r>
              <w:rPr>
                <w:rFonts w:ascii="Arial" w:hAnsi="Arial"/>
                <w:b/>
                <w:sz w:val="14"/>
              </w:rPr>
              <w:t>M</w:t>
            </w:r>
          </w:p>
          <w:p w:rsidR="008112A9" w:rsidRPr="002E0C7E" w:rsidRDefault="008112A9" w:rsidP="00935056">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6</w:t>
            </w:r>
          </w:p>
        </w:tc>
      </w:tr>
      <w:tr w:rsidR="008112A9" w:rsidRPr="002E0C7E" w:rsidTr="00935056">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935056">
            <w:pPr>
              <w:widowControl w:val="0"/>
              <w:jc w:val="center"/>
              <w:rPr>
                <w:rFonts w:ascii="Arial" w:hAnsi="Arial"/>
                <w:b/>
                <w:sz w:val="14"/>
              </w:rPr>
            </w:pPr>
            <w:r>
              <w:rPr>
                <w:rFonts w:ascii="Arial" w:hAnsi="Arial"/>
                <w:b/>
                <w:sz w:val="14"/>
              </w:rPr>
              <w:t>M</w:t>
            </w:r>
          </w:p>
          <w:p w:rsidR="008112A9" w:rsidRPr="002E0C7E" w:rsidRDefault="008112A9" w:rsidP="00935056">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935056">
            <w:pPr>
              <w:widowControl w:val="0"/>
              <w:jc w:val="center"/>
              <w:rPr>
                <w:rFonts w:ascii="Arial" w:hAnsi="Arial"/>
                <w:b/>
                <w:sz w:val="14"/>
              </w:rPr>
            </w:pPr>
          </w:p>
          <w:p w:rsidR="008112A9" w:rsidRPr="002E0C7E" w:rsidRDefault="008112A9" w:rsidP="00935056">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b/>
                <w:sz w:val="14"/>
              </w:rPr>
              <w:t>M</w:t>
            </w:r>
          </w:p>
          <w:p w:rsidR="008112A9" w:rsidRPr="002E0C7E" w:rsidRDefault="008112A9" w:rsidP="00935056">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13</w:t>
            </w:r>
          </w:p>
        </w:tc>
      </w:tr>
      <w:tr w:rsidR="008112A9" w:rsidRPr="002E0C7E" w:rsidTr="00935056">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935056">
            <w:pPr>
              <w:widowControl w:val="0"/>
              <w:jc w:val="center"/>
              <w:rPr>
                <w:rFonts w:ascii="Arial" w:hAnsi="Arial"/>
                <w:b/>
                <w:sz w:val="14"/>
              </w:rPr>
            </w:pPr>
            <w:r>
              <w:rPr>
                <w:rFonts w:ascii="Arial" w:hAnsi="Arial"/>
                <w:b/>
                <w:sz w:val="14"/>
              </w:rPr>
              <w:t>H</w:t>
            </w: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935056">
            <w:pPr>
              <w:widowControl w:val="0"/>
              <w:jc w:val="center"/>
              <w:rPr>
                <w:rFonts w:ascii="Arial" w:hAnsi="Arial"/>
                <w:b/>
                <w:sz w:val="14"/>
              </w:rPr>
            </w:pPr>
            <w:r w:rsidRPr="004F066E">
              <w:rPr>
                <w:rFonts w:ascii="Arial" w:hAnsi="Arial"/>
                <w:b/>
                <w:sz w:val="14"/>
              </w:rPr>
              <w:t>H</w:t>
            </w:r>
          </w:p>
          <w:p w:rsidR="008112A9" w:rsidRPr="002E0C7E" w:rsidRDefault="008112A9" w:rsidP="00935056">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20</w:t>
            </w:r>
          </w:p>
        </w:tc>
      </w:tr>
      <w:tr w:rsidR="008112A9" w:rsidRPr="002E0C7E" w:rsidTr="00935056">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935056">
            <w:pPr>
              <w:widowControl w:val="0"/>
              <w:jc w:val="center"/>
              <w:rPr>
                <w:rFonts w:ascii="Arial" w:hAnsi="Arial"/>
                <w:b/>
                <w:sz w:val="14"/>
              </w:rPr>
            </w:pPr>
          </w:p>
          <w:p w:rsidR="008112A9" w:rsidRPr="002E0C7E" w:rsidRDefault="008112A9" w:rsidP="00935056">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935056">
            <w:pPr>
              <w:widowControl w:val="0"/>
              <w:jc w:val="center"/>
              <w:rPr>
                <w:rFonts w:ascii="Arial" w:hAnsi="Arial"/>
                <w:b/>
                <w:sz w:val="14"/>
              </w:rPr>
            </w:pPr>
            <w:r>
              <w:rPr>
                <w:rFonts w:ascii="Arial" w:hAnsi="Arial"/>
                <w:b/>
                <w:sz w:val="14"/>
              </w:rPr>
              <w:t>H</w:t>
            </w:r>
          </w:p>
          <w:p w:rsidR="008112A9" w:rsidRPr="002E0C7E" w:rsidRDefault="008112A9" w:rsidP="00935056">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935056">
            <w:pPr>
              <w:widowControl w:val="0"/>
              <w:jc w:val="center"/>
              <w:rPr>
                <w:rFonts w:ascii="Arial" w:hAnsi="Arial"/>
                <w:b/>
                <w:sz w:val="14"/>
              </w:rPr>
            </w:pPr>
            <w:r>
              <w:rPr>
                <w:rFonts w:ascii="Arial" w:hAnsi="Arial"/>
                <w:b/>
                <w:sz w:val="14"/>
              </w:rPr>
              <w:t>H</w:t>
            </w:r>
          </w:p>
          <w:p w:rsidR="008112A9" w:rsidRPr="002E0C7E" w:rsidRDefault="008112A9" w:rsidP="00935056">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935056">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935056">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935056">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935056">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35056">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935056">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35056">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935056">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35056">
            <w:pPr>
              <w:widowControl w:val="0"/>
              <w:jc w:val="center"/>
              <w:rPr>
                <w:rFonts w:ascii="Arial" w:hAnsi="Arial"/>
                <w:sz w:val="14"/>
              </w:rPr>
            </w:pPr>
            <w:r w:rsidRPr="002E0C7E">
              <w:rPr>
                <w:rFonts w:ascii="Arial" w:hAnsi="Arial"/>
                <w:b/>
                <w:sz w:val="14"/>
              </w:rPr>
              <w:t>MARCH - MARS</w:t>
            </w:r>
          </w:p>
        </w:tc>
      </w:tr>
      <w:tr w:rsidR="008112A9" w:rsidRPr="002E0C7E" w:rsidTr="00935056">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S</w:t>
            </w:r>
          </w:p>
          <w:p w:rsidR="008112A9" w:rsidRPr="002E0C7E" w:rsidRDefault="008112A9" w:rsidP="00935056">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M</w:t>
            </w:r>
          </w:p>
          <w:p w:rsidR="008112A9" w:rsidRPr="002E0C7E" w:rsidRDefault="008112A9" w:rsidP="00935056">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T</w:t>
            </w:r>
          </w:p>
          <w:p w:rsidR="008112A9" w:rsidRPr="002E0C7E" w:rsidRDefault="008112A9" w:rsidP="0093505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W</w:t>
            </w:r>
          </w:p>
          <w:p w:rsidR="008112A9" w:rsidRPr="002E0C7E" w:rsidRDefault="008112A9" w:rsidP="0093505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T</w:t>
            </w:r>
          </w:p>
          <w:p w:rsidR="008112A9" w:rsidRPr="002E0C7E" w:rsidRDefault="008112A9" w:rsidP="00935056">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F</w:t>
            </w:r>
          </w:p>
          <w:p w:rsidR="008112A9" w:rsidRPr="002E0C7E" w:rsidRDefault="008112A9" w:rsidP="00935056">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S</w:t>
            </w:r>
          </w:p>
          <w:p w:rsidR="008112A9" w:rsidRPr="002E0C7E" w:rsidRDefault="008112A9" w:rsidP="00935056">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S</w:t>
            </w:r>
          </w:p>
          <w:p w:rsidR="008112A9" w:rsidRPr="002E0C7E" w:rsidRDefault="008112A9" w:rsidP="00935056">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M</w:t>
            </w:r>
          </w:p>
          <w:p w:rsidR="008112A9" w:rsidRPr="002E0C7E" w:rsidRDefault="008112A9" w:rsidP="00935056">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T</w:t>
            </w:r>
          </w:p>
          <w:p w:rsidR="008112A9" w:rsidRPr="002E0C7E" w:rsidRDefault="008112A9" w:rsidP="00935056">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W</w:t>
            </w:r>
          </w:p>
          <w:p w:rsidR="008112A9" w:rsidRPr="002E0C7E" w:rsidRDefault="008112A9" w:rsidP="0093505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T</w:t>
            </w:r>
          </w:p>
          <w:p w:rsidR="008112A9" w:rsidRPr="002E0C7E" w:rsidRDefault="008112A9" w:rsidP="00935056">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F</w:t>
            </w:r>
          </w:p>
          <w:p w:rsidR="008112A9" w:rsidRPr="002E0C7E" w:rsidRDefault="008112A9" w:rsidP="00935056">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S</w:t>
            </w:r>
          </w:p>
          <w:p w:rsidR="008112A9" w:rsidRPr="002E0C7E" w:rsidRDefault="008112A9" w:rsidP="00935056">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S</w:t>
            </w:r>
          </w:p>
          <w:p w:rsidR="008112A9" w:rsidRPr="002E0C7E" w:rsidRDefault="008112A9" w:rsidP="00935056">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M</w:t>
            </w:r>
          </w:p>
          <w:p w:rsidR="008112A9" w:rsidRPr="002E0C7E" w:rsidRDefault="008112A9" w:rsidP="00935056">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T</w:t>
            </w:r>
          </w:p>
          <w:p w:rsidR="008112A9" w:rsidRPr="002E0C7E" w:rsidRDefault="008112A9" w:rsidP="0093505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W</w:t>
            </w:r>
          </w:p>
          <w:p w:rsidR="008112A9" w:rsidRPr="002E0C7E" w:rsidRDefault="008112A9" w:rsidP="0093505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T</w:t>
            </w:r>
          </w:p>
          <w:p w:rsidR="008112A9" w:rsidRPr="002E0C7E" w:rsidRDefault="008112A9" w:rsidP="00935056">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F</w:t>
            </w:r>
          </w:p>
          <w:p w:rsidR="008112A9" w:rsidRPr="002E0C7E" w:rsidRDefault="008112A9" w:rsidP="00935056">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S</w:t>
            </w:r>
          </w:p>
          <w:p w:rsidR="008112A9" w:rsidRPr="002E0C7E" w:rsidRDefault="008112A9" w:rsidP="00935056">
            <w:pPr>
              <w:widowControl w:val="0"/>
              <w:jc w:val="center"/>
              <w:rPr>
                <w:rFonts w:ascii="Arial" w:hAnsi="Arial"/>
                <w:sz w:val="14"/>
              </w:rPr>
            </w:pPr>
            <w:r w:rsidRPr="002E0C7E">
              <w:rPr>
                <w:rFonts w:ascii="Arial" w:hAnsi="Arial"/>
                <w:sz w:val="14"/>
              </w:rPr>
              <w:t>S</w:t>
            </w:r>
          </w:p>
        </w:tc>
      </w:tr>
      <w:tr w:rsidR="008112A9" w:rsidRPr="002E0C7E" w:rsidTr="0093505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935056">
            <w:pPr>
              <w:widowControl w:val="0"/>
              <w:jc w:val="center"/>
              <w:rPr>
                <w:rFonts w:ascii="Arial" w:hAnsi="Arial"/>
                <w:b/>
                <w:sz w:val="14"/>
              </w:rPr>
            </w:pPr>
          </w:p>
          <w:p w:rsidR="008112A9" w:rsidRPr="002E0C7E" w:rsidRDefault="008112A9" w:rsidP="00935056">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935056">
            <w:pPr>
              <w:widowControl w:val="0"/>
              <w:jc w:val="center"/>
              <w:rPr>
                <w:rFonts w:ascii="Arial" w:hAnsi="Arial"/>
                <w:b/>
                <w:sz w:val="14"/>
              </w:rPr>
            </w:pPr>
          </w:p>
          <w:p w:rsidR="008112A9" w:rsidRPr="002E0C7E" w:rsidRDefault="008112A9" w:rsidP="00935056">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935056">
            <w:pPr>
              <w:widowControl w:val="0"/>
              <w:jc w:val="center"/>
              <w:rPr>
                <w:rFonts w:ascii="Arial" w:hAnsi="Arial"/>
                <w:b/>
                <w:sz w:val="14"/>
              </w:rPr>
            </w:pPr>
            <w:r w:rsidRPr="004F066E">
              <w:rPr>
                <w:rFonts w:ascii="Arial" w:hAnsi="Arial"/>
                <w:b/>
                <w:sz w:val="14"/>
              </w:rPr>
              <w:t>H</w:t>
            </w:r>
          </w:p>
          <w:p w:rsidR="008112A9" w:rsidRPr="002E0C7E" w:rsidRDefault="008112A9" w:rsidP="00935056">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7</w:t>
            </w:r>
          </w:p>
        </w:tc>
      </w:tr>
      <w:tr w:rsidR="008112A9" w:rsidRPr="002E0C7E" w:rsidTr="0093505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935056">
            <w:pPr>
              <w:widowControl w:val="0"/>
              <w:jc w:val="center"/>
              <w:rPr>
                <w:rFonts w:ascii="Arial" w:hAnsi="Arial"/>
                <w:b/>
                <w:sz w:val="14"/>
              </w:rPr>
            </w:pPr>
            <w:r>
              <w:rPr>
                <w:rFonts w:ascii="Arial" w:hAnsi="Arial"/>
                <w:b/>
                <w:sz w:val="14"/>
              </w:rPr>
              <w:t>M</w:t>
            </w:r>
          </w:p>
          <w:p w:rsidR="008112A9" w:rsidRPr="002E0C7E" w:rsidRDefault="008112A9" w:rsidP="00935056">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14</w:t>
            </w:r>
          </w:p>
        </w:tc>
      </w:tr>
      <w:tr w:rsidR="008112A9" w:rsidRPr="002E0C7E" w:rsidTr="00935056">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935056">
            <w:pPr>
              <w:widowControl w:val="0"/>
              <w:jc w:val="center"/>
              <w:rPr>
                <w:rFonts w:ascii="Arial" w:hAnsi="Arial"/>
                <w:b/>
                <w:sz w:val="14"/>
              </w:rPr>
            </w:pPr>
            <w:r>
              <w:rPr>
                <w:rFonts w:ascii="Arial" w:hAnsi="Arial"/>
                <w:b/>
                <w:sz w:val="14"/>
              </w:rPr>
              <w:t>M</w:t>
            </w: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935056">
            <w:pPr>
              <w:widowControl w:val="0"/>
              <w:jc w:val="center"/>
              <w:rPr>
                <w:rFonts w:ascii="Arial" w:hAnsi="Arial"/>
                <w:b/>
                <w:sz w:val="14"/>
              </w:rPr>
            </w:pP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935056">
            <w:pPr>
              <w:widowControl w:val="0"/>
              <w:jc w:val="center"/>
              <w:rPr>
                <w:rFonts w:ascii="Arial" w:hAnsi="Arial"/>
                <w:b/>
                <w:sz w:val="14"/>
              </w:rPr>
            </w:pPr>
            <w:r w:rsidRPr="009900C5">
              <w:rPr>
                <w:rFonts w:ascii="Arial" w:hAnsi="Arial"/>
                <w:b/>
                <w:sz w:val="14"/>
              </w:rPr>
              <w:t>M</w:t>
            </w: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93505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935056">
            <w:pPr>
              <w:widowControl w:val="0"/>
              <w:jc w:val="center"/>
              <w:rPr>
                <w:rFonts w:ascii="Arial" w:hAnsi="Arial"/>
                <w:b/>
                <w:sz w:val="14"/>
              </w:rPr>
            </w:pPr>
          </w:p>
          <w:p w:rsidR="008112A9" w:rsidRPr="002E0C7E" w:rsidRDefault="008112A9" w:rsidP="00935056">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935056">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935056">
            <w:pPr>
              <w:widowControl w:val="0"/>
              <w:jc w:val="center"/>
              <w:rPr>
                <w:rFonts w:ascii="Arial" w:hAnsi="Arial"/>
                <w:b/>
                <w:sz w:val="14"/>
              </w:rPr>
            </w:pPr>
          </w:p>
          <w:p w:rsidR="008112A9" w:rsidRPr="002E0C7E" w:rsidRDefault="008112A9" w:rsidP="0093505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935056">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35056">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935056">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35056">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935056">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35056">
            <w:pPr>
              <w:widowControl w:val="0"/>
              <w:jc w:val="center"/>
              <w:rPr>
                <w:rFonts w:ascii="Arial" w:hAnsi="Arial"/>
                <w:sz w:val="14"/>
              </w:rPr>
            </w:pPr>
            <w:r w:rsidRPr="002E0C7E">
              <w:rPr>
                <w:rFonts w:ascii="Arial" w:hAnsi="Arial"/>
                <w:b/>
                <w:sz w:val="14"/>
              </w:rPr>
              <w:t>JUNE - JUIN</w:t>
            </w:r>
          </w:p>
        </w:tc>
      </w:tr>
      <w:tr w:rsidR="008112A9" w:rsidRPr="002E0C7E" w:rsidTr="00935056">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S</w:t>
            </w:r>
          </w:p>
          <w:p w:rsidR="008112A9" w:rsidRPr="002E0C7E" w:rsidRDefault="008112A9" w:rsidP="00935056">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M</w:t>
            </w:r>
          </w:p>
          <w:p w:rsidR="008112A9" w:rsidRPr="002E0C7E" w:rsidRDefault="008112A9" w:rsidP="00935056">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T</w:t>
            </w:r>
          </w:p>
          <w:p w:rsidR="008112A9" w:rsidRPr="002E0C7E" w:rsidRDefault="008112A9" w:rsidP="0093505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W</w:t>
            </w:r>
          </w:p>
          <w:p w:rsidR="008112A9" w:rsidRPr="002E0C7E" w:rsidRDefault="008112A9" w:rsidP="0093505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T</w:t>
            </w:r>
          </w:p>
          <w:p w:rsidR="008112A9" w:rsidRPr="002E0C7E" w:rsidRDefault="008112A9" w:rsidP="00935056">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F</w:t>
            </w:r>
          </w:p>
          <w:p w:rsidR="008112A9" w:rsidRPr="002E0C7E" w:rsidRDefault="008112A9" w:rsidP="00935056">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S</w:t>
            </w:r>
          </w:p>
          <w:p w:rsidR="008112A9" w:rsidRPr="002E0C7E" w:rsidRDefault="008112A9" w:rsidP="00935056">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S</w:t>
            </w:r>
          </w:p>
          <w:p w:rsidR="008112A9" w:rsidRPr="002E0C7E" w:rsidRDefault="008112A9" w:rsidP="00935056">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M</w:t>
            </w:r>
          </w:p>
          <w:p w:rsidR="008112A9" w:rsidRPr="002E0C7E" w:rsidRDefault="008112A9" w:rsidP="00935056">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T</w:t>
            </w:r>
          </w:p>
          <w:p w:rsidR="008112A9" w:rsidRPr="002E0C7E" w:rsidRDefault="008112A9" w:rsidP="0093505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W</w:t>
            </w:r>
          </w:p>
          <w:p w:rsidR="008112A9" w:rsidRPr="002E0C7E" w:rsidRDefault="008112A9" w:rsidP="0093505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T</w:t>
            </w:r>
          </w:p>
          <w:p w:rsidR="008112A9" w:rsidRPr="002E0C7E" w:rsidRDefault="008112A9" w:rsidP="00935056">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F</w:t>
            </w:r>
          </w:p>
          <w:p w:rsidR="008112A9" w:rsidRPr="002E0C7E" w:rsidRDefault="008112A9" w:rsidP="00935056">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S</w:t>
            </w:r>
          </w:p>
          <w:p w:rsidR="008112A9" w:rsidRPr="002E0C7E" w:rsidRDefault="008112A9" w:rsidP="00935056">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S</w:t>
            </w:r>
          </w:p>
          <w:p w:rsidR="008112A9" w:rsidRPr="002E0C7E" w:rsidRDefault="008112A9" w:rsidP="00935056">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M</w:t>
            </w:r>
          </w:p>
          <w:p w:rsidR="008112A9" w:rsidRPr="002E0C7E" w:rsidRDefault="008112A9" w:rsidP="00935056">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T</w:t>
            </w:r>
          </w:p>
          <w:p w:rsidR="008112A9" w:rsidRPr="002E0C7E" w:rsidRDefault="008112A9" w:rsidP="0093505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W</w:t>
            </w:r>
          </w:p>
          <w:p w:rsidR="008112A9" w:rsidRPr="002E0C7E" w:rsidRDefault="008112A9" w:rsidP="0093505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T</w:t>
            </w:r>
          </w:p>
          <w:p w:rsidR="008112A9" w:rsidRPr="002E0C7E" w:rsidRDefault="008112A9" w:rsidP="00935056">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sidRPr="002E0C7E">
              <w:rPr>
                <w:rFonts w:ascii="Arial" w:hAnsi="Arial"/>
                <w:sz w:val="14"/>
              </w:rPr>
              <w:t>F</w:t>
            </w:r>
          </w:p>
          <w:p w:rsidR="008112A9" w:rsidRPr="002E0C7E" w:rsidRDefault="008112A9" w:rsidP="00935056">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r>
              <w:rPr>
                <w:rFonts w:ascii="Arial" w:hAnsi="Arial"/>
                <w:sz w:val="14"/>
              </w:rPr>
              <w:t>S</w:t>
            </w:r>
          </w:p>
          <w:p w:rsidR="008112A9" w:rsidRPr="002E0C7E" w:rsidRDefault="008112A9" w:rsidP="00935056">
            <w:pPr>
              <w:widowControl w:val="0"/>
              <w:jc w:val="center"/>
              <w:rPr>
                <w:rFonts w:ascii="Arial" w:hAnsi="Arial"/>
                <w:sz w:val="14"/>
              </w:rPr>
            </w:pPr>
            <w:r>
              <w:rPr>
                <w:rFonts w:ascii="Arial" w:hAnsi="Arial"/>
                <w:sz w:val="14"/>
              </w:rPr>
              <w:t>S</w:t>
            </w:r>
          </w:p>
        </w:tc>
      </w:tr>
      <w:tr w:rsidR="008112A9" w:rsidRPr="002E0C7E" w:rsidTr="00935056">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935056">
            <w:pPr>
              <w:widowControl w:val="0"/>
              <w:jc w:val="center"/>
              <w:rPr>
                <w:rFonts w:ascii="Arial" w:hAnsi="Arial"/>
                <w:b/>
                <w:sz w:val="14"/>
              </w:rPr>
            </w:pPr>
            <w:r>
              <w:rPr>
                <w:rFonts w:ascii="Arial" w:hAnsi="Arial"/>
                <w:b/>
                <w:sz w:val="14"/>
              </w:rPr>
              <w:t>H</w:t>
            </w:r>
          </w:p>
          <w:p w:rsidR="008112A9" w:rsidRPr="002E0C7E" w:rsidRDefault="008112A9" w:rsidP="00935056">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b/>
                <w:sz w:val="14"/>
              </w:rPr>
            </w:pPr>
          </w:p>
          <w:p w:rsidR="008112A9" w:rsidRPr="002E0C7E" w:rsidRDefault="008112A9" w:rsidP="0093505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6</w:t>
            </w:r>
          </w:p>
        </w:tc>
      </w:tr>
      <w:tr w:rsidR="008112A9" w:rsidRPr="002E0C7E" w:rsidTr="00935056">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935056">
            <w:pPr>
              <w:widowControl w:val="0"/>
              <w:jc w:val="center"/>
              <w:rPr>
                <w:rFonts w:ascii="Arial" w:hAnsi="Arial"/>
                <w:b/>
                <w:sz w:val="14"/>
              </w:rPr>
            </w:pPr>
            <w:r>
              <w:rPr>
                <w:rFonts w:ascii="Arial" w:hAnsi="Arial"/>
                <w:b/>
                <w:sz w:val="14"/>
              </w:rPr>
              <w:t>H</w:t>
            </w:r>
          </w:p>
          <w:p w:rsidR="008112A9" w:rsidRPr="002E0C7E" w:rsidRDefault="008112A9" w:rsidP="00935056">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935056">
            <w:pPr>
              <w:widowControl w:val="0"/>
              <w:jc w:val="center"/>
              <w:rPr>
                <w:rFonts w:ascii="Arial" w:hAnsi="Arial"/>
                <w:b/>
                <w:sz w:val="14"/>
              </w:rPr>
            </w:pPr>
            <w:r>
              <w:rPr>
                <w:rFonts w:ascii="Arial" w:hAnsi="Arial"/>
                <w:b/>
                <w:sz w:val="14"/>
              </w:rPr>
              <w:t>M</w:t>
            </w:r>
          </w:p>
          <w:p w:rsidR="008112A9" w:rsidRPr="002E0C7E" w:rsidRDefault="008112A9" w:rsidP="00935056">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13</w:t>
            </w:r>
          </w:p>
        </w:tc>
      </w:tr>
      <w:tr w:rsidR="008112A9" w:rsidRPr="002E0C7E" w:rsidTr="00935056">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935056">
            <w:pPr>
              <w:widowControl w:val="0"/>
              <w:jc w:val="center"/>
              <w:rPr>
                <w:rFonts w:ascii="Arial" w:hAnsi="Arial"/>
                <w:b/>
                <w:sz w:val="14"/>
              </w:rPr>
            </w:pPr>
            <w:r>
              <w:rPr>
                <w:rFonts w:ascii="Arial" w:hAnsi="Arial"/>
                <w:b/>
                <w:sz w:val="14"/>
              </w:rPr>
              <w:t>M</w:t>
            </w: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935056">
            <w:pPr>
              <w:widowControl w:val="0"/>
              <w:jc w:val="center"/>
              <w:rPr>
                <w:rFonts w:ascii="Arial" w:hAnsi="Arial"/>
                <w:b/>
                <w:sz w:val="14"/>
              </w:rPr>
            </w:pPr>
          </w:p>
          <w:p w:rsidR="008112A9" w:rsidRPr="002E0C7E" w:rsidRDefault="008112A9" w:rsidP="00935056">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935056">
            <w:pPr>
              <w:widowControl w:val="0"/>
              <w:jc w:val="center"/>
              <w:rPr>
                <w:rFonts w:ascii="Arial" w:hAnsi="Arial"/>
                <w:b/>
                <w:sz w:val="14"/>
              </w:rPr>
            </w:pPr>
            <w:r w:rsidRPr="002453E3">
              <w:rPr>
                <w:rFonts w:ascii="Arial" w:hAnsi="Arial"/>
                <w:b/>
                <w:sz w:val="14"/>
              </w:rPr>
              <w:t>M</w:t>
            </w: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20</w:t>
            </w:r>
          </w:p>
        </w:tc>
      </w:tr>
      <w:tr w:rsidR="008112A9" w:rsidRPr="002E0C7E" w:rsidTr="0093505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935056">
            <w:pPr>
              <w:widowControl w:val="0"/>
              <w:jc w:val="center"/>
              <w:rPr>
                <w:rFonts w:ascii="Arial" w:hAnsi="Arial"/>
                <w:b/>
                <w:sz w:val="14"/>
              </w:rPr>
            </w:pPr>
          </w:p>
          <w:p w:rsidR="008112A9" w:rsidRPr="002E0C7E" w:rsidRDefault="008112A9" w:rsidP="0093505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935056">
            <w:pPr>
              <w:widowControl w:val="0"/>
              <w:jc w:val="center"/>
              <w:rPr>
                <w:rFonts w:ascii="Arial" w:hAnsi="Arial"/>
                <w:b/>
                <w:sz w:val="14"/>
              </w:rPr>
            </w:pPr>
            <w:r>
              <w:rPr>
                <w:rFonts w:ascii="Arial" w:hAnsi="Arial"/>
                <w:b/>
                <w:sz w:val="14"/>
              </w:rPr>
              <w:t>H</w:t>
            </w:r>
          </w:p>
          <w:p w:rsidR="008112A9" w:rsidRPr="002E0C7E" w:rsidRDefault="008112A9" w:rsidP="00935056">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935056">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935056">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935056">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935056">
            <w:pPr>
              <w:widowControl w:val="0"/>
              <w:jc w:val="center"/>
              <w:rPr>
                <w:rFonts w:ascii="Arial" w:hAnsi="Arial"/>
                <w:sz w:val="14"/>
              </w:rPr>
            </w:pPr>
          </w:p>
          <w:p w:rsidR="008112A9" w:rsidRPr="002E0C7E" w:rsidRDefault="008112A9" w:rsidP="00935056">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935056">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935056">
            <w:pPr>
              <w:widowControl w:val="0"/>
              <w:rPr>
                <w:rFonts w:ascii="Arial" w:hAnsi="Arial"/>
                <w:sz w:val="16"/>
              </w:rPr>
            </w:pPr>
            <w:r w:rsidRPr="002E0C7E">
              <w:rPr>
                <w:rFonts w:ascii="Arial" w:hAnsi="Arial"/>
                <w:sz w:val="16"/>
              </w:rPr>
              <w:t>Sittings of the court:</w:t>
            </w:r>
          </w:p>
          <w:p w:rsidR="008112A9" w:rsidRPr="002E0C7E" w:rsidRDefault="008112A9" w:rsidP="00935056">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935056">
            <w:pPr>
              <w:widowControl w:val="0"/>
              <w:rPr>
                <w:rFonts w:ascii="Arial" w:hAnsi="Arial"/>
                <w:sz w:val="16"/>
              </w:rPr>
            </w:pPr>
          </w:p>
          <w:p w:rsidR="008112A9" w:rsidRPr="002E0C7E" w:rsidRDefault="008112A9" w:rsidP="00935056">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9350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9350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9350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9350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9350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935056">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9350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9350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9350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9350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935056">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9350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9350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935056">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9350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07"/>
      <w:footerReference w:type="default" r:id="rId108"/>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EF8" w:rsidRDefault="006A6EF8" w:rsidP="00A87207">
      <w:r>
        <w:separator/>
      </w:r>
    </w:p>
  </w:endnote>
  <w:endnote w:type="continuationSeparator" w:id="0">
    <w:p w:rsidR="006A6EF8" w:rsidRDefault="006A6EF8"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F8" w:rsidRDefault="006A6EF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F8" w:rsidRDefault="005B3B50">
    <w:pPr>
      <w:pStyle w:val="Footer"/>
    </w:pPr>
    <w:r>
      <w:pict>
        <v:rect id="_x0000_i1046" style="width:480.95pt;height:1pt" o:hralign="center" o:hrstd="t" o:hrnoshade="t" o:hr="t" fillcolor="black [3213]" stroked="f"/>
      </w:pict>
    </w:r>
  </w:p>
  <w:p w:rsidR="006A6EF8" w:rsidRPr="00D7601D" w:rsidRDefault="006A6EF8" w:rsidP="00432989">
    <w:pPr>
      <w:tabs>
        <w:tab w:val="center" w:pos="4680"/>
      </w:tabs>
    </w:pPr>
    <w:r>
      <w:tab/>
      <w:t xml:space="preserve">- </w:t>
    </w:r>
    <w:r w:rsidR="00D229C1">
      <w:fldChar w:fldCharType="begin"/>
    </w:r>
    <w:r w:rsidR="00D229C1">
      <w:instrText xml:space="preserve"> PAGE   \* MERGEFORMAT </w:instrText>
    </w:r>
    <w:r w:rsidR="00D229C1">
      <w:fldChar w:fldCharType="separate"/>
    </w:r>
    <w:r w:rsidR="005B3B50">
      <w:rPr>
        <w:noProof/>
      </w:rPr>
      <w:t>850</w:t>
    </w:r>
    <w:r w:rsidR="00D229C1">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F8" w:rsidRDefault="006A6E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6A6EF8" w:rsidRDefault="006A6E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A6EF8" w:rsidRDefault="006A6EF8">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F8" w:rsidRDefault="005B3B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9" style="width:480.95pt;height:1pt" o:hralign="center" o:hrstd="t" o:hrnoshade="t" o:hr="t" fillcolor="black [3213]" stroked="f"/>
      </w:pict>
    </w:r>
  </w:p>
  <w:p w:rsidR="006A6EF8" w:rsidRPr="0009648D" w:rsidRDefault="006A6EF8" w:rsidP="00ED7E83">
    <w:pPr>
      <w:tabs>
        <w:tab w:val="center" w:pos="4680"/>
      </w:tabs>
    </w:pPr>
    <w:r>
      <w:tab/>
    </w:r>
    <w:r w:rsidRPr="0009648D">
      <w:t xml:space="preserve">- </w:t>
    </w:r>
    <w:r w:rsidR="00D229C1">
      <w:fldChar w:fldCharType="begin"/>
    </w:r>
    <w:r w:rsidR="00D229C1">
      <w:instrText xml:space="preserve"> PAGE   \* MERGEFORMAT </w:instrText>
    </w:r>
    <w:r w:rsidR="00D229C1">
      <w:fldChar w:fldCharType="separate"/>
    </w:r>
    <w:r w:rsidR="00D229C1">
      <w:rPr>
        <w:noProof/>
      </w:rPr>
      <w:t>865</w:t>
    </w:r>
    <w:r w:rsidR="00D229C1">
      <w:rPr>
        <w:noProof/>
      </w:rPr>
      <w:fldChar w:fldCharType="end"/>
    </w:r>
    <w:r w:rsidRPr="0009648D">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F8" w:rsidRDefault="005B3B50">
    <w:pPr>
      <w:pStyle w:val="Footer"/>
      <w:rPr>
        <w:lang w:val="fr-CA"/>
      </w:rPr>
    </w:pPr>
    <w:r>
      <w:rPr>
        <w:lang w:val="fr-CA"/>
      </w:rPr>
      <w:pict>
        <v:rect id="_x0000_i1070" style="width:480.95pt;height:1pt" o:hralign="center" o:hrstd="t" o:hrnoshade="t" o:hr="t" fillcolor="black [3213]" stroked="f"/>
      </w:pict>
    </w:r>
  </w:p>
  <w:p w:rsidR="006A6EF8" w:rsidRDefault="006A6EF8" w:rsidP="00245129">
    <w:pPr>
      <w:tabs>
        <w:tab w:val="center" w:pos="4680"/>
      </w:tabs>
    </w:pPr>
    <w:r>
      <w:tab/>
    </w:r>
    <w:r w:rsidRPr="0009648D">
      <w:t xml:space="preserve">- </w:t>
    </w:r>
    <w:r w:rsidR="00D229C1">
      <w:fldChar w:fldCharType="begin"/>
    </w:r>
    <w:r w:rsidR="00D229C1">
      <w:instrText xml:space="preserve"> PAGE   \* MERGEFORMAT </w:instrText>
    </w:r>
    <w:r w:rsidR="00D229C1">
      <w:fldChar w:fldCharType="separate"/>
    </w:r>
    <w:r w:rsidR="00D229C1">
      <w:rPr>
        <w:noProof/>
      </w:rPr>
      <w:t>851</w:t>
    </w:r>
    <w:r w:rsidR="00D229C1">
      <w:rPr>
        <w:noProof/>
      </w:rPr>
      <w:fldChar w:fldCharType="end"/>
    </w:r>
    <w:r w:rsidRPr="0009648D">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F8" w:rsidRDefault="006A6E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A6EF8" w:rsidRDefault="006A6E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A6EF8" w:rsidRDefault="006A6EF8">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F8" w:rsidRDefault="005B3B50" w:rsidP="00755F22">
    <w:pPr>
      <w:tabs>
        <w:tab w:val="left" w:pos="-1440"/>
        <w:tab w:val="left" w:pos="-720"/>
      </w:tabs>
    </w:pPr>
    <w:r>
      <w:pict>
        <v:rect id="_x0000_i1075" style="width:480.95pt;height:1pt" o:hralign="center" o:hrstd="t" o:hrnoshade="t" o:hr="t" fillcolor="black [3213]" stroked="f"/>
      </w:pict>
    </w:r>
  </w:p>
  <w:p w:rsidR="006A6EF8" w:rsidRDefault="006A6EF8" w:rsidP="00EB2B90">
    <w:pPr>
      <w:tabs>
        <w:tab w:val="center" w:pos="4680"/>
      </w:tabs>
    </w:pPr>
    <w:r>
      <w:tab/>
      <w:t xml:space="preserve">- </w:t>
    </w:r>
    <w:r w:rsidR="00D229C1">
      <w:fldChar w:fldCharType="begin"/>
    </w:r>
    <w:r w:rsidR="00D229C1">
      <w:instrText xml:space="preserve"> PAGE   \* MERGEFORMAT </w:instrText>
    </w:r>
    <w:r w:rsidR="00D229C1">
      <w:fldChar w:fldCharType="separate"/>
    </w:r>
    <w:r w:rsidR="00D229C1">
      <w:rPr>
        <w:noProof/>
      </w:rPr>
      <w:t>879</w:t>
    </w:r>
    <w:r w:rsidR="00D229C1">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F8" w:rsidRDefault="005B3B50" w:rsidP="00EB2B90">
    <w:pPr>
      <w:tabs>
        <w:tab w:val="center" w:pos="4680"/>
      </w:tabs>
    </w:pPr>
    <w:r>
      <w:pict>
        <v:rect id="_x0000_i1076" style="width:480.95pt;height:1pt" o:hralign="center" o:hrstd="t" o:hrnoshade="t" o:hr="t" fillcolor="black [3213]" stroked="f"/>
      </w:pict>
    </w:r>
  </w:p>
  <w:p w:rsidR="006A6EF8" w:rsidRPr="0031432F" w:rsidRDefault="006A6EF8" w:rsidP="00EB2B90">
    <w:pPr>
      <w:tabs>
        <w:tab w:val="center" w:pos="4680"/>
      </w:tabs>
    </w:pPr>
    <w:r>
      <w:tab/>
      <w:t xml:space="preserve">- </w:t>
    </w:r>
    <w:r w:rsidR="00D229C1">
      <w:fldChar w:fldCharType="begin"/>
    </w:r>
    <w:r w:rsidR="00D229C1">
      <w:instrText xml:space="preserve"> PAGE   \* MERGEFORMAT </w:instrText>
    </w:r>
    <w:r w:rsidR="00D229C1">
      <w:fldChar w:fldCharType="separate"/>
    </w:r>
    <w:r w:rsidR="00D229C1">
      <w:rPr>
        <w:noProof/>
      </w:rPr>
      <w:t>875</w:t>
    </w:r>
    <w:r w:rsidR="00D229C1">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F8" w:rsidRDefault="006A6E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A6EF8" w:rsidRDefault="006A6E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A6EF8" w:rsidRDefault="006A6EF8">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F8" w:rsidRDefault="005B3B50" w:rsidP="00732DB7">
    <w:r>
      <w:pict>
        <v:rect id="_x0000_i1079" style="width:480.95pt;height:1pt" o:hralign="center" o:hrstd="t" o:hrnoshade="t" o:hr="t" fillcolor="black" stroked="f"/>
      </w:pict>
    </w:r>
  </w:p>
  <w:p w:rsidR="006A6EF8" w:rsidRDefault="006A6EF8">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F8" w:rsidRDefault="005B3B50">
    <w:pPr>
      <w:pStyle w:val="Footer"/>
    </w:pPr>
    <w:r>
      <w:pict>
        <v:rect id="_x0000_i1080" style="width:480.95pt;height:1pt" o:hralign="center" o:hrstd="t" o:hrnoshade="t" o:hr="t" fillcolor="black" stroked="f"/>
      </w:pict>
    </w:r>
  </w:p>
  <w:p w:rsidR="006A6EF8" w:rsidRPr="00283C52" w:rsidRDefault="006A6EF8">
    <w:pPr>
      <w:pStyle w:val="Footer"/>
    </w:pPr>
    <w:r>
      <w:tab/>
    </w:r>
    <w:r w:rsidRPr="00283C52">
      <w:t xml:space="preserve">- </w:t>
    </w:r>
    <w:r w:rsidRPr="00283C52">
      <w:pgNum/>
    </w:r>
    <w:r w:rsidRPr="00283C5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F8" w:rsidRDefault="006A6EF8">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F8" w:rsidRDefault="006A6E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A6EF8" w:rsidRDefault="006A6E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A6EF8" w:rsidRDefault="006A6EF8">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F8" w:rsidRDefault="005B3B50" w:rsidP="00732DB7">
    <w:r>
      <w:pict>
        <v:rect id="_x0000_i1083" style="width:480.95pt;height:1pt" o:hralign="center" o:hrstd="t" o:hrnoshade="t" o:hr="t" fillcolor="black" stroked="f"/>
      </w:pict>
    </w:r>
  </w:p>
  <w:p w:rsidR="006A6EF8" w:rsidRDefault="006A6EF8">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F8" w:rsidRDefault="005B3B50">
    <w:pPr>
      <w:pStyle w:val="Footer"/>
    </w:pPr>
    <w:r>
      <w:pict>
        <v:rect id="_x0000_i1084" style="width:480.95pt;height:1pt" o:hralign="center" o:hrstd="t" o:hrnoshade="t" o:hr="t" fillcolor="black [3213]" stroked="f"/>
      </w:pict>
    </w:r>
  </w:p>
  <w:p w:rsidR="006A6EF8" w:rsidRPr="003C2C0F" w:rsidRDefault="006A6EF8" w:rsidP="00697C62">
    <w:pPr>
      <w:tabs>
        <w:tab w:val="center" w:pos="4680"/>
      </w:tabs>
    </w:pPr>
    <w:r>
      <w:tab/>
      <w:t xml:space="preserve">- </w:t>
    </w:r>
    <w:r w:rsidR="00D229C1">
      <w:fldChar w:fldCharType="begin"/>
    </w:r>
    <w:r w:rsidR="00D229C1">
      <w:instrText xml:space="preserve"> PAGE   \* MERGEFORMAT </w:instrText>
    </w:r>
    <w:r w:rsidR="00D229C1">
      <w:fldChar w:fldCharType="separate"/>
    </w:r>
    <w:r w:rsidR="00D229C1">
      <w:rPr>
        <w:noProof/>
      </w:rPr>
      <w:t>885</w:t>
    </w:r>
    <w:r w:rsidR="00D229C1">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F8" w:rsidRDefault="006A6E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A6EF8" w:rsidRDefault="006A6E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A6EF8" w:rsidRDefault="006A6EF8">
    <w:pPr>
      <w:tabs>
        <w:tab w:val="center" w:pos="4740"/>
      </w:tabs>
    </w:pPr>
    <w:r>
      <w:tab/>
      <w:t xml:space="preserve">- </w:t>
    </w:r>
    <w:r>
      <w:pgNum/>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F8" w:rsidRDefault="006A6E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A6EF8" w:rsidRDefault="005B3B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9" style="width:480.95pt;height:1pt" o:hralign="center" o:hrstd="t" o:hrnoshade="t" o:hr="t" fillcolor="black [3213]" stroked="f"/>
      </w:pict>
    </w:r>
  </w:p>
  <w:p w:rsidR="006A6EF8" w:rsidRDefault="006A6EF8" w:rsidP="00782AE4">
    <w:pPr>
      <w:tabs>
        <w:tab w:val="center" w:pos="4680"/>
      </w:tabs>
    </w:pPr>
    <w:r>
      <w:tab/>
      <w:t xml:space="preserve">- </w:t>
    </w:r>
    <w:r w:rsidR="00B158EB" w:rsidRPr="001775C1">
      <w:rPr>
        <w:szCs w:val="24"/>
      </w:rPr>
      <w:fldChar w:fldCharType="begin"/>
    </w:r>
    <w:r w:rsidRPr="001775C1">
      <w:rPr>
        <w:szCs w:val="24"/>
      </w:rPr>
      <w:instrText xml:space="preserve"> PAGE   \* MERGEFORMAT </w:instrText>
    </w:r>
    <w:r w:rsidR="00B158EB" w:rsidRPr="001775C1">
      <w:rPr>
        <w:szCs w:val="24"/>
      </w:rPr>
      <w:fldChar w:fldCharType="separate"/>
    </w:r>
    <w:r w:rsidR="00D229C1">
      <w:rPr>
        <w:noProof/>
        <w:szCs w:val="24"/>
      </w:rPr>
      <w:t>899</w:t>
    </w:r>
    <w:r w:rsidR="00B158EB" w:rsidRPr="001775C1">
      <w:rPr>
        <w:szCs w:val="24"/>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F8" w:rsidRDefault="005B3B50" w:rsidP="00782AE4">
    <w:pPr>
      <w:tabs>
        <w:tab w:val="center" w:pos="4680"/>
      </w:tabs>
    </w:pPr>
    <w:r>
      <w:pict>
        <v:rect id="_x0000_i1090" style="width:480.95pt;height:1pt" o:hralign="center" o:hrstd="t" o:hrnoshade="t" o:hr="t" fillcolor="black [3213]" stroked="f"/>
      </w:pict>
    </w:r>
  </w:p>
  <w:p w:rsidR="006A6EF8" w:rsidRDefault="006A6EF8" w:rsidP="00782AE4">
    <w:pPr>
      <w:tabs>
        <w:tab w:val="center" w:pos="4680"/>
      </w:tabs>
    </w:pPr>
    <w:r>
      <w:tab/>
      <w:t xml:space="preserve">- </w:t>
    </w:r>
    <w:r w:rsidR="00B158EB" w:rsidRPr="001775C1">
      <w:rPr>
        <w:szCs w:val="24"/>
      </w:rPr>
      <w:fldChar w:fldCharType="begin"/>
    </w:r>
    <w:r w:rsidRPr="001775C1">
      <w:rPr>
        <w:szCs w:val="24"/>
      </w:rPr>
      <w:instrText xml:space="preserve"> PAGE   \* MERGEFORMAT </w:instrText>
    </w:r>
    <w:r w:rsidR="00B158EB" w:rsidRPr="001775C1">
      <w:rPr>
        <w:szCs w:val="24"/>
      </w:rPr>
      <w:fldChar w:fldCharType="separate"/>
    </w:r>
    <w:r w:rsidR="00D229C1">
      <w:rPr>
        <w:noProof/>
        <w:szCs w:val="24"/>
      </w:rPr>
      <w:t>886</w:t>
    </w:r>
    <w:r w:rsidR="00B158EB" w:rsidRPr="001775C1">
      <w:rPr>
        <w:szCs w:val="24"/>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F8" w:rsidRPr="00924065" w:rsidRDefault="006A6EF8"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F8" w:rsidRDefault="006A6EF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F8" w:rsidRDefault="005B3B50" w:rsidP="00A87207">
    <w:pPr>
      <w:pStyle w:val="Footer"/>
    </w:pPr>
    <w:r>
      <w:pict>
        <v:rect id="_x0000_i1039" style="width:480.95pt;height:1pt" o:hralign="center" o:hrstd="t" o:hrnoshade="t" o:hr="t" fillcolor="black [3213]" stroked="f"/>
      </w:pict>
    </w:r>
  </w:p>
  <w:p w:rsidR="006A6EF8" w:rsidRPr="00B7374B" w:rsidRDefault="006A6EF8" w:rsidP="00B7374B">
    <w:pPr>
      <w:tabs>
        <w:tab w:val="center" w:pos="4680"/>
      </w:tabs>
      <w:rPr>
        <w:szCs w:val="24"/>
      </w:rPr>
    </w:pPr>
    <w:r w:rsidRPr="00954D22">
      <w:rPr>
        <w:szCs w:val="24"/>
      </w:rPr>
      <w:tab/>
      <w:t xml:space="preserve">- </w:t>
    </w:r>
    <w:r w:rsidR="00B158EB" w:rsidRPr="00954D22">
      <w:rPr>
        <w:szCs w:val="24"/>
      </w:rPr>
      <w:fldChar w:fldCharType="begin"/>
    </w:r>
    <w:r w:rsidRPr="00954D22">
      <w:rPr>
        <w:szCs w:val="24"/>
      </w:rPr>
      <w:instrText xml:space="preserve"> PAGE   \* MERGEFORMAT </w:instrText>
    </w:r>
    <w:r w:rsidR="00B158EB" w:rsidRPr="00954D22">
      <w:rPr>
        <w:szCs w:val="24"/>
      </w:rPr>
      <w:fldChar w:fldCharType="separate"/>
    </w:r>
    <w:r w:rsidR="005B3B50">
      <w:rPr>
        <w:noProof/>
        <w:szCs w:val="24"/>
      </w:rPr>
      <w:t>848</w:t>
    </w:r>
    <w:r w:rsidR="00B158EB"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F8" w:rsidRDefault="005B3B50" w:rsidP="00755F22">
    <w:pPr>
      <w:tabs>
        <w:tab w:val="left" w:pos="-1440"/>
        <w:tab w:val="left" w:pos="-720"/>
      </w:tabs>
    </w:pPr>
    <w:r>
      <w:pict>
        <v:rect id="_x0000_i1040" style="width:480.95pt;height:1pt" o:hralign="center" o:hrstd="t" o:hrnoshade="t" o:hr="t" fillcolor="black [3213]" stroked="f"/>
      </w:pict>
    </w:r>
  </w:p>
  <w:p w:rsidR="006A6EF8" w:rsidRPr="00954D22" w:rsidRDefault="006A6EF8" w:rsidP="00B7374B">
    <w:pPr>
      <w:tabs>
        <w:tab w:val="center" w:pos="4680"/>
      </w:tabs>
      <w:rPr>
        <w:szCs w:val="24"/>
      </w:rPr>
    </w:pPr>
    <w:r w:rsidRPr="00954D22">
      <w:rPr>
        <w:szCs w:val="24"/>
      </w:rPr>
      <w:tab/>
      <w:t xml:space="preserve">- </w:t>
    </w:r>
    <w:r>
      <w:rPr>
        <w:szCs w:val="24"/>
      </w:rPr>
      <w:t>847</w:t>
    </w:r>
    <w:r w:rsidRPr="00954D22">
      <w:rPr>
        <w:szCs w:val="24"/>
      </w:rPr>
      <w:t xml:space="preserve"> -</w:t>
    </w:r>
  </w:p>
  <w:p w:rsidR="006A6EF8" w:rsidRDefault="006A6EF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F8" w:rsidRDefault="005B3B50" w:rsidP="00A87207">
    <w:pPr>
      <w:pStyle w:val="Footer"/>
    </w:pPr>
    <w:r>
      <w:pict>
        <v:rect id="_x0000_i1042" style="width:480.95pt;height:1pt" o:hralign="center" o:hrstd="t" o:hrnoshade="t" o:hr="t" fillcolor="black [3213]" stroked="f"/>
      </w:pict>
    </w:r>
  </w:p>
  <w:p w:rsidR="006A6EF8" w:rsidRPr="00B7374B" w:rsidRDefault="006A6EF8" w:rsidP="00B7374B">
    <w:pPr>
      <w:tabs>
        <w:tab w:val="center" w:pos="4680"/>
      </w:tabs>
      <w:rPr>
        <w:szCs w:val="24"/>
      </w:rPr>
    </w:pPr>
    <w:r w:rsidRPr="00954D22">
      <w:rPr>
        <w:szCs w:val="24"/>
      </w:rPr>
      <w:tab/>
      <w:t xml:space="preserve">- </w:t>
    </w:r>
    <w:r w:rsidR="00B158EB" w:rsidRPr="00954D22">
      <w:rPr>
        <w:szCs w:val="24"/>
      </w:rPr>
      <w:fldChar w:fldCharType="begin"/>
    </w:r>
    <w:r w:rsidRPr="00954D22">
      <w:rPr>
        <w:szCs w:val="24"/>
      </w:rPr>
      <w:instrText xml:space="preserve"> PAGE   \* MERGEFORMAT </w:instrText>
    </w:r>
    <w:r w:rsidR="00B158EB" w:rsidRPr="00954D22">
      <w:rPr>
        <w:szCs w:val="24"/>
      </w:rPr>
      <w:fldChar w:fldCharType="separate"/>
    </w:r>
    <w:r>
      <w:rPr>
        <w:noProof/>
        <w:szCs w:val="24"/>
      </w:rPr>
      <w:t>503</w:t>
    </w:r>
    <w:r w:rsidR="00B158EB"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F8" w:rsidRDefault="005B3B50"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3" style="width:480.95pt;height:1pt" o:hralign="center" o:hrstd="t" o:hrnoshade="t" o:hr="t" fillcolor="black [3213]" stroked="f"/>
      </w:pict>
    </w:r>
  </w:p>
  <w:p w:rsidR="006A6EF8" w:rsidRPr="00954D22" w:rsidRDefault="006A6EF8" w:rsidP="00B7374B">
    <w:pPr>
      <w:tabs>
        <w:tab w:val="center" w:pos="4680"/>
      </w:tabs>
      <w:rPr>
        <w:szCs w:val="24"/>
      </w:rPr>
    </w:pPr>
    <w:r w:rsidRPr="00954D22">
      <w:rPr>
        <w:szCs w:val="24"/>
      </w:rPr>
      <w:tab/>
      <w:t xml:space="preserve">- </w:t>
    </w:r>
    <w:r w:rsidR="00B158EB" w:rsidRPr="00954D22">
      <w:rPr>
        <w:szCs w:val="24"/>
      </w:rPr>
      <w:fldChar w:fldCharType="begin"/>
    </w:r>
    <w:r w:rsidRPr="00954D22">
      <w:rPr>
        <w:szCs w:val="24"/>
      </w:rPr>
      <w:instrText xml:space="preserve"> PAGE   \* MERGEFORMAT </w:instrText>
    </w:r>
    <w:r w:rsidR="00B158EB" w:rsidRPr="00954D22">
      <w:rPr>
        <w:szCs w:val="24"/>
      </w:rPr>
      <w:fldChar w:fldCharType="separate"/>
    </w:r>
    <w:r w:rsidR="005B3B50">
      <w:rPr>
        <w:noProof/>
        <w:szCs w:val="24"/>
      </w:rPr>
      <w:t>849</w:t>
    </w:r>
    <w:r w:rsidR="00B158EB"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F8" w:rsidRDefault="006A6EF8">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pPr>
  </w:p>
  <w:p w:rsidR="006A6EF8" w:rsidRDefault="006A6EF8">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pPr>
  </w:p>
  <w:p w:rsidR="006A6EF8" w:rsidRDefault="006A6EF8">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F8" w:rsidRDefault="006A6EF8">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pPr>
  </w:p>
  <w:p w:rsidR="006A6EF8" w:rsidRDefault="005B3B50">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pPr>
    <w:r>
      <w:pict>
        <v:rect id="_x0000_i1045" style="width:480.95pt;height:1pt" o:hralign="center" o:hrstd="t" o:hrnoshade="t" o:hr="t" fillcolor="black [3213]" stroked="f"/>
      </w:pict>
    </w:r>
  </w:p>
  <w:p w:rsidR="006A6EF8" w:rsidRDefault="006A6EF8" w:rsidP="00432989">
    <w:pPr>
      <w:tabs>
        <w:tab w:val="center" w:pos="4680"/>
      </w:tabs>
    </w:pPr>
    <w:r>
      <w:tab/>
      <w:t xml:space="preserve">- </w:t>
    </w:r>
    <w:r w:rsidR="00D229C1">
      <w:fldChar w:fldCharType="begin"/>
    </w:r>
    <w:r w:rsidR="00D229C1">
      <w:instrText xml:space="preserve"> PAGE   \* MERGEFORMAT </w:instrText>
    </w:r>
    <w:r w:rsidR="00D229C1">
      <w:fldChar w:fldCharType="separate"/>
    </w:r>
    <w:r>
      <w:rPr>
        <w:noProof/>
      </w:rPr>
      <w:t>508</w:t>
    </w:r>
    <w:r w:rsidR="00D229C1">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EF8" w:rsidRDefault="006A6EF8" w:rsidP="00A87207">
      <w:r>
        <w:separator/>
      </w:r>
    </w:p>
  </w:footnote>
  <w:footnote w:type="continuationSeparator" w:id="0">
    <w:p w:rsidR="006A6EF8" w:rsidRDefault="006A6EF8"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F8" w:rsidRDefault="006A6EF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F8" w:rsidRDefault="006A6EF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A6EF8" w:rsidRPr="002A1430">
      <w:tc>
        <w:tcPr>
          <w:tcW w:w="4200" w:type="dxa"/>
          <w:tcMar>
            <w:left w:w="0" w:type="dxa"/>
            <w:right w:w="0" w:type="dxa"/>
          </w:tcMar>
        </w:tcPr>
        <w:p w:rsidR="006A6EF8" w:rsidRDefault="006A6E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6A6EF8" w:rsidRDefault="006A6E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6A6EF8" w:rsidRDefault="006A6EF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A6EF8" w:rsidRPr="00FF6BA5" w:rsidRDefault="006A6EF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6A6EF8" w:rsidRPr="00FF6BA5" w:rsidRDefault="006A6E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6A6EF8" w:rsidRPr="00FF6BA5" w:rsidRDefault="006A6E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6A6EF8" w:rsidRPr="00FF6BA5" w:rsidRDefault="006A6E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A6EF8" w:rsidRPr="002A1430" w:rsidTr="00245129">
      <w:tc>
        <w:tcPr>
          <w:tcW w:w="4200" w:type="dxa"/>
          <w:tcMar>
            <w:left w:w="0" w:type="dxa"/>
            <w:right w:w="0" w:type="dxa"/>
          </w:tcMar>
        </w:tcPr>
        <w:p w:rsidR="006A6EF8" w:rsidRPr="00755F22" w:rsidRDefault="006A6E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6A6EF8" w:rsidRPr="00755F22" w:rsidRDefault="006A6E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6A6EF8" w:rsidRPr="00755F22" w:rsidRDefault="006A6EF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A6EF8" w:rsidRPr="00755F22" w:rsidRDefault="006A6EF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A6EF8" w:rsidRPr="00755F22" w:rsidRDefault="006A6EF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6A6EF8" w:rsidRPr="00755F22" w:rsidRDefault="006A6EF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6A6EF8" w:rsidRPr="00FF6BA5" w:rsidRDefault="006A6EF8" w:rsidP="00755F22">
    <w:pPr>
      <w:tabs>
        <w:tab w:val="left" w:pos="-1440"/>
        <w:tab w:val="left" w:pos="-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F8" w:rsidRDefault="006A6EF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6A6EF8">
      <w:tc>
        <w:tcPr>
          <w:tcW w:w="4230" w:type="dxa"/>
          <w:tcMar>
            <w:left w:w="0" w:type="dxa"/>
            <w:right w:w="0" w:type="dxa"/>
          </w:tcMar>
        </w:tcPr>
        <w:p w:rsidR="006A6EF8" w:rsidRDefault="006A6E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6A6EF8" w:rsidRDefault="006A6EF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A6EF8" w:rsidRDefault="006A6EF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6A6EF8">
      <w:trPr>
        <w:gridAfter w:val="2"/>
        <w:wAfter w:w="5250" w:type="dxa"/>
      </w:trPr>
      <w:tc>
        <w:tcPr>
          <w:tcW w:w="4230" w:type="dxa"/>
          <w:tcMar>
            <w:left w:w="0" w:type="dxa"/>
            <w:right w:w="0" w:type="dxa"/>
          </w:tcMar>
        </w:tcPr>
        <w:p w:rsidR="006A6EF8" w:rsidRDefault="006A6E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A6EF8" w:rsidRDefault="006A6E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6A6EF8" w:rsidRPr="00755F22" w:rsidTr="00245129">
      <w:tc>
        <w:tcPr>
          <w:tcW w:w="4230" w:type="dxa"/>
          <w:tcMar>
            <w:left w:w="0" w:type="dxa"/>
            <w:right w:w="0" w:type="dxa"/>
          </w:tcMar>
        </w:tcPr>
        <w:p w:rsidR="006A6EF8" w:rsidRPr="00755F22" w:rsidRDefault="006A6EF8" w:rsidP="00831CA9">
          <w:pPr>
            <w:keepNext/>
            <w:keepLines/>
            <w:rPr>
              <w:sz w:val="20"/>
              <w:szCs w:val="20"/>
            </w:rPr>
          </w:pPr>
          <w:r w:rsidRPr="00755F22">
            <w:rPr>
              <w:sz w:val="20"/>
              <w:szCs w:val="20"/>
            </w:rPr>
            <w:t>MOTIONS</w:t>
          </w:r>
        </w:p>
      </w:tc>
      <w:tc>
        <w:tcPr>
          <w:tcW w:w="1170" w:type="dxa"/>
          <w:tcMar>
            <w:left w:w="0" w:type="dxa"/>
            <w:right w:w="0" w:type="dxa"/>
          </w:tcMar>
        </w:tcPr>
        <w:p w:rsidR="006A6EF8" w:rsidRPr="00755F22" w:rsidRDefault="006A6EF8" w:rsidP="00831CA9">
          <w:pPr>
            <w:keepLines/>
            <w:jc w:val="center"/>
            <w:rPr>
              <w:sz w:val="20"/>
              <w:szCs w:val="20"/>
            </w:rPr>
          </w:pPr>
        </w:p>
        <w:p w:rsidR="006A6EF8" w:rsidRPr="00755F22" w:rsidRDefault="006A6EF8" w:rsidP="00831CA9">
          <w:pPr>
            <w:keepLines/>
            <w:tabs>
              <w:tab w:val="left" w:pos="-1440"/>
              <w:tab w:val="left" w:pos="-720"/>
            </w:tabs>
            <w:jc w:val="center"/>
            <w:rPr>
              <w:sz w:val="20"/>
              <w:szCs w:val="20"/>
            </w:rPr>
          </w:pPr>
        </w:p>
      </w:tc>
      <w:tc>
        <w:tcPr>
          <w:tcW w:w="4080" w:type="dxa"/>
          <w:tcMar>
            <w:left w:w="0" w:type="dxa"/>
            <w:right w:w="0" w:type="dxa"/>
          </w:tcMar>
        </w:tcPr>
        <w:p w:rsidR="006A6EF8" w:rsidRPr="00BA6468" w:rsidRDefault="006A6EF8" w:rsidP="00BA6468">
          <w:pPr>
            <w:keepLines/>
            <w:rPr>
              <w:sz w:val="20"/>
              <w:szCs w:val="20"/>
              <w:lang w:val="fr-CA"/>
            </w:rPr>
          </w:pPr>
          <w:r w:rsidRPr="00BA6468">
            <w:rPr>
              <w:sz w:val="20"/>
              <w:szCs w:val="20"/>
              <w:lang w:val="fr-CA"/>
            </w:rPr>
            <w:t>REQUÊTES</w:t>
          </w:r>
        </w:p>
      </w:tc>
    </w:tr>
  </w:tbl>
  <w:p w:rsidR="006A6EF8" w:rsidRDefault="006A6EF8" w:rsidP="00831CA9">
    <w:pPr>
      <w:jc w:val="both"/>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F8" w:rsidRDefault="006A6EF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A6EF8" w:rsidRPr="002A1430">
      <w:tc>
        <w:tcPr>
          <w:tcW w:w="4200" w:type="dxa"/>
          <w:tcMar>
            <w:left w:w="0" w:type="dxa"/>
            <w:right w:w="0" w:type="dxa"/>
          </w:tcMar>
        </w:tcPr>
        <w:p w:rsidR="006A6EF8" w:rsidRDefault="006A6E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6A6EF8" w:rsidRDefault="006A6E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A6EF8" w:rsidRPr="00283C52" w:rsidRDefault="006A6EF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6A6EF8" w:rsidRPr="00283C52" w:rsidRDefault="006A6E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6A6EF8" w:rsidRPr="00283C52" w:rsidRDefault="006A6E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A6EF8" w:rsidRPr="002A1430" w:rsidTr="00245129">
      <w:tc>
        <w:tcPr>
          <w:tcW w:w="4200" w:type="dxa"/>
          <w:tcMar>
            <w:left w:w="0" w:type="dxa"/>
            <w:right w:w="0" w:type="dxa"/>
          </w:tcMar>
        </w:tcPr>
        <w:p w:rsidR="006A6EF8" w:rsidRPr="00732DB7" w:rsidRDefault="006A6EF8"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6A6EF8" w:rsidRPr="00732DB7" w:rsidRDefault="006A6EF8" w:rsidP="00732DB7">
          <w:pPr>
            <w:keepNext/>
            <w:keepLines/>
            <w:tabs>
              <w:tab w:val="left" w:pos="-1440"/>
              <w:tab w:val="left" w:pos="-720"/>
            </w:tabs>
            <w:jc w:val="center"/>
            <w:rPr>
              <w:sz w:val="20"/>
              <w:szCs w:val="20"/>
            </w:rPr>
          </w:pPr>
        </w:p>
        <w:p w:rsidR="006A6EF8" w:rsidRPr="00732DB7" w:rsidRDefault="006A6EF8" w:rsidP="00732DB7">
          <w:pPr>
            <w:keepNext/>
            <w:keepLines/>
            <w:tabs>
              <w:tab w:val="left" w:pos="-1440"/>
              <w:tab w:val="left" w:pos="-720"/>
            </w:tabs>
            <w:jc w:val="center"/>
            <w:rPr>
              <w:sz w:val="20"/>
              <w:szCs w:val="20"/>
            </w:rPr>
          </w:pPr>
        </w:p>
        <w:p w:rsidR="006A6EF8" w:rsidRPr="00732DB7" w:rsidRDefault="006A6EF8" w:rsidP="00732DB7">
          <w:pPr>
            <w:keepNext/>
            <w:keepLines/>
            <w:tabs>
              <w:tab w:val="left" w:pos="-1440"/>
              <w:tab w:val="left" w:pos="-720"/>
            </w:tabs>
            <w:jc w:val="center"/>
            <w:rPr>
              <w:sz w:val="20"/>
              <w:szCs w:val="20"/>
            </w:rPr>
          </w:pPr>
        </w:p>
      </w:tc>
      <w:tc>
        <w:tcPr>
          <w:tcW w:w="4080" w:type="dxa"/>
          <w:tcMar>
            <w:left w:w="0" w:type="dxa"/>
            <w:right w:w="0" w:type="dxa"/>
          </w:tcMar>
        </w:tcPr>
        <w:p w:rsidR="006A6EF8" w:rsidRPr="00732DB7" w:rsidRDefault="006A6EF8"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6A6EF8" w:rsidRPr="00283C52" w:rsidRDefault="006A6EF8"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F8" w:rsidRDefault="006A6E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F8" w:rsidRDefault="006A6EF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A6EF8" w:rsidRPr="002A1430">
      <w:tc>
        <w:tcPr>
          <w:tcW w:w="4200" w:type="dxa"/>
          <w:tcMar>
            <w:left w:w="0" w:type="dxa"/>
            <w:right w:w="0" w:type="dxa"/>
          </w:tcMar>
        </w:tcPr>
        <w:p w:rsidR="006A6EF8" w:rsidRDefault="006A6E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6A6EF8" w:rsidRDefault="006A6E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6A6EF8" w:rsidRDefault="006A6E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6A6EF8" w:rsidRPr="003C2C0F" w:rsidRDefault="006A6EF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6A6EF8" w:rsidRPr="003C2C0F" w:rsidRDefault="006A6E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6A6EF8" w:rsidRPr="003C2C0F" w:rsidRDefault="006A6E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A6EF8" w:rsidRPr="002A1430" w:rsidTr="00245129">
      <w:tc>
        <w:tcPr>
          <w:tcW w:w="4200" w:type="dxa"/>
          <w:tcMar>
            <w:left w:w="0" w:type="dxa"/>
            <w:right w:w="0" w:type="dxa"/>
          </w:tcMar>
        </w:tcPr>
        <w:p w:rsidR="006A6EF8" w:rsidRPr="00FF6EEC" w:rsidRDefault="006A6EF8" w:rsidP="00FF6EEC">
          <w:pPr>
            <w:rPr>
              <w:sz w:val="20"/>
              <w:szCs w:val="20"/>
            </w:rPr>
          </w:pPr>
          <w:r w:rsidRPr="00FF6EEC">
            <w:rPr>
              <w:sz w:val="20"/>
              <w:szCs w:val="20"/>
            </w:rPr>
            <w:t>PRONOUNCEMENTS OF APPEALS RESERVED</w:t>
          </w:r>
        </w:p>
      </w:tc>
      <w:tc>
        <w:tcPr>
          <w:tcW w:w="1200" w:type="dxa"/>
          <w:tcMar>
            <w:left w:w="0" w:type="dxa"/>
            <w:right w:w="0" w:type="dxa"/>
          </w:tcMar>
        </w:tcPr>
        <w:p w:rsidR="006A6EF8" w:rsidRPr="00FF6EEC" w:rsidRDefault="006A6EF8" w:rsidP="00FF6EEC">
          <w:pPr>
            <w:jc w:val="center"/>
            <w:rPr>
              <w:sz w:val="20"/>
              <w:szCs w:val="20"/>
            </w:rPr>
          </w:pPr>
        </w:p>
        <w:p w:rsidR="006A6EF8" w:rsidRPr="00FF6EEC" w:rsidRDefault="006A6EF8" w:rsidP="00FF6EEC">
          <w:pPr>
            <w:jc w:val="center"/>
            <w:rPr>
              <w:sz w:val="20"/>
              <w:szCs w:val="20"/>
            </w:rPr>
          </w:pPr>
        </w:p>
        <w:p w:rsidR="006A6EF8" w:rsidRPr="00FF6EEC" w:rsidRDefault="006A6EF8" w:rsidP="00FF6EEC">
          <w:pPr>
            <w:jc w:val="center"/>
            <w:rPr>
              <w:sz w:val="20"/>
              <w:szCs w:val="20"/>
            </w:rPr>
          </w:pPr>
        </w:p>
      </w:tc>
      <w:tc>
        <w:tcPr>
          <w:tcW w:w="4080" w:type="dxa"/>
          <w:tcMar>
            <w:left w:w="0" w:type="dxa"/>
            <w:right w:w="0" w:type="dxa"/>
          </w:tcMar>
        </w:tcPr>
        <w:p w:rsidR="006A6EF8" w:rsidRPr="00FF6EEC" w:rsidRDefault="006A6EF8" w:rsidP="00FF6EEC">
          <w:pPr>
            <w:rPr>
              <w:sz w:val="20"/>
              <w:szCs w:val="20"/>
              <w:lang w:val="fr-CA"/>
            </w:rPr>
          </w:pPr>
          <w:r w:rsidRPr="00FF6EEC">
            <w:rPr>
              <w:sz w:val="20"/>
              <w:szCs w:val="20"/>
              <w:lang w:val="fr-CA"/>
            </w:rPr>
            <w:t>JUGEMENTS RENDUS SUR LES APPELS EN DÉLIBÉRÉ</w:t>
          </w:r>
        </w:p>
      </w:tc>
    </w:tr>
  </w:tbl>
  <w:p w:rsidR="006A6EF8" w:rsidRPr="003C2C0F" w:rsidRDefault="006A6EF8"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F8" w:rsidRDefault="006A6EF8">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6A6EF8">
      <w:tc>
        <w:tcPr>
          <w:tcW w:w="4230" w:type="dxa"/>
          <w:tcMar>
            <w:left w:w="0" w:type="dxa"/>
            <w:right w:w="0" w:type="dxa"/>
          </w:tcMar>
        </w:tcPr>
        <w:p w:rsidR="006A6EF8" w:rsidRDefault="006A6E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6A6EF8" w:rsidRDefault="006A6E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6A6EF8" w:rsidRDefault="006A6E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6A6EF8" w:rsidRDefault="006A6E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A6EF8" w:rsidRDefault="006A6E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6A6EF8" w:rsidRDefault="006A6EF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6A6EF8" w:rsidRDefault="006A6E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A6EF8" w:rsidRDefault="006A6E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6A6EF8" w:rsidRPr="00782AE4" w:rsidTr="00245129">
      <w:tc>
        <w:tcPr>
          <w:tcW w:w="4230" w:type="dxa"/>
          <w:tcMar>
            <w:left w:w="0" w:type="dxa"/>
            <w:right w:w="0" w:type="dxa"/>
          </w:tcMar>
        </w:tcPr>
        <w:p w:rsidR="006A6EF8" w:rsidRPr="00782AE4" w:rsidRDefault="006A6EF8" w:rsidP="00102926">
          <w:pPr>
            <w:keepNext/>
            <w:keepLines/>
            <w:tabs>
              <w:tab w:val="left" w:pos="-1440"/>
              <w:tab w:val="left" w:pos="-720"/>
            </w:tabs>
            <w:rPr>
              <w:sz w:val="20"/>
              <w:szCs w:val="20"/>
            </w:rPr>
          </w:pPr>
          <w:r w:rsidRPr="00782AE4">
            <w:rPr>
              <w:sz w:val="20"/>
              <w:szCs w:val="20"/>
            </w:rPr>
            <w:t xml:space="preserve">HEADNOTES OF RECENT </w:t>
          </w:r>
        </w:p>
        <w:p w:rsidR="006A6EF8" w:rsidRPr="00782AE4" w:rsidRDefault="006A6E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6A6EF8" w:rsidRDefault="006A6EF8" w:rsidP="00102926">
          <w:pPr>
            <w:keepNext/>
            <w:keepLines/>
            <w:tabs>
              <w:tab w:val="left" w:pos="-1440"/>
              <w:tab w:val="left" w:pos="-720"/>
            </w:tabs>
            <w:jc w:val="center"/>
            <w:rPr>
              <w:sz w:val="20"/>
              <w:szCs w:val="20"/>
            </w:rPr>
          </w:pPr>
        </w:p>
        <w:p w:rsidR="006A6EF8" w:rsidRDefault="006A6EF8" w:rsidP="00102926">
          <w:pPr>
            <w:keepNext/>
            <w:keepLines/>
            <w:tabs>
              <w:tab w:val="left" w:pos="-1440"/>
              <w:tab w:val="left" w:pos="-720"/>
            </w:tabs>
            <w:jc w:val="center"/>
            <w:rPr>
              <w:sz w:val="20"/>
              <w:szCs w:val="20"/>
            </w:rPr>
          </w:pPr>
        </w:p>
        <w:p w:rsidR="006A6EF8" w:rsidRPr="00782AE4" w:rsidRDefault="006A6EF8" w:rsidP="00102926">
          <w:pPr>
            <w:keepNext/>
            <w:keepLines/>
            <w:tabs>
              <w:tab w:val="left" w:pos="-1440"/>
              <w:tab w:val="left" w:pos="-720"/>
            </w:tabs>
            <w:jc w:val="center"/>
            <w:rPr>
              <w:sz w:val="20"/>
              <w:szCs w:val="20"/>
            </w:rPr>
          </w:pPr>
        </w:p>
      </w:tc>
      <w:tc>
        <w:tcPr>
          <w:tcW w:w="4080" w:type="dxa"/>
          <w:tcMar>
            <w:left w:w="0" w:type="dxa"/>
            <w:right w:w="0" w:type="dxa"/>
          </w:tcMar>
        </w:tcPr>
        <w:p w:rsidR="006A6EF8" w:rsidRPr="00102926" w:rsidRDefault="006A6E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6A6EF8" w:rsidRPr="00782AE4" w:rsidRDefault="006A6EF8" w:rsidP="00102926">
          <w:pPr>
            <w:keepLines/>
            <w:tabs>
              <w:tab w:val="left" w:pos="-1440"/>
              <w:tab w:val="left" w:pos="-720"/>
            </w:tabs>
            <w:rPr>
              <w:sz w:val="20"/>
              <w:szCs w:val="20"/>
            </w:rPr>
          </w:pPr>
          <w:r w:rsidRPr="00102926">
            <w:rPr>
              <w:sz w:val="20"/>
              <w:szCs w:val="20"/>
              <w:lang w:val="fr-CA"/>
            </w:rPr>
            <w:t>RÉCENTS</w:t>
          </w:r>
        </w:p>
      </w:tc>
    </w:tr>
  </w:tbl>
  <w:p w:rsidR="006A6EF8" w:rsidRDefault="006A6EF8"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F8" w:rsidRDefault="006A6EF8">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F8" w:rsidRDefault="006A6E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F8" w:rsidRDefault="006A6E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6A6EF8" w:rsidRPr="0044776A" w:rsidTr="00245129">
      <w:tc>
        <w:tcPr>
          <w:tcW w:w="4290" w:type="dxa"/>
          <w:tcMar>
            <w:left w:w="0" w:type="dxa"/>
            <w:right w:w="0" w:type="dxa"/>
          </w:tcMar>
        </w:tcPr>
        <w:p w:rsidR="006A6EF8" w:rsidRPr="0044776A" w:rsidRDefault="006A6EF8"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6A6EF8" w:rsidRPr="0044776A" w:rsidRDefault="006A6EF8" w:rsidP="002E2327">
          <w:pPr>
            <w:keepNext/>
            <w:keepLines/>
            <w:tabs>
              <w:tab w:val="left" w:pos="-1440"/>
              <w:tab w:val="left" w:pos="-720"/>
            </w:tabs>
            <w:jc w:val="center"/>
            <w:rPr>
              <w:sz w:val="20"/>
              <w:szCs w:val="20"/>
            </w:rPr>
          </w:pPr>
        </w:p>
        <w:p w:rsidR="006A6EF8" w:rsidRPr="0044776A" w:rsidRDefault="006A6EF8" w:rsidP="002E2327">
          <w:pPr>
            <w:keepNext/>
            <w:keepLines/>
            <w:tabs>
              <w:tab w:val="left" w:pos="-1440"/>
              <w:tab w:val="left" w:pos="-720"/>
            </w:tabs>
            <w:jc w:val="center"/>
            <w:rPr>
              <w:sz w:val="20"/>
              <w:szCs w:val="20"/>
            </w:rPr>
          </w:pPr>
        </w:p>
        <w:p w:rsidR="006A6EF8" w:rsidRPr="0044776A" w:rsidRDefault="006A6EF8" w:rsidP="002E2327">
          <w:pPr>
            <w:keepNext/>
            <w:keepLines/>
            <w:tabs>
              <w:tab w:val="left" w:pos="-1440"/>
              <w:tab w:val="left" w:pos="-720"/>
            </w:tabs>
            <w:jc w:val="center"/>
            <w:rPr>
              <w:sz w:val="20"/>
              <w:szCs w:val="20"/>
            </w:rPr>
          </w:pPr>
        </w:p>
      </w:tc>
      <w:tc>
        <w:tcPr>
          <w:tcW w:w="4320" w:type="dxa"/>
          <w:tcMar>
            <w:left w:w="0" w:type="dxa"/>
            <w:right w:w="0" w:type="dxa"/>
          </w:tcMar>
        </w:tcPr>
        <w:p w:rsidR="006A6EF8" w:rsidRPr="0044776A" w:rsidRDefault="006A6EF8" w:rsidP="002E2327">
          <w:pPr>
            <w:keepLines/>
            <w:rPr>
              <w:sz w:val="20"/>
              <w:szCs w:val="20"/>
              <w:lang w:val="fr-CA"/>
            </w:rPr>
          </w:pPr>
          <w:r w:rsidRPr="0044776A">
            <w:rPr>
              <w:sz w:val="20"/>
              <w:szCs w:val="20"/>
              <w:lang w:val="fr-CA"/>
            </w:rPr>
            <w:t>DEMANDES D'AUTORISATION D'APPEL DÉPOSÉES</w:t>
          </w:r>
        </w:p>
      </w:tc>
    </w:tr>
  </w:tbl>
  <w:p w:rsidR="006A6EF8" w:rsidRDefault="006A6EF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F8" w:rsidRDefault="006A6EF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A6EF8" w:rsidRPr="002A1430" w:rsidTr="00245129">
      <w:tc>
        <w:tcPr>
          <w:tcW w:w="4200" w:type="dxa"/>
          <w:tcMar>
            <w:left w:w="0" w:type="dxa"/>
            <w:right w:w="0" w:type="dxa"/>
          </w:tcMar>
        </w:tcPr>
        <w:p w:rsidR="006A6EF8" w:rsidRPr="0044776A" w:rsidRDefault="006A6EF8" w:rsidP="0044776A">
          <w:pPr>
            <w:keepNext/>
            <w:keepLines/>
            <w:widowControl w:val="0"/>
            <w:rPr>
              <w:sz w:val="20"/>
              <w:szCs w:val="20"/>
            </w:rPr>
          </w:pPr>
          <w:r>
            <w:rPr>
              <w:sz w:val="20"/>
              <w:szCs w:val="20"/>
            </w:rPr>
            <w:t>APPLICATIONS FOR LEAVE</w:t>
          </w:r>
        </w:p>
        <w:p w:rsidR="006A6EF8" w:rsidRPr="0044776A" w:rsidRDefault="006A6EF8"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6A6EF8" w:rsidRPr="0044776A" w:rsidRDefault="006A6EF8" w:rsidP="0044776A">
          <w:pPr>
            <w:keepNext/>
            <w:keepLines/>
            <w:widowControl w:val="0"/>
            <w:jc w:val="center"/>
            <w:rPr>
              <w:sz w:val="20"/>
              <w:szCs w:val="20"/>
            </w:rPr>
          </w:pPr>
        </w:p>
        <w:p w:rsidR="006A6EF8" w:rsidRPr="0044776A" w:rsidRDefault="006A6EF8" w:rsidP="0044776A">
          <w:pPr>
            <w:keepNext/>
            <w:keepLines/>
            <w:widowControl w:val="0"/>
            <w:jc w:val="center"/>
            <w:rPr>
              <w:sz w:val="20"/>
              <w:szCs w:val="20"/>
            </w:rPr>
          </w:pPr>
        </w:p>
        <w:p w:rsidR="006A6EF8" w:rsidRPr="0044776A" w:rsidRDefault="006A6EF8" w:rsidP="0044776A">
          <w:pPr>
            <w:keepNext/>
            <w:keepLines/>
            <w:widowControl w:val="0"/>
            <w:jc w:val="center"/>
            <w:rPr>
              <w:sz w:val="20"/>
              <w:szCs w:val="20"/>
            </w:rPr>
          </w:pPr>
        </w:p>
      </w:tc>
      <w:tc>
        <w:tcPr>
          <w:tcW w:w="4080" w:type="dxa"/>
          <w:tcMar>
            <w:left w:w="0" w:type="dxa"/>
            <w:right w:w="0" w:type="dxa"/>
          </w:tcMar>
        </w:tcPr>
        <w:p w:rsidR="006A6EF8" w:rsidRPr="0044776A" w:rsidRDefault="006A6EF8" w:rsidP="0044776A">
          <w:pPr>
            <w:keepLines/>
            <w:widowControl w:val="0"/>
            <w:rPr>
              <w:sz w:val="20"/>
              <w:szCs w:val="20"/>
              <w:lang w:val="fr-CA"/>
            </w:rPr>
          </w:pPr>
          <w:r w:rsidRPr="0044776A">
            <w:rPr>
              <w:sz w:val="20"/>
              <w:szCs w:val="20"/>
              <w:lang w:val="fr-CA"/>
            </w:rPr>
            <w:t>DEMANDES SOUMISES À LA COUR DEPUIS LA DERNIÈRE PARUTION</w:t>
          </w:r>
        </w:p>
        <w:p w:rsidR="006A6EF8" w:rsidRPr="0044776A" w:rsidRDefault="006A6EF8" w:rsidP="0044776A">
          <w:pPr>
            <w:widowControl w:val="0"/>
            <w:rPr>
              <w:sz w:val="20"/>
              <w:szCs w:val="20"/>
              <w:lang w:val="fr-CA"/>
            </w:rPr>
          </w:pPr>
        </w:p>
      </w:tc>
    </w:tr>
  </w:tbl>
  <w:p w:rsidR="006A6EF8" w:rsidRPr="002E2327" w:rsidRDefault="006A6EF8">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F8" w:rsidRDefault="006A6EF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A6EF8" w:rsidRPr="002A1430">
      <w:tc>
        <w:tcPr>
          <w:tcW w:w="4200" w:type="dxa"/>
          <w:tcMar>
            <w:left w:w="0" w:type="dxa"/>
            <w:right w:w="0" w:type="dxa"/>
          </w:tcMar>
        </w:tcPr>
        <w:p w:rsidR="006A6EF8" w:rsidRDefault="006A6EF8">
          <w:pPr>
            <w:keepNext/>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rPr>
          </w:pPr>
          <w:r>
            <w:rPr>
              <w:rFonts w:ascii="Times New" w:hAnsi="Times New"/>
            </w:rPr>
            <w:t>ORAL HEARING ON APPLICATIONS FOR LEAVE</w:t>
          </w:r>
        </w:p>
      </w:tc>
      <w:tc>
        <w:tcPr>
          <w:tcW w:w="1200" w:type="dxa"/>
          <w:tcMar>
            <w:left w:w="0" w:type="dxa"/>
            <w:right w:w="0" w:type="dxa"/>
          </w:tcMar>
        </w:tcPr>
        <w:p w:rsidR="006A6EF8" w:rsidRDefault="006A6EF8">
          <w:pPr>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rPr>
          </w:pPr>
        </w:p>
      </w:tc>
      <w:tc>
        <w:tcPr>
          <w:tcW w:w="4080" w:type="dxa"/>
          <w:tcMar>
            <w:left w:w="0" w:type="dxa"/>
            <w:right w:w="0" w:type="dxa"/>
          </w:tcMar>
        </w:tcPr>
        <w:p w:rsidR="006A6EF8" w:rsidRPr="008D6812" w:rsidRDefault="006A6EF8">
          <w:pPr>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lang w:val="fr-CA"/>
            </w:rPr>
          </w:pPr>
          <w:r w:rsidRPr="008D6812">
            <w:rPr>
              <w:rFonts w:ascii="Times New" w:hAnsi="Times New"/>
              <w:lang w:val="fr-CA"/>
            </w:rPr>
            <w:t xml:space="preserve">AUDIENCE SUR LES DEMANDES D’AUTORISATION </w:t>
          </w:r>
        </w:p>
      </w:tc>
    </w:tr>
  </w:tbl>
  <w:p w:rsidR="006A6EF8" w:rsidRPr="008D6812" w:rsidRDefault="006A6EF8">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rPr>
        <w:rFonts w:ascii="Times New" w:hAnsi="Times New"/>
        <w:lang w:val="fr-CA"/>
      </w:rPr>
    </w:pPr>
  </w:p>
  <w:p w:rsidR="006A6EF8" w:rsidRPr="008D6812" w:rsidRDefault="006A6EF8">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rPr>
        <w:rFonts w:ascii="Times New" w:hAnsi="Times New"/>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A6EF8" w:rsidRPr="002A1430" w:rsidTr="00245129">
      <w:tc>
        <w:tcPr>
          <w:tcW w:w="4200" w:type="dxa"/>
          <w:tcMar>
            <w:left w:w="0" w:type="dxa"/>
            <w:right w:w="0" w:type="dxa"/>
          </w:tcMar>
        </w:tcPr>
        <w:p w:rsidR="006A6EF8" w:rsidRPr="00755F22" w:rsidRDefault="006A6EF8" w:rsidP="00432989">
          <w:pPr>
            <w:rPr>
              <w:sz w:val="20"/>
              <w:szCs w:val="20"/>
            </w:rPr>
          </w:pPr>
          <w:r w:rsidRPr="00755F22">
            <w:rPr>
              <w:sz w:val="20"/>
              <w:szCs w:val="20"/>
            </w:rPr>
            <w:t>ORAL HEARING ON APPLICATIONS FOR LEAVE</w:t>
          </w:r>
        </w:p>
      </w:tc>
      <w:tc>
        <w:tcPr>
          <w:tcW w:w="1200" w:type="dxa"/>
          <w:tcMar>
            <w:left w:w="0" w:type="dxa"/>
            <w:right w:w="0" w:type="dxa"/>
          </w:tcMar>
        </w:tcPr>
        <w:p w:rsidR="006A6EF8" w:rsidRDefault="006A6EF8" w:rsidP="008D292F">
          <w:pPr>
            <w:jc w:val="center"/>
            <w:rPr>
              <w:sz w:val="20"/>
              <w:szCs w:val="20"/>
            </w:rPr>
          </w:pPr>
        </w:p>
        <w:p w:rsidR="006A6EF8" w:rsidRDefault="006A6EF8" w:rsidP="008D292F">
          <w:pPr>
            <w:jc w:val="center"/>
            <w:rPr>
              <w:sz w:val="20"/>
              <w:szCs w:val="20"/>
            </w:rPr>
          </w:pPr>
        </w:p>
        <w:p w:rsidR="006A6EF8" w:rsidRPr="00755F22" w:rsidRDefault="006A6EF8" w:rsidP="008D292F">
          <w:pPr>
            <w:jc w:val="center"/>
            <w:rPr>
              <w:sz w:val="20"/>
              <w:szCs w:val="20"/>
            </w:rPr>
          </w:pPr>
        </w:p>
      </w:tc>
      <w:tc>
        <w:tcPr>
          <w:tcW w:w="4080" w:type="dxa"/>
          <w:tcMar>
            <w:left w:w="0" w:type="dxa"/>
            <w:right w:w="0" w:type="dxa"/>
          </w:tcMar>
        </w:tcPr>
        <w:p w:rsidR="006A6EF8" w:rsidRPr="00755F22" w:rsidRDefault="006A6EF8" w:rsidP="00432989">
          <w:pPr>
            <w:rPr>
              <w:sz w:val="20"/>
              <w:szCs w:val="20"/>
              <w:lang w:val="fr-CA"/>
            </w:rPr>
          </w:pPr>
          <w:r w:rsidRPr="00755F22">
            <w:rPr>
              <w:sz w:val="20"/>
              <w:szCs w:val="20"/>
              <w:lang w:val="fr-CA"/>
            </w:rPr>
            <w:t xml:space="preserve">AUDIENCE SUR LES DEMANDES D’AUTORISATION </w:t>
          </w:r>
        </w:p>
      </w:tc>
    </w:tr>
  </w:tbl>
  <w:p w:rsidR="006A6EF8" w:rsidRPr="008D6812" w:rsidRDefault="006A6EF8">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rPr>
        <w:rFonts w:ascii="Times New" w:hAnsi="Times New"/>
        <w:lang w:val="fr-CA"/>
      </w:rPr>
    </w:pPr>
  </w:p>
  <w:p w:rsidR="006A6EF8" w:rsidRPr="008D6812" w:rsidRDefault="006A6EF8">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rPr>
        <w:rFonts w:ascii="Times New" w:hAnsi="Times New"/>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6731894"/>
    <w:multiLevelType w:val="hybridMultilevel"/>
    <w:tmpl w:val="450C63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18C0454"/>
    <w:multiLevelType w:val="hybridMultilevel"/>
    <w:tmpl w:val="450C63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89105"/>
  </w:hdrShapeDefaults>
  <w:footnotePr>
    <w:footnote w:id="-1"/>
    <w:footnote w:id="0"/>
  </w:footnotePr>
  <w:endnotePr>
    <w:endnote w:id="-1"/>
    <w:endnote w:id="0"/>
  </w:endnotePr>
  <w:compat>
    <w:compatSetting w:name="compatibilityMode" w:uri="http://schemas.microsoft.com/office/word" w:val="12"/>
  </w:compat>
  <w:rsids>
    <w:rsidRoot w:val="009152FB"/>
    <w:rsid w:val="00003113"/>
    <w:rsid w:val="00020DC3"/>
    <w:rsid w:val="0003223B"/>
    <w:rsid w:val="000327B2"/>
    <w:rsid w:val="0004528B"/>
    <w:rsid w:val="00047D64"/>
    <w:rsid w:val="0005354B"/>
    <w:rsid w:val="00064FBA"/>
    <w:rsid w:val="00073F96"/>
    <w:rsid w:val="00091FA6"/>
    <w:rsid w:val="00096BD9"/>
    <w:rsid w:val="000A1E06"/>
    <w:rsid w:val="000A32EA"/>
    <w:rsid w:val="000B0443"/>
    <w:rsid w:val="000B3C9A"/>
    <w:rsid w:val="000B40A2"/>
    <w:rsid w:val="000B4624"/>
    <w:rsid w:val="000B753B"/>
    <w:rsid w:val="000B7AE2"/>
    <w:rsid w:val="000C0ACD"/>
    <w:rsid w:val="000C0D2A"/>
    <w:rsid w:val="000C5CE8"/>
    <w:rsid w:val="000C79EC"/>
    <w:rsid w:val="000E2959"/>
    <w:rsid w:val="000F0B60"/>
    <w:rsid w:val="00102926"/>
    <w:rsid w:val="0010587F"/>
    <w:rsid w:val="00111C6B"/>
    <w:rsid w:val="0012102B"/>
    <w:rsid w:val="001210F2"/>
    <w:rsid w:val="00131F1F"/>
    <w:rsid w:val="0013369E"/>
    <w:rsid w:val="00151DAD"/>
    <w:rsid w:val="00164E6D"/>
    <w:rsid w:val="001776D5"/>
    <w:rsid w:val="00183454"/>
    <w:rsid w:val="00187D96"/>
    <w:rsid w:val="001A48C6"/>
    <w:rsid w:val="001B157C"/>
    <w:rsid w:val="001B4006"/>
    <w:rsid w:val="001B5C23"/>
    <w:rsid w:val="001D0D5F"/>
    <w:rsid w:val="001D6B8C"/>
    <w:rsid w:val="001F1F83"/>
    <w:rsid w:val="001F40DF"/>
    <w:rsid w:val="001F6B2D"/>
    <w:rsid w:val="002021A9"/>
    <w:rsid w:val="002139A7"/>
    <w:rsid w:val="00215F7C"/>
    <w:rsid w:val="00221489"/>
    <w:rsid w:val="0022323B"/>
    <w:rsid w:val="002410B8"/>
    <w:rsid w:val="00242AEE"/>
    <w:rsid w:val="00245129"/>
    <w:rsid w:val="00245879"/>
    <w:rsid w:val="00260440"/>
    <w:rsid w:val="00264949"/>
    <w:rsid w:val="00267FD5"/>
    <w:rsid w:val="00274D34"/>
    <w:rsid w:val="00276A61"/>
    <w:rsid w:val="00283ED8"/>
    <w:rsid w:val="002868D0"/>
    <w:rsid w:val="002A008C"/>
    <w:rsid w:val="002A1430"/>
    <w:rsid w:val="002A27D1"/>
    <w:rsid w:val="002A4AFA"/>
    <w:rsid w:val="002B516C"/>
    <w:rsid w:val="002D72EB"/>
    <w:rsid w:val="002E2327"/>
    <w:rsid w:val="002E3583"/>
    <w:rsid w:val="002E5576"/>
    <w:rsid w:val="002E784B"/>
    <w:rsid w:val="00331B52"/>
    <w:rsid w:val="003359D3"/>
    <w:rsid w:val="00337251"/>
    <w:rsid w:val="00355967"/>
    <w:rsid w:val="003774A8"/>
    <w:rsid w:val="00382C47"/>
    <w:rsid w:val="00384384"/>
    <w:rsid w:val="003853DC"/>
    <w:rsid w:val="003866AE"/>
    <w:rsid w:val="00393657"/>
    <w:rsid w:val="003B3977"/>
    <w:rsid w:val="003D4661"/>
    <w:rsid w:val="003E1D4C"/>
    <w:rsid w:val="004137A0"/>
    <w:rsid w:val="00422D9A"/>
    <w:rsid w:val="00432989"/>
    <w:rsid w:val="00440E24"/>
    <w:rsid w:val="0044776A"/>
    <w:rsid w:val="00451E50"/>
    <w:rsid w:val="00460AFC"/>
    <w:rsid w:val="00466E3F"/>
    <w:rsid w:val="0047471F"/>
    <w:rsid w:val="00493CC8"/>
    <w:rsid w:val="004A7050"/>
    <w:rsid w:val="004B195E"/>
    <w:rsid w:val="004B66B4"/>
    <w:rsid w:val="004B7F60"/>
    <w:rsid w:val="004C1AAC"/>
    <w:rsid w:val="004C5277"/>
    <w:rsid w:val="004D2720"/>
    <w:rsid w:val="004E1E0A"/>
    <w:rsid w:val="004F0666"/>
    <w:rsid w:val="004F090E"/>
    <w:rsid w:val="00501F3C"/>
    <w:rsid w:val="0052229C"/>
    <w:rsid w:val="00527CC7"/>
    <w:rsid w:val="005451CC"/>
    <w:rsid w:val="00570496"/>
    <w:rsid w:val="00571CA4"/>
    <w:rsid w:val="00582136"/>
    <w:rsid w:val="005B3B50"/>
    <w:rsid w:val="005C6840"/>
    <w:rsid w:val="005D7D6B"/>
    <w:rsid w:val="005F1ED8"/>
    <w:rsid w:val="005F263E"/>
    <w:rsid w:val="00600252"/>
    <w:rsid w:val="00612A40"/>
    <w:rsid w:val="0062714A"/>
    <w:rsid w:val="00627CA4"/>
    <w:rsid w:val="006623D5"/>
    <w:rsid w:val="00675479"/>
    <w:rsid w:val="00680709"/>
    <w:rsid w:val="00681F61"/>
    <w:rsid w:val="00687AF6"/>
    <w:rsid w:val="00696BF9"/>
    <w:rsid w:val="00697C62"/>
    <w:rsid w:val="006A329B"/>
    <w:rsid w:val="006A6EF8"/>
    <w:rsid w:val="006A7EB8"/>
    <w:rsid w:val="006B0EB4"/>
    <w:rsid w:val="006B6926"/>
    <w:rsid w:val="006C2E01"/>
    <w:rsid w:val="006C3F47"/>
    <w:rsid w:val="006C5F7A"/>
    <w:rsid w:val="006E06AF"/>
    <w:rsid w:val="006E75E8"/>
    <w:rsid w:val="006F350F"/>
    <w:rsid w:val="00700535"/>
    <w:rsid w:val="00716FEF"/>
    <w:rsid w:val="00732DB7"/>
    <w:rsid w:val="0074238B"/>
    <w:rsid w:val="00745EF7"/>
    <w:rsid w:val="00751979"/>
    <w:rsid w:val="00755F22"/>
    <w:rsid w:val="00757D85"/>
    <w:rsid w:val="00766E4A"/>
    <w:rsid w:val="007820CE"/>
    <w:rsid w:val="00782AE4"/>
    <w:rsid w:val="0079724F"/>
    <w:rsid w:val="007A3EAE"/>
    <w:rsid w:val="007C04FC"/>
    <w:rsid w:val="007C3DB0"/>
    <w:rsid w:val="007C47C2"/>
    <w:rsid w:val="007D3E0F"/>
    <w:rsid w:val="007E4282"/>
    <w:rsid w:val="007F1C8D"/>
    <w:rsid w:val="007F387B"/>
    <w:rsid w:val="00802863"/>
    <w:rsid w:val="008112A9"/>
    <w:rsid w:val="00815B3C"/>
    <w:rsid w:val="0081610A"/>
    <w:rsid w:val="008237ED"/>
    <w:rsid w:val="0082783A"/>
    <w:rsid w:val="00831CA9"/>
    <w:rsid w:val="008346FD"/>
    <w:rsid w:val="008350CE"/>
    <w:rsid w:val="00850E1F"/>
    <w:rsid w:val="0085476B"/>
    <w:rsid w:val="0086340B"/>
    <w:rsid w:val="0087772A"/>
    <w:rsid w:val="00890FEB"/>
    <w:rsid w:val="00895E7E"/>
    <w:rsid w:val="008A5C1A"/>
    <w:rsid w:val="008D292F"/>
    <w:rsid w:val="008D38D5"/>
    <w:rsid w:val="008E03DC"/>
    <w:rsid w:val="00902E51"/>
    <w:rsid w:val="009152FB"/>
    <w:rsid w:val="00924065"/>
    <w:rsid w:val="00930D68"/>
    <w:rsid w:val="00932DB4"/>
    <w:rsid w:val="00934FDE"/>
    <w:rsid w:val="00935056"/>
    <w:rsid w:val="00941A4B"/>
    <w:rsid w:val="00946242"/>
    <w:rsid w:val="0095096B"/>
    <w:rsid w:val="009619CA"/>
    <w:rsid w:val="00970CD3"/>
    <w:rsid w:val="00971EF1"/>
    <w:rsid w:val="009723FA"/>
    <w:rsid w:val="00984546"/>
    <w:rsid w:val="00996510"/>
    <w:rsid w:val="009A669B"/>
    <w:rsid w:val="009C076D"/>
    <w:rsid w:val="009D1F15"/>
    <w:rsid w:val="009D4314"/>
    <w:rsid w:val="009D555E"/>
    <w:rsid w:val="009D73E2"/>
    <w:rsid w:val="009F3024"/>
    <w:rsid w:val="009F39BA"/>
    <w:rsid w:val="009F5705"/>
    <w:rsid w:val="00A0355E"/>
    <w:rsid w:val="00A23156"/>
    <w:rsid w:val="00A375D1"/>
    <w:rsid w:val="00A51D10"/>
    <w:rsid w:val="00A52A83"/>
    <w:rsid w:val="00A57C74"/>
    <w:rsid w:val="00A6552C"/>
    <w:rsid w:val="00A87207"/>
    <w:rsid w:val="00A935AA"/>
    <w:rsid w:val="00A95003"/>
    <w:rsid w:val="00A956D3"/>
    <w:rsid w:val="00AB21BD"/>
    <w:rsid w:val="00AB2201"/>
    <w:rsid w:val="00AB45AE"/>
    <w:rsid w:val="00AD1D34"/>
    <w:rsid w:val="00AD1F32"/>
    <w:rsid w:val="00AD3259"/>
    <w:rsid w:val="00AF1715"/>
    <w:rsid w:val="00AF3904"/>
    <w:rsid w:val="00AF3CE8"/>
    <w:rsid w:val="00AF66E2"/>
    <w:rsid w:val="00B010C0"/>
    <w:rsid w:val="00B158EB"/>
    <w:rsid w:val="00B4740D"/>
    <w:rsid w:val="00B61629"/>
    <w:rsid w:val="00B66EFD"/>
    <w:rsid w:val="00B7374B"/>
    <w:rsid w:val="00B90DC0"/>
    <w:rsid w:val="00B92ABD"/>
    <w:rsid w:val="00BA116A"/>
    <w:rsid w:val="00BA5582"/>
    <w:rsid w:val="00BA6468"/>
    <w:rsid w:val="00BB1D44"/>
    <w:rsid w:val="00BD06DA"/>
    <w:rsid w:val="00BD4217"/>
    <w:rsid w:val="00BF25F3"/>
    <w:rsid w:val="00C01D87"/>
    <w:rsid w:val="00C03B9B"/>
    <w:rsid w:val="00C1697B"/>
    <w:rsid w:val="00C21644"/>
    <w:rsid w:val="00C21CB5"/>
    <w:rsid w:val="00C46376"/>
    <w:rsid w:val="00C50A5C"/>
    <w:rsid w:val="00C50FDF"/>
    <w:rsid w:val="00C619C3"/>
    <w:rsid w:val="00C6299D"/>
    <w:rsid w:val="00C63381"/>
    <w:rsid w:val="00C73D06"/>
    <w:rsid w:val="00C73E1B"/>
    <w:rsid w:val="00C759B4"/>
    <w:rsid w:val="00C77713"/>
    <w:rsid w:val="00C85BB7"/>
    <w:rsid w:val="00CA2DEA"/>
    <w:rsid w:val="00CB3520"/>
    <w:rsid w:val="00CB43D5"/>
    <w:rsid w:val="00CB6715"/>
    <w:rsid w:val="00CC4D84"/>
    <w:rsid w:val="00CE198A"/>
    <w:rsid w:val="00CF08C8"/>
    <w:rsid w:val="00D004FC"/>
    <w:rsid w:val="00D229C1"/>
    <w:rsid w:val="00D256F7"/>
    <w:rsid w:val="00D27541"/>
    <w:rsid w:val="00D61153"/>
    <w:rsid w:val="00D64901"/>
    <w:rsid w:val="00D76BDF"/>
    <w:rsid w:val="00D818B6"/>
    <w:rsid w:val="00D862C1"/>
    <w:rsid w:val="00D93B50"/>
    <w:rsid w:val="00D94028"/>
    <w:rsid w:val="00D94670"/>
    <w:rsid w:val="00DA46F6"/>
    <w:rsid w:val="00DD0B49"/>
    <w:rsid w:val="00DE0502"/>
    <w:rsid w:val="00DE349D"/>
    <w:rsid w:val="00E02EEE"/>
    <w:rsid w:val="00E06DFA"/>
    <w:rsid w:val="00E20A0A"/>
    <w:rsid w:val="00E240C2"/>
    <w:rsid w:val="00E356C7"/>
    <w:rsid w:val="00E41A5A"/>
    <w:rsid w:val="00E45FE4"/>
    <w:rsid w:val="00E557C5"/>
    <w:rsid w:val="00E60402"/>
    <w:rsid w:val="00E61710"/>
    <w:rsid w:val="00E64FA7"/>
    <w:rsid w:val="00E67534"/>
    <w:rsid w:val="00E770CB"/>
    <w:rsid w:val="00E80298"/>
    <w:rsid w:val="00E903A1"/>
    <w:rsid w:val="00E940EB"/>
    <w:rsid w:val="00E9703F"/>
    <w:rsid w:val="00EB2B90"/>
    <w:rsid w:val="00ED7E83"/>
    <w:rsid w:val="00EE091F"/>
    <w:rsid w:val="00EE6AE9"/>
    <w:rsid w:val="00EF4B63"/>
    <w:rsid w:val="00F0064C"/>
    <w:rsid w:val="00F0068D"/>
    <w:rsid w:val="00F0576D"/>
    <w:rsid w:val="00F10164"/>
    <w:rsid w:val="00F14E6D"/>
    <w:rsid w:val="00F15EA8"/>
    <w:rsid w:val="00F16C8D"/>
    <w:rsid w:val="00F21A22"/>
    <w:rsid w:val="00F26C61"/>
    <w:rsid w:val="00F33CCE"/>
    <w:rsid w:val="00F40249"/>
    <w:rsid w:val="00F43CA8"/>
    <w:rsid w:val="00F526C8"/>
    <w:rsid w:val="00F761A3"/>
    <w:rsid w:val="00F9272D"/>
    <w:rsid w:val="00F9518C"/>
    <w:rsid w:val="00FA316E"/>
    <w:rsid w:val="00FA3373"/>
    <w:rsid w:val="00FA59EF"/>
    <w:rsid w:val="00FB19A2"/>
    <w:rsid w:val="00FB3303"/>
    <w:rsid w:val="00FC5115"/>
    <w:rsid w:val="00FD48C7"/>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9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refix">
    <w:name w:val="SCC.Lsoc.Prefix"/>
    <w:basedOn w:val="Normal"/>
    <w:next w:val="Normal"/>
    <w:link w:val="SCCLsocPrefixChar"/>
    <w:rsid w:val="00971EF1"/>
    <w:rPr>
      <w:rFonts w:eastAsia="Calibri" w:cs="Times New Roman"/>
      <w:b/>
      <w:smallCaps/>
      <w:szCs w:val="24"/>
    </w:rPr>
  </w:style>
  <w:style w:type="character" w:customStyle="1" w:styleId="SCCLsocPrefixChar">
    <w:name w:val="SCC.Lsoc.Prefix Char"/>
    <w:basedOn w:val="DefaultParagraphFont"/>
    <w:link w:val="SCCLsocPrefix"/>
    <w:rsid w:val="00971EF1"/>
    <w:rPr>
      <w:rFonts w:eastAsia="Calibri" w:cs="Times New Roman"/>
      <w:b/>
      <w:smallCaps/>
      <w:szCs w:val="24"/>
      <w:lang w:val="en-CA"/>
    </w:rPr>
  </w:style>
  <w:style w:type="table" w:customStyle="1" w:styleId="TableGrid2">
    <w:name w:val="Table Grid2"/>
    <w:basedOn w:val="TableNormal"/>
    <w:next w:val="TableGrid"/>
    <w:uiPriority w:val="59"/>
    <w:rsid w:val="00CB6715"/>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F0064C"/>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footer" Target="footer6.xml"/><Relationship Id="rId42" Type="http://schemas.openxmlformats.org/officeDocument/2006/relationships/hyperlink" Target="http://canlii.ca/t/gf32d" TargetMode="External"/><Relationship Id="rId47" Type="http://schemas.openxmlformats.org/officeDocument/2006/relationships/hyperlink" Target="http://www.canlii.org/en/on/onca/doc/2014/2014onca801/2014onca801.html" TargetMode="External"/><Relationship Id="rId63" Type="http://schemas.openxmlformats.org/officeDocument/2006/relationships/hyperlink" Target="http://canlii.ca/t/g6mg9" TargetMode="External"/><Relationship Id="rId68" Type="http://schemas.openxmlformats.org/officeDocument/2006/relationships/hyperlink" Target="http://www.canlii.org/en/bc/bcca/doc/2014/2014bcca493/2014bcca493.html?resultIndex=1" TargetMode="External"/><Relationship Id="rId84" Type="http://schemas.openxmlformats.org/officeDocument/2006/relationships/hyperlink" Target="http://www.scc-csc.ca/case-dossier/info/sum-som-eng.aspx?cas=35873" TargetMode="External"/><Relationship Id="rId89" Type="http://schemas.openxmlformats.org/officeDocument/2006/relationships/footer" Target="footer17.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10.xml"/><Relationship Id="rId107" Type="http://schemas.openxmlformats.org/officeDocument/2006/relationships/header" Target="header26.xml"/><Relationship Id="rId11" Type="http://schemas.openxmlformats.org/officeDocument/2006/relationships/header" Target="header2.xml"/><Relationship Id="rId24" Type="http://schemas.openxmlformats.org/officeDocument/2006/relationships/hyperlink" Target="http://www.scc-csc.ca/case-dossier/info/sum-som-eng.aspx?cas=36223" TargetMode="External"/><Relationship Id="rId32" Type="http://schemas.openxmlformats.org/officeDocument/2006/relationships/hyperlink" Target="http://canlii.ca/t/g8zgm" TargetMode="External"/><Relationship Id="rId37" Type="http://schemas.openxmlformats.org/officeDocument/2006/relationships/hyperlink" Target="http://canlii.ca/t/gf167" TargetMode="External"/><Relationship Id="rId40" Type="http://schemas.openxmlformats.org/officeDocument/2006/relationships/hyperlink" Target="http://canlii.ca/t/gds5d" TargetMode="External"/><Relationship Id="rId45" Type="http://schemas.openxmlformats.org/officeDocument/2006/relationships/hyperlink" Target="http://www.canlii.org/en/on/onca/doc/2015/2015onca7/2015onca7.html" TargetMode="External"/><Relationship Id="rId53" Type="http://schemas.openxmlformats.org/officeDocument/2006/relationships/hyperlink" Target="http://canlii.ca/t/fnpx7" TargetMode="External"/><Relationship Id="rId58" Type="http://schemas.openxmlformats.org/officeDocument/2006/relationships/hyperlink" Target="http://www.canlii.org/en/on/onsc/doc/2014/2014onsc1818/2014onsc1818.html?autocompleteStr=2014%20onsc%201818&amp;autocompletePos=1" TargetMode="External"/><Relationship Id="rId66" Type="http://schemas.openxmlformats.org/officeDocument/2006/relationships/hyperlink" Target="http://canlii.ca/t/gfjlz" TargetMode="External"/><Relationship Id="rId74" Type="http://schemas.openxmlformats.org/officeDocument/2006/relationships/footer" Target="footer12.xml"/><Relationship Id="rId79" Type="http://schemas.openxmlformats.org/officeDocument/2006/relationships/footer" Target="footer14.xml"/><Relationship Id="rId87" Type="http://schemas.openxmlformats.org/officeDocument/2006/relationships/header" Target="header17.xml"/><Relationship Id="rId102" Type="http://schemas.openxmlformats.org/officeDocument/2006/relationships/header" Target="header24.xm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canlii.org/en/on/onsc/doc/2014/2014onsc1818/2014onsc1818.html?autocompleteStr=2014%20onsc%201818&amp;autocompletePos=1" TargetMode="External"/><Relationship Id="rId82" Type="http://schemas.openxmlformats.org/officeDocument/2006/relationships/footer" Target="footer16.xml"/><Relationship Id="rId90" Type="http://schemas.openxmlformats.org/officeDocument/2006/relationships/footer" Target="footer18.xml"/><Relationship Id="rId95" Type="http://schemas.openxmlformats.org/officeDocument/2006/relationships/footer" Target="footer20.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yperlink" Target="http://canlii.ca/t/gdrlg" TargetMode="External"/><Relationship Id="rId43" Type="http://schemas.openxmlformats.org/officeDocument/2006/relationships/hyperlink" Target="http://www.canlii.org/en/on/onscdc/doc/2013/2013onsc5808/2013onsc5808.html" TargetMode="External"/><Relationship Id="rId48" Type="http://schemas.openxmlformats.org/officeDocument/2006/relationships/hyperlink" Target="http://www.canlii.org/en/on/onca/doc/2015/2015onca7/2015onca7.html" TargetMode="External"/><Relationship Id="rId56" Type="http://schemas.openxmlformats.org/officeDocument/2006/relationships/hyperlink" Target="http://canlii.ca/t/gf951" TargetMode="External"/><Relationship Id="rId64" Type="http://schemas.openxmlformats.org/officeDocument/2006/relationships/hyperlink" Target="http://canlii.ca/t/gfjlz" TargetMode="External"/><Relationship Id="rId69" Type="http://schemas.openxmlformats.org/officeDocument/2006/relationships/hyperlink" Target="http://canlii.ca/t/gfbjg" TargetMode="External"/><Relationship Id="rId77" Type="http://schemas.openxmlformats.org/officeDocument/2006/relationships/header" Target="header14.xml"/><Relationship Id="rId100" Type="http://schemas.openxmlformats.org/officeDocument/2006/relationships/hyperlink" Target="http://www.scc-csc.ca/case-dossier/info/sum-som-fra.aspx?cas=35626" TargetMode="External"/><Relationship Id="rId105" Type="http://schemas.openxmlformats.org/officeDocument/2006/relationships/header" Target="header25.xml"/><Relationship Id="rId8" Type="http://schemas.openxmlformats.org/officeDocument/2006/relationships/hyperlink" Target="http://www.scc-csc.ca" TargetMode="External"/><Relationship Id="rId51" Type="http://schemas.openxmlformats.org/officeDocument/2006/relationships/hyperlink" Target="http://canlii.ca/t/fxf9c" TargetMode="External"/><Relationship Id="rId72" Type="http://schemas.openxmlformats.org/officeDocument/2006/relationships/header" Target="header12.xml"/><Relationship Id="rId80" Type="http://schemas.openxmlformats.org/officeDocument/2006/relationships/footer" Target="footer15.xml"/><Relationship Id="rId85" Type="http://schemas.openxmlformats.org/officeDocument/2006/relationships/hyperlink" Target="http://www.scc-csc.ca/case-dossier/info/sum-som-fra.aspx?cas=35946" TargetMode="External"/><Relationship Id="rId93" Type="http://schemas.openxmlformats.org/officeDocument/2006/relationships/header" Target="header20.xml"/><Relationship Id="rId98" Type="http://schemas.openxmlformats.org/officeDocument/2006/relationships/footer" Target="footer22.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yperlink" Target="http://canlii.ca/t/fqbv4" TargetMode="External"/><Relationship Id="rId38" Type="http://schemas.openxmlformats.org/officeDocument/2006/relationships/hyperlink" Target="http://canlii.ca/t/gf32d" TargetMode="External"/><Relationship Id="rId46" Type="http://schemas.openxmlformats.org/officeDocument/2006/relationships/hyperlink" Target="http://www.canlii.org/en/on/onscdc/doc/2013/2013onsc5808/2013onsc5808.html" TargetMode="External"/><Relationship Id="rId59" Type="http://schemas.openxmlformats.org/officeDocument/2006/relationships/hyperlink" Target="http://www.canlii.org/en/on/onscdc/doc/2014/2014onsc2960/2014onsc2960.html?autocompleteStr=2014%20ONSC%202960&amp;autocompletePos=1" TargetMode="External"/><Relationship Id="rId67" Type="http://schemas.openxmlformats.org/officeDocument/2006/relationships/hyperlink" Target="http://www.canlii.org/en/bc/bcca/doc/2014/2014bcca493/2014bcca493.html?resultIndex=1" TargetMode="External"/><Relationship Id="rId103" Type="http://schemas.openxmlformats.org/officeDocument/2006/relationships/footer" Target="footer23.xml"/><Relationship Id="rId108" Type="http://schemas.openxmlformats.org/officeDocument/2006/relationships/footer" Target="footer26.xml"/><Relationship Id="rId20" Type="http://schemas.openxmlformats.org/officeDocument/2006/relationships/header" Target="header6.xml"/><Relationship Id="rId41" Type="http://schemas.openxmlformats.org/officeDocument/2006/relationships/hyperlink" Target="http://canlii.ca/t/gf167" TargetMode="External"/><Relationship Id="rId54" Type="http://schemas.openxmlformats.org/officeDocument/2006/relationships/hyperlink" Target="http://canlii.ca/t/fptgm" TargetMode="External"/><Relationship Id="rId62" Type="http://schemas.openxmlformats.org/officeDocument/2006/relationships/hyperlink" Target="http://www.canlii.org/en/on/onscdc/doc/2014/2014onsc2960/2014onsc2960.html?autocompleteStr=2014%20ONSC%202960&amp;autocompletePos=1" TargetMode="External"/><Relationship Id="rId70" Type="http://schemas.openxmlformats.org/officeDocument/2006/relationships/hyperlink" Target="http://canlii.ca/t/gfbjg" TargetMode="External"/><Relationship Id="rId75" Type="http://schemas.openxmlformats.org/officeDocument/2006/relationships/header" Target="header13.xml"/><Relationship Id="rId83" Type="http://schemas.openxmlformats.org/officeDocument/2006/relationships/hyperlink" Target="http://www.scc-csc.ca/case-dossier/info/sum-som-eng.aspx?cas=35755" TargetMode="External"/><Relationship Id="rId88" Type="http://schemas.openxmlformats.org/officeDocument/2006/relationships/header" Target="header18.xml"/><Relationship Id="rId91" Type="http://schemas.openxmlformats.org/officeDocument/2006/relationships/header" Target="header19.xml"/><Relationship Id="rId96"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yperlink" Target="http://canlii.ca/t/gds5d" TargetMode="External"/><Relationship Id="rId49" Type="http://schemas.openxmlformats.org/officeDocument/2006/relationships/hyperlink" Target="http://canlii.ca/t/fnpx7" TargetMode="External"/><Relationship Id="rId57" Type="http://schemas.openxmlformats.org/officeDocument/2006/relationships/hyperlink" Target="http://www.canlii.org/en/on/onhrt/doc/2013/2013hrto597/2013hrto597.html?autocompleteStr=2013%20HRTO%20597&amp;autocompletePos=1" TargetMode="External"/><Relationship Id="rId106" Type="http://schemas.openxmlformats.org/officeDocument/2006/relationships/footer" Target="footer25.xml"/><Relationship Id="rId10" Type="http://schemas.openxmlformats.org/officeDocument/2006/relationships/header" Target="header1.xml"/><Relationship Id="rId31" Type="http://schemas.openxmlformats.org/officeDocument/2006/relationships/hyperlink" Target="http://canlii.ca/t/fqbv4" TargetMode="External"/><Relationship Id="rId44" Type="http://schemas.openxmlformats.org/officeDocument/2006/relationships/hyperlink" Target="http://www.canlii.org/en/on/onca/doc/2014/2014onca801/2014onca801.html" TargetMode="External"/><Relationship Id="rId52" Type="http://schemas.openxmlformats.org/officeDocument/2006/relationships/hyperlink" Target="http://canlii.ca/t/gf951" TargetMode="External"/><Relationship Id="rId60" Type="http://schemas.openxmlformats.org/officeDocument/2006/relationships/hyperlink" Target="http://www.canlii.org/en/on/onhrt/doc/2013/2013hrto597/2013hrto597.html?autocompleteStr=2013%20HRTO%20597&amp;autocompletePos=1" TargetMode="External"/><Relationship Id="rId65" Type="http://schemas.openxmlformats.org/officeDocument/2006/relationships/hyperlink" Target="http://canlii.ca/t/g6mg9" TargetMode="External"/><Relationship Id="rId73" Type="http://schemas.openxmlformats.org/officeDocument/2006/relationships/footer" Target="footer11.xml"/><Relationship Id="rId78" Type="http://schemas.openxmlformats.org/officeDocument/2006/relationships/header" Target="header15.xml"/><Relationship Id="rId81" Type="http://schemas.openxmlformats.org/officeDocument/2006/relationships/header" Target="header16.xml"/><Relationship Id="rId86" Type="http://schemas.openxmlformats.org/officeDocument/2006/relationships/hyperlink" Target="http://www.scc-csc.ca/case-dossier/info/sum-som-eng.aspx?cas=36081" TargetMode="External"/><Relationship Id="rId94" Type="http://schemas.openxmlformats.org/officeDocument/2006/relationships/header" Target="header21.xml"/><Relationship Id="rId99" Type="http://schemas.openxmlformats.org/officeDocument/2006/relationships/hyperlink" Target="http://www.scc-csc.ca/case-dossier/info/sum-som-fra.aspx?cas=35823" TargetMode="External"/><Relationship Id="rId101"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canlii.ca/t/gdrlg" TargetMode="External"/><Relationship Id="rId109" Type="http://schemas.openxmlformats.org/officeDocument/2006/relationships/fontTable" Target="fontTable.xml"/><Relationship Id="rId34" Type="http://schemas.openxmlformats.org/officeDocument/2006/relationships/hyperlink" Target="http://canlii.ca/t/g8zgm" TargetMode="External"/><Relationship Id="rId50" Type="http://schemas.openxmlformats.org/officeDocument/2006/relationships/hyperlink" Target="http://canlii.ca/t/fptgm" TargetMode="External"/><Relationship Id="rId55" Type="http://schemas.openxmlformats.org/officeDocument/2006/relationships/hyperlink" Target="http://canlii.ca/t/fxf9c" TargetMode="External"/><Relationship Id="rId76" Type="http://schemas.openxmlformats.org/officeDocument/2006/relationships/footer" Target="footer13.xml"/><Relationship Id="rId97" Type="http://schemas.openxmlformats.org/officeDocument/2006/relationships/header" Target="header22.xml"/><Relationship Id="rId104" Type="http://schemas.openxmlformats.org/officeDocument/2006/relationships/footer" Target="footer24.xml"/><Relationship Id="rId7" Type="http://schemas.openxmlformats.org/officeDocument/2006/relationships/image" Target="media/image1.wmf"/><Relationship Id="rId71" Type="http://schemas.openxmlformats.org/officeDocument/2006/relationships/header" Target="header11.xml"/><Relationship Id="rId92"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23345</Words>
  <Characters>133072</Characters>
  <Application>Microsoft Office Word</Application>
  <DocSecurity>0</DocSecurity>
  <Lines>1108</Lines>
  <Paragraphs>312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2015-05-11T13:06:00Z</dcterms:created>
  <dcterms:modified xsi:type="dcterms:W3CDTF">2015-11-26T21:49:00Z</dcterms:modified>
</cp:coreProperties>
</file>