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D3FE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D3F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D3FE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D3FE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D3FE1" w:rsidTr="002E5576">
        <w:tc>
          <w:tcPr>
            <w:tcW w:w="4518" w:type="dxa"/>
          </w:tcPr>
          <w:p w:rsidR="00BF25F3" w:rsidRPr="002E2327" w:rsidRDefault="00C1696D"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1696D"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D3FE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D3FE1"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1D3FE1">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1D3FE1">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53E20" w:rsidP="00F0068D">
      <w:pPr>
        <w:pBdr>
          <w:bottom w:val="single" w:sz="6" w:space="1" w:color="auto"/>
        </w:pBdr>
        <w:tabs>
          <w:tab w:val="center" w:pos="4680"/>
          <w:tab w:val="right" w:pos="9360"/>
        </w:tabs>
        <w:rPr>
          <w:lang w:val="fr-CA"/>
        </w:rPr>
      </w:pPr>
      <w:r>
        <w:rPr>
          <w:lang w:val="fr-CA"/>
        </w:rPr>
        <w:t>M</w:t>
      </w:r>
      <w:r w:rsidR="00C73D06">
        <w:rPr>
          <w:lang w:val="fr-CA"/>
        </w:rPr>
        <w:t>ay</w:t>
      </w:r>
      <w:r w:rsidR="00440E24" w:rsidRPr="00675479">
        <w:rPr>
          <w:lang w:val="fr-CA"/>
        </w:rPr>
        <w:t xml:space="preserve"> </w:t>
      </w:r>
      <w:r>
        <w:rPr>
          <w:lang w:val="fr-CA"/>
        </w:rPr>
        <w:t>2</w:t>
      </w:r>
      <w:r w:rsidR="00020DC3">
        <w:rPr>
          <w:lang w:val="fr-CA"/>
        </w:rPr>
        <w:t>9</w:t>
      </w:r>
      <w:r w:rsidR="00440E24" w:rsidRPr="00675479">
        <w:rPr>
          <w:lang w:val="fr-CA"/>
        </w:rPr>
        <w:t>, 201</w:t>
      </w:r>
      <w:r w:rsidR="00020DC3">
        <w:rPr>
          <w:lang w:val="fr-CA"/>
        </w:rPr>
        <w:t>5</w:t>
      </w:r>
      <w:r w:rsidR="00F0068D" w:rsidRPr="00675479">
        <w:rPr>
          <w:lang w:val="fr-CA"/>
        </w:rPr>
        <w:tab/>
      </w:r>
      <w:r w:rsidR="00EA542F">
        <w:rPr>
          <w:lang w:val="fr-CA"/>
        </w:rPr>
        <w:t>939</w:t>
      </w:r>
      <w:r w:rsidR="00F0068D" w:rsidRPr="00675479">
        <w:rPr>
          <w:lang w:val="fr-CA"/>
        </w:rPr>
        <w:t xml:space="preserve"> - </w:t>
      </w:r>
      <w:r w:rsidR="00CF6999">
        <w:rPr>
          <w:lang w:val="fr-CA"/>
        </w:rPr>
        <w:t>970</w:t>
      </w:r>
      <w:r w:rsidR="00440E24" w:rsidRPr="00675479">
        <w:rPr>
          <w:lang w:val="fr-CA"/>
        </w:rPr>
        <w:tab/>
      </w:r>
      <w:r w:rsidR="00440E24" w:rsidRPr="002E2327">
        <w:rPr>
          <w:lang w:val="fr-CA"/>
        </w:rPr>
        <w:t>Le</w:t>
      </w:r>
      <w:r w:rsidR="00C73D06">
        <w:rPr>
          <w:lang w:val="fr-CA"/>
        </w:rPr>
        <w:t xml:space="preserve"> </w:t>
      </w:r>
      <w:r>
        <w:rPr>
          <w:lang w:val="fr-CA"/>
        </w:rPr>
        <w:t>2</w:t>
      </w:r>
      <w:r w:rsidR="00020DC3">
        <w:rPr>
          <w:lang w:val="fr-CA"/>
        </w:rPr>
        <w:t>9</w:t>
      </w:r>
      <w:r w:rsidR="00C73D06">
        <w:rPr>
          <w:lang w:val="fr-CA"/>
        </w:rPr>
        <w:t xml:space="preserve"> </w:t>
      </w:r>
      <w:r>
        <w:rPr>
          <w:lang w:val="fr-CA"/>
        </w:rPr>
        <w:t>m</w:t>
      </w:r>
      <w:r w:rsidR="00440E24" w:rsidRPr="002E2327">
        <w:rPr>
          <w:lang w:val="fr-CA"/>
        </w:rPr>
        <w:t>ai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EA542F" w:rsidRDefault="00440E24" w:rsidP="00440E24">
      <w:pPr>
        <w:pBdr>
          <w:bottom w:val="single" w:sz="6" w:space="1" w:color="auto"/>
        </w:pBdr>
        <w:tabs>
          <w:tab w:val="right" w:pos="9360"/>
        </w:tabs>
        <w:rPr>
          <w:sz w:val="18"/>
          <w:szCs w:val="18"/>
          <w:lang w:val="fr-CA"/>
        </w:rPr>
      </w:pPr>
      <w:r w:rsidRPr="00EA542F">
        <w:rPr>
          <w:sz w:val="18"/>
          <w:szCs w:val="18"/>
          <w:lang w:val="fr-CA"/>
        </w:rPr>
        <w:t>© Supreme Court of Canada (201</w:t>
      </w:r>
      <w:r w:rsidR="00020DC3" w:rsidRPr="00EA542F">
        <w:rPr>
          <w:sz w:val="18"/>
          <w:szCs w:val="18"/>
          <w:lang w:val="fr-CA"/>
        </w:rPr>
        <w:t>5</w:t>
      </w:r>
      <w:r w:rsidRPr="00EA542F">
        <w:rPr>
          <w:sz w:val="18"/>
          <w:szCs w:val="18"/>
          <w:lang w:val="fr-CA"/>
        </w:rPr>
        <w:t>)</w:t>
      </w:r>
      <w:r w:rsidRPr="00EA542F">
        <w:rPr>
          <w:sz w:val="18"/>
          <w:szCs w:val="18"/>
          <w:lang w:val="fr-CA"/>
        </w:rPr>
        <w:tab/>
        <w:t>© Cour suprême du Canada (201</w:t>
      </w:r>
      <w:r w:rsidR="00020DC3" w:rsidRPr="00EA542F">
        <w:rPr>
          <w:sz w:val="18"/>
          <w:szCs w:val="18"/>
          <w:lang w:val="fr-CA"/>
        </w:rPr>
        <w:t>5</w:t>
      </w:r>
      <w:r w:rsidRPr="00EA542F">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CD4176">
            <w:pPr>
              <w:tabs>
                <w:tab w:val="right" w:pos="9360"/>
              </w:tabs>
              <w:rPr>
                <w:rFonts w:cs="Times New Roman"/>
                <w:sz w:val="20"/>
                <w:szCs w:val="20"/>
              </w:rPr>
            </w:pPr>
          </w:p>
        </w:tc>
        <w:tc>
          <w:tcPr>
            <w:tcW w:w="1980" w:type="dxa"/>
          </w:tcPr>
          <w:p w:rsidR="0095096B" w:rsidRPr="002E2327" w:rsidRDefault="00EA542F" w:rsidP="0095096B">
            <w:pPr>
              <w:jc w:val="center"/>
              <w:rPr>
                <w:rFonts w:cs="Times New Roman"/>
                <w:sz w:val="20"/>
                <w:szCs w:val="20"/>
              </w:rPr>
            </w:pPr>
            <w:r>
              <w:rPr>
                <w:rFonts w:cs="Times New Roman"/>
                <w:sz w:val="20"/>
                <w:szCs w:val="20"/>
              </w:rPr>
              <w:t>939</w:t>
            </w:r>
            <w:r w:rsidR="00C1696D" w:rsidRPr="002E2327">
              <w:rPr>
                <w:rFonts w:cs="Times New Roman"/>
                <w:sz w:val="20"/>
                <w:szCs w:val="20"/>
              </w:rPr>
              <w:fldChar w:fldCharType="begin"/>
            </w:r>
            <w:r w:rsidR="0095096B" w:rsidRPr="002E2327">
              <w:rPr>
                <w:rFonts w:cs="Times New Roman"/>
                <w:sz w:val="20"/>
                <w:szCs w:val="20"/>
              </w:rPr>
              <w:instrText xml:space="preserve"> SEQ CHAPTER \h \r 1</w:instrText>
            </w:r>
            <w:r w:rsidR="00C1696D"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C1B48" w:rsidP="0095096B">
            <w:pPr>
              <w:jc w:val="center"/>
              <w:rPr>
                <w:rFonts w:cs="Times New Roman"/>
                <w:sz w:val="20"/>
                <w:szCs w:val="20"/>
              </w:rPr>
            </w:pPr>
            <w:r>
              <w:rPr>
                <w:rFonts w:cs="Times New Roman"/>
                <w:sz w:val="20"/>
                <w:szCs w:val="20"/>
              </w:rPr>
              <w:t>940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176" w:rsidP="0095096B">
            <w:pPr>
              <w:jc w:val="center"/>
              <w:rPr>
                <w:rFonts w:cs="Times New Roman"/>
                <w:sz w:val="20"/>
                <w:szCs w:val="20"/>
              </w:rPr>
            </w:pPr>
            <w:r>
              <w:rPr>
                <w:rFonts w:cs="Times New Roman"/>
                <w:sz w:val="20"/>
                <w:szCs w:val="20"/>
              </w:rPr>
              <w:t xml:space="preserve">941 </w:t>
            </w:r>
            <w:r w:rsidR="0095096B" w:rsidRPr="002E2327">
              <w:rPr>
                <w:rFonts w:cs="Times New Roman"/>
                <w:sz w:val="20"/>
                <w:szCs w:val="20"/>
              </w:rPr>
              <w:t>-</w:t>
            </w:r>
            <w:r w:rsidR="008805B2">
              <w:rPr>
                <w:rFonts w:cs="Times New Roman"/>
                <w:sz w:val="20"/>
                <w:szCs w:val="20"/>
              </w:rPr>
              <w:t xml:space="preserve"> 958</w:t>
            </w:r>
          </w:p>
          <w:p w:rsidR="0095096B" w:rsidRDefault="0095096B" w:rsidP="0095096B">
            <w:pPr>
              <w:jc w:val="center"/>
              <w:rPr>
                <w:rFonts w:cs="Times New Roman"/>
                <w:sz w:val="20"/>
                <w:szCs w:val="20"/>
              </w:rPr>
            </w:pPr>
          </w:p>
          <w:p w:rsidR="008805B2" w:rsidRPr="002E2327" w:rsidRDefault="008805B2" w:rsidP="0095096B">
            <w:pPr>
              <w:jc w:val="center"/>
              <w:rPr>
                <w:rFonts w:cs="Times New Roman"/>
                <w:sz w:val="20"/>
                <w:szCs w:val="20"/>
              </w:rPr>
            </w:pPr>
          </w:p>
          <w:p w:rsidR="0095096B" w:rsidRPr="002E2327" w:rsidRDefault="008805B2" w:rsidP="0095096B">
            <w:pPr>
              <w:jc w:val="center"/>
              <w:rPr>
                <w:rFonts w:cs="Times New Roman"/>
                <w:sz w:val="20"/>
                <w:szCs w:val="20"/>
              </w:rPr>
            </w:pPr>
            <w:r>
              <w:rPr>
                <w:rFonts w:cs="Times New Roman"/>
                <w:sz w:val="20"/>
                <w:szCs w:val="20"/>
              </w:rPr>
              <w:t xml:space="preserve">959 </w:t>
            </w:r>
            <w:r w:rsidR="0095096B" w:rsidRPr="002E2327">
              <w:rPr>
                <w:rFonts w:cs="Times New Roman"/>
                <w:sz w:val="20"/>
                <w:szCs w:val="20"/>
              </w:rPr>
              <w:t>-</w:t>
            </w:r>
            <w:r w:rsidR="00C616F4">
              <w:rPr>
                <w:rFonts w:cs="Times New Roman"/>
                <w:sz w:val="20"/>
                <w:szCs w:val="20"/>
              </w:rPr>
              <w:t xml:space="preserve"> 961</w:t>
            </w:r>
          </w:p>
          <w:p w:rsidR="0095096B" w:rsidRPr="002E2327" w:rsidRDefault="0095096B" w:rsidP="0095096B">
            <w:pPr>
              <w:jc w:val="center"/>
              <w:rPr>
                <w:rFonts w:cs="Times New Roman"/>
                <w:sz w:val="20"/>
                <w:szCs w:val="20"/>
              </w:rPr>
            </w:pPr>
          </w:p>
          <w:p w:rsidR="0095096B" w:rsidRPr="002E2327" w:rsidRDefault="00AB74CB" w:rsidP="0095096B">
            <w:pPr>
              <w:jc w:val="center"/>
              <w:rPr>
                <w:rFonts w:cs="Times New Roman"/>
                <w:sz w:val="20"/>
                <w:szCs w:val="20"/>
              </w:rPr>
            </w:pPr>
            <w:r>
              <w:rPr>
                <w:rFonts w:cs="Times New Roman"/>
                <w:sz w:val="20"/>
                <w:szCs w:val="20"/>
              </w:rPr>
              <w:t>962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6999" w:rsidP="0095096B">
            <w:pPr>
              <w:jc w:val="center"/>
              <w:rPr>
                <w:rFonts w:cs="Times New Roman"/>
                <w:sz w:val="20"/>
                <w:szCs w:val="20"/>
              </w:rPr>
            </w:pPr>
            <w:r>
              <w:rPr>
                <w:rFonts w:cs="Times New Roman"/>
                <w:sz w:val="20"/>
                <w:szCs w:val="20"/>
              </w:rPr>
              <w:t>963</w:t>
            </w:r>
          </w:p>
          <w:p w:rsidR="0095096B" w:rsidRDefault="0095096B" w:rsidP="0095096B">
            <w:pPr>
              <w:jc w:val="center"/>
              <w:rPr>
                <w:rFonts w:cs="Times New Roman"/>
                <w:sz w:val="20"/>
                <w:szCs w:val="20"/>
              </w:rPr>
            </w:pPr>
          </w:p>
          <w:p w:rsidR="008805B2" w:rsidRPr="002E2327" w:rsidRDefault="008805B2" w:rsidP="0095096B">
            <w:pPr>
              <w:jc w:val="center"/>
              <w:rPr>
                <w:rFonts w:cs="Times New Roman"/>
                <w:sz w:val="20"/>
                <w:szCs w:val="20"/>
              </w:rPr>
            </w:pPr>
          </w:p>
          <w:p w:rsidR="0095096B" w:rsidRPr="002E2327" w:rsidRDefault="00CF6999" w:rsidP="0095096B">
            <w:pPr>
              <w:jc w:val="center"/>
              <w:rPr>
                <w:rFonts w:cs="Times New Roman"/>
                <w:sz w:val="20"/>
                <w:szCs w:val="20"/>
              </w:rPr>
            </w:pPr>
            <w:r>
              <w:rPr>
                <w:rFonts w:cs="Times New Roman"/>
                <w:sz w:val="20"/>
                <w:szCs w:val="20"/>
              </w:rPr>
              <w:t xml:space="preserve">964 </w:t>
            </w:r>
            <w:r w:rsidR="0095096B" w:rsidRPr="002E2327">
              <w:rPr>
                <w:rFonts w:cs="Times New Roman"/>
                <w:sz w:val="20"/>
                <w:szCs w:val="20"/>
              </w:rPr>
              <w:t>-</w:t>
            </w:r>
            <w:r>
              <w:rPr>
                <w:rFonts w:cs="Times New Roman"/>
                <w:sz w:val="20"/>
                <w:szCs w:val="20"/>
              </w:rPr>
              <w:t xml:space="preserve"> 970</w:t>
            </w:r>
          </w:p>
          <w:p w:rsidR="00A87207" w:rsidRPr="002E2327" w:rsidRDefault="00A87207" w:rsidP="00CD4176">
            <w:pPr>
              <w:jc w:val="center"/>
              <w:rPr>
                <w:rFonts w:cs="Times New Roman"/>
                <w:sz w:val="20"/>
                <w:szCs w:val="20"/>
              </w:rPr>
            </w:pPr>
          </w:p>
        </w:tc>
        <w:tc>
          <w:tcPr>
            <w:tcW w:w="3888" w:type="dxa"/>
          </w:tcPr>
          <w:p w:rsidR="0095096B" w:rsidRPr="002E2327" w:rsidRDefault="00C1696D"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CD4176">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E369B2" w:rsidRDefault="00E369B2" w:rsidP="0095096B">
      <w:pPr>
        <w:tabs>
          <w:tab w:val="right" w:pos="9360"/>
        </w:tabs>
        <w:rPr>
          <w:sz w:val="20"/>
          <w:szCs w:val="20"/>
        </w:rPr>
      </w:pPr>
    </w:p>
    <w:p w:rsidR="00E369B2" w:rsidRDefault="00E369B2" w:rsidP="0095096B">
      <w:pPr>
        <w:tabs>
          <w:tab w:val="right" w:pos="9360"/>
        </w:tabs>
        <w:rPr>
          <w:sz w:val="20"/>
          <w:szCs w:val="20"/>
        </w:rPr>
      </w:pPr>
    </w:p>
    <w:p w:rsidR="00E369B2" w:rsidRDefault="00E369B2" w:rsidP="0095096B">
      <w:pPr>
        <w:tabs>
          <w:tab w:val="right" w:pos="9360"/>
        </w:tabs>
        <w:rPr>
          <w:sz w:val="20"/>
          <w:szCs w:val="20"/>
        </w:rPr>
      </w:pPr>
    </w:p>
    <w:p w:rsidR="00E369B2" w:rsidRPr="00CC3FC5" w:rsidRDefault="00E369B2"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1D3FE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C2AE0" w:rsidRPr="00C21644" w:rsidTr="003B3977">
        <w:tc>
          <w:tcPr>
            <w:tcW w:w="4320" w:type="dxa"/>
            <w:shd w:val="clear" w:color="auto" w:fill="auto"/>
          </w:tcPr>
          <w:p w:rsidR="005C2AE0" w:rsidRPr="00A935AA" w:rsidRDefault="005C2AE0" w:rsidP="005F1ED8">
            <w:pPr>
              <w:rPr>
                <w:b/>
                <w:sz w:val="20"/>
                <w:szCs w:val="20"/>
              </w:rPr>
            </w:pPr>
            <w:r>
              <w:rPr>
                <w:b/>
                <w:sz w:val="20"/>
                <w:szCs w:val="20"/>
              </w:rPr>
              <w:t>Larry Peter Klippenstein</w:t>
            </w:r>
          </w:p>
          <w:p w:rsidR="005C2AE0" w:rsidRPr="00A935AA" w:rsidRDefault="005C2AE0" w:rsidP="005F1ED8">
            <w:pPr>
              <w:tabs>
                <w:tab w:val="left" w:pos="-1440"/>
                <w:tab w:val="left" w:pos="-720"/>
              </w:tabs>
              <w:rPr>
                <w:sz w:val="20"/>
                <w:szCs w:val="20"/>
              </w:rPr>
            </w:pPr>
            <w:r w:rsidRPr="00A935AA">
              <w:rPr>
                <w:sz w:val="20"/>
                <w:szCs w:val="20"/>
              </w:rPr>
              <w:tab/>
            </w:r>
            <w:r>
              <w:rPr>
                <w:sz w:val="20"/>
                <w:szCs w:val="20"/>
              </w:rPr>
              <w:t xml:space="preserve">Larry Peter Klippenstein </w:t>
            </w:r>
          </w:p>
          <w:p w:rsidR="005C2AE0" w:rsidRPr="00061E7E" w:rsidRDefault="005C2AE0" w:rsidP="005F1ED8">
            <w:pPr>
              <w:tabs>
                <w:tab w:val="left" w:pos="-1440"/>
                <w:tab w:val="left" w:pos="-720"/>
              </w:tabs>
              <w:rPr>
                <w:sz w:val="20"/>
                <w:szCs w:val="20"/>
              </w:rPr>
            </w:pPr>
          </w:p>
          <w:p w:rsidR="005C2AE0" w:rsidRPr="005C2AE0" w:rsidRDefault="005C2AE0" w:rsidP="005F1ED8">
            <w:pPr>
              <w:tabs>
                <w:tab w:val="left" w:pos="-1440"/>
                <w:tab w:val="left" w:pos="-720"/>
              </w:tabs>
              <w:rPr>
                <w:sz w:val="20"/>
                <w:szCs w:val="20"/>
              </w:rPr>
            </w:pPr>
            <w:r w:rsidRPr="00061E7E">
              <w:rPr>
                <w:sz w:val="20"/>
                <w:szCs w:val="20"/>
              </w:rPr>
              <w:tab/>
            </w:r>
            <w:r w:rsidRPr="005C2AE0">
              <w:rPr>
                <w:sz w:val="20"/>
                <w:szCs w:val="20"/>
              </w:rPr>
              <w:t>v. (36406)</w:t>
            </w:r>
          </w:p>
          <w:p w:rsidR="005C2AE0" w:rsidRPr="005C2AE0" w:rsidRDefault="005C2AE0" w:rsidP="005F1ED8">
            <w:pPr>
              <w:tabs>
                <w:tab w:val="left" w:pos="-1440"/>
                <w:tab w:val="left" w:pos="-720"/>
              </w:tabs>
              <w:rPr>
                <w:sz w:val="20"/>
                <w:szCs w:val="20"/>
              </w:rPr>
            </w:pPr>
          </w:p>
          <w:p w:rsidR="005C2AE0" w:rsidRPr="00A935AA" w:rsidRDefault="005C2AE0" w:rsidP="005F1ED8">
            <w:pPr>
              <w:tabs>
                <w:tab w:val="left" w:pos="-1440"/>
                <w:tab w:val="left" w:pos="-720"/>
              </w:tabs>
              <w:rPr>
                <w:b/>
                <w:sz w:val="20"/>
                <w:szCs w:val="20"/>
              </w:rPr>
            </w:pPr>
            <w:r w:rsidRPr="005C2AE0">
              <w:rPr>
                <w:b/>
                <w:sz w:val="20"/>
                <w:szCs w:val="20"/>
              </w:rPr>
              <w:t>Attorney General of Canada</w:t>
            </w:r>
            <w:r w:rsidRPr="005C2AE0">
              <w:rPr>
                <w:sz w:val="20"/>
                <w:szCs w:val="20"/>
              </w:rPr>
              <w:t xml:space="preserve"> </w:t>
            </w:r>
            <w:r w:rsidRPr="00A935AA">
              <w:rPr>
                <w:b/>
                <w:sz w:val="20"/>
                <w:szCs w:val="20"/>
              </w:rPr>
              <w:t>(</w:t>
            </w:r>
            <w:r>
              <w:rPr>
                <w:b/>
                <w:sz w:val="20"/>
                <w:szCs w:val="20"/>
              </w:rPr>
              <w:t>F.C</w:t>
            </w:r>
            <w:r w:rsidRPr="00A935AA">
              <w:rPr>
                <w:b/>
                <w:sz w:val="20"/>
                <w:szCs w:val="20"/>
              </w:rPr>
              <w:t>.)</w:t>
            </w:r>
          </w:p>
          <w:p w:rsidR="005C2AE0" w:rsidRPr="00A935AA" w:rsidRDefault="005C2AE0" w:rsidP="005F1ED8">
            <w:pPr>
              <w:tabs>
                <w:tab w:val="left" w:pos="-1440"/>
                <w:tab w:val="left" w:pos="-720"/>
              </w:tabs>
              <w:rPr>
                <w:sz w:val="20"/>
                <w:szCs w:val="20"/>
              </w:rPr>
            </w:pPr>
            <w:r w:rsidRPr="00A935AA">
              <w:rPr>
                <w:sz w:val="20"/>
                <w:szCs w:val="20"/>
              </w:rPr>
              <w:tab/>
            </w:r>
            <w:r>
              <w:rPr>
                <w:sz w:val="20"/>
                <w:szCs w:val="20"/>
              </w:rPr>
              <w:t>Susan Eros</w:t>
            </w:r>
          </w:p>
          <w:p w:rsidR="005C2AE0" w:rsidRPr="00A935AA" w:rsidRDefault="005C2AE0" w:rsidP="005F1ED8">
            <w:pPr>
              <w:tabs>
                <w:tab w:val="left" w:pos="-1440"/>
                <w:tab w:val="left" w:pos="-720"/>
              </w:tabs>
              <w:rPr>
                <w:sz w:val="20"/>
                <w:szCs w:val="20"/>
              </w:rPr>
            </w:pPr>
            <w:r w:rsidRPr="00A935AA">
              <w:rPr>
                <w:sz w:val="20"/>
                <w:szCs w:val="20"/>
              </w:rPr>
              <w:tab/>
            </w:r>
            <w:r>
              <w:rPr>
                <w:sz w:val="20"/>
                <w:szCs w:val="20"/>
              </w:rPr>
              <w:t>A.G. of Canada</w:t>
            </w:r>
          </w:p>
          <w:p w:rsidR="005C2AE0" w:rsidRPr="00A935AA" w:rsidRDefault="005C2AE0" w:rsidP="005F1ED8">
            <w:pPr>
              <w:tabs>
                <w:tab w:val="left" w:pos="-1440"/>
                <w:tab w:val="left" w:pos="-720"/>
              </w:tabs>
              <w:rPr>
                <w:sz w:val="20"/>
                <w:szCs w:val="20"/>
              </w:rPr>
            </w:pPr>
          </w:p>
          <w:p w:rsidR="005C2AE0" w:rsidRPr="00A935AA" w:rsidRDefault="005C2AE0" w:rsidP="005C2AE0">
            <w:pPr>
              <w:rPr>
                <w:sz w:val="20"/>
                <w:szCs w:val="20"/>
              </w:rPr>
            </w:pPr>
            <w:r w:rsidRPr="00A935AA">
              <w:rPr>
                <w:sz w:val="20"/>
                <w:szCs w:val="20"/>
              </w:rPr>
              <w:t xml:space="preserve">FILING DATE: </w:t>
            </w:r>
            <w:r>
              <w:rPr>
                <w:sz w:val="20"/>
                <w:szCs w:val="20"/>
              </w:rPr>
              <w:t>23</w:t>
            </w:r>
            <w:r w:rsidRPr="00A935AA">
              <w:rPr>
                <w:sz w:val="20"/>
                <w:szCs w:val="20"/>
              </w:rPr>
              <w:t>.</w:t>
            </w:r>
            <w:r>
              <w:rPr>
                <w:sz w:val="20"/>
                <w:szCs w:val="20"/>
              </w:rPr>
              <w:t>04</w:t>
            </w:r>
            <w:r w:rsidRPr="00A935AA">
              <w:rPr>
                <w:sz w:val="20"/>
                <w:szCs w:val="20"/>
              </w:rPr>
              <w:t>.201</w:t>
            </w:r>
            <w:r>
              <w:rPr>
                <w:sz w:val="20"/>
                <w:szCs w:val="20"/>
              </w:rPr>
              <w:t>5</w:t>
            </w:r>
            <w:r w:rsidR="001D3FE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p w:rsidR="005C2AE0" w:rsidRPr="00A935AA" w:rsidRDefault="005C2AE0" w:rsidP="00242AEE">
            <w:pPr>
              <w:jc w:val="center"/>
              <w:rPr>
                <w:sz w:val="20"/>
                <w:szCs w:val="20"/>
              </w:rPr>
            </w:pPr>
          </w:p>
        </w:tc>
        <w:tc>
          <w:tcPr>
            <w:tcW w:w="4320" w:type="dxa"/>
            <w:shd w:val="clear" w:color="auto" w:fill="auto"/>
          </w:tcPr>
          <w:p w:rsidR="005C2AE0" w:rsidRPr="00061E7E" w:rsidRDefault="005C2AE0" w:rsidP="005C2AE0">
            <w:pPr>
              <w:keepNext/>
              <w:keepLines/>
              <w:tabs>
                <w:tab w:val="left" w:pos="-1440"/>
                <w:tab w:val="left" w:pos="-720"/>
              </w:tabs>
              <w:rPr>
                <w:b/>
                <w:sz w:val="20"/>
                <w:szCs w:val="20"/>
              </w:rPr>
            </w:pPr>
            <w:r w:rsidRPr="00061E7E">
              <w:rPr>
                <w:b/>
                <w:sz w:val="20"/>
                <w:szCs w:val="20"/>
              </w:rPr>
              <w:t>Peter Rowe</w:t>
            </w:r>
          </w:p>
          <w:p w:rsidR="005C2AE0" w:rsidRPr="00061E7E" w:rsidRDefault="005C2AE0" w:rsidP="005C2AE0">
            <w:pPr>
              <w:keepNext/>
              <w:keepLines/>
              <w:tabs>
                <w:tab w:val="left" w:pos="-1440"/>
                <w:tab w:val="left" w:pos="-720"/>
              </w:tabs>
              <w:rPr>
                <w:sz w:val="20"/>
                <w:szCs w:val="20"/>
              </w:rPr>
            </w:pPr>
            <w:r w:rsidRPr="00061E7E">
              <w:rPr>
                <w:sz w:val="20"/>
                <w:szCs w:val="20"/>
              </w:rPr>
              <w:tab/>
              <w:t>Peter Rowe</w:t>
            </w:r>
          </w:p>
          <w:p w:rsidR="005C2AE0" w:rsidRPr="00A935AA" w:rsidRDefault="005C2AE0" w:rsidP="005C2AE0">
            <w:pPr>
              <w:keepNext/>
              <w:keepLines/>
              <w:tabs>
                <w:tab w:val="left" w:pos="-1440"/>
                <w:tab w:val="left" w:pos="-720"/>
              </w:tabs>
              <w:rPr>
                <w:sz w:val="20"/>
                <w:szCs w:val="20"/>
              </w:rPr>
            </w:pPr>
          </w:p>
          <w:p w:rsidR="005C2AE0" w:rsidRPr="00A935AA" w:rsidRDefault="005C2AE0" w:rsidP="005C2AE0">
            <w:pPr>
              <w:keepNext/>
              <w:keepLines/>
              <w:tabs>
                <w:tab w:val="left" w:pos="-1440"/>
                <w:tab w:val="left" w:pos="-720"/>
              </w:tabs>
              <w:rPr>
                <w:sz w:val="20"/>
                <w:szCs w:val="20"/>
              </w:rPr>
            </w:pPr>
            <w:r w:rsidRPr="00A935AA">
              <w:rPr>
                <w:sz w:val="20"/>
                <w:szCs w:val="20"/>
              </w:rPr>
              <w:tab/>
              <w:t>v. (3</w:t>
            </w:r>
            <w:r>
              <w:rPr>
                <w:sz w:val="20"/>
                <w:szCs w:val="20"/>
              </w:rPr>
              <w:t>6411</w:t>
            </w:r>
            <w:r w:rsidRPr="00A935AA">
              <w:rPr>
                <w:sz w:val="20"/>
                <w:szCs w:val="20"/>
              </w:rPr>
              <w:t>)</w:t>
            </w:r>
          </w:p>
          <w:p w:rsidR="005C2AE0" w:rsidRPr="00A935AA" w:rsidRDefault="005C2AE0" w:rsidP="005C2AE0">
            <w:pPr>
              <w:keepNext/>
              <w:keepLines/>
              <w:tabs>
                <w:tab w:val="left" w:pos="-1440"/>
                <w:tab w:val="left" w:pos="-720"/>
              </w:tabs>
              <w:rPr>
                <w:sz w:val="20"/>
                <w:szCs w:val="20"/>
              </w:rPr>
            </w:pPr>
          </w:p>
          <w:p w:rsidR="005C2AE0" w:rsidRPr="00A935AA" w:rsidRDefault="005C2AE0" w:rsidP="005C2AE0">
            <w:pPr>
              <w:keepNext/>
              <w:keepLines/>
              <w:tabs>
                <w:tab w:val="left" w:pos="-1440"/>
                <w:tab w:val="left" w:pos="-720"/>
              </w:tabs>
              <w:rPr>
                <w:b/>
                <w:sz w:val="20"/>
                <w:szCs w:val="20"/>
              </w:rPr>
            </w:pPr>
            <w:r>
              <w:rPr>
                <w:b/>
                <w:sz w:val="20"/>
                <w:szCs w:val="20"/>
              </w:rPr>
              <w:t xml:space="preserve">Corporation of the Township of St. Joseph </w:t>
            </w:r>
            <w:r w:rsidRPr="00A935AA">
              <w:rPr>
                <w:b/>
                <w:sz w:val="20"/>
                <w:szCs w:val="20"/>
              </w:rPr>
              <w:t>(</w:t>
            </w:r>
            <w:r>
              <w:rPr>
                <w:b/>
                <w:sz w:val="20"/>
                <w:szCs w:val="20"/>
              </w:rPr>
              <w:t>Ont</w:t>
            </w:r>
            <w:r w:rsidRPr="00A935AA">
              <w:rPr>
                <w:b/>
                <w:sz w:val="20"/>
                <w:szCs w:val="20"/>
              </w:rPr>
              <w:t>.)</w:t>
            </w:r>
          </w:p>
          <w:p w:rsidR="005C2AE0" w:rsidRPr="00A935AA" w:rsidRDefault="005C2AE0" w:rsidP="005C2AE0">
            <w:pPr>
              <w:keepNext/>
              <w:keepLines/>
              <w:tabs>
                <w:tab w:val="left" w:pos="-1440"/>
                <w:tab w:val="left" w:pos="-720"/>
              </w:tabs>
              <w:rPr>
                <w:sz w:val="20"/>
                <w:szCs w:val="20"/>
              </w:rPr>
            </w:pPr>
            <w:r w:rsidRPr="00A935AA">
              <w:rPr>
                <w:sz w:val="20"/>
                <w:szCs w:val="20"/>
              </w:rPr>
              <w:tab/>
            </w:r>
            <w:r>
              <w:rPr>
                <w:sz w:val="20"/>
                <w:szCs w:val="20"/>
              </w:rPr>
              <w:t>Hugh N. MacDonald</w:t>
            </w:r>
          </w:p>
          <w:p w:rsidR="005C2AE0" w:rsidRPr="00A935AA" w:rsidRDefault="005C2AE0" w:rsidP="005C2AE0">
            <w:pPr>
              <w:keepNext/>
              <w:keepLines/>
              <w:tabs>
                <w:tab w:val="left" w:pos="-1440"/>
                <w:tab w:val="left" w:pos="-720"/>
              </w:tabs>
              <w:rPr>
                <w:sz w:val="20"/>
                <w:szCs w:val="20"/>
              </w:rPr>
            </w:pPr>
            <w:r w:rsidRPr="00A935AA">
              <w:rPr>
                <w:sz w:val="20"/>
                <w:szCs w:val="20"/>
              </w:rPr>
              <w:tab/>
            </w:r>
            <w:r>
              <w:rPr>
                <w:sz w:val="20"/>
                <w:szCs w:val="20"/>
              </w:rPr>
              <w:t>Law Office of Hugh N. MacDonald</w:t>
            </w:r>
          </w:p>
          <w:p w:rsidR="005C2AE0" w:rsidRPr="00A935AA" w:rsidRDefault="005C2AE0" w:rsidP="005C2AE0">
            <w:pPr>
              <w:keepNext/>
              <w:keepLines/>
              <w:tabs>
                <w:tab w:val="left" w:pos="-1440"/>
                <w:tab w:val="left" w:pos="-720"/>
              </w:tabs>
              <w:rPr>
                <w:sz w:val="20"/>
                <w:szCs w:val="20"/>
              </w:rPr>
            </w:pPr>
          </w:p>
          <w:p w:rsidR="005C2AE0" w:rsidRPr="00A935AA" w:rsidRDefault="005C2AE0" w:rsidP="005C2AE0">
            <w:pPr>
              <w:rPr>
                <w:sz w:val="20"/>
                <w:szCs w:val="20"/>
              </w:rPr>
            </w:pPr>
            <w:r w:rsidRPr="00A935AA">
              <w:rPr>
                <w:sz w:val="20"/>
                <w:szCs w:val="20"/>
              </w:rPr>
              <w:t>FILING DATE: 2</w:t>
            </w:r>
            <w:r>
              <w:rPr>
                <w:sz w:val="20"/>
                <w:szCs w:val="20"/>
              </w:rPr>
              <w:t>7</w:t>
            </w:r>
            <w:r w:rsidRPr="00A935AA">
              <w:rPr>
                <w:sz w:val="20"/>
                <w:szCs w:val="20"/>
              </w:rPr>
              <w:t>.0</w:t>
            </w:r>
            <w:r>
              <w:rPr>
                <w:sz w:val="20"/>
                <w:szCs w:val="20"/>
              </w:rPr>
              <w:t>4</w:t>
            </w:r>
            <w:r w:rsidRPr="00A935AA">
              <w:rPr>
                <w:sz w:val="20"/>
                <w:szCs w:val="20"/>
              </w:rPr>
              <w:t>.201</w:t>
            </w:r>
            <w:r>
              <w:rPr>
                <w:sz w:val="20"/>
                <w:szCs w:val="20"/>
              </w:rPr>
              <w:t>5</w:t>
            </w:r>
            <w:r w:rsidR="001D3FE1">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5C2AE0" w:rsidRDefault="005C2AE0" w:rsidP="003B3977">
            <w:pPr>
              <w:rPr>
                <w:b/>
                <w:sz w:val="20"/>
                <w:szCs w:val="20"/>
                <w:lang w:val="fr-CA"/>
              </w:rPr>
            </w:pPr>
            <w:r w:rsidRPr="005C2AE0">
              <w:rPr>
                <w:b/>
                <w:sz w:val="20"/>
                <w:szCs w:val="20"/>
                <w:lang w:val="fr-CA"/>
              </w:rPr>
              <w:t>Jacques-Laurent Lampron et autres</w:t>
            </w:r>
          </w:p>
          <w:p w:rsidR="00C21644" w:rsidRPr="005C2AE0" w:rsidRDefault="00C21644" w:rsidP="003B3977">
            <w:pPr>
              <w:tabs>
                <w:tab w:val="left" w:pos="-1440"/>
                <w:tab w:val="left" w:pos="-720"/>
              </w:tabs>
              <w:rPr>
                <w:sz w:val="20"/>
                <w:szCs w:val="20"/>
                <w:lang w:val="fr-CA"/>
              </w:rPr>
            </w:pPr>
            <w:r w:rsidRPr="005C2AE0">
              <w:rPr>
                <w:sz w:val="20"/>
                <w:szCs w:val="20"/>
                <w:lang w:val="fr-CA"/>
              </w:rPr>
              <w:tab/>
            </w:r>
            <w:r w:rsidR="005C2AE0" w:rsidRPr="005C2AE0">
              <w:rPr>
                <w:sz w:val="20"/>
                <w:szCs w:val="20"/>
                <w:lang w:val="fr-CA"/>
              </w:rPr>
              <w:t>Paul Biron</w:t>
            </w:r>
          </w:p>
          <w:p w:rsidR="00C21644" w:rsidRPr="005C2AE0" w:rsidRDefault="00C21644" w:rsidP="003B3977">
            <w:pPr>
              <w:tabs>
                <w:tab w:val="left" w:pos="-1440"/>
                <w:tab w:val="left" w:pos="-720"/>
              </w:tabs>
              <w:rPr>
                <w:sz w:val="20"/>
                <w:szCs w:val="20"/>
                <w:lang w:val="fr-CA"/>
              </w:rPr>
            </w:pPr>
            <w:r w:rsidRPr="005C2AE0">
              <w:rPr>
                <w:sz w:val="20"/>
                <w:szCs w:val="20"/>
                <w:lang w:val="fr-CA"/>
              </w:rPr>
              <w:tab/>
            </w:r>
            <w:r w:rsidR="005C2AE0">
              <w:rPr>
                <w:sz w:val="20"/>
                <w:szCs w:val="20"/>
                <w:lang w:val="fr-CA"/>
              </w:rPr>
              <w:t>Étude Paul Biron, avocat</w:t>
            </w:r>
          </w:p>
          <w:p w:rsidR="00C21644" w:rsidRPr="005C2AE0" w:rsidRDefault="00C21644" w:rsidP="003B3977">
            <w:pPr>
              <w:tabs>
                <w:tab w:val="left" w:pos="-1440"/>
                <w:tab w:val="left" w:pos="-720"/>
              </w:tabs>
              <w:rPr>
                <w:sz w:val="20"/>
                <w:szCs w:val="20"/>
                <w:lang w:val="fr-CA"/>
              </w:rPr>
            </w:pPr>
          </w:p>
          <w:p w:rsidR="00C21644" w:rsidRPr="005C2AE0" w:rsidRDefault="00C21644" w:rsidP="003B3977">
            <w:pPr>
              <w:tabs>
                <w:tab w:val="left" w:pos="-1440"/>
                <w:tab w:val="left" w:pos="-720"/>
              </w:tabs>
              <w:rPr>
                <w:sz w:val="20"/>
                <w:szCs w:val="20"/>
                <w:lang w:val="fr-CA"/>
              </w:rPr>
            </w:pPr>
            <w:r w:rsidRPr="005C2AE0">
              <w:rPr>
                <w:sz w:val="20"/>
                <w:szCs w:val="20"/>
                <w:lang w:val="fr-CA"/>
              </w:rPr>
              <w:tab/>
            </w:r>
            <w:r w:rsidR="005C2AE0" w:rsidRPr="005C2AE0">
              <w:rPr>
                <w:sz w:val="20"/>
                <w:szCs w:val="20"/>
                <w:lang w:val="fr-CA"/>
              </w:rPr>
              <w:t>c</w:t>
            </w:r>
            <w:r w:rsidRPr="005C2AE0">
              <w:rPr>
                <w:sz w:val="20"/>
                <w:szCs w:val="20"/>
                <w:lang w:val="fr-CA"/>
              </w:rPr>
              <w:t>. (3</w:t>
            </w:r>
            <w:r w:rsidR="005C2AE0" w:rsidRPr="005C2AE0">
              <w:rPr>
                <w:sz w:val="20"/>
                <w:szCs w:val="20"/>
                <w:lang w:val="fr-CA"/>
              </w:rPr>
              <w:t>640</w:t>
            </w:r>
            <w:r w:rsidRPr="005C2AE0">
              <w:rPr>
                <w:sz w:val="20"/>
                <w:szCs w:val="20"/>
                <w:lang w:val="fr-CA"/>
              </w:rPr>
              <w:t>5)</w:t>
            </w:r>
          </w:p>
          <w:p w:rsidR="00C21644" w:rsidRPr="005C2AE0" w:rsidRDefault="00C21644" w:rsidP="003B3977">
            <w:pPr>
              <w:tabs>
                <w:tab w:val="left" w:pos="-1440"/>
                <w:tab w:val="left" w:pos="-720"/>
              </w:tabs>
              <w:rPr>
                <w:sz w:val="20"/>
                <w:szCs w:val="20"/>
                <w:lang w:val="fr-CA"/>
              </w:rPr>
            </w:pPr>
          </w:p>
          <w:p w:rsidR="00C21644" w:rsidRPr="005C2AE0" w:rsidRDefault="005C2AE0" w:rsidP="003B3977">
            <w:pPr>
              <w:tabs>
                <w:tab w:val="left" w:pos="-1440"/>
                <w:tab w:val="left" w:pos="-720"/>
              </w:tabs>
              <w:rPr>
                <w:b/>
                <w:sz w:val="20"/>
                <w:szCs w:val="20"/>
                <w:lang w:val="fr-CA"/>
              </w:rPr>
            </w:pPr>
            <w:r w:rsidRPr="005C2AE0">
              <w:rPr>
                <w:b/>
                <w:sz w:val="20"/>
                <w:szCs w:val="20"/>
                <w:lang w:val="fr-CA"/>
              </w:rPr>
              <w:t>Énergie Algonquin (Sainte-Brigitte) Inc.</w:t>
            </w:r>
            <w:r>
              <w:rPr>
                <w:b/>
                <w:sz w:val="20"/>
                <w:szCs w:val="20"/>
                <w:lang w:val="fr-CA"/>
              </w:rPr>
              <w:t xml:space="preserve"> </w:t>
            </w:r>
            <w:r w:rsidR="00D974A8">
              <w:rPr>
                <w:b/>
                <w:sz w:val="20"/>
                <w:szCs w:val="20"/>
                <w:lang w:val="fr-CA"/>
              </w:rPr>
              <w:t xml:space="preserve">et autres </w:t>
            </w:r>
            <w:r w:rsidR="00C21644" w:rsidRPr="005C2AE0">
              <w:rPr>
                <w:b/>
                <w:sz w:val="20"/>
                <w:szCs w:val="20"/>
                <w:lang w:val="fr-CA"/>
              </w:rPr>
              <w:t>(</w:t>
            </w:r>
            <w:r>
              <w:rPr>
                <w:b/>
                <w:sz w:val="20"/>
                <w:szCs w:val="20"/>
                <w:lang w:val="fr-CA"/>
              </w:rPr>
              <w:t>Qc</w:t>
            </w:r>
            <w:r w:rsidR="00C21644" w:rsidRPr="005C2AE0">
              <w:rPr>
                <w:b/>
                <w:sz w:val="20"/>
                <w:szCs w:val="20"/>
                <w:lang w:val="fr-CA"/>
              </w:rPr>
              <w:t>)</w:t>
            </w:r>
          </w:p>
          <w:p w:rsidR="00C21644" w:rsidRPr="005C2AE0" w:rsidRDefault="00C21644" w:rsidP="003B3977">
            <w:pPr>
              <w:tabs>
                <w:tab w:val="left" w:pos="-1440"/>
                <w:tab w:val="left" w:pos="-720"/>
              </w:tabs>
              <w:rPr>
                <w:sz w:val="20"/>
                <w:szCs w:val="20"/>
                <w:lang w:val="fr-CA"/>
              </w:rPr>
            </w:pPr>
            <w:r w:rsidRPr="005C2AE0">
              <w:rPr>
                <w:sz w:val="20"/>
                <w:szCs w:val="20"/>
                <w:lang w:val="fr-CA"/>
              </w:rPr>
              <w:tab/>
            </w:r>
            <w:r w:rsidR="005C2AE0">
              <w:rPr>
                <w:sz w:val="20"/>
                <w:szCs w:val="20"/>
                <w:lang w:val="fr-CA"/>
              </w:rPr>
              <w:t>Louis Charette</w:t>
            </w:r>
          </w:p>
          <w:p w:rsidR="00C21644" w:rsidRPr="005C2AE0" w:rsidRDefault="00C21644" w:rsidP="003B3977">
            <w:pPr>
              <w:tabs>
                <w:tab w:val="left" w:pos="-1440"/>
                <w:tab w:val="left" w:pos="-720"/>
              </w:tabs>
              <w:rPr>
                <w:sz w:val="20"/>
                <w:szCs w:val="20"/>
                <w:lang w:val="fr-CA"/>
              </w:rPr>
            </w:pPr>
            <w:r w:rsidRPr="005C2AE0">
              <w:rPr>
                <w:sz w:val="20"/>
                <w:szCs w:val="20"/>
                <w:lang w:val="fr-CA"/>
              </w:rPr>
              <w:tab/>
            </w:r>
            <w:r w:rsidR="005C2AE0">
              <w:rPr>
                <w:sz w:val="20"/>
                <w:szCs w:val="20"/>
                <w:lang w:val="fr-CA"/>
              </w:rPr>
              <w:t>Lavery, de Billy</w:t>
            </w:r>
          </w:p>
          <w:p w:rsidR="00C21644" w:rsidRPr="005C2AE0" w:rsidRDefault="00C21644" w:rsidP="003B3977">
            <w:pPr>
              <w:tabs>
                <w:tab w:val="left" w:pos="-1440"/>
                <w:tab w:val="left" w:pos="-720"/>
              </w:tabs>
              <w:rPr>
                <w:sz w:val="20"/>
                <w:szCs w:val="20"/>
                <w:lang w:val="fr-CA"/>
              </w:rPr>
            </w:pPr>
          </w:p>
          <w:p w:rsidR="00C21644" w:rsidRPr="00061E7E" w:rsidRDefault="005C2AE0" w:rsidP="005C2AE0">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28</w:t>
            </w:r>
            <w:r w:rsidRPr="00806A5B">
              <w:rPr>
                <w:sz w:val="20"/>
                <w:szCs w:val="20"/>
                <w:lang w:val="fr-CA"/>
              </w:rPr>
              <w:t>.0</w:t>
            </w:r>
            <w:r>
              <w:rPr>
                <w:sz w:val="20"/>
                <w:szCs w:val="20"/>
                <w:lang w:val="fr-CA"/>
              </w:rPr>
              <w:t>4</w:t>
            </w:r>
            <w:r w:rsidRPr="00806A5B">
              <w:rPr>
                <w:sz w:val="20"/>
                <w:szCs w:val="20"/>
                <w:lang w:val="fr-CA"/>
              </w:rPr>
              <w:t>.201</w:t>
            </w:r>
            <w:r>
              <w:rPr>
                <w:sz w:val="20"/>
                <w:szCs w:val="20"/>
                <w:lang w:val="fr-CA"/>
              </w:rPr>
              <w:t>5</w:t>
            </w:r>
            <w:r w:rsidR="001D3FE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C21644" w:rsidRPr="00061E7E" w:rsidRDefault="00C21644" w:rsidP="00242AEE">
            <w:pPr>
              <w:jc w:val="center"/>
              <w:rPr>
                <w:sz w:val="20"/>
                <w:szCs w:val="20"/>
                <w:lang w:val="fr-CA"/>
              </w:rPr>
            </w:pPr>
          </w:p>
          <w:p w:rsidR="00D974A8" w:rsidRPr="00061E7E" w:rsidRDefault="00D974A8" w:rsidP="00242AEE">
            <w:pPr>
              <w:jc w:val="center"/>
              <w:rPr>
                <w:sz w:val="20"/>
                <w:szCs w:val="20"/>
                <w:lang w:val="fr-CA"/>
              </w:rPr>
            </w:pPr>
          </w:p>
          <w:p w:rsidR="00C21644" w:rsidRPr="00061E7E" w:rsidRDefault="00C21644" w:rsidP="00242AEE">
            <w:pPr>
              <w:jc w:val="center"/>
              <w:rPr>
                <w:sz w:val="20"/>
                <w:szCs w:val="20"/>
                <w:lang w:val="fr-CA"/>
              </w:rPr>
            </w:pPr>
          </w:p>
        </w:tc>
        <w:tc>
          <w:tcPr>
            <w:tcW w:w="4320" w:type="dxa"/>
            <w:shd w:val="clear" w:color="auto" w:fill="auto"/>
          </w:tcPr>
          <w:p w:rsidR="00C21644" w:rsidRPr="00061E7E" w:rsidRDefault="00C21644" w:rsidP="003B3977">
            <w:pPr>
              <w:keepNext/>
              <w:keepLines/>
              <w:tabs>
                <w:tab w:val="left" w:pos="-1440"/>
                <w:tab w:val="left" w:pos="-720"/>
              </w:tabs>
              <w:rPr>
                <w:b/>
                <w:sz w:val="20"/>
                <w:szCs w:val="20"/>
                <w:lang w:val="fr-CA"/>
              </w:rPr>
            </w:pPr>
          </w:p>
          <w:p w:rsidR="005C2AE0" w:rsidRPr="005C2AE0" w:rsidRDefault="005C2AE0" w:rsidP="003B3977">
            <w:pPr>
              <w:keepNext/>
              <w:keepLines/>
              <w:tabs>
                <w:tab w:val="left" w:pos="-1440"/>
                <w:tab w:val="left" w:pos="-720"/>
              </w:tabs>
              <w:rPr>
                <w:b/>
                <w:sz w:val="20"/>
                <w:szCs w:val="20"/>
              </w:rPr>
            </w:pPr>
            <w:r>
              <w:rPr>
                <w:b/>
                <w:sz w:val="20"/>
                <w:szCs w:val="20"/>
              </w:rPr>
              <w:t>Matthew John Anthony-Cook</w:t>
            </w:r>
          </w:p>
          <w:p w:rsidR="00C21644" w:rsidRPr="005C2AE0" w:rsidRDefault="00C21644" w:rsidP="003B3977">
            <w:pPr>
              <w:keepNext/>
              <w:keepLines/>
              <w:tabs>
                <w:tab w:val="left" w:pos="-1440"/>
                <w:tab w:val="left" w:pos="-720"/>
              </w:tabs>
              <w:rPr>
                <w:sz w:val="20"/>
                <w:szCs w:val="20"/>
              </w:rPr>
            </w:pPr>
            <w:r w:rsidRPr="005C2AE0">
              <w:rPr>
                <w:sz w:val="20"/>
                <w:szCs w:val="20"/>
              </w:rPr>
              <w:tab/>
            </w:r>
            <w:r w:rsidR="005C2AE0">
              <w:rPr>
                <w:sz w:val="20"/>
                <w:szCs w:val="20"/>
              </w:rPr>
              <w:t>Micah B. Rankin</w:t>
            </w:r>
          </w:p>
          <w:p w:rsidR="00C21644" w:rsidRPr="00A935AA" w:rsidRDefault="00C21644" w:rsidP="003B3977">
            <w:pPr>
              <w:keepNext/>
              <w:keepLines/>
              <w:tabs>
                <w:tab w:val="left" w:pos="-1440"/>
                <w:tab w:val="left" w:pos="-720"/>
              </w:tabs>
              <w:rPr>
                <w:sz w:val="20"/>
                <w:szCs w:val="20"/>
              </w:rPr>
            </w:pPr>
            <w:r w:rsidRPr="005C2AE0">
              <w:rPr>
                <w:sz w:val="20"/>
                <w:szCs w:val="20"/>
              </w:rPr>
              <w:tab/>
            </w:r>
            <w:r w:rsidR="005C2AE0">
              <w:rPr>
                <w:sz w:val="20"/>
                <w:szCs w:val="20"/>
              </w:rPr>
              <w:t>Jensen Law Corporation</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5C2AE0">
              <w:rPr>
                <w:sz w:val="20"/>
                <w:szCs w:val="20"/>
              </w:rPr>
              <w:t>6410</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5C2AE0"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B.C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5C2AE0">
              <w:rPr>
                <w:sz w:val="20"/>
                <w:szCs w:val="20"/>
              </w:rPr>
              <w:t>Mary T. Ainslie, Q.C.</w:t>
            </w:r>
          </w:p>
          <w:p w:rsidR="00C21644" w:rsidRPr="00A935AA" w:rsidRDefault="00C21644" w:rsidP="003B3977">
            <w:pPr>
              <w:keepNext/>
              <w:keepLines/>
              <w:tabs>
                <w:tab w:val="left" w:pos="-1440"/>
                <w:tab w:val="left" w:pos="-720"/>
              </w:tabs>
              <w:rPr>
                <w:sz w:val="20"/>
                <w:szCs w:val="20"/>
              </w:rPr>
            </w:pPr>
            <w:r w:rsidRPr="00A935AA">
              <w:rPr>
                <w:sz w:val="20"/>
                <w:szCs w:val="20"/>
              </w:rPr>
              <w:tab/>
            </w:r>
            <w:r w:rsidR="005C2AE0">
              <w:rPr>
                <w:sz w:val="20"/>
                <w:szCs w:val="20"/>
              </w:rPr>
              <w:t>A.G. of British Columbia</w:t>
            </w:r>
          </w:p>
          <w:p w:rsidR="00C21644" w:rsidRPr="00A935AA" w:rsidRDefault="00C21644" w:rsidP="003B3977">
            <w:pPr>
              <w:keepNext/>
              <w:keepLines/>
              <w:tabs>
                <w:tab w:val="left" w:pos="-1440"/>
                <w:tab w:val="left" w:pos="-720"/>
              </w:tabs>
              <w:rPr>
                <w:sz w:val="20"/>
                <w:szCs w:val="20"/>
              </w:rPr>
            </w:pPr>
          </w:p>
          <w:p w:rsidR="00C21644" w:rsidRPr="00A935AA" w:rsidRDefault="00C21644" w:rsidP="005C2AE0">
            <w:pPr>
              <w:rPr>
                <w:sz w:val="20"/>
                <w:szCs w:val="20"/>
              </w:rPr>
            </w:pPr>
            <w:r w:rsidRPr="00A935AA">
              <w:rPr>
                <w:sz w:val="20"/>
                <w:szCs w:val="20"/>
              </w:rPr>
              <w:t>FILING DATE: 2</w:t>
            </w:r>
            <w:r>
              <w:rPr>
                <w:sz w:val="20"/>
                <w:szCs w:val="20"/>
              </w:rPr>
              <w:t>9</w:t>
            </w:r>
            <w:r w:rsidRPr="00A935AA">
              <w:rPr>
                <w:sz w:val="20"/>
                <w:szCs w:val="20"/>
              </w:rPr>
              <w:t>.0</w:t>
            </w:r>
            <w:r w:rsidR="005C2AE0">
              <w:rPr>
                <w:sz w:val="20"/>
                <w:szCs w:val="20"/>
              </w:rPr>
              <w:t>4</w:t>
            </w:r>
            <w:r w:rsidRPr="00A935AA">
              <w:rPr>
                <w:sz w:val="20"/>
                <w:szCs w:val="20"/>
              </w:rPr>
              <w:t>.201</w:t>
            </w:r>
            <w:r w:rsidR="005C2AE0">
              <w:rPr>
                <w:sz w:val="20"/>
                <w:szCs w:val="20"/>
              </w:rPr>
              <w:t>5</w:t>
            </w:r>
            <w:r w:rsidR="001D3FE1">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5C2AE0" w:rsidP="005F1ED8">
            <w:pPr>
              <w:rPr>
                <w:b/>
                <w:sz w:val="20"/>
                <w:szCs w:val="20"/>
              </w:rPr>
            </w:pPr>
            <w:r>
              <w:rPr>
                <w:b/>
                <w:sz w:val="20"/>
                <w:szCs w:val="20"/>
              </w:rPr>
              <w:t>B.S.A. Diagnostics Limited</w:t>
            </w:r>
          </w:p>
          <w:p w:rsidR="00C21644" w:rsidRPr="00A935AA" w:rsidRDefault="00C21644" w:rsidP="005F1ED8">
            <w:pPr>
              <w:tabs>
                <w:tab w:val="left" w:pos="-1440"/>
                <w:tab w:val="left" w:pos="-720"/>
              </w:tabs>
              <w:rPr>
                <w:sz w:val="20"/>
                <w:szCs w:val="20"/>
              </w:rPr>
            </w:pPr>
            <w:r w:rsidRPr="00A935AA">
              <w:rPr>
                <w:sz w:val="20"/>
                <w:szCs w:val="20"/>
              </w:rPr>
              <w:tab/>
            </w:r>
            <w:r w:rsidR="005C2AE0">
              <w:rPr>
                <w:sz w:val="20"/>
                <w:szCs w:val="20"/>
              </w:rPr>
              <w:t>Bobby Sachdeva</w:t>
            </w:r>
          </w:p>
          <w:p w:rsidR="00C21644" w:rsidRPr="00A935AA" w:rsidRDefault="00C21644" w:rsidP="005F1ED8">
            <w:pPr>
              <w:tabs>
                <w:tab w:val="left" w:pos="-1440"/>
                <w:tab w:val="left" w:pos="-720"/>
              </w:tabs>
              <w:rPr>
                <w:sz w:val="20"/>
                <w:szCs w:val="20"/>
              </w:rPr>
            </w:pPr>
            <w:r w:rsidRPr="00A935AA">
              <w:rPr>
                <w:sz w:val="20"/>
                <w:szCs w:val="20"/>
              </w:rPr>
              <w:tab/>
            </w:r>
            <w:r w:rsidR="005C2AE0">
              <w:rPr>
                <w:sz w:val="20"/>
                <w:szCs w:val="20"/>
              </w:rPr>
              <w:t>Pallett Valo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5C2AE0">
              <w:rPr>
                <w:sz w:val="20"/>
                <w:szCs w:val="20"/>
              </w:rPr>
              <w:t>6413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5C2AE0" w:rsidP="005F1ED8">
            <w:pPr>
              <w:tabs>
                <w:tab w:val="left" w:pos="-1440"/>
                <w:tab w:val="left" w:pos="-720"/>
              </w:tabs>
              <w:rPr>
                <w:b/>
                <w:sz w:val="20"/>
                <w:szCs w:val="20"/>
              </w:rPr>
            </w:pPr>
            <w:r>
              <w:rPr>
                <w:b/>
                <w:sz w:val="20"/>
                <w:szCs w:val="20"/>
              </w:rPr>
              <w:t xml:space="preserve">Ministry of the Attorney General and Ministry of Health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716FC">
              <w:rPr>
                <w:sz w:val="20"/>
                <w:szCs w:val="20"/>
              </w:rPr>
              <w:t>Sandra Ni</w:t>
            </w:r>
            <w:r w:rsidR="00D974A8">
              <w:rPr>
                <w:sz w:val="20"/>
                <w:szCs w:val="20"/>
              </w:rPr>
              <w:t>s</w:t>
            </w:r>
            <w:r w:rsidR="008716FC">
              <w:rPr>
                <w:sz w:val="20"/>
                <w:szCs w:val="20"/>
              </w:rPr>
              <w:t>hikawa</w:t>
            </w:r>
          </w:p>
          <w:p w:rsidR="00C21644" w:rsidRPr="00A935AA" w:rsidRDefault="00C21644" w:rsidP="005F1ED8">
            <w:pPr>
              <w:tabs>
                <w:tab w:val="left" w:pos="-1440"/>
                <w:tab w:val="left" w:pos="-720"/>
              </w:tabs>
              <w:rPr>
                <w:sz w:val="20"/>
                <w:szCs w:val="20"/>
              </w:rPr>
            </w:pPr>
            <w:r w:rsidRPr="00A935AA">
              <w:rPr>
                <w:sz w:val="20"/>
                <w:szCs w:val="20"/>
              </w:rPr>
              <w:tab/>
            </w:r>
            <w:r w:rsidR="008716FC">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8716FC">
            <w:pPr>
              <w:rPr>
                <w:sz w:val="20"/>
                <w:szCs w:val="20"/>
              </w:rPr>
            </w:pPr>
            <w:r w:rsidRPr="00A935AA">
              <w:rPr>
                <w:sz w:val="20"/>
                <w:szCs w:val="20"/>
              </w:rPr>
              <w:t xml:space="preserve">FILING DATE: </w:t>
            </w:r>
            <w:r w:rsidR="008716FC">
              <w:rPr>
                <w:sz w:val="20"/>
                <w:szCs w:val="20"/>
              </w:rPr>
              <w:t>01</w:t>
            </w:r>
            <w:r w:rsidRPr="00A935AA">
              <w:rPr>
                <w:sz w:val="20"/>
                <w:szCs w:val="20"/>
              </w:rPr>
              <w:t>.0</w:t>
            </w:r>
            <w:r w:rsidR="008716FC">
              <w:rPr>
                <w:sz w:val="20"/>
                <w:szCs w:val="20"/>
              </w:rPr>
              <w:t>5</w:t>
            </w:r>
            <w:r w:rsidRPr="00A935AA">
              <w:rPr>
                <w:sz w:val="20"/>
                <w:szCs w:val="20"/>
              </w:rPr>
              <w:t>.201</w:t>
            </w:r>
            <w:r w:rsidR="008716FC">
              <w:rPr>
                <w:sz w:val="20"/>
                <w:szCs w:val="20"/>
              </w:rPr>
              <w:t>5</w:t>
            </w:r>
            <w:r w:rsidR="001D3FE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8716FC" w:rsidRPr="00061E7E" w:rsidRDefault="008716FC" w:rsidP="005F1ED8">
            <w:pPr>
              <w:rPr>
                <w:b/>
                <w:sz w:val="20"/>
                <w:szCs w:val="20"/>
                <w:lang w:val="fr-CA"/>
              </w:rPr>
            </w:pPr>
            <w:r w:rsidRPr="00061E7E">
              <w:rPr>
                <w:b/>
                <w:sz w:val="20"/>
                <w:szCs w:val="20"/>
                <w:lang w:val="fr-CA"/>
              </w:rPr>
              <w:t>Yuri Boiko</w:t>
            </w:r>
          </w:p>
          <w:p w:rsidR="00C21644" w:rsidRPr="00061E7E" w:rsidRDefault="00C21644" w:rsidP="005F1ED8">
            <w:pPr>
              <w:tabs>
                <w:tab w:val="left" w:pos="-1440"/>
                <w:tab w:val="left" w:pos="-720"/>
              </w:tabs>
              <w:rPr>
                <w:sz w:val="20"/>
                <w:szCs w:val="20"/>
                <w:lang w:val="fr-CA"/>
              </w:rPr>
            </w:pPr>
            <w:r w:rsidRPr="00061E7E">
              <w:rPr>
                <w:sz w:val="20"/>
                <w:szCs w:val="20"/>
                <w:lang w:val="fr-CA"/>
              </w:rPr>
              <w:tab/>
            </w:r>
            <w:r w:rsidR="008716FC" w:rsidRPr="00061E7E">
              <w:rPr>
                <w:sz w:val="20"/>
                <w:szCs w:val="20"/>
                <w:lang w:val="fr-CA"/>
              </w:rPr>
              <w:t>Yuri Boiko</w:t>
            </w:r>
          </w:p>
          <w:p w:rsidR="00C21644" w:rsidRPr="00061E7E" w:rsidRDefault="00C21644" w:rsidP="005F1ED8">
            <w:pPr>
              <w:tabs>
                <w:tab w:val="left" w:pos="-1440"/>
                <w:tab w:val="left" w:pos="-720"/>
              </w:tabs>
              <w:rPr>
                <w:sz w:val="20"/>
                <w:szCs w:val="20"/>
                <w:lang w:val="fr-CA"/>
              </w:rPr>
            </w:pPr>
          </w:p>
          <w:p w:rsidR="00C21644" w:rsidRPr="00061E7E" w:rsidRDefault="00C21644" w:rsidP="005F1ED8">
            <w:pPr>
              <w:tabs>
                <w:tab w:val="left" w:pos="-1440"/>
                <w:tab w:val="left" w:pos="-720"/>
              </w:tabs>
              <w:rPr>
                <w:sz w:val="20"/>
                <w:szCs w:val="20"/>
                <w:lang w:val="fr-CA"/>
              </w:rPr>
            </w:pPr>
            <w:r w:rsidRPr="00061E7E">
              <w:rPr>
                <w:sz w:val="20"/>
                <w:szCs w:val="20"/>
                <w:lang w:val="fr-CA"/>
              </w:rPr>
              <w:tab/>
              <w:t>v. (3</w:t>
            </w:r>
            <w:r w:rsidR="008716FC" w:rsidRPr="00061E7E">
              <w:rPr>
                <w:sz w:val="20"/>
                <w:szCs w:val="20"/>
                <w:lang w:val="fr-CA"/>
              </w:rPr>
              <w:t>6417</w:t>
            </w:r>
            <w:r w:rsidRPr="00061E7E">
              <w:rPr>
                <w:sz w:val="20"/>
                <w:szCs w:val="20"/>
                <w:lang w:val="fr-CA"/>
              </w:rPr>
              <w:t>)</w:t>
            </w:r>
          </w:p>
          <w:p w:rsidR="00C21644" w:rsidRPr="00061E7E" w:rsidRDefault="00C21644" w:rsidP="005F1ED8">
            <w:pPr>
              <w:tabs>
                <w:tab w:val="left" w:pos="-1440"/>
                <w:tab w:val="left" w:pos="-720"/>
              </w:tabs>
              <w:rPr>
                <w:sz w:val="20"/>
                <w:szCs w:val="20"/>
                <w:lang w:val="fr-CA"/>
              </w:rPr>
            </w:pPr>
          </w:p>
          <w:p w:rsidR="00C21644" w:rsidRPr="00A935AA" w:rsidRDefault="008716FC" w:rsidP="005F1ED8">
            <w:pPr>
              <w:tabs>
                <w:tab w:val="left" w:pos="-1440"/>
                <w:tab w:val="left" w:pos="-720"/>
              </w:tabs>
              <w:rPr>
                <w:b/>
                <w:sz w:val="20"/>
                <w:szCs w:val="20"/>
              </w:rPr>
            </w:pPr>
            <w:r>
              <w:rPr>
                <w:b/>
                <w:sz w:val="20"/>
                <w:szCs w:val="20"/>
              </w:rPr>
              <w:t xml:space="preserve">Chander Grover, Peter Hacket, Mary McLaren, National Research Council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8716FC">
              <w:rPr>
                <w:sz w:val="20"/>
                <w:szCs w:val="20"/>
              </w:rPr>
              <w:t>Helene Robertson</w:t>
            </w:r>
          </w:p>
          <w:p w:rsidR="00C21644" w:rsidRPr="00A935AA" w:rsidRDefault="00C21644" w:rsidP="005F1ED8">
            <w:pPr>
              <w:tabs>
                <w:tab w:val="left" w:pos="-1440"/>
                <w:tab w:val="left" w:pos="-720"/>
              </w:tabs>
              <w:rPr>
                <w:sz w:val="20"/>
                <w:szCs w:val="20"/>
              </w:rPr>
            </w:pPr>
            <w:r w:rsidRPr="00A935AA">
              <w:rPr>
                <w:sz w:val="20"/>
                <w:szCs w:val="20"/>
              </w:rPr>
              <w:tab/>
            </w:r>
            <w:r w:rsidR="008716FC">
              <w:rPr>
                <w:sz w:val="20"/>
                <w:szCs w:val="20"/>
              </w:rPr>
              <w:t>Department of Justice</w:t>
            </w:r>
          </w:p>
          <w:p w:rsidR="00C21644" w:rsidRPr="00A935AA" w:rsidRDefault="00C21644" w:rsidP="005F1ED8">
            <w:pPr>
              <w:tabs>
                <w:tab w:val="left" w:pos="-1440"/>
                <w:tab w:val="left" w:pos="-720"/>
              </w:tabs>
              <w:rPr>
                <w:sz w:val="20"/>
                <w:szCs w:val="20"/>
              </w:rPr>
            </w:pPr>
          </w:p>
          <w:p w:rsidR="00C21644" w:rsidRPr="00A935AA" w:rsidRDefault="00C21644" w:rsidP="008716FC">
            <w:pPr>
              <w:rPr>
                <w:sz w:val="20"/>
                <w:szCs w:val="20"/>
              </w:rPr>
            </w:pPr>
            <w:r w:rsidRPr="00A935AA">
              <w:rPr>
                <w:sz w:val="20"/>
                <w:szCs w:val="20"/>
              </w:rPr>
              <w:t xml:space="preserve">FILING DATE: </w:t>
            </w:r>
            <w:r w:rsidR="008716FC">
              <w:rPr>
                <w:sz w:val="20"/>
                <w:szCs w:val="20"/>
              </w:rPr>
              <w:t>01</w:t>
            </w:r>
            <w:r w:rsidRPr="00A935AA">
              <w:rPr>
                <w:sz w:val="20"/>
                <w:szCs w:val="20"/>
              </w:rPr>
              <w:t>.0</w:t>
            </w:r>
            <w:r w:rsidR="008716FC">
              <w:rPr>
                <w:sz w:val="20"/>
                <w:szCs w:val="20"/>
              </w:rPr>
              <w:t>5</w:t>
            </w:r>
            <w:r w:rsidRPr="00A935AA">
              <w:rPr>
                <w:sz w:val="20"/>
                <w:szCs w:val="20"/>
              </w:rPr>
              <w:t>.201</w:t>
            </w:r>
            <w:r w:rsidR="008716FC">
              <w:rPr>
                <w:sz w:val="20"/>
                <w:szCs w:val="20"/>
              </w:rPr>
              <w:t>5</w:t>
            </w:r>
            <w:r w:rsidR="001D3FE1">
              <w:rPr>
                <w:sz w:val="20"/>
                <w:szCs w:val="20"/>
                <w:lang w:val="fr-CA"/>
              </w:rPr>
              <w:pict>
                <v:rect id="_x0000_i1030" style="width:108pt;height:1pt" o:hrpct="0" o:hralign="center" o:hrstd="t" o:hrnoshade="t" o:hr="t" fillcolor="black [3213]" stroked="f"/>
              </w:pict>
            </w:r>
          </w:p>
        </w:tc>
      </w:tr>
      <w:tr w:rsidR="005C2AE0" w:rsidRPr="00A935AA" w:rsidTr="003B3977">
        <w:trPr>
          <w:cantSplit/>
        </w:trPr>
        <w:tc>
          <w:tcPr>
            <w:tcW w:w="4320" w:type="dxa"/>
            <w:shd w:val="clear" w:color="auto" w:fill="auto"/>
          </w:tcPr>
          <w:p w:rsidR="00D974A8" w:rsidRDefault="00D974A8" w:rsidP="005F1ED8">
            <w:pPr>
              <w:rPr>
                <w:b/>
                <w:sz w:val="20"/>
                <w:szCs w:val="20"/>
              </w:rPr>
            </w:pPr>
          </w:p>
          <w:p w:rsidR="005C2AE0" w:rsidRPr="00A935AA" w:rsidRDefault="008716FC" w:rsidP="005F1ED8">
            <w:pPr>
              <w:rPr>
                <w:b/>
                <w:sz w:val="20"/>
                <w:szCs w:val="20"/>
              </w:rPr>
            </w:pPr>
            <w:r>
              <w:rPr>
                <w:b/>
                <w:sz w:val="20"/>
                <w:szCs w:val="20"/>
              </w:rPr>
              <w:t>Bell Expressvu Limited Partnership</w:t>
            </w:r>
          </w:p>
          <w:p w:rsidR="005C2AE0" w:rsidRPr="00A935AA" w:rsidRDefault="005C2AE0" w:rsidP="005F1ED8">
            <w:pPr>
              <w:tabs>
                <w:tab w:val="left" w:pos="-1440"/>
                <w:tab w:val="left" w:pos="-720"/>
              </w:tabs>
              <w:rPr>
                <w:sz w:val="20"/>
                <w:szCs w:val="20"/>
              </w:rPr>
            </w:pPr>
            <w:r w:rsidRPr="00A935AA">
              <w:rPr>
                <w:sz w:val="20"/>
                <w:szCs w:val="20"/>
              </w:rPr>
              <w:tab/>
            </w:r>
            <w:r w:rsidR="008716FC">
              <w:rPr>
                <w:sz w:val="20"/>
                <w:szCs w:val="20"/>
              </w:rPr>
              <w:t>Neil Finkelstein</w:t>
            </w:r>
          </w:p>
          <w:p w:rsidR="005C2AE0" w:rsidRPr="00061E7E" w:rsidRDefault="005C2AE0" w:rsidP="005F1ED8">
            <w:pPr>
              <w:tabs>
                <w:tab w:val="left" w:pos="-1440"/>
                <w:tab w:val="left" w:pos="-720"/>
              </w:tabs>
              <w:rPr>
                <w:sz w:val="20"/>
                <w:szCs w:val="20"/>
                <w:lang w:val="fr-CA"/>
              </w:rPr>
            </w:pPr>
            <w:r w:rsidRPr="00A935AA">
              <w:rPr>
                <w:sz w:val="20"/>
                <w:szCs w:val="20"/>
              </w:rPr>
              <w:tab/>
            </w:r>
            <w:r w:rsidR="008716FC" w:rsidRPr="00061E7E">
              <w:rPr>
                <w:sz w:val="20"/>
                <w:szCs w:val="20"/>
                <w:lang w:val="fr-CA"/>
              </w:rPr>
              <w:t>McCarthy Tétrault LLP</w:t>
            </w:r>
          </w:p>
          <w:p w:rsidR="005C2AE0" w:rsidRPr="00061E7E" w:rsidRDefault="005C2AE0" w:rsidP="005F1ED8">
            <w:pPr>
              <w:tabs>
                <w:tab w:val="left" w:pos="-1440"/>
                <w:tab w:val="left" w:pos="-720"/>
              </w:tabs>
              <w:rPr>
                <w:sz w:val="20"/>
                <w:szCs w:val="20"/>
                <w:lang w:val="fr-CA"/>
              </w:rPr>
            </w:pPr>
          </w:p>
          <w:p w:rsidR="005C2AE0" w:rsidRPr="00061E7E" w:rsidRDefault="005C2AE0" w:rsidP="005F1ED8">
            <w:pPr>
              <w:tabs>
                <w:tab w:val="left" w:pos="-1440"/>
                <w:tab w:val="left" w:pos="-720"/>
              </w:tabs>
              <w:rPr>
                <w:sz w:val="20"/>
                <w:szCs w:val="20"/>
                <w:lang w:val="fr-CA"/>
              </w:rPr>
            </w:pPr>
            <w:r w:rsidRPr="00061E7E">
              <w:rPr>
                <w:sz w:val="20"/>
                <w:szCs w:val="20"/>
                <w:lang w:val="fr-CA"/>
              </w:rPr>
              <w:tab/>
              <w:t>v. (3</w:t>
            </w:r>
            <w:r w:rsidR="008716FC" w:rsidRPr="00061E7E">
              <w:rPr>
                <w:sz w:val="20"/>
                <w:szCs w:val="20"/>
                <w:lang w:val="fr-CA"/>
              </w:rPr>
              <w:t>6414</w:t>
            </w:r>
            <w:r w:rsidRPr="00061E7E">
              <w:rPr>
                <w:sz w:val="20"/>
                <w:szCs w:val="20"/>
                <w:lang w:val="fr-CA"/>
              </w:rPr>
              <w:t>)</w:t>
            </w:r>
          </w:p>
          <w:p w:rsidR="005C2AE0" w:rsidRPr="00061E7E" w:rsidRDefault="005C2AE0" w:rsidP="005F1ED8">
            <w:pPr>
              <w:tabs>
                <w:tab w:val="left" w:pos="-1440"/>
                <w:tab w:val="left" w:pos="-720"/>
              </w:tabs>
              <w:rPr>
                <w:sz w:val="20"/>
                <w:szCs w:val="20"/>
                <w:lang w:val="fr-CA"/>
              </w:rPr>
            </w:pPr>
          </w:p>
          <w:p w:rsidR="005C2AE0" w:rsidRPr="00061E7E" w:rsidRDefault="008716FC" w:rsidP="005F1ED8">
            <w:pPr>
              <w:tabs>
                <w:tab w:val="left" w:pos="-1440"/>
                <w:tab w:val="left" w:pos="-720"/>
              </w:tabs>
              <w:rPr>
                <w:b/>
                <w:sz w:val="20"/>
                <w:szCs w:val="20"/>
              </w:rPr>
            </w:pPr>
            <w:r w:rsidRPr="008716FC">
              <w:rPr>
                <w:b/>
                <w:sz w:val="20"/>
                <w:szCs w:val="20"/>
                <w:lang w:val="fr-CA"/>
              </w:rPr>
              <w:t>Vidéotron S.E.</w:t>
            </w:r>
            <w:r>
              <w:rPr>
                <w:b/>
                <w:sz w:val="20"/>
                <w:szCs w:val="20"/>
                <w:lang w:val="fr-CA"/>
              </w:rPr>
              <w:t xml:space="preserve">N.C. et al. </w:t>
            </w:r>
            <w:r w:rsidR="005C2AE0" w:rsidRPr="00061E7E">
              <w:rPr>
                <w:b/>
                <w:sz w:val="20"/>
                <w:szCs w:val="20"/>
              </w:rPr>
              <w:t>(</w:t>
            </w:r>
            <w:r w:rsidRPr="00061E7E">
              <w:rPr>
                <w:b/>
                <w:sz w:val="20"/>
                <w:szCs w:val="20"/>
              </w:rPr>
              <w:t>Que</w:t>
            </w:r>
            <w:r w:rsidR="005C2AE0" w:rsidRPr="00061E7E">
              <w:rPr>
                <w:b/>
                <w:sz w:val="20"/>
                <w:szCs w:val="20"/>
              </w:rPr>
              <w:t>.)</w:t>
            </w:r>
          </w:p>
          <w:p w:rsidR="005C2AE0" w:rsidRPr="008716FC" w:rsidRDefault="005C2AE0" w:rsidP="005F1ED8">
            <w:pPr>
              <w:tabs>
                <w:tab w:val="left" w:pos="-1440"/>
                <w:tab w:val="left" w:pos="-720"/>
              </w:tabs>
              <w:rPr>
                <w:sz w:val="20"/>
                <w:szCs w:val="20"/>
              </w:rPr>
            </w:pPr>
            <w:r w:rsidRPr="00061E7E">
              <w:rPr>
                <w:sz w:val="20"/>
                <w:szCs w:val="20"/>
              </w:rPr>
              <w:tab/>
            </w:r>
            <w:r w:rsidR="008716FC" w:rsidRPr="008716FC">
              <w:rPr>
                <w:sz w:val="20"/>
                <w:szCs w:val="20"/>
              </w:rPr>
              <w:t>James A. Woods Ad. E.</w:t>
            </w:r>
          </w:p>
          <w:p w:rsidR="005C2AE0" w:rsidRPr="008716FC" w:rsidRDefault="005C2AE0" w:rsidP="005F1ED8">
            <w:pPr>
              <w:tabs>
                <w:tab w:val="left" w:pos="-1440"/>
                <w:tab w:val="left" w:pos="-720"/>
              </w:tabs>
              <w:rPr>
                <w:sz w:val="20"/>
                <w:szCs w:val="20"/>
              </w:rPr>
            </w:pPr>
            <w:r w:rsidRPr="008716FC">
              <w:rPr>
                <w:sz w:val="20"/>
                <w:szCs w:val="20"/>
              </w:rPr>
              <w:tab/>
            </w:r>
            <w:r w:rsidR="008716FC">
              <w:rPr>
                <w:sz w:val="20"/>
                <w:szCs w:val="20"/>
              </w:rPr>
              <w:t>Woods LLP</w:t>
            </w:r>
          </w:p>
          <w:p w:rsidR="005C2AE0" w:rsidRPr="008716FC" w:rsidRDefault="005C2AE0" w:rsidP="005F1ED8">
            <w:pPr>
              <w:tabs>
                <w:tab w:val="left" w:pos="-1440"/>
                <w:tab w:val="left" w:pos="-720"/>
              </w:tabs>
              <w:rPr>
                <w:sz w:val="20"/>
                <w:szCs w:val="20"/>
              </w:rPr>
            </w:pPr>
          </w:p>
          <w:p w:rsidR="005C2AE0" w:rsidRPr="008716FC" w:rsidRDefault="005C2AE0" w:rsidP="008716FC">
            <w:pPr>
              <w:rPr>
                <w:sz w:val="20"/>
                <w:szCs w:val="20"/>
                <w:lang w:val="fr-CA"/>
              </w:rPr>
            </w:pPr>
            <w:r w:rsidRPr="008716FC">
              <w:rPr>
                <w:sz w:val="20"/>
                <w:szCs w:val="20"/>
                <w:lang w:val="fr-CA"/>
              </w:rPr>
              <w:t xml:space="preserve">FILING DATE: </w:t>
            </w:r>
            <w:r w:rsidR="008716FC">
              <w:rPr>
                <w:sz w:val="20"/>
                <w:szCs w:val="20"/>
                <w:lang w:val="fr-CA"/>
              </w:rPr>
              <w:t>04</w:t>
            </w:r>
            <w:r w:rsidRPr="008716FC">
              <w:rPr>
                <w:sz w:val="20"/>
                <w:szCs w:val="20"/>
                <w:lang w:val="fr-CA"/>
              </w:rPr>
              <w:t>.0</w:t>
            </w:r>
            <w:r w:rsidR="008716FC">
              <w:rPr>
                <w:sz w:val="20"/>
                <w:szCs w:val="20"/>
                <w:lang w:val="fr-CA"/>
              </w:rPr>
              <w:t>5</w:t>
            </w:r>
            <w:r w:rsidRPr="008716FC">
              <w:rPr>
                <w:sz w:val="20"/>
                <w:szCs w:val="20"/>
                <w:lang w:val="fr-CA"/>
              </w:rPr>
              <w:t>.201</w:t>
            </w:r>
            <w:r w:rsidR="008716FC">
              <w:rPr>
                <w:sz w:val="20"/>
                <w:szCs w:val="20"/>
                <w:lang w:val="fr-CA"/>
              </w:rPr>
              <w:t>5</w:t>
            </w:r>
            <w:r w:rsidR="001D3FE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p w:rsidR="005C2AE0" w:rsidRPr="008716FC" w:rsidRDefault="005C2AE0" w:rsidP="00242AEE">
            <w:pPr>
              <w:jc w:val="center"/>
              <w:rPr>
                <w:sz w:val="20"/>
                <w:szCs w:val="20"/>
                <w:lang w:val="fr-CA"/>
              </w:rPr>
            </w:pPr>
          </w:p>
        </w:tc>
        <w:tc>
          <w:tcPr>
            <w:tcW w:w="4320" w:type="dxa"/>
            <w:shd w:val="clear" w:color="auto" w:fill="auto"/>
          </w:tcPr>
          <w:p w:rsidR="005C2AE0" w:rsidRPr="00806A5B" w:rsidRDefault="008716FC" w:rsidP="005C2AE0">
            <w:pPr>
              <w:keepNext/>
              <w:keepLines/>
              <w:tabs>
                <w:tab w:val="left" w:pos="-1440"/>
                <w:tab w:val="left" w:pos="-720"/>
              </w:tabs>
              <w:rPr>
                <w:b/>
                <w:sz w:val="20"/>
                <w:szCs w:val="20"/>
                <w:lang w:val="fr-CA"/>
              </w:rPr>
            </w:pPr>
            <w:r>
              <w:rPr>
                <w:b/>
                <w:sz w:val="20"/>
                <w:szCs w:val="20"/>
                <w:lang w:val="fr-CA"/>
              </w:rPr>
              <w:t>Jacques Thibault</w:t>
            </w:r>
          </w:p>
          <w:p w:rsidR="005C2AE0" w:rsidRPr="00806A5B" w:rsidRDefault="005C2AE0" w:rsidP="005C2AE0">
            <w:pPr>
              <w:keepNext/>
              <w:keepLines/>
              <w:tabs>
                <w:tab w:val="left" w:pos="-1440"/>
                <w:tab w:val="left" w:pos="-720"/>
              </w:tabs>
              <w:rPr>
                <w:sz w:val="20"/>
                <w:szCs w:val="20"/>
                <w:lang w:val="fr-CA"/>
              </w:rPr>
            </w:pPr>
            <w:r w:rsidRPr="00806A5B">
              <w:rPr>
                <w:sz w:val="20"/>
                <w:szCs w:val="20"/>
                <w:lang w:val="fr-CA"/>
              </w:rPr>
              <w:tab/>
            </w:r>
            <w:r w:rsidR="008716FC">
              <w:rPr>
                <w:sz w:val="20"/>
                <w:szCs w:val="20"/>
                <w:lang w:val="fr-CA"/>
              </w:rPr>
              <w:t>Stéphan</w:t>
            </w:r>
            <w:r w:rsidRPr="00806A5B">
              <w:rPr>
                <w:sz w:val="20"/>
                <w:szCs w:val="20"/>
                <w:lang w:val="fr-CA"/>
              </w:rPr>
              <w:t xml:space="preserve">e </w:t>
            </w:r>
            <w:r w:rsidR="008716FC">
              <w:rPr>
                <w:sz w:val="20"/>
                <w:szCs w:val="20"/>
                <w:lang w:val="fr-CA"/>
              </w:rPr>
              <w:t>Ha</w:t>
            </w:r>
            <w:r w:rsidRPr="00806A5B">
              <w:rPr>
                <w:sz w:val="20"/>
                <w:szCs w:val="20"/>
                <w:lang w:val="fr-CA"/>
              </w:rPr>
              <w:t>r</w:t>
            </w:r>
            <w:r w:rsidR="008716FC">
              <w:rPr>
                <w:sz w:val="20"/>
                <w:szCs w:val="20"/>
                <w:lang w:val="fr-CA"/>
              </w:rPr>
              <w:t>vey</w:t>
            </w:r>
          </w:p>
          <w:p w:rsidR="005C2AE0" w:rsidRPr="00806A5B" w:rsidRDefault="005C2AE0" w:rsidP="005C2AE0">
            <w:pPr>
              <w:keepNext/>
              <w:keepLines/>
              <w:tabs>
                <w:tab w:val="left" w:pos="-1440"/>
                <w:tab w:val="left" w:pos="-720"/>
              </w:tabs>
              <w:rPr>
                <w:sz w:val="20"/>
                <w:szCs w:val="20"/>
                <w:lang w:val="fr-CA"/>
              </w:rPr>
            </w:pPr>
            <w:r w:rsidRPr="00806A5B">
              <w:rPr>
                <w:sz w:val="20"/>
                <w:szCs w:val="20"/>
                <w:lang w:val="fr-CA"/>
              </w:rPr>
              <w:tab/>
            </w:r>
            <w:r w:rsidR="008716FC">
              <w:rPr>
                <w:sz w:val="20"/>
                <w:szCs w:val="20"/>
                <w:lang w:val="fr-CA"/>
              </w:rPr>
              <w:t>B</w:t>
            </w:r>
            <w:r w:rsidRPr="00806A5B">
              <w:rPr>
                <w:sz w:val="20"/>
                <w:szCs w:val="20"/>
                <w:lang w:val="fr-CA"/>
              </w:rPr>
              <w:t>ar</w:t>
            </w:r>
            <w:r w:rsidR="008716FC">
              <w:rPr>
                <w:sz w:val="20"/>
                <w:szCs w:val="20"/>
                <w:lang w:val="fr-CA"/>
              </w:rPr>
              <w:t>aka</w:t>
            </w:r>
            <w:r w:rsidRPr="00806A5B">
              <w:rPr>
                <w:sz w:val="20"/>
                <w:szCs w:val="20"/>
                <w:lang w:val="fr-CA"/>
              </w:rPr>
              <w:t>t</w:t>
            </w:r>
            <w:r w:rsidR="008716FC">
              <w:rPr>
                <w:sz w:val="20"/>
                <w:szCs w:val="20"/>
                <w:lang w:val="fr-CA"/>
              </w:rPr>
              <w:t>t S</w:t>
            </w:r>
            <w:r w:rsidRPr="00806A5B">
              <w:rPr>
                <w:sz w:val="20"/>
                <w:szCs w:val="20"/>
                <w:lang w:val="fr-CA"/>
              </w:rPr>
              <w:t>o</w:t>
            </w:r>
            <w:r w:rsidR="008716FC">
              <w:rPr>
                <w:sz w:val="20"/>
                <w:szCs w:val="20"/>
                <w:lang w:val="fr-CA"/>
              </w:rPr>
              <w:t>cié</w:t>
            </w:r>
            <w:r w:rsidRPr="00806A5B">
              <w:rPr>
                <w:sz w:val="20"/>
                <w:szCs w:val="20"/>
                <w:lang w:val="fr-CA"/>
              </w:rPr>
              <w:t>t</w:t>
            </w:r>
            <w:r w:rsidR="008716FC">
              <w:rPr>
                <w:sz w:val="20"/>
                <w:szCs w:val="20"/>
                <w:lang w:val="fr-CA"/>
              </w:rPr>
              <w:t>é d’</w:t>
            </w:r>
            <w:r w:rsidRPr="00806A5B">
              <w:rPr>
                <w:sz w:val="20"/>
                <w:szCs w:val="20"/>
                <w:lang w:val="fr-CA"/>
              </w:rPr>
              <w:t>A</w:t>
            </w:r>
            <w:r w:rsidR="008716FC">
              <w:rPr>
                <w:sz w:val="20"/>
                <w:szCs w:val="20"/>
                <w:lang w:val="fr-CA"/>
              </w:rPr>
              <w:t>vocat</w:t>
            </w:r>
            <w:r w:rsidRPr="00806A5B">
              <w:rPr>
                <w:sz w:val="20"/>
                <w:szCs w:val="20"/>
                <w:lang w:val="fr-CA"/>
              </w:rPr>
              <w:t>s</w:t>
            </w:r>
          </w:p>
          <w:p w:rsidR="005C2AE0" w:rsidRPr="00806A5B" w:rsidRDefault="005C2AE0" w:rsidP="005C2AE0">
            <w:pPr>
              <w:keepNext/>
              <w:keepLines/>
              <w:tabs>
                <w:tab w:val="left" w:pos="-1440"/>
                <w:tab w:val="left" w:pos="-720"/>
              </w:tabs>
              <w:rPr>
                <w:sz w:val="20"/>
                <w:szCs w:val="20"/>
                <w:lang w:val="fr-CA"/>
              </w:rPr>
            </w:pPr>
          </w:p>
          <w:p w:rsidR="005C2AE0" w:rsidRPr="00806A5B" w:rsidRDefault="005C2AE0" w:rsidP="005C2AE0">
            <w:pPr>
              <w:keepNext/>
              <w:keepLines/>
              <w:tabs>
                <w:tab w:val="left" w:pos="-1440"/>
                <w:tab w:val="left" w:pos="-720"/>
              </w:tabs>
              <w:rPr>
                <w:sz w:val="20"/>
                <w:szCs w:val="20"/>
                <w:lang w:val="fr-CA"/>
              </w:rPr>
            </w:pPr>
            <w:r w:rsidRPr="00806A5B">
              <w:rPr>
                <w:sz w:val="20"/>
                <w:szCs w:val="20"/>
                <w:lang w:val="fr-CA"/>
              </w:rPr>
              <w:tab/>
              <w:t>c. (36</w:t>
            </w:r>
            <w:r w:rsidR="008716FC">
              <w:rPr>
                <w:sz w:val="20"/>
                <w:szCs w:val="20"/>
                <w:lang w:val="fr-CA"/>
              </w:rPr>
              <w:t>418</w:t>
            </w:r>
            <w:r w:rsidRPr="00806A5B">
              <w:rPr>
                <w:sz w:val="20"/>
                <w:szCs w:val="20"/>
                <w:lang w:val="fr-CA"/>
              </w:rPr>
              <w:t>)</w:t>
            </w:r>
          </w:p>
          <w:p w:rsidR="005C2AE0" w:rsidRPr="00806A5B" w:rsidRDefault="005C2AE0" w:rsidP="005C2AE0">
            <w:pPr>
              <w:keepNext/>
              <w:keepLines/>
              <w:tabs>
                <w:tab w:val="left" w:pos="-1440"/>
                <w:tab w:val="left" w:pos="-720"/>
              </w:tabs>
              <w:rPr>
                <w:sz w:val="20"/>
                <w:szCs w:val="20"/>
                <w:lang w:val="fr-CA"/>
              </w:rPr>
            </w:pPr>
          </w:p>
          <w:p w:rsidR="005C2AE0" w:rsidRPr="00806A5B" w:rsidRDefault="008716FC" w:rsidP="005C2AE0">
            <w:pPr>
              <w:keepNext/>
              <w:keepLines/>
              <w:tabs>
                <w:tab w:val="left" w:pos="-1440"/>
                <w:tab w:val="left" w:pos="-720"/>
              </w:tabs>
              <w:rPr>
                <w:b/>
                <w:sz w:val="20"/>
                <w:szCs w:val="20"/>
                <w:lang w:val="fr-CA"/>
              </w:rPr>
            </w:pPr>
            <w:r>
              <w:rPr>
                <w:b/>
                <w:sz w:val="20"/>
                <w:szCs w:val="20"/>
                <w:lang w:val="fr-CA"/>
              </w:rPr>
              <w:t>D</w:t>
            </w:r>
            <w:r w:rsidR="005C2AE0" w:rsidRPr="00806A5B">
              <w:rPr>
                <w:b/>
                <w:sz w:val="20"/>
                <w:szCs w:val="20"/>
                <w:lang w:val="fr-CA"/>
              </w:rPr>
              <w:t>a</w:t>
            </w:r>
            <w:r>
              <w:rPr>
                <w:b/>
                <w:sz w:val="20"/>
                <w:szCs w:val="20"/>
                <w:lang w:val="fr-CA"/>
              </w:rPr>
              <w:t>ni</w:t>
            </w:r>
            <w:r w:rsidR="005C2AE0" w:rsidRPr="00806A5B">
              <w:rPr>
                <w:b/>
                <w:sz w:val="20"/>
                <w:szCs w:val="20"/>
                <w:lang w:val="fr-CA"/>
              </w:rPr>
              <w:t>el</w:t>
            </w:r>
            <w:r>
              <w:rPr>
                <w:b/>
                <w:sz w:val="20"/>
                <w:szCs w:val="20"/>
                <w:lang w:val="fr-CA"/>
              </w:rPr>
              <w:t xml:space="preserve"> Clout</w:t>
            </w:r>
            <w:r w:rsidR="005C2AE0" w:rsidRPr="00806A5B">
              <w:rPr>
                <w:b/>
                <w:sz w:val="20"/>
                <w:szCs w:val="20"/>
                <w:lang w:val="fr-CA"/>
              </w:rPr>
              <w:t>ie</w:t>
            </w:r>
            <w:r>
              <w:rPr>
                <w:b/>
                <w:sz w:val="20"/>
                <w:szCs w:val="20"/>
                <w:lang w:val="fr-CA"/>
              </w:rPr>
              <w:t>r</w:t>
            </w:r>
            <w:r w:rsidR="005C2AE0" w:rsidRPr="00806A5B">
              <w:rPr>
                <w:b/>
                <w:sz w:val="20"/>
                <w:szCs w:val="20"/>
                <w:lang w:val="fr-CA"/>
              </w:rPr>
              <w:t xml:space="preserve"> (Qc)</w:t>
            </w:r>
          </w:p>
          <w:p w:rsidR="005C2AE0" w:rsidRPr="00806A5B" w:rsidRDefault="005C2AE0" w:rsidP="005C2AE0">
            <w:pPr>
              <w:keepNext/>
              <w:keepLines/>
              <w:tabs>
                <w:tab w:val="left" w:pos="-1440"/>
                <w:tab w:val="left" w:pos="-720"/>
              </w:tabs>
              <w:rPr>
                <w:sz w:val="20"/>
                <w:szCs w:val="20"/>
                <w:lang w:val="fr-CA"/>
              </w:rPr>
            </w:pPr>
            <w:r w:rsidRPr="00806A5B">
              <w:rPr>
                <w:sz w:val="20"/>
                <w:szCs w:val="20"/>
                <w:lang w:val="fr-CA"/>
              </w:rPr>
              <w:tab/>
            </w:r>
            <w:r w:rsidR="008716FC">
              <w:rPr>
                <w:sz w:val="20"/>
                <w:szCs w:val="20"/>
                <w:lang w:val="fr-CA"/>
              </w:rPr>
              <w:t>Alexandr</w:t>
            </w:r>
            <w:r>
              <w:rPr>
                <w:sz w:val="20"/>
                <w:szCs w:val="20"/>
                <w:lang w:val="fr-CA"/>
              </w:rPr>
              <w:t>e</w:t>
            </w:r>
            <w:r w:rsidR="008716FC">
              <w:rPr>
                <w:sz w:val="20"/>
                <w:szCs w:val="20"/>
                <w:lang w:val="fr-CA"/>
              </w:rPr>
              <w:t xml:space="preserve"> Br</w:t>
            </w:r>
            <w:r>
              <w:rPr>
                <w:sz w:val="20"/>
                <w:szCs w:val="20"/>
                <w:lang w:val="fr-CA"/>
              </w:rPr>
              <w:t>ou</w:t>
            </w:r>
            <w:r w:rsidR="008716FC">
              <w:rPr>
                <w:sz w:val="20"/>
                <w:szCs w:val="20"/>
                <w:lang w:val="fr-CA"/>
              </w:rPr>
              <w:t>sseau</w:t>
            </w:r>
          </w:p>
          <w:p w:rsidR="005C2AE0" w:rsidRPr="00806A5B" w:rsidRDefault="005C2AE0" w:rsidP="005C2AE0">
            <w:pPr>
              <w:keepNext/>
              <w:keepLines/>
              <w:tabs>
                <w:tab w:val="left" w:pos="-1440"/>
                <w:tab w:val="left" w:pos="-720"/>
              </w:tabs>
              <w:rPr>
                <w:sz w:val="20"/>
                <w:szCs w:val="20"/>
                <w:lang w:val="fr-CA"/>
              </w:rPr>
            </w:pPr>
            <w:r w:rsidRPr="00806A5B">
              <w:rPr>
                <w:sz w:val="20"/>
                <w:szCs w:val="20"/>
                <w:lang w:val="fr-CA"/>
              </w:rPr>
              <w:tab/>
            </w:r>
            <w:r w:rsidR="008716FC">
              <w:rPr>
                <w:sz w:val="20"/>
                <w:szCs w:val="20"/>
                <w:lang w:val="fr-CA"/>
              </w:rPr>
              <w:t>J</w:t>
            </w:r>
            <w:r>
              <w:rPr>
                <w:sz w:val="20"/>
                <w:szCs w:val="20"/>
                <w:lang w:val="fr-CA"/>
              </w:rPr>
              <w:t>o</w:t>
            </w:r>
            <w:r w:rsidR="008716FC">
              <w:rPr>
                <w:sz w:val="20"/>
                <w:szCs w:val="20"/>
                <w:lang w:val="fr-CA"/>
              </w:rPr>
              <w:t>l</w:t>
            </w:r>
            <w:r>
              <w:rPr>
                <w:sz w:val="20"/>
                <w:szCs w:val="20"/>
                <w:lang w:val="fr-CA"/>
              </w:rPr>
              <w:t>i</w:t>
            </w:r>
            <w:r w:rsidR="008716FC">
              <w:rPr>
                <w:sz w:val="20"/>
                <w:szCs w:val="20"/>
                <w:lang w:val="fr-CA"/>
              </w:rPr>
              <w:t>-Cœur La</w:t>
            </w:r>
            <w:r>
              <w:rPr>
                <w:sz w:val="20"/>
                <w:szCs w:val="20"/>
                <w:lang w:val="fr-CA"/>
              </w:rPr>
              <w:t>c</w:t>
            </w:r>
            <w:r w:rsidR="008716FC">
              <w:rPr>
                <w:sz w:val="20"/>
                <w:szCs w:val="20"/>
                <w:lang w:val="fr-CA"/>
              </w:rPr>
              <w:t>asse S.E.N.C.R.L.</w:t>
            </w:r>
          </w:p>
          <w:p w:rsidR="005C2AE0" w:rsidRPr="00806A5B" w:rsidRDefault="005C2AE0" w:rsidP="005C2AE0">
            <w:pPr>
              <w:keepNext/>
              <w:keepLines/>
              <w:tabs>
                <w:tab w:val="left" w:pos="-1440"/>
                <w:tab w:val="left" w:pos="-720"/>
              </w:tabs>
              <w:rPr>
                <w:sz w:val="20"/>
                <w:szCs w:val="20"/>
                <w:lang w:val="fr-CA"/>
              </w:rPr>
            </w:pPr>
          </w:p>
          <w:p w:rsidR="005C2AE0" w:rsidRPr="00806A5B" w:rsidRDefault="005C2AE0" w:rsidP="008716FC">
            <w:pPr>
              <w:rPr>
                <w:sz w:val="20"/>
                <w:szCs w:val="20"/>
                <w:lang w:val="fr-CA"/>
              </w:rPr>
            </w:pPr>
            <w:r w:rsidRPr="00806A5B">
              <w:rPr>
                <w:sz w:val="20"/>
                <w:szCs w:val="20"/>
                <w:lang w:val="fr-CA"/>
              </w:rPr>
              <w:t>DATE DE PRODUCTION</w:t>
            </w:r>
            <w:r w:rsidR="008716FC">
              <w:rPr>
                <w:sz w:val="20"/>
                <w:szCs w:val="20"/>
                <w:lang w:val="fr-CA"/>
              </w:rPr>
              <w:t xml:space="preserve"> </w:t>
            </w:r>
            <w:r w:rsidRPr="00806A5B">
              <w:rPr>
                <w:sz w:val="20"/>
                <w:szCs w:val="20"/>
                <w:lang w:val="fr-CA"/>
              </w:rPr>
              <w:t xml:space="preserve">: </w:t>
            </w:r>
            <w:r>
              <w:rPr>
                <w:sz w:val="20"/>
                <w:szCs w:val="20"/>
                <w:lang w:val="fr-CA"/>
              </w:rPr>
              <w:t>0</w:t>
            </w:r>
            <w:r w:rsidR="008716FC">
              <w:rPr>
                <w:sz w:val="20"/>
                <w:szCs w:val="20"/>
                <w:lang w:val="fr-CA"/>
              </w:rPr>
              <w:t>4</w:t>
            </w:r>
            <w:r w:rsidRPr="00806A5B">
              <w:rPr>
                <w:sz w:val="20"/>
                <w:szCs w:val="20"/>
                <w:lang w:val="fr-CA"/>
              </w:rPr>
              <w:t>.0</w:t>
            </w:r>
            <w:r w:rsidR="008716FC">
              <w:rPr>
                <w:sz w:val="20"/>
                <w:szCs w:val="20"/>
                <w:lang w:val="fr-CA"/>
              </w:rPr>
              <w:t>5</w:t>
            </w:r>
            <w:r w:rsidRPr="00806A5B">
              <w:rPr>
                <w:sz w:val="20"/>
                <w:szCs w:val="20"/>
                <w:lang w:val="fr-CA"/>
              </w:rPr>
              <w:t>.201</w:t>
            </w:r>
            <w:r w:rsidR="008716FC">
              <w:rPr>
                <w:sz w:val="20"/>
                <w:szCs w:val="20"/>
                <w:lang w:val="fr-CA"/>
              </w:rPr>
              <w:t>5</w:t>
            </w:r>
            <w:r w:rsidR="001D3FE1">
              <w:rPr>
                <w:sz w:val="20"/>
                <w:szCs w:val="20"/>
                <w:lang w:val="fr-CA"/>
              </w:rPr>
              <w:pict>
                <v:rect id="_x0000_i1032"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EA542F">
          <w:headerReference w:type="default" r:id="rId17"/>
          <w:footerReference w:type="default" r:id="rId18"/>
          <w:headerReference w:type="first" r:id="rId19"/>
          <w:footerReference w:type="first" r:id="rId20"/>
          <w:pgSz w:w="12240" w:h="15840"/>
          <w:pgMar w:top="720" w:right="965" w:bottom="1080" w:left="1656" w:header="706" w:footer="706" w:gutter="0"/>
          <w:pgNumType w:start="93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D3FE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B50DDE" w:rsidP="00CB3520">
      <w:pPr>
        <w:widowControl w:val="0"/>
        <w:rPr>
          <w:b/>
          <w:sz w:val="20"/>
          <w:szCs w:val="20"/>
        </w:rPr>
      </w:pPr>
      <w:r>
        <w:rPr>
          <w:b/>
          <w:sz w:val="20"/>
          <w:szCs w:val="20"/>
        </w:rPr>
        <w:t>M</w:t>
      </w:r>
      <w:r w:rsidR="00CB3520">
        <w:rPr>
          <w:b/>
          <w:sz w:val="20"/>
          <w:szCs w:val="20"/>
        </w:rPr>
        <w:t>AY 2</w:t>
      </w:r>
      <w:r>
        <w:rPr>
          <w:b/>
          <w:sz w:val="20"/>
          <w:szCs w:val="20"/>
        </w:rPr>
        <w:t>5</w:t>
      </w:r>
      <w:r w:rsidR="00CB3520" w:rsidRPr="00C50A5C">
        <w:rPr>
          <w:b/>
          <w:sz w:val="20"/>
          <w:szCs w:val="20"/>
        </w:rPr>
        <w:t>, 201</w:t>
      </w:r>
      <w:r w:rsidR="00020DC3">
        <w:rPr>
          <w:b/>
          <w:sz w:val="20"/>
          <w:szCs w:val="20"/>
        </w:rPr>
        <w:t>5</w:t>
      </w:r>
      <w:r w:rsidR="00CB3520" w:rsidRPr="00C50A5C">
        <w:rPr>
          <w:b/>
          <w:sz w:val="20"/>
          <w:szCs w:val="20"/>
        </w:rPr>
        <w:t xml:space="preserve"> / LE </w:t>
      </w:r>
      <w:r w:rsidR="00CB3520">
        <w:rPr>
          <w:b/>
          <w:sz w:val="20"/>
          <w:szCs w:val="20"/>
        </w:rPr>
        <w:t>2</w:t>
      </w:r>
      <w:r>
        <w:rPr>
          <w:b/>
          <w:sz w:val="20"/>
          <w:szCs w:val="20"/>
        </w:rPr>
        <w:t>5</w:t>
      </w:r>
      <w:r w:rsidR="00CB3520">
        <w:rPr>
          <w:b/>
          <w:sz w:val="20"/>
          <w:szCs w:val="20"/>
        </w:rPr>
        <w:t xml:space="preserve"> </w:t>
      </w:r>
      <w:r>
        <w:rPr>
          <w:b/>
          <w:sz w:val="20"/>
          <w:szCs w:val="20"/>
        </w:rPr>
        <w:t>M</w:t>
      </w:r>
      <w:r w:rsidR="00CB3520">
        <w:rPr>
          <w:b/>
          <w:sz w:val="20"/>
          <w:szCs w:val="20"/>
        </w:rPr>
        <w:t>AI</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D95C79" w:rsidP="00CB3520">
      <w:pPr>
        <w:pStyle w:val="ListParagraph"/>
        <w:widowControl w:val="0"/>
        <w:numPr>
          <w:ilvl w:val="0"/>
          <w:numId w:val="1"/>
        </w:numPr>
        <w:ind w:hanging="720"/>
        <w:jc w:val="both"/>
        <w:rPr>
          <w:sz w:val="20"/>
          <w:szCs w:val="20"/>
        </w:rPr>
      </w:pPr>
      <w:r w:rsidRPr="00D95C79">
        <w:rPr>
          <w:i/>
          <w:sz w:val="20"/>
          <w:szCs w:val="20"/>
        </w:rPr>
        <w:t>Udell So v. Her Majesty the Queen</w:t>
      </w:r>
      <w:r w:rsidRPr="00B50DDE">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6</w:t>
      </w:r>
      <w:r w:rsidR="00B50DDE">
        <w:rPr>
          <w:sz w:val="20"/>
          <w:szCs w:val="20"/>
        </w:rPr>
        <w:t>3</w:t>
      </w:r>
      <w:r w:rsidR="00CB3520">
        <w:rPr>
          <w:sz w:val="20"/>
          <w:szCs w:val="20"/>
        </w:rPr>
        <w:t>2</w:t>
      </w:r>
      <w:r w:rsidR="00B50DDE">
        <w:rPr>
          <w:sz w:val="20"/>
          <w:szCs w:val="20"/>
        </w:rPr>
        <w:t>1</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D95C79" w:rsidP="00CB3520">
      <w:pPr>
        <w:pStyle w:val="ListParagraph"/>
        <w:widowControl w:val="0"/>
        <w:numPr>
          <w:ilvl w:val="0"/>
          <w:numId w:val="1"/>
        </w:numPr>
        <w:ind w:hanging="720"/>
        <w:jc w:val="both"/>
        <w:rPr>
          <w:sz w:val="20"/>
          <w:szCs w:val="20"/>
        </w:rPr>
      </w:pPr>
      <w:r w:rsidRPr="00D95C79">
        <w:rPr>
          <w:i/>
          <w:sz w:val="20"/>
          <w:szCs w:val="20"/>
        </w:rPr>
        <w:t>Larry Peter Klippenstein v. Manitoba Ombudsman</w:t>
      </w:r>
      <w:r w:rsidRPr="00B50DDE">
        <w:rPr>
          <w:sz w:val="20"/>
          <w:szCs w:val="20"/>
        </w:rPr>
        <w:t xml:space="preserve"> (Man.) (Civil) (By Leave)</w:t>
      </w:r>
      <w:r w:rsidRPr="00C612D0">
        <w:rPr>
          <w:sz w:val="20"/>
          <w:szCs w:val="20"/>
        </w:rPr>
        <w:t xml:space="preserve"> </w:t>
      </w:r>
      <w:r w:rsidR="00CB3520" w:rsidRPr="00C612D0">
        <w:rPr>
          <w:sz w:val="20"/>
          <w:szCs w:val="20"/>
        </w:rPr>
        <w:t>(3</w:t>
      </w:r>
      <w:r w:rsidR="00CB3520">
        <w:rPr>
          <w:sz w:val="20"/>
          <w:szCs w:val="20"/>
        </w:rPr>
        <w:t>6</w:t>
      </w:r>
      <w:r w:rsidR="00B50DDE">
        <w:rPr>
          <w:sz w:val="20"/>
          <w:szCs w:val="20"/>
        </w:rPr>
        <w:t>379</w:t>
      </w:r>
      <w:r w:rsidR="00CB3520" w:rsidRPr="00C612D0">
        <w:rPr>
          <w:sz w:val="20"/>
          <w:szCs w:val="20"/>
        </w:rPr>
        <w:t>)</w:t>
      </w:r>
    </w:p>
    <w:p w:rsidR="00CB3520" w:rsidRDefault="00CB3520" w:rsidP="00CB3520">
      <w:pPr>
        <w:widowControl w:val="0"/>
        <w:jc w:val="both"/>
        <w:rPr>
          <w:sz w:val="20"/>
          <w:szCs w:val="20"/>
        </w:rPr>
      </w:pPr>
    </w:p>
    <w:p w:rsidR="00B50DDE" w:rsidRDefault="00B50DDE" w:rsidP="00CB3520">
      <w:pPr>
        <w:widowControl w:val="0"/>
        <w:jc w:val="both"/>
        <w:rPr>
          <w:sz w:val="20"/>
          <w:szCs w:val="20"/>
        </w:rPr>
      </w:pPr>
    </w:p>
    <w:p w:rsidR="00B50DDE" w:rsidRPr="00B50DDE" w:rsidRDefault="00B50DDE" w:rsidP="00B50DDE">
      <w:pPr>
        <w:widowControl w:val="0"/>
        <w:jc w:val="center"/>
        <w:rPr>
          <w:b/>
          <w:sz w:val="20"/>
          <w:szCs w:val="20"/>
          <w:lang w:val="fr-CA"/>
        </w:rPr>
      </w:pPr>
      <w:r w:rsidRPr="00B50DDE">
        <w:rPr>
          <w:b/>
          <w:sz w:val="20"/>
          <w:szCs w:val="20"/>
          <w:lang w:val="fr-CA"/>
        </w:rPr>
        <w:t>CORAM: Abella, Karakatsanis and Côté JJ.</w:t>
      </w:r>
    </w:p>
    <w:p w:rsidR="00B50DDE" w:rsidRPr="00C50A5C" w:rsidRDefault="00B50DDE" w:rsidP="00B50DDE">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B50DDE" w:rsidRPr="00B50DDE" w:rsidRDefault="00B50DDE" w:rsidP="00CB3520">
      <w:pPr>
        <w:widowControl w:val="0"/>
        <w:jc w:val="both"/>
        <w:rPr>
          <w:sz w:val="20"/>
          <w:szCs w:val="20"/>
          <w:lang w:val="fr-CA"/>
        </w:rPr>
      </w:pPr>
    </w:p>
    <w:p w:rsidR="00CB3520" w:rsidRPr="00D95C79" w:rsidRDefault="00D95C79" w:rsidP="00CB3520">
      <w:pPr>
        <w:pStyle w:val="ListParagraph"/>
        <w:widowControl w:val="0"/>
        <w:numPr>
          <w:ilvl w:val="0"/>
          <w:numId w:val="1"/>
        </w:numPr>
        <w:ind w:hanging="720"/>
        <w:jc w:val="both"/>
        <w:rPr>
          <w:sz w:val="20"/>
          <w:szCs w:val="20"/>
          <w:lang w:val="fr-CA"/>
        </w:rPr>
      </w:pPr>
      <w:r w:rsidRPr="00D95C79">
        <w:rPr>
          <w:i/>
          <w:sz w:val="20"/>
          <w:szCs w:val="20"/>
          <w:lang w:val="fr-CA"/>
        </w:rPr>
        <w:t>C.M. c. L.L. et autre</w:t>
      </w:r>
      <w:r w:rsidRPr="00B50DDE">
        <w:rPr>
          <w:sz w:val="20"/>
          <w:szCs w:val="20"/>
          <w:lang w:val="fr-CA"/>
        </w:rPr>
        <w:t xml:space="preserve"> (Qc) (Civile) (Autorisation)</w:t>
      </w:r>
      <w:r w:rsidRPr="00D95C79">
        <w:rPr>
          <w:sz w:val="20"/>
          <w:szCs w:val="20"/>
          <w:lang w:val="fr-CA"/>
        </w:rPr>
        <w:t xml:space="preserve"> </w:t>
      </w:r>
      <w:r w:rsidR="00CB3520" w:rsidRPr="00D95C79">
        <w:rPr>
          <w:sz w:val="20"/>
          <w:szCs w:val="20"/>
          <w:lang w:val="fr-CA"/>
        </w:rPr>
        <w:t>(3</w:t>
      </w:r>
      <w:r w:rsidR="00B50DDE" w:rsidRPr="00D95C79">
        <w:rPr>
          <w:sz w:val="20"/>
          <w:szCs w:val="20"/>
          <w:lang w:val="fr-CA"/>
        </w:rPr>
        <w:t>63</w:t>
      </w:r>
      <w:r w:rsidR="00CB3520" w:rsidRPr="00D95C79">
        <w:rPr>
          <w:sz w:val="20"/>
          <w:szCs w:val="20"/>
          <w:lang w:val="fr-CA"/>
        </w:rPr>
        <w:t>0</w:t>
      </w:r>
      <w:r w:rsidR="00B50DDE" w:rsidRPr="00D95C79">
        <w:rPr>
          <w:sz w:val="20"/>
          <w:szCs w:val="20"/>
          <w:lang w:val="fr-CA"/>
        </w:rPr>
        <w:t>6</w:t>
      </w:r>
      <w:r w:rsidR="00CB3520" w:rsidRPr="00D95C79">
        <w:rPr>
          <w:sz w:val="20"/>
          <w:szCs w:val="20"/>
          <w:lang w:val="fr-CA"/>
        </w:rPr>
        <w:t>)</w:t>
      </w:r>
    </w:p>
    <w:p w:rsidR="00CB3520" w:rsidRPr="00D95C79" w:rsidRDefault="00CB3520" w:rsidP="00CB3520">
      <w:pPr>
        <w:widowControl w:val="0"/>
        <w:rPr>
          <w:sz w:val="20"/>
          <w:szCs w:val="20"/>
          <w:lang w:val="fr-CA"/>
        </w:rPr>
      </w:pPr>
    </w:p>
    <w:p w:rsidR="00CB3520" w:rsidRPr="00D95C79" w:rsidRDefault="00D95C79" w:rsidP="00CB3520">
      <w:pPr>
        <w:pStyle w:val="ListParagraph"/>
        <w:widowControl w:val="0"/>
        <w:numPr>
          <w:ilvl w:val="0"/>
          <w:numId w:val="1"/>
        </w:numPr>
        <w:ind w:hanging="720"/>
        <w:jc w:val="both"/>
        <w:rPr>
          <w:sz w:val="20"/>
          <w:szCs w:val="20"/>
          <w:lang w:val="fr-CA"/>
        </w:rPr>
      </w:pPr>
      <w:r w:rsidRPr="00D95C79">
        <w:rPr>
          <w:i/>
          <w:sz w:val="20"/>
          <w:szCs w:val="20"/>
          <w:lang w:val="fr-CA"/>
        </w:rPr>
        <w:t>Jean Maynard c. Agence du revenu du Canada</w:t>
      </w:r>
      <w:r w:rsidRPr="00B50DDE">
        <w:rPr>
          <w:sz w:val="20"/>
          <w:szCs w:val="20"/>
          <w:lang w:val="fr-CA"/>
        </w:rPr>
        <w:t xml:space="preserve"> (Qc) (Civile) (Autorisation)</w:t>
      </w:r>
      <w:r w:rsidRPr="00D95C79">
        <w:rPr>
          <w:sz w:val="20"/>
          <w:szCs w:val="20"/>
          <w:lang w:val="fr-CA"/>
        </w:rPr>
        <w:t xml:space="preserve"> </w:t>
      </w:r>
      <w:r w:rsidR="00CB3520" w:rsidRPr="00D95C79">
        <w:rPr>
          <w:sz w:val="20"/>
          <w:szCs w:val="20"/>
          <w:lang w:val="fr-CA"/>
        </w:rPr>
        <w:t>(36</w:t>
      </w:r>
      <w:r w:rsidR="00B50DDE" w:rsidRPr="00D95C79">
        <w:rPr>
          <w:sz w:val="20"/>
          <w:szCs w:val="20"/>
          <w:lang w:val="fr-CA"/>
        </w:rPr>
        <w:t>255</w:t>
      </w:r>
      <w:r w:rsidR="00CB3520" w:rsidRPr="00D95C79">
        <w:rPr>
          <w:sz w:val="20"/>
          <w:szCs w:val="20"/>
          <w:lang w:val="fr-CA"/>
        </w:rPr>
        <w:t>)</w:t>
      </w:r>
    </w:p>
    <w:p w:rsidR="00CB3520" w:rsidRPr="00D95C79" w:rsidRDefault="00CB3520" w:rsidP="00CB3520">
      <w:pPr>
        <w:widowControl w:val="0"/>
        <w:jc w:val="both"/>
        <w:rPr>
          <w:sz w:val="20"/>
          <w:szCs w:val="20"/>
          <w:lang w:val="fr-CA"/>
        </w:rPr>
      </w:pPr>
    </w:p>
    <w:p w:rsidR="00B50DDE" w:rsidRPr="00D95C79" w:rsidRDefault="00B50DDE" w:rsidP="00CB3520">
      <w:pPr>
        <w:widowControl w:val="0"/>
        <w:jc w:val="both"/>
        <w:rPr>
          <w:sz w:val="20"/>
          <w:szCs w:val="20"/>
          <w:lang w:val="fr-CA"/>
        </w:rPr>
      </w:pPr>
    </w:p>
    <w:p w:rsidR="00B50DDE" w:rsidRPr="00C50A5C" w:rsidRDefault="00B50DDE" w:rsidP="00B50DDE">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B50DDE" w:rsidRPr="00C50A5C" w:rsidRDefault="00B50DDE" w:rsidP="00B50DDE">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B50DDE" w:rsidRPr="00B50DDE" w:rsidRDefault="00B50DDE" w:rsidP="00CB3520">
      <w:pPr>
        <w:widowControl w:val="0"/>
        <w:jc w:val="both"/>
        <w:rPr>
          <w:sz w:val="20"/>
          <w:szCs w:val="20"/>
          <w:lang w:val="fr-CA"/>
        </w:rPr>
      </w:pPr>
    </w:p>
    <w:p w:rsidR="00CB3520" w:rsidRPr="009C5D38" w:rsidRDefault="00D95C79" w:rsidP="00CB3520">
      <w:pPr>
        <w:pStyle w:val="ListParagraph"/>
        <w:widowControl w:val="0"/>
        <w:numPr>
          <w:ilvl w:val="0"/>
          <w:numId w:val="1"/>
        </w:numPr>
        <w:ind w:hanging="720"/>
        <w:jc w:val="both"/>
        <w:rPr>
          <w:sz w:val="20"/>
          <w:szCs w:val="20"/>
        </w:rPr>
      </w:pPr>
      <w:r w:rsidRPr="00D95C79">
        <w:rPr>
          <w:i/>
          <w:sz w:val="20"/>
          <w:szCs w:val="20"/>
        </w:rPr>
        <w:t>T.M. v. Her Majesty the Queen</w:t>
      </w:r>
      <w:r w:rsidRPr="00B50DDE">
        <w:rPr>
          <w:sz w:val="20"/>
          <w:szCs w:val="20"/>
        </w:rPr>
        <w:t xml:space="preserve"> (Ont.) (Crim.) (By Leave)</w:t>
      </w:r>
      <w:r w:rsidRPr="009C5D38">
        <w:rPr>
          <w:sz w:val="20"/>
          <w:szCs w:val="20"/>
        </w:rPr>
        <w:t xml:space="preserve"> </w:t>
      </w:r>
      <w:r w:rsidR="00CB3520" w:rsidRPr="009C5D38">
        <w:rPr>
          <w:sz w:val="20"/>
          <w:szCs w:val="20"/>
        </w:rPr>
        <w:t>(36</w:t>
      </w:r>
      <w:r w:rsidR="00B50DDE">
        <w:rPr>
          <w:sz w:val="20"/>
          <w:szCs w:val="20"/>
        </w:rPr>
        <w:t>358</w:t>
      </w:r>
      <w:r w:rsidR="00CB3520" w:rsidRPr="009C5D38">
        <w:rPr>
          <w:sz w:val="20"/>
          <w:szCs w:val="20"/>
        </w:rPr>
        <w:t>)</w:t>
      </w:r>
    </w:p>
    <w:p w:rsidR="00CB3520" w:rsidRPr="00D95C79" w:rsidRDefault="00CB3520" w:rsidP="00CB3520">
      <w:pPr>
        <w:widowControl w:val="0"/>
        <w:jc w:val="both"/>
        <w:rPr>
          <w:sz w:val="20"/>
          <w:szCs w:val="20"/>
        </w:rPr>
      </w:pPr>
    </w:p>
    <w:p w:rsidR="00CB3520" w:rsidRPr="00B50DDE" w:rsidRDefault="00D95C79" w:rsidP="00CB3520">
      <w:pPr>
        <w:pStyle w:val="ListParagraph"/>
        <w:widowControl w:val="0"/>
        <w:numPr>
          <w:ilvl w:val="0"/>
          <w:numId w:val="1"/>
        </w:numPr>
        <w:ind w:hanging="720"/>
        <w:jc w:val="both"/>
        <w:rPr>
          <w:sz w:val="20"/>
          <w:szCs w:val="20"/>
        </w:rPr>
      </w:pPr>
      <w:r w:rsidRPr="00D95C79">
        <w:rPr>
          <w:i/>
          <w:sz w:val="20"/>
          <w:szCs w:val="20"/>
        </w:rPr>
        <w:t>Martin Green v. Hiep Tram et al.</w:t>
      </w:r>
      <w:r w:rsidRPr="00B50DDE">
        <w:rPr>
          <w:sz w:val="20"/>
          <w:szCs w:val="20"/>
        </w:rPr>
        <w:t xml:space="preserve"> (Man.) (Civil) (By Leave) </w:t>
      </w:r>
      <w:r w:rsidR="00CB3520" w:rsidRPr="00B50DDE">
        <w:rPr>
          <w:sz w:val="20"/>
          <w:szCs w:val="20"/>
        </w:rPr>
        <w:t>(363</w:t>
      </w:r>
      <w:r w:rsidR="00B50DDE">
        <w:rPr>
          <w:sz w:val="20"/>
          <w:szCs w:val="20"/>
        </w:rPr>
        <w:t>39</w:t>
      </w:r>
      <w:r w:rsidR="00CB3520" w:rsidRPr="00B50DDE">
        <w:rPr>
          <w:sz w:val="20"/>
          <w:szCs w:val="20"/>
        </w:rPr>
        <w:t>)</w:t>
      </w:r>
    </w:p>
    <w:p w:rsidR="00CB3520" w:rsidRDefault="00CB3520" w:rsidP="00CB3520">
      <w:pPr>
        <w:widowControl w:val="0"/>
        <w:jc w:val="both"/>
        <w:rPr>
          <w:sz w:val="20"/>
          <w:szCs w:val="20"/>
        </w:rPr>
      </w:pPr>
    </w:p>
    <w:p w:rsidR="002E2327" w:rsidRDefault="001D3FE1"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B50DDE" w:rsidRPr="00B50DDE" w:rsidRDefault="00B50DDE" w:rsidP="00B50DD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1D3FE1"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67AD0" w:rsidP="000E2959">
      <w:pPr>
        <w:rPr>
          <w:b/>
          <w:sz w:val="20"/>
          <w:szCs w:val="20"/>
        </w:rPr>
      </w:pPr>
      <w:r>
        <w:rPr>
          <w:b/>
          <w:sz w:val="20"/>
          <w:szCs w:val="20"/>
        </w:rPr>
        <w:t>M</w:t>
      </w:r>
      <w:r w:rsidR="000E2959" w:rsidRPr="00C50A5C">
        <w:rPr>
          <w:b/>
          <w:sz w:val="20"/>
          <w:szCs w:val="20"/>
        </w:rPr>
        <w:t>A</w:t>
      </w:r>
      <w:r w:rsidR="000E2959">
        <w:rPr>
          <w:b/>
          <w:sz w:val="20"/>
          <w:szCs w:val="20"/>
        </w:rPr>
        <w:t>Y</w:t>
      </w:r>
      <w:r w:rsidR="000E2959" w:rsidRPr="00C50A5C">
        <w:rPr>
          <w:b/>
          <w:sz w:val="20"/>
          <w:szCs w:val="20"/>
        </w:rPr>
        <w:t xml:space="preserve"> 2</w:t>
      </w:r>
      <w:r>
        <w:rPr>
          <w:b/>
          <w:sz w:val="20"/>
          <w:szCs w:val="20"/>
        </w:rPr>
        <w:t>8</w:t>
      </w:r>
      <w:r w:rsidR="000E2959" w:rsidRPr="00C50A5C">
        <w:rPr>
          <w:b/>
          <w:sz w:val="20"/>
          <w:szCs w:val="20"/>
        </w:rPr>
        <w:t>, 201</w:t>
      </w:r>
      <w:r w:rsidR="00681F61">
        <w:rPr>
          <w:b/>
          <w:sz w:val="20"/>
          <w:szCs w:val="20"/>
        </w:rPr>
        <w:t>5</w:t>
      </w:r>
      <w:r w:rsidR="000E2959" w:rsidRPr="00C50A5C">
        <w:rPr>
          <w:b/>
          <w:sz w:val="20"/>
          <w:szCs w:val="20"/>
        </w:rPr>
        <w:t xml:space="preserve"> / LE 2</w:t>
      </w:r>
      <w:r>
        <w:rPr>
          <w:b/>
          <w:sz w:val="20"/>
          <w:szCs w:val="20"/>
        </w:rPr>
        <w:t>8</w:t>
      </w:r>
      <w:r w:rsidR="000E2959" w:rsidRPr="00C50A5C">
        <w:rPr>
          <w:b/>
          <w:sz w:val="20"/>
          <w:szCs w:val="20"/>
        </w:rPr>
        <w:t xml:space="preserve"> </w:t>
      </w:r>
      <w:r>
        <w:rPr>
          <w:b/>
          <w:sz w:val="20"/>
          <w:szCs w:val="20"/>
        </w:rPr>
        <w:t>M</w:t>
      </w:r>
      <w:r w:rsidR="000E2959" w:rsidRPr="00C50A5C">
        <w:rPr>
          <w:b/>
          <w:sz w:val="20"/>
          <w:szCs w:val="20"/>
        </w:rPr>
        <w:t>AI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7AAF" w:rsidRPr="00FE1AD8" w:rsidTr="002E7AAF">
        <w:trPr>
          <w:cantSplit/>
        </w:trPr>
        <w:tc>
          <w:tcPr>
            <w:tcW w:w="1458" w:type="dxa"/>
          </w:tcPr>
          <w:p w:rsidR="002E7AAF" w:rsidRPr="00FE1AD8" w:rsidRDefault="002E7AAF" w:rsidP="002E7AAF">
            <w:pPr>
              <w:rPr>
                <w:sz w:val="20"/>
                <w:szCs w:val="20"/>
              </w:rPr>
            </w:pPr>
            <w:r w:rsidRPr="00FE1AD8">
              <w:rPr>
                <w:rStyle w:val="SCCFileNumberChar"/>
                <w:sz w:val="20"/>
                <w:szCs w:val="20"/>
              </w:rPr>
              <w:t>36174</w:t>
            </w:r>
          </w:p>
          <w:p w:rsidR="002E7AAF" w:rsidRPr="00FE1AD8" w:rsidRDefault="002E7AAF" w:rsidP="002E7AAF">
            <w:pPr>
              <w:rPr>
                <w:b/>
                <w:sz w:val="20"/>
                <w:szCs w:val="20"/>
                <w:lang w:val="fr-CA"/>
              </w:rPr>
            </w:pPr>
          </w:p>
        </w:tc>
        <w:tc>
          <w:tcPr>
            <w:tcW w:w="8118" w:type="dxa"/>
          </w:tcPr>
          <w:p w:rsidR="002E7AAF" w:rsidRPr="00FE1AD8" w:rsidRDefault="002E7AAF" w:rsidP="002E7AAF">
            <w:pPr>
              <w:jc w:val="both"/>
              <w:rPr>
                <w:sz w:val="20"/>
                <w:szCs w:val="20"/>
              </w:rPr>
            </w:pPr>
            <w:r w:rsidRPr="00FE1AD8">
              <w:rPr>
                <w:rStyle w:val="SCCLsocChar"/>
                <w:sz w:val="20"/>
                <w:szCs w:val="20"/>
                <w:lang w:val="en-CA"/>
              </w:rPr>
              <w:t>Sudesh Mangal, Vincent Ravi Mangal, by his Litigation Guardian, Sudesh Mangal and Sarina Mangal, by her Litigation Guardian, Sudesh Mangal v. William Osler Health Centre, Indira Chandran, Sheldon Girvitz</w:t>
            </w:r>
            <w:r w:rsidR="006C6C6A">
              <w:rPr>
                <w:rStyle w:val="SCCLsocChar"/>
                <w:sz w:val="20"/>
                <w:szCs w:val="20"/>
                <w:lang w:val="en-CA"/>
              </w:rPr>
              <w:t xml:space="preserve"> and</w:t>
            </w:r>
            <w:r w:rsidRPr="00FE1AD8">
              <w:rPr>
                <w:rStyle w:val="SCCLsocChar"/>
                <w:sz w:val="20"/>
                <w:szCs w:val="20"/>
                <w:lang w:val="en-CA"/>
              </w:rPr>
              <w:t xml:space="preserve"> Jordan Bohay</w:t>
            </w:r>
            <w:r w:rsidRPr="00FE1AD8">
              <w:rPr>
                <w:sz w:val="20"/>
                <w:szCs w:val="20"/>
              </w:rPr>
              <w:t xml:space="preserve"> (Ont.) (Civil) (By Leave)</w:t>
            </w:r>
          </w:p>
          <w:p w:rsidR="002E7AAF" w:rsidRPr="00FE1AD8" w:rsidRDefault="002E7AAF" w:rsidP="002E7AAF">
            <w:pPr>
              <w:jc w:val="both"/>
              <w:rPr>
                <w:sz w:val="20"/>
                <w:szCs w:val="20"/>
              </w:rPr>
            </w:pPr>
          </w:p>
        </w:tc>
      </w:tr>
      <w:tr w:rsidR="002E7AAF" w:rsidRPr="00FE1AD8" w:rsidTr="002E7AAF">
        <w:trPr>
          <w:cantSplit/>
        </w:trPr>
        <w:tc>
          <w:tcPr>
            <w:tcW w:w="1458" w:type="dxa"/>
          </w:tcPr>
          <w:p w:rsidR="002E7AAF" w:rsidRPr="00FE1AD8" w:rsidRDefault="002E7AAF" w:rsidP="002E7AAF">
            <w:pPr>
              <w:rPr>
                <w:sz w:val="20"/>
                <w:szCs w:val="20"/>
              </w:rPr>
            </w:pPr>
            <w:r w:rsidRPr="00FE1AD8">
              <w:rPr>
                <w:sz w:val="20"/>
                <w:szCs w:val="20"/>
              </w:rPr>
              <w:t>Coram :</w:t>
            </w:r>
          </w:p>
        </w:tc>
        <w:tc>
          <w:tcPr>
            <w:tcW w:w="8118" w:type="dxa"/>
          </w:tcPr>
          <w:p w:rsidR="002E7AAF" w:rsidRPr="00FE1AD8" w:rsidRDefault="002E7AAF" w:rsidP="002E7AAF">
            <w:pPr>
              <w:rPr>
                <w:sz w:val="20"/>
                <w:szCs w:val="20"/>
              </w:rPr>
            </w:pPr>
            <w:r w:rsidRPr="00FE1AD8">
              <w:rPr>
                <w:rStyle w:val="SCCCoramChar"/>
                <w:sz w:val="20"/>
                <w:szCs w:val="20"/>
                <w:lang w:val="en-CA"/>
              </w:rPr>
              <w:t>Rothstein, Cromwell and Moldaver JJ.</w:t>
            </w:r>
          </w:p>
          <w:p w:rsidR="002E7AAF" w:rsidRPr="00FE1AD8" w:rsidRDefault="002E7AAF" w:rsidP="002E7AAF">
            <w:pPr>
              <w:rPr>
                <w:sz w:val="20"/>
                <w:szCs w:val="20"/>
                <w:u w:val="single"/>
              </w:rPr>
            </w:pPr>
          </w:p>
        </w:tc>
      </w:tr>
      <w:tr w:rsidR="002E7AAF" w:rsidRPr="001D3FE1" w:rsidTr="002E7AAF">
        <w:trPr>
          <w:cantSplit/>
        </w:trPr>
        <w:tc>
          <w:tcPr>
            <w:tcW w:w="9576" w:type="dxa"/>
            <w:gridSpan w:val="2"/>
          </w:tcPr>
          <w:p w:rsidR="002E7AAF" w:rsidRPr="00FE1AD8" w:rsidRDefault="002E7AAF" w:rsidP="002E7AAF">
            <w:pPr>
              <w:pStyle w:val="SCCShortJudgment"/>
              <w:rPr>
                <w:szCs w:val="20"/>
              </w:rPr>
            </w:pPr>
            <w:r w:rsidRPr="00FE1AD8">
              <w:rPr>
                <w:szCs w:val="20"/>
              </w:rPr>
              <w:t>The application for leave to appeal from the judgment of the Court of Appeal for Ontario, Number C57056, 2014 ONCA 639, dated September 17, 2014, is dismissed with costs</w:t>
            </w:r>
          </w:p>
          <w:p w:rsidR="002E7AAF" w:rsidRPr="00FE1AD8" w:rsidRDefault="002E7AAF" w:rsidP="002E7AAF">
            <w:pPr>
              <w:pStyle w:val="SCCShortJudgment"/>
              <w:ind w:firstLine="0"/>
              <w:rPr>
                <w:szCs w:val="20"/>
              </w:rPr>
            </w:pPr>
          </w:p>
          <w:p w:rsidR="002E7AAF" w:rsidRPr="00FE1AD8" w:rsidRDefault="002E7AAF" w:rsidP="002E7AAF">
            <w:pPr>
              <w:pStyle w:val="SCCShortJudgment"/>
              <w:rPr>
                <w:szCs w:val="20"/>
                <w:lang w:val="fr-CA"/>
              </w:rPr>
            </w:pPr>
            <w:r w:rsidRPr="00FE1AD8">
              <w:rPr>
                <w:szCs w:val="20"/>
                <w:lang w:val="fr-CA"/>
              </w:rPr>
              <w:t>La demande d’autorisation d’appel de l’arrêt de la Cour d’appel de l’Ontario, numéro C57056, 2014 ONCA 639, daté du 17 septembre 2014, est rejetée avec dépens.</w:t>
            </w:r>
          </w:p>
        </w:tc>
      </w:tr>
    </w:tbl>
    <w:p w:rsidR="00467AD0" w:rsidRPr="002E7AAF" w:rsidRDefault="00467AD0" w:rsidP="000E2959">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527" w:rsidRPr="0063032F" w:rsidTr="00DB5F86">
        <w:tc>
          <w:tcPr>
            <w:tcW w:w="5000" w:type="pct"/>
            <w:gridSpan w:val="3"/>
          </w:tcPr>
          <w:p w:rsidR="00A30527" w:rsidRPr="0063032F" w:rsidRDefault="00A30527" w:rsidP="00DB5F86">
            <w:pPr>
              <w:jc w:val="both"/>
              <w:rPr>
                <w:rFonts w:eastAsia="Calibri"/>
                <w:sz w:val="20"/>
              </w:rPr>
            </w:pPr>
            <w:r w:rsidRPr="0063032F">
              <w:rPr>
                <w:rFonts w:eastAsia="Calibri"/>
                <w:sz w:val="20"/>
              </w:rPr>
              <w:t>Torts – Negligence – Medical malpractice – Woman dying in hospital several hours after caesarean section – Trial judge making finding on cause of death and dismissing action – May trial judges adopt new theories of factual causation not advanced by the parties or discussed in the evidence at trial? – What constitutes palpable and overriding error when reviewing factual inferences in technical or specialized areas outside the experience of the average person?</w:t>
            </w:r>
          </w:p>
        </w:tc>
      </w:tr>
      <w:tr w:rsidR="00A30527" w:rsidRPr="0063032F" w:rsidTr="00DB5F86">
        <w:tc>
          <w:tcPr>
            <w:tcW w:w="5000" w:type="pct"/>
            <w:gridSpan w:val="3"/>
          </w:tcPr>
          <w:p w:rsidR="00A30527" w:rsidRPr="0063032F" w:rsidRDefault="00A30527" w:rsidP="00DB5F86">
            <w:pPr>
              <w:jc w:val="both"/>
              <w:rPr>
                <w:rFonts w:eastAsia="Calibri"/>
                <w:sz w:val="20"/>
              </w:rPr>
            </w:pPr>
          </w:p>
        </w:tc>
      </w:tr>
      <w:tr w:rsidR="00A30527" w:rsidRPr="0063032F" w:rsidTr="00DB5F86">
        <w:tc>
          <w:tcPr>
            <w:tcW w:w="5000" w:type="pct"/>
            <w:gridSpan w:val="3"/>
          </w:tcPr>
          <w:p w:rsidR="00A30527" w:rsidRPr="0063032F" w:rsidRDefault="00A30527" w:rsidP="00DB5F86">
            <w:pPr>
              <w:jc w:val="both"/>
              <w:rPr>
                <w:rFonts w:eastAsia="Calibri"/>
                <w:sz w:val="20"/>
              </w:rPr>
            </w:pPr>
            <w:r w:rsidRPr="0063032F">
              <w:rPr>
                <w:rFonts w:eastAsia="Calibri"/>
                <w:sz w:val="20"/>
              </w:rPr>
              <w:t xml:space="preserve">On the morning of February 16, 2004, Ms. Mangal underwent an elective caesarean section with Dr. Chandran, at the William Osler Health Centre.  The operation was uneventful and she was transferred to the Post-Anaesthetic Care Unit at approximately 9:30 a.m.  The nurse observed that she was stable, conscious and with normal vital signs.  The amount of postpartum bleeding that she was experiencing was also normal.  As instructed by the anaesthesiologist the nurse notified him when Ms. Mangal’s systolic blood pressure reading fell below 90.  He ordered the administration of Pentaspan and went to check on Ms. Mangal at 12:30 p.m.  Her blood pressure had stabilized and no bleeding was observed at the incision site.  A few minutes later, the nurse became concerned that Ms. Mangal had started bleeding more excessively and she called for Dr. Girvitz, the obstetrician on duty.  He examined Ms. Mangal and found that she was not actively bleeding, was alert and responsive and had normal colour.  He ordered, </w:t>
            </w:r>
            <w:r w:rsidRPr="0063032F">
              <w:rPr>
                <w:rFonts w:eastAsia="Calibri"/>
                <w:i/>
                <w:sz w:val="20"/>
              </w:rPr>
              <w:t>inter alia</w:t>
            </w:r>
            <w:r w:rsidRPr="0063032F">
              <w:rPr>
                <w:rFonts w:eastAsia="Calibri"/>
                <w:sz w:val="20"/>
              </w:rPr>
              <w:t>, a complete blood count and to have two units of blood sent over.  Shortly afterward, Ms. Mangal’s blood pressure dropped dramatically.  A blood transfusion and a coagulation study were also ordered.  Dr. Chandran and Dr. Girvitz decided that Ms. Mangal had to go back into surgery as she had also developed a clotting disorder.  The medical team removed her uterus, noting that it was soft, a common cause of post-partum haemorrhaging.  Her blood pressure continued to drop and she began to bleed profusely, causing her heart to fail and her death.  The plaintiffs maintained that the cause of death was intra-abdominal bleeding that was left untreated for most of the day that developed into the clotting disorder.  The physicians’ position that her death was caused by a blockage in her lung, an Amniotic Fluid Embolism, that prevented blood from flowing to the left side of her heart.</w:t>
            </w:r>
          </w:p>
          <w:p w:rsidR="00A30527" w:rsidRPr="0063032F" w:rsidRDefault="00A30527" w:rsidP="00DB5F86">
            <w:pPr>
              <w:jc w:val="both"/>
              <w:rPr>
                <w:rFonts w:eastAsia="Calibri"/>
                <w:sz w:val="20"/>
              </w:rPr>
            </w:pPr>
          </w:p>
        </w:tc>
      </w:tr>
      <w:tr w:rsidR="00A30527" w:rsidRPr="0063032F" w:rsidTr="00DB5F86">
        <w:tc>
          <w:tcPr>
            <w:tcW w:w="2427" w:type="pct"/>
          </w:tcPr>
          <w:p w:rsidR="00A30527" w:rsidRPr="0063032F" w:rsidRDefault="00A30527" w:rsidP="00DB5F86">
            <w:pPr>
              <w:jc w:val="both"/>
              <w:rPr>
                <w:rFonts w:eastAsia="Calibri"/>
                <w:sz w:val="20"/>
              </w:rPr>
            </w:pPr>
            <w:r w:rsidRPr="0063032F">
              <w:rPr>
                <w:rFonts w:eastAsia="Calibri"/>
                <w:sz w:val="20"/>
              </w:rPr>
              <w:t>April 22, 2013</w:t>
            </w:r>
          </w:p>
          <w:p w:rsidR="00A30527" w:rsidRPr="0063032F" w:rsidRDefault="00A30527" w:rsidP="00DB5F86">
            <w:pPr>
              <w:jc w:val="both"/>
              <w:rPr>
                <w:rFonts w:eastAsia="Calibri"/>
                <w:sz w:val="20"/>
              </w:rPr>
            </w:pPr>
            <w:r w:rsidRPr="0063032F">
              <w:rPr>
                <w:rFonts w:eastAsia="Calibri"/>
                <w:sz w:val="20"/>
              </w:rPr>
              <w:t>Ontario Superior Court of Justice</w:t>
            </w:r>
          </w:p>
          <w:p w:rsidR="00A30527" w:rsidRPr="0063032F" w:rsidRDefault="00A30527" w:rsidP="00DB5F86">
            <w:pPr>
              <w:jc w:val="both"/>
              <w:rPr>
                <w:rFonts w:eastAsia="Calibri"/>
                <w:sz w:val="20"/>
              </w:rPr>
            </w:pPr>
            <w:r w:rsidRPr="0063032F">
              <w:rPr>
                <w:rFonts w:eastAsia="Calibri"/>
                <w:sz w:val="20"/>
              </w:rPr>
              <w:t>(Marrocco J.)</w:t>
            </w:r>
          </w:p>
          <w:p w:rsidR="00A30527" w:rsidRPr="0063032F" w:rsidRDefault="001D3FE1" w:rsidP="00DB5F86">
            <w:pPr>
              <w:jc w:val="both"/>
              <w:rPr>
                <w:rFonts w:eastAsia="Calibri"/>
                <w:sz w:val="20"/>
              </w:rPr>
            </w:pPr>
            <w:hyperlink r:id="rId25" w:history="1">
              <w:r w:rsidR="00A30527" w:rsidRPr="00305EE6">
                <w:rPr>
                  <w:rFonts w:eastAsia="Calibri"/>
                  <w:color w:val="0000FF"/>
                  <w:sz w:val="20"/>
                  <w:u w:val="single"/>
                </w:rPr>
                <w:t>2013 ONSC 2313</w:t>
              </w:r>
            </w:hyperlink>
          </w:p>
          <w:p w:rsidR="00A30527" w:rsidRPr="0063032F" w:rsidRDefault="00A30527" w:rsidP="00DB5F86">
            <w:pPr>
              <w:jc w:val="both"/>
              <w:rPr>
                <w:rFonts w:eastAsia="Calibri"/>
                <w:sz w:val="20"/>
              </w:rPr>
            </w:pPr>
          </w:p>
        </w:tc>
        <w:tc>
          <w:tcPr>
            <w:tcW w:w="243" w:type="pct"/>
          </w:tcPr>
          <w:p w:rsidR="00A30527" w:rsidRPr="0063032F" w:rsidRDefault="00A30527" w:rsidP="00DB5F86">
            <w:pPr>
              <w:jc w:val="both"/>
              <w:rPr>
                <w:rFonts w:eastAsia="Calibri"/>
                <w:sz w:val="20"/>
              </w:rPr>
            </w:pPr>
          </w:p>
        </w:tc>
        <w:tc>
          <w:tcPr>
            <w:tcW w:w="2330" w:type="pct"/>
          </w:tcPr>
          <w:p w:rsidR="00A30527" w:rsidRPr="0063032F" w:rsidRDefault="00A30527" w:rsidP="00DB5F86">
            <w:pPr>
              <w:jc w:val="both"/>
              <w:rPr>
                <w:rFonts w:eastAsia="Calibri"/>
                <w:sz w:val="20"/>
              </w:rPr>
            </w:pPr>
            <w:r w:rsidRPr="0063032F">
              <w:rPr>
                <w:rFonts w:eastAsia="Calibri"/>
                <w:sz w:val="20"/>
              </w:rPr>
              <w:t>Trial judge holding that excessive clotting caused blockage in the lungs that prevented blood from flowing to the left side of heart; Applicants’ action dismissed</w:t>
            </w:r>
          </w:p>
          <w:p w:rsidR="00A30527" w:rsidRPr="0063032F" w:rsidRDefault="00A30527" w:rsidP="00DB5F86">
            <w:pPr>
              <w:jc w:val="both"/>
              <w:rPr>
                <w:rFonts w:eastAsia="Calibri"/>
                <w:sz w:val="20"/>
              </w:rPr>
            </w:pPr>
          </w:p>
        </w:tc>
      </w:tr>
      <w:tr w:rsidR="00A30527" w:rsidRPr="0063032F" w:rsidTr="002E7AAF">
        <w:trPr>
          <w:cantSplit/>
        </w:trPr>
        <w:tc>
          <w:tcPr>
            <w:tcW w:w="2427" w:type="pct"/>
          </w:tcPr>
          <w:p w:rsidR="00A30527" w:rsidRPr="0063032F" w:rsidRDefault="00A30527" w:rsidP="00DB5F86">
            <w:pPr>
              <w:jc w:val="both"/>
              <w:rPr>
                <w:rFonts w:eastAsia="Calibri"/>
                <w:sz w:val="20"/>
              </w:rPr>
            </w:pPr>
            <w:r w:rsidRPr="0063032F">
              <w:rPr>
                <w:rFonts w:eastAsia="Calibri"/>
                <w:sz w:val="20"/>
              </w:rPr>
              <w:lastRenderedPageBreak/>
              <w:t>September 17, 2014</w:t>
            </w:r>
          </w:p>
          <w:p w:rsidR="00A30527" w:rsidRPr="0063032F" w:rsidRDefault="00A30527" w:rsidP="00DB5F86">
            <w:pPr>
              <w:jc w:val="both"/>
              <w:rPr>
                <w:rFonts w:eastAsia="Calibri"/>
                <w:sz w:val="20"/>
              </w:rPr>
            </w:pPr>
            <w:r w:rsidRPr="0063032F">
              <w:rPr>
                <w:rFonts w:eastAsia="Calibri"/>
                <w:sz w:val="20"/>
              </w:rPr>
              <w:t>Court of Appeal for Ontario</w:t>
            </w:r>
          </w:p>
          <w:p w:rsidR="00A30527" w:rsidRPr="0063032F" w:rsidRDefault="00A30527" w:rsidP="00DB5F86">
            <w:pPr>
              <w:jc w:val="both"/>
              <w:rPr>
                <w:rFonts w:eastAsia="Calibri"/>
                <w:sz w:val="20"/>
              </w:rPr>
            </w:pPr>
            <w:r w:rsidRPr="0063032F">
              <w:rPr>
                <w:rFonts w:eastAsia="Calibri"/>
                <w:sz w:val="20"/>
              </w:rPr>
              <w:t xml:space="preserve">(Feldman [dissenting], MacPherson and </w:t>
            </w:r>
          </w:p>
          <w:p w:rsidR="00A30527" w:rsidRPr="0063032F" w:rsidRDefault="00A30527" w:rsidP="00DB5F86">
            <w:pPr>
              <w:jc w:val="both"/>
              <w:rPr>
                <w:rFonts w:eastAsia="Calibri"/>
                <w:sz w:val="20"/>
              </w:rPr>
            </w:pPr>
            <w:r w:rsidRPr="0063032F">
              <w:rPr>
                <w:rFonts w:eastAsia="Calibri"/>
                <w:sz w:val="20"/>
              </w:rPr>
              <w:t>Hourigan J.)</w:t>
            </w:r>
          </w:p>
          <w:p w:rsidR="00A30527" w:rsidRPr="0063032F" w:rsidRDefault="001D3FE1" w:rsidP="00DB5F86">
            <w:pPr>
              <w:jc w:val="both"/>
              <w:rPr>
                <w:rFonts w:eastAsia="Calibri"/>
                <w:sz w:val="20"/>
              </w:rPr>
            </w:pPr>
            <w:hyperlink r:id="rId26" w:history="1">
              <w:r w:rsidR="00A30527" w:rsidRPr="00305EE6">
                <w:rPr>
                  <w:rFonts w:eastAsia="Calibri"/>
                  <w:color w:val="0000FF"/>
                  <w:sz w:val="20"/>
                  <w:u w:val="single"/>
                </w:rPr>
                <w:t>2014 ONCA 639</w:t>
              </w:r>
            </w:hyperlink>
          </w:p>
          <w:p w:rsidR="00A30527" w:rsidRPr="0063032F" w:rsidRDefault="00A30527" w:rsidP="00DB5F86">
            <w:pPr>
              <w:jc w:val="both"/>
              <w:rPr>
                <w:rFonts w:eastAsia="Calibri"/>
                <w:sz w:val="20"/>
              </w:rPr>
            </w:pPr>
            <w:r w:rsidRPr="0063032F">
              <w:rPr>
                <w:rFonts w:eastAsia="Calibri"/>
                <w:sz w:val="20"/>
              </w:rPr>
              <w:t>Docket: C57056</w:t>
            </w:r>
          </w:p>
          <w:p w:rsidR="00A30527" w:rsidRPr="0063032F" w:rsidRDefault="00A30527" w:rsidP="00DB5F86">
            <w:pPr>
              <w:jc w:val="both"/>
              <w:rPr>
                <w:rFonts w:eastAsia="Calibri"/>
                <w:sz w:val="20"/>
              </w:rPr>
            </w:pPr>
          </w:p>
        </w:tc>
        <w:tc>
          <w:tcPr>
            <w:tcW w:w="243" w:type="pct"/>
          </w:tcPr>
          <w:p w:rsidR="00A30527" w:rsidRPr="0063032F" w:rsidRDefault="00A30527" w:rsidP="00DB5F86">
            <w:pPr>
              <w:jc w:val="both"/>
              <w:rPr>
                <w:rFonts w:eastAsia="Calibri"/>
                <w:sz w:val="20"/>
              </w:rPr>
            </w:pPr>
          </w:p>
        </w:tc>
        <w:tc>
          <w:tcPr>
            <w:tcW w:w="2330" w:type="pct"/>
          </w:tcPr>
          <w:p w:rsidR="00A30527" w:rsidRPr="0063032F" w:rsidRDefault="00A30527" w:rsidP="00DB5F86">
            <w:pPr>
              <w:jc w:val="both"/>
              <w:rPr>
                <w:rFonts w:eastAsia="Calibri"/>
                <w:sz w:val="20"/>
              </w:rPr>
            </w:pPr>
            <w:r w:rsidRPr="0063032F">
              <w:rPr>
                <w:rFonts w:eastAsia="Calibri"/>
                <w:sz w:val="20"/>
              </w:rPr>
              <w:t>Applicants’ appeal dismissed</w:t>
            </w:r>
          </w:p>
          <w:p w:rsidR="00A30527" w:rsidRPr="0063032F" w:rsidRDefault="00A30527" w:rsidP="00DB5F86">
            <w:pPr>
              <w:jc w:val="both"/>
              <w:rPr>
                <w:rFonts w:eastAsia="Calibri"/>
                <w:sz w:val="20"/>
              </w:rPr>
            </w:pPr>
          </w:p>
        </w:tc>
      </w:tr>
      <w:tr w:rsidR="00A30527" w:rsidRPr="0063032F" w:rsidTr="002E7AAF">
        <w:trPr>
          <w:cantSplit/>
        </w:trPr>
        <w:tc>
          <w:tcPr>
            <w:tcW w:w="2427" w:type="pct"/>
          </w:tcPr>
          <w:p w:rsidR="00A30527" w:rsidRPr="0063032F" w:rsidRDefault="00A30527" w:rsidP="00DB5F86">
            <w:pPr>
              <w:jc w:val="both"/>
              <w:rPr>
                <w:rFonts w:eastAsia="Calibri"/>
                <w:sz w:val="20"/>
              </w:rPr>
            </w:pPr>
            <w:r w:rsidRPr="0063032F">
              <w:rPr>
                <w:rFonts w:eastAsia="Calibri"/>
                <w:sz w:val="20"/>
              </w:rPr>
              <w:t>November 14, 2014</w:t>
            </w:r>
          </w:p>
          <w:p w:rsidR="00A30527" w:rsidRPr="0063032F" w:rsidRDefault="00A30527" w:rsidP="00DB5F86">
            <w:pPr>
              <w:jc w:val="both"/>
              <w:rPr>
                <w:rFonts w:eastAsia="Calibri"/>
                <w:sz w:val="20"/>
              </w:rPr>
            </w:pPr>
            <w:r w:rsidRPr="0063032F">
              <w:rPr>
                <w:rFonts w:eastAsia="Calibri"/>
                <w:sz w:val="20"/>
              </w:rPr>
              <w:t>Supreme Court of Canada</w:t>
            </w:r>
          </w:p>
        </w:tc>
        <w:tc>
          <w:tcPr>
            <w:tcW w:w="243" w:type="pct"/>
          </w:tcPr>
          <w:p w:rsidR="00A30527" w:rsidRPr="0063032F" w:rsidRDefault="00A30527" w:rsidP="00DB5F86">
            <w:pPr>
              <w:jc w:val="both"/>
              <w:rPr>
                <w:rFonts w:eastAsia="Calibri"/>
                <w:sz w:val="20"/>
              </w:rPr>
            </w:pPr>
          </w:p>
        </w:tc>
        <w:tc>
          <w:tcPr>
            <w:tcW w:w="2330" w:type="pct"/>
          </w:tcPr>
          <w:p w:rsidR="00A30527" w:rsidRPr="0063032F" w:rsidRDefault="00A30527" w:rsidP="00DB5F86">
            <w:pPr>
              <w:jc w:val="both"/>
              <w:rPr>
                <w:rFonts w:eastAsia="Calibri"/>
                <w:sz w:val="20"/>
              </w:rPr>
            </w:pPr>
            <w:r w:rsidRPr="0063032F">
              <w:rPr>
                <w:rFonts w:eastAsia="Calibri"/>
                <w:sz w:val="20"/>
              </w:rPr>
              <w:t>Application for leave to appeal filed</w:t>
            </w:r>
          </w:p>
          <w:p w:rsidR="00A30527" w:rsidRPr="0063032F" w:rsidRDefault="00A30527" w:rsidP="00DB5F86">
            <w:pPr>
              <w:jc w:val="both"/>
              <w:rPr>
                <w:rFonts w:eastAsia="Calibri"/>
                <w:sz w:val="20"/>
              </w:rPr>
            </w:pPr>
          </w:p>
        </w:tc>
      </w:tr>
    </w:tbl>
    <w:p w:rsidR="00467AD0" w:rsidRDefault="00467AD0" w:rsidP="000E2959">
      <w:pPr>
        <w:rPr>
          <w:sz w:val="20"/>
          <w:szCs w:val="20"/>
        </w:rPr>
      </w:pPr>
    </w:p>
    <w:p w:rsidR="00467AD0" w:rsidRPr="00C50A5C" w:rsidRDefault="001D3FE1" w:rsidP="00467AD0">
      <w:pPr>
        <w:rPr>
          <w:sz w:val="20"/>
          <w:szCs w:val="20"/>
        </w:rPr>
      </w:pPr>
      <w:r>
        <w:rPr>
          <w:sz w:val="20"/>
          <w:szCs w:val="20"/>
          <w:lang w:val="fr-CA"/>
        </w:rPr>
        <w:pict>
          <v:rect id="_x0000_i1038"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527" w:rsidRPr="001D3FE1" w:rsidTr="00DB5F86">
        <w:tc>
          <w:tcPr>
            <w:tcW w:w="5000" w:type="pct"/>
            <w:gridSpan w:val="3"/>
          </w:tcPr>
          <w:p w:rsidR="00A30527" w:rsidRPr="0063032F" w:rsidRDefault="00A30527" w:rsidP="00DB5F86">
            <w:pPr>
              <w:jc w:val="both"/>
              <w:rPr>
                <w:rFonts w:eastAsia="Calibri"/>
                <w:sz w:val="20"/>
                <w:lang w:val="fr-CA"/>
              </w:rPr>
            </w:pPr>
            <w:r w:rsidRPr="0063032F">
              <w:rPr>
                <w:rFonts w:eastAsia="Calibri"/>
                <w:sz w:val="20"/>
                <w:lang w:val="fr-CA"/>
              </w:rPr>
              <w:t>Responsabilité délictuelle – Négligence – Faute médicale – Une femme est décédée à l’hôpital plusieurs heures après une césarienne – Le juge du procès est arrivé à une conclusion sur la cause du décès et a rejeté l’action – Les juges de première instance peuvent-ils adopter de nouvelles théories sur la causalité de fait que les parties n’ont pas fait valoir ou discuté dans le cadre de la preuve au procès? – Que constitue une erreur manifeste et dominante dans l’examen des inférences factuelles dans les domaines techniques ou spécialisés qui ne relèvent pas de l’expérience de la moyenne des gens?</w:t>
            </w:r>
          </w:p>
        </w:tc>
      </w:tr>
      <w:tr w:rsidR="00A30527" w:rsidRPr="001D3FE1" w:rsidTr="00DB5F86">
        <w:tc>
          <w:tcPr>
            <w:tcW w:w="5000" w:type="pct"/>
            <w:gridSpan w:val="3"/>
          </w:tcPr>
          <w:p w:rsidR="00A30527" w:rsidRPr="0063032F" w:rsidRDefault="00A30527" w:rsidP="00DB5F86">
            <w:pPr>
              <w:jc w:val="both"/>
              <w:rPr>
                <w:rFonts w:eastAsia="Calibri"/>
                <w:sz w:val="20"/>
                <w:lang w:val="fr-CA"/>
              </w:rPr>
            </w:pPr>
          </w:p>
        </w:tc>
      </w:tr>
      <w:tr w:rsidR="00A30527" w:rsidRPr="001D3FE1" w:rsidTr="00DB5F86">
        <w:tc>
          <w:tcPr>
            <w:tcW w:w="5000" w:type="pct"/>
            <w:gridSpan w:val="3"/>
          </w:tcPr>
          <w:p w:rsidR="00A30527" w:rsidRPr="0063032F" w:rsidRDefault="00A30527" w:rsidP="00DB5F86">
            <w:pPr>
              <w:jc w:val="both"/>
              <w:rPr>
                <w:rFonts w:eastAsia="Calibri"/>
                <w:sz w:val="20"/>
                <w:lang w:val="fr-CA"/>
              </w:rPr>
            </w:pPr>
            <w:r w:rsidRPr="0063032F">
              <w:rPr>
                <w:rFonts w:eastAsia="Calibri"/>
                <w:sz w:val="20"/>
                <w:lang w:val="fr-CA"/>
              </w:rPr>
              <w:t>Le matin du 16 février 2004, Mme Mangal a subi une césarienne de convenance pratiquée par la D</w:t>
            </w:r>
            <w:r w:rsidRPr="0063032F">
              <w:rPr>
                <w:rFonts w:eastAsia="Calibri"/>
                <w:sz w:val="20"/>
                <w:vertAlign w:val="superscript"/>
                <w:lang w:val="fr-CA"/>
              </w:rPr>
              <w:t>re </w:t>
            </w:r>
            <w:r w:rsidRPr="0063032F">
              <w:rPr>
                <w:rFonts w:eastAsia="Calibri"/>
                <w:sz w:val="20"/>
                <w:lang w:val="fr-CA"/>
              </w:rPr>
              <w:t>Chandran au William Osler Health Centre.  L’intervention s’est déroulée sans incident et la patiente a été transférée à l’unité de soins post-interventionnels vers 9 h 30.  L’infirmière a observé que la patiente était dans un état stable, qu’elle était consciente et que ses signes vitaux étaient normaux.  La patiente présentait un saignement post-partum normal.  Comme l’anesthésiste le lui avait demandé, l’infirmière a avisé ce dernier lorsque la lecture de la tension artérielle systolique de Mme Mangal est tombée sous 90.  Le médecin a demandé que l’on administre du Pentaspan et il est allé voir Mme Mangal à 12 h 30.  La tension artérielle de Mme Mangal s’était stabilisée et aucun saignement n’a été observé à l’endroit de l’incision.  Quelques minutes plus tard, l’infirmière a commencé à s’inquiéter du fait que Mme Mangal s’était mise à saigner plus abondamment et elle a fait appeler le D</w:t>
            </w:r>
            <w:r w:rsidRPr="0063032F">
              <w:rPr>
                <w:rFonts w:eastAsia="Calibri"/>
                <w:sz w:val="20"/>
                <w:vertAlign w:val="superscript"/>
                <w:lang w:val="fr-CA"/>
              </w:rPr>
              <w:t>r</w:t>
            </w:r>
            <w:r w:rsidRPr="0063032F">
              <w:rPr>
                <w:rFonts w:eastAsia="Calibri"/>
                <w:sz w:val="20"/>
                <w:lang w:val="fr-CA"/>
              </w:rPr>
              <w:t> Girvitz, l’obstétricien de garde.  Ce dernier a examiné Mme Mangal et a conclu qu’elle ne saignait pas activement, qu’elle était alerte, qu’elle réagissait bien et que sa coloration était normale.  Il a notamment ordonné une numération globulaire complète et que deux unités de sang soient envoyés.  Peu de temps après, la pression artérielle de Mme Mangal a radicalement chuté.  Une transfusion de sang et une analyse de coagulation ont également été prescrites.  Les D</w:t>
            </w:r>
            <w:r w:rsidRPr="0063032F">
              <w:rPr>
                <w:rFonts w:eastAsia="Calibri"/>
                <w:sz w:val="20"/>
                <w:vertAlign w:val="superscript"/>
                <w:lang w:val="fr-CA"/>
              </w:rPr>
              <w:t>rs</w:t>
            </w:r>
            <w:r w:rsidRPr="0063032F">
              <w:rPr>
                <w:rFonts w:eastAsia="Calibri"/>
                <w:sz w:val="20"/>
                <w:lang w:val="fr-CA"/>
              </w:rPr>
              <w:t> Chandran et Girvitz ont décidé que Mme Mangal devait retourner au bloc opératoire pour subir une intervention parce qu’elle avait développé une trouble de coagulation.  L’équipe médicale a fait l’ablation de son utérus, notant qu’il était mou, une cause courante d’hémorragie post-partum.  Sa tension artérielle a continué de chuter et elle a commencé à saigner abondamment, causant une défaillance cardiaque et son décès.  Les demandeurs ont soutenu que la cause du décès avait été l’hémorragie intraabdominale qui avait été laissée non traitée une bonne partie de la journée, entraînant le trouble de coagulation.  Selon les médecins, le décès de Mme Mangal avait été causé par un blocage dans le poumon, une embolie causée par le liquide amniotique, qui a empêché le sang de se rendre du côté gauche de son cœur.</w:t>
            </w:r>
          </w:p>
          <w:p w:rsidR="00A30527" w:rsidRPr="0063032F" w:rsidRDefault="00A30527" w:rsidP="00DB5F86">
            <w:pPr>
              <w:jc w:val="both"/>
              <w:rPr>
                <w:rFonts w:eastAsia="Calibri"/>
                <w:sz w:val="20"/>
                <w:lang w:val="fr-CA"/>
              </w:rPr>
            </w:pPr>
          </w:p>
        </w:tc>
      </w:tr>
      <w:tr w:rsidR="00A30527" w:rsidRPr="001D3FE1" w:rsidTr="00DB5F86">
        <w:tc>
          <w:tcPr>
            <w:tcW w:w="2427" w:type="pct"/>
          </w:tcPr>
          <w:p w:rsidR="00A30527" w:rsidRPr="0063032F" w:rsidRDefault="00A30527" w:rsidP="00DB5F86">
            <w:pPr>
              <w:jc w:val="both"/>
              <w:rPr>
                <w:rFonts w:eastAsia="Calibri"/>
                <w:sz w:val="20"/>
                <w:lang w:val="fr-CA"/>
              </w:rPr>
            </w:pPr>
            <w:r w:rsidRPr="0063032F">
              <w:rPr>
                <w:rFonts w:eastAsia="Calibri"/>
                <w:sz w:val="20"/>
                <w:lang w:val="fr-CA"/>
              </w:rPr>
              <w:t>22 avril 2013</w:t>
            </w:r>
          </w:p>
          <w:p w:rsidR="00A30527" w:rsidRPr="0063032F" w:rsidRDefault="00A30527" w:rsidP="00DB5F86">
            <w:pPr>
              <w:jc w:val="both"/>
              <w:rPr>
                <w:rFonts w:eastAsia="Calibri"/>
                <w:sz w:val="20"/>
                <w:lang w:val="fr-CA"/>
              </w:rPr>
            </w:pPr>
            <w:r w:rsidRPr="0063032F">
              <w:rPr>
                <w:rFonts w:eastAsia="Calibri"/>
                <w:sz w:val="20"/>
                <w:lang w:val="fr-CA"/>
              </w:rPr>
              <w:t>Cour supérieure de justice de l’Ontario</w:t>
            </w:r>
          </w:p>
          <w:p w:rsidR="00A30527" w:rsidRPr="0063032F" w:rsidRDefault="00A30527" w:rsidP="00DB5F86">
            <w:pPr>
              <w:jc w:val="both"/>
              <w:rPr>
                <w:rFonts w:eastAsia="Calibri"/>
                <w:sz w:val="20"/>
                <w:lang w:val="fr-CA"/>
              </w:rPr>
            </w:pPr>
            <w:r w:rsidRPr="0063032F">
              <w:rPr>
                <w:rFonts w:eastAsia="Calibri"/>
                <w:sz w:val="20"/>
                <w:lang w:val="fr-CA"/>
              </w:rPr>
              <w:t>(Juge Marrocco)</w:t>
            </w:r>
          </w:p>
          <w:p w:rsidR="00A30527" w:rsidRPr="0063032F" w:rsidRDefault="001D3FE1" w:rsidP="00DB5F86">
            <w:pPr>
              <w:jc w:val="both"/>
              <w:rPr>
                <w:rFonts w:eastAsia="Calibri"/>
                <w:sz w:val="20"/>
                <w:lang w:val="fr-CA"/>
              </w:rPr>
            </w:pPr>
            <w:hyperlink r:id="rId27" w:history="1">
              <w:r w:rsidR="00A30527" w:rsidRPr="00305EE6">
                <w:rPr>
                  <w:rFonts w:eastAsia="Calibri"/>
                  <w:color w:val="0000FF"/>
                  <w:sz w:val="20"/>
                  <w:u w:val="single"/>
                  <w:lang w:val="fr-CA"/>
                </w:rPr>
                <w:t>2013 ONSC 2313</w:t>
              </w:r>
            </w:hyperlink>
          </w:p>
          <w:p w:rsidR="00A30527" w:rsidRPr="0063032F" w:rsidRDefault="00A30527" w:rsidP="00DB5F86">
            <w:pPr>
              <w:jc w:val="both"/>
              <w:rPr>
                <w:rFonts w:eastAsia="Calibri"/>
                <w:sz w:val="20"/>
                <w:lang w:val="fr-CA"/>
              </w:rPr>
            </w:pPr>
          </w:p>
        </w:tc>
        <w:tc>
          <w:tcPr>
            <w:tcW w:w="243" w:type="pct"/>
          </w:tcPr>
          <w:p w:rsidR="00A30527" w:rsidRPr="0063032F" w:rsidRDefault="00A30527" w:rsidP="00DB5F86">
            <w:pPr>
              <w:jc w:val="both"/>
              <w:rPr>
                <w:rFonts w:eastAsia="Calibri"/>
                <w:sz w:val="20"/>
                <w:lang w:val="fr-CA"/>
              </w:rPr>
            </w:pPr>
          </w:p>
        </w:tc>
        <w:tc>
          <w:tcPr>
            <w:tcW w:w="2330" w:type="pct"/>
          </w:tcPr>
          <w:p w:rsidR="00A30527" w:rsidRPr="0063032F" w:rsidRDefault="00A30527" w:rsidP="00DB5F86">
            <w:pPr>
              <w:jc w:val="both"/>
              <w:rPr>
                <w:rFonts w:eastAsia="Calibri"/>
                <w:sz w:val="20"/>
                <w:lang w:val="fr-CA"/>
              </w:rPr>
            </w:pPr>
            <w:r w:rsidRPr="0063032F">
              <w:rPr>
                <w:rFonts w:eastAsia="Calibri"/>
                <w:sz w:val="20"/>
                <w:lang w:val="fr-CA"/>
              </w:rPr>
              <w:t>Conclusion du juge de première instance selon laquelle la coagulation excessive avait causé un blocage dans les poumons qui empêchait le sang de se rendre du côté gauche du cœur; rejet de l’action des demandeurs</w:t>
            </w:r>
          </w:p>
          <w:p w:rsidR="00A30527" w:rsidRPr="0063032F" w:rsidRDefault="00A30527" w:rsidP="00DB5F86">
            <w:pPr>
              <w:jc w:val="both"/>
              <w:rPr>
                <w:rFonts w:eastAsia="Calibri"/>
                <w:sz w:val="20"/>
                <w:lang w:val="fr-CA"/>
              </w:rPr>
            </w:pPr>
          </w:p>
        </w:tc>
      </w:tr>
      <w:tr w:rsidR="00A30527" w:rsidRPr="0063032F" w:rsidTr="002E7AAF">
        <w:trPr>
          <w:cantSplit/>
        </w:trPr>
        <w:tc>
          <w:tcPr>
            <w:tcW w:w="2427" w:type="pct"/>
          </w:tcPr>
          <w:p w:rsidR="00A30527" w:rsidRPr="0063032F" w:rsidRDefault="00A30527" w:rsidP="00DB5F86">
            <w:pPr>
              <w:jc w:val="both"/>
              <w:rPr>
                <w:rFonts w:eastAsia="Calibri"/>
                <w:sz w:val="20"/>
                <w:lang w:val="fr-CA"/>
              </w:rPr>
            </w:pPr>
            <w:r w:rsidRPr="0063032F">
              <w:rPr>
                <w:rFonts w:eastAsia="Calibri"/>
                <w:sz w:val="20"/>
                <w:lang w:val="fr-CA"/>
              </w:rPr>
              <w:lastRenderedPageBreak/>
              <w:t>17 septembre 2014</w:t>
            </w:r>
          </w:p>
          <w:p w:rsidR="00A30527" w:rsidRPr="0063032F" w:rsidRDefault="00A30527" w:rsidP="00DB5F86">
            <w:pPr>
              <w:jc w:val="both"/>
              <w:rPr>
                <w:rFonts w:eastAsia="Calibri"/>
                <w:sz w:val="20"/>
                <w:lang w:val="fr-CA"/>
              </w:rPr>
            </w:pPr>
            <w:r w:rsidRPr="0063032F">
              <w:rPr>
                <w:rFonts w:eastAsia="Calibri"/>
                <w:sz w:val="20"/>
                <w:lang w:val="fr-CA"/>
              </w:rPr>
              <w:t>Cour d’appel de l’Ontario</w:t>
            </w:r>
          </w:p>
          <w:p w:rsidR="00A30527" w:rsidRPr="0063032F" w:rsidRDefault="00A30527" w:rsidP="00DB5F86">
            <w:pPr>
              <w:jc w:val="both"/>
              <w:rPr>
                <w:rFonts w:eastAsia="Calibri"/>
                <w:sz w:val="20"/>
                <w:lang w:val="fr-CA"/>
              </w:rPr>
            </w:pPr>
            <w:r w:rsidRPr="0063032F">
              <w:rPr>
                <w:rFonts w:eastAsia="Calibri"/>
                <w:sz w:val="20"/>
                <w:lang w:val="fr-CA"/>
              </w:rPr>
              <w:t xml:space="preserve">(Juges Feldman [dissidente], MacPherson et </w:t>
            </w:r>
          </w:p>
          <w:p w:rsidR="00A30527" w:rsidRPr="0063032F" w:rsidRDefault="00A30527" w:rsidP="00DB5F86">
            <w:pPr>
              <w:jc w:val="both"/>
              <w:rPr>
                <w:rFonts w:eastAsia="Calibri"/>
                <w:sz w:val="20"/>
              </w:rPr>
            </w:pPr>
            <w:r w:rsidRPr="0063032F">
              <w:rPr>
                <w:rFonts w:eastAsia="Calibri"/>
                <w:sz w:val="20"/>
              </w:rPr>
              <w:t>Hourigan)</w:t>
            </w:r>
          </w:p>
          <w:p w:rsidR="00A30527" w:rsidRPr="0063032F" w:rsidRDefault="001D3FE1" w:rsidP="00DB5F86">
            <w:pPr>
              <w:jc w:val="both"/>
              <w:rPr>
                <w:rFonts w:eastAsia="Calibri"/>
                <w:sz w:val="20"/>
              </w:rPr>
            </w:pPr>
            <w:hyperlink r:id="rId28" w:history="1">
              <w:r w:rsidR="00A30527" w:rsidRPr="00305EE6">
                <w:rPr>
                  <w:rFonts w:eastAsia="Calibri"/>
                  <w:color w:val="0000FF"/>
                  <w:sz w:val="20"/>
                  <w:u w:val="single"/>
                </w:rPr>
                <w:t>2014 ONCA 639</w:t>
              </w:r>
            </w:hyperlink>
          </w:p>
          <w:p w:rsidR="00A30527" w:rsidRPr="0063032F" w:rsidRDefault="00A30527" w:rsidP="00DB5F86">
            <w:pPr>
              <w:jc w:val="both"/>
              <w:rPr>
                <w:rFonts w:eastAsia="Calibri"/>
                <w:sz w:val="20"/>
              </w:rPr>
            </w:pPr>
            <w:r w:rsidRPr="0063032F">
              <w:rPr>
                <w:rFonts w:eastAsia="Calibri"/>
                <w:sz w:val="20"/>
              </w:rPr>
              <w:t>N</w:t>
            </w:r>
            <w:r w:rsidRPr="0063032F">
              <w:rPr>
                <w:rFonts w:eastAsia="Calibri"/>
                <w:sz w:val="20"/>
                <w:vertAlign w:val="superscript"/>
              </w:rPr>
              <w:t>o</w:t>
            </w:r>
            <w:r w:rsidRPr="0063032F">
              <w:rPr>
                <w:rFonts w:eastAsia="Calibri"/>
                <w:sz w:val="20"/>
              </w:rPr>
              <w:t xml:space="preserve"> du greffe : C57056</w:t>
            </w:r>
          </w:p>
          <w:p w:rsidR="00A30527" w:rsidRPr="0063032F" w:rsidRDefault="00A30527" w:rsidP="00DB5F86">
            <w:pPr>
              <w:jc w:val="both"/>
              <w:rPr>
                <w:rFonts w:eastAsia="Calibri"/>
                <w:sz w:val="20"/>
              </w:rPr>
            </w:pPr>
          </w:p>
        </w:tc>
        <w:tc>
          <w:tcPr>
            <w:tcW w:w="243" w:type="pct"/>
          </w:tcPr>
          <w:p w:rsidR="00A30527" w:rsidRPr="0063032F" w:rsidRDefault="00A30527" w:rsidP="00DB5F86">
            <w:pPr>
              <w:jc w:val="both"/>
              <w:rPr>
                <w:rFonts w:eastAsia="Calibri"/>
                <w:sz w:val="20"/>
              </w:rPr>
            </w:pPr>
          </w:p>
        </w:tc>
        <w:tc>
          <w:tcPr>
            <w:tcW w:w="2330" w:type="pct"/>
          </w:tcPr>
          <w:p w:rsidR="00A30527" w:rsidRPr="0063032F" w:rsidRDefault="00A30527" w:rsidP="00DB5F86">
            <w:pPr>
              <w:jc w:val="both"/>
              <w:rPr>
                <w:rFonts w:eastAsia="Calibri"/>
                <w:sz w:val="20"/>
                <w:lang w:val="fr-CA"/>
              </w:rPr>
            </w:pPr>
            <w:r w:rsidRPr="0063032F">
              <w:rPr>
                <w:rFonts w:eastAsia="Calibri"/>
                <w:sz w:val="20"/>
                <w:lang w:val="fr-CA"/>
              </w:rPr>
              <w:t>Rejet de l’appel des demandeurs</w:t>
            </w:r>
          </w:p>
          <w:p w:rsidR="00A30527" w:rsidRPr="0063032F" w:rsidRDefault="00A30527" w:rsidP="00DB5F86">
            <w:pPr>
              <w:jc w:val="both"/>
              <w:rPr>
                <w:rFonts w:eastAsia="Calibri"/>
                <w:sz w:val="20"/>
                <w:lang w:val="fr-CA"/>
              </w:rPr>
            </w:pPr>
          </w:p>
        </w:tc>
      </w:tr>
      <w:tr w:rsidR="00A30527" w:rsidRPr="001D3FE1" w:rsidTr="002E7AAF">
        <w:trPr>
          <w:cantSplit/>
        </w:trPr>
        <w:tc>
          <w:tcPr>
            <w:tcW w:w="2427" w:type="pct"/>
          </w:tcPr>
          <w:p w:rsidR="00A30527" w:rsidRPr="0063032F" w:rsidRDefault="00A30527" w:rsidP="00DB5F86">
            <w:pPr>
              <w:jc w:val="both"/>
              <w:rPr>
                <w:rFonts w:eastAsia="Calibri"/>
                <w:sz w:val="20"/>
                <w:lang w:val="fr-CA"/>
              </w:rPr>
            </w:pPr>
            <w:r w:rsidRPr="0063032F">
              <w:rPr>
                <w:rFonts w:eastAsia="Calibri"/>
                <w:sz w:val="20"/>
                <w:lang w:val="fr-CA"/>
              </w:rPr>
              <w:t>14 novembre 2014</w:t>
            </w:r>
          </w:p>
          <w:p w:rsidR="00A30527" w:rsidRPr="0063032F" w:rsidRDefault="00A30527" w:rsidP="00DB5F86">
            <w:pPr>
              <w:jc w:val="both"/>
              <w:rPr>
                <w:rFonts w:eastAsia="Calibri"/>
                <w:sz w:val="20"/>
                <w:lang w:val="fr-CA"/>
              </w:rPr>
            </w:pPr>
            <w:r w:rsidRPr="0063032F">
              <w:rPr>
                <w:rFonts w:eastAsia="Calibri"/>
                <w:sz w:val="20"/>
                <w:lang w:val="fr-CA"/>
              </w:rPr>
              <w:t>Cour suprême du Canada</w:t>
            </w:r>
          </w:p>
        </w:tc>
        <w:tc>
          <w:tcPr>
            <w:tcW w:w="243" w:type="pct"/>
          </w:tcPr>
          <w:p w:rsidR="00A30527" w:rsidRPr="0063032F" w:rsidRDefault="00A30527" w:rsidP="00DB5F86">
            <w:pPr>
              <w:jc w:val="both"/>
              <w:rPr>
                <w:rFonts w:eastAsia="Calibri"/>
                <w:sz w:val="20"/>
                <w:lang w:val="fr-CA"/>
              </w:rPr>
            </w:pPr>
          </w:p>
        </w:tc>
        <w:tc>
          <w:tcPr>
            <w:tcW w:w="2330" w:type="pct"/>
          </w:tcPr>
          <w:p w:rsidR="00A30527" w:rsidRPr="0063032F" w:rsidRDefault="00A30527" w:rsidP="00DB5F86">
            <w:pPr>
              <w:jc w:val="both"/>
              <w:rPr>
                <w:rFonts w:eastAsia="Calibri"/>
                <w:sz w:val="20"/>
                <w:lang w:val="fr-CA"/>
              </w:rPr>
            </w:pPr>
            <w:r w:rsidRPr="0063032F">
              <w:rPr>
                <w:rFonts w:eastAsia="Calibri"/>
                <w:sz w:val="20"/>
                <w:lang w:val="fr-CA"/>
              </w:rPr>
              <w:t>Dépôt de la demande d’autorisation d’appel</w:t>
            </w:r>
          </w:p>
          <w:p w:rsidR="00A30527" w:rsidRPr="0063032F" w:rsidRDefault="00A30527" w:rsidP="00DB5F86">
            <w:pPr>
              <w:jc w:val="both"/>
              <w:rPr>
                <w:rFonts w:eastAsia="Calibri"/>
                <w:sz w:val="20"/>
                <w:lang w:val="fr-CA"/>
              </w:rPr>
            </w:pPr>
          </w:p>
        </w:tc>
      </w:tr>
    </w:tbl>
    <w:p w:rsidR="00467AD0" w:rsidRPr="00A30527" w:rsidRDefault="00467AD0" w:rsidP="000E2959">
      <w:pPr>
        <w:rPr>
          <w:sz w:val="20"/>
          <w:szCs w:val="20"/>
          <w:lang w:val="fr-CA"/>
        </w:rPr>
      </w:pPr>
    </w:p>
    <w:p w:rsidR="00467AD0" w:rsidRDefault="001D3FE1" w:rsidP="000E2959">
      <w:pPr>
        <w:rPr>
          <w:sz w:val="20"/>
          <w:szCs w:val="20"/>
          <w:lang w:val="fr-CA"/>
        </w:rPr>
      </w:pPr>
      <w:r>
        <w:rPr>
          <w:sz w:val="20"/>
          <w:szCs w:val="20"/>
          <w:lang w:val="fr-CA"/>
        </w:rPr>
        <w:pict>
          <v:rect id="_x0000_i1039" style="width:2in;height:1pt" o:hrpct="0" o:hralign="center" o:hrstd="t" o:hrnoshade="t" o:hr="t" fillcolor="black [3213]" stroked="f"/>
        </w:pict>
      </w:r>
    </w:p>
    <w:p w:rsidR="00467AD0" w:rsidRDefault="00467AD0"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7AAF" w:rsidRPr="001D3FE1" w:rsidTr="002E7AAF">
        <w:trPr>
          <w:cantSplit/>
        </w:trPr>
        <w:tc>
          <w:tcPr>
            <w:tcW w:w="1458" w:type="dxa"/>
          </w:tcPr>
          <w:p w:rsidR="002E7AAF" w:rsidRPr="00FE1AD8" w:rsidRDefault="002E7AAF" w:rsidP="002E7AAF">
            <w:pPr>
              <w:rPr>
                <w:sz w:val="20"/>
                <w:szCs w:val="20"/>
              </w:rPr>
            </w:pPr>
            <w:r w:rsidRPr="00FE1AD8">
              <w:rPr>
                <w:rStyle w:val="SCCFileNumberChar"/>
                <w:sz w:val="20"/>
                <w:szCs w:val="20"/>
              </w:rPr>
              <w:t>36244</w:t>
            </w:r>
          </w:p>
          <w:p w:rsidR="002E7AAF" w:rsidRPr="00FE1AD8" w:rsidRDefault="002E7AAF" w:rsidP="002E7AAF">
            <w:pPr>
              <w:rPr>
                <w:b/>
                <w:sz w:val="20"/>
                <w:szCs w:val="20"/>
                <w:lang w:val="fr-CA"/>
              </w:rPr>
            </w:pPr>
          </w:p>
        </w:tc>
        <w:tc>
          <w:tcPr>
            <w:tcW w:w="8118" w:type="dxa"/>
          </w:tcPr>
          <w:p w:rsidR="002E7AAF" w:rsidRPr="00FE1AD8" w:rsidRDefault="002E7AAF" w:rsidP="002E7AAF">
            <w:pPr>
              <w:rPr>
                <w:sz w:val="20"/>
                <w:szCs w:val="20"/>
                <w:lang w:val="fr-CA"/>
              </w:rPr>
            </w:pPr>
            <w:r w:rsidRPr="00FE1AD8">
              <w:rPr>
                <w:rStyle w:val="SCCLsocChar"/>
                <w:sz w:val="20"/>
                <w:szCs w:val="20"/>
              </w:rPr>
              <w:t>Troy Ryan c. Sa Majesté la Reine</w:t>
            </w:r>
            <w:r w:rsidRPr="00FE1AD8">
              <w:rPr>
                <w:sz w:val="20"/>
                <w:szCs w:val="20"/>
                <w:lang w:val="fr-CA"/>
              </w:rPr>
              <w:t xml:space="preserve"> (Qc) (Criminelle) (Autorisation)</w:t>
            </w:r>
          </w:p>
          <w:p w:rsidR="002E7AAF" w:rsidRPr="00FE1AD8" w:rsidRDefault="002E7AAF" w:rsidP="002E7AAF">
            <w:pPr>
              <w:rPr>
                <w:sz w:val="20"/>
                <w:szCs w:val="20"/>
                <w:lang w:val="fr-CA"/>
              </w:rPr>
            </w:pPr>
          </w:p>
        </w:tc>
      </w:tr>
      <w:tr w:rsidR="002E7AAF" w:rsidRPr="001D3FE1" w:rsidTr="002E7AAF">
        <w:trPr>
          <w:cantSplit/>
        </w:trPr>
        <w:tc>
          <w:tcPr>
            <w:tcW w:w="1458" w:type="dxa"/>
          </w:tcPr>
          <w:p w:rsidR="002E7AAF" w:rsidRPr="00FE1AD8" w:rsidRDefault="002E7AAF" w:rsidP="002E7AAF">
            <w:pPr>
              <w:rPr>
                <w:sz w:val="20"/>
                <w:szCs w:val="20"/>
              </w:rPr>
            </w:pPr>
            <w:r w:rsidRPr="00FE1AD8">
              <w:rPr>
                <w:sz w:val="20"/>
                <w:szCs w:val="20"/>
              </w:rPr>
              <w:t>Coram :</w:t>
            </w:r>
          </w:p>
        </w:tc>
        <w:tc>
          <w:tcPr>
            <w:tcW w:w="8118" w:type="dxa"/>
          </w:tcPr>
          <w:p w:rsidR="002E7AAF" w:rsidRPr="00FE1AD8" w:rsidRDefault="002E7AAF" w:rsidP="002E7AAF">
            <w:pPr>
              <w:rPr>
                <w:sz w:val="20"/>
                <w:szCs w:val="20"/>
                <w:lang w:val="fr-CA"/>
              </w:rPr>
            </w:pPr>
            <w:r w:rsidRPr="00FE1AD8">
              <w:rPr>
                <w:rStyle w:val="SCCCoramChar"/>
                <w:sz w:val="20"/>
                <w:szCs w:val="20"/>
              </w:rPr>
              <w:t>La juge en chef McLachlin et les juges Wagner et Gascon</w:t>
            </w:r>
          </w:p>
          <w:p w:rsidR="002E7AAF" w:rsidRPr="00FE1AD8" w:rsidRDefault="002E7AAF" w:rsidP="002E7AAF">
            <w:pPr>
              <w:rPr>
                <w:sz w:val="20"/>
                <w:szCs w:val="20"/>
                <w:u w:val="single"/>
                <w:lang w:val="fr-CA"/>
              </w:rPr>
            </w:pPr>
          </w:p>
        </w:tc>
      </w:tr>
      <w:tr w:rsidR="002E7AAF" w:rsidRPr="00FE1AD8" w:rsidTr="002E7AAF">
        <w:trPr>
          <w:cantSplit/>
        </w:trPr>
        <w:tc>
          <w:tcPr>
            <w:tcW w:w="9576" w:type="dxa"/>
            <w:gridSpan w:val="2"/>
          </w:tcPr>
          <w:p w:rsidR="002E7AAF" w:rsidRPr="00FE1AD8" w:rsidRDefault="002E7AAF" w:rsidP="002E7AAF">
            <w:pPr>
              <w:pStyle w:val="SCCShortJudgment"/>
              <w:rPr>
                <w:szCs w:val="20"/>
                <w:lang w:val="fr-CA"/>
              </w:rPr>
            </w:pPr>
            <w:r w:rsidRPr="00FE1AD8">
              <w:rPr>
                <w:szCs w:val="20"/>
                <w:lang w:val="fr-CA"/>
              </w:rPr>
              <w:t>La requête en prorogation du délai de signification et de dépôt de la demande d’autorisation d’appel est accueillie.  La demande d’autorisation d’appel de l’arrêt de la Cour d’appel du Québec (Montréal), numéro 500-10-005703-143, 2014 QCCA 1764, daté du 24 septembre 2014, est rejetée.</w:t>
            </w:r>
          </w:p>
          <w:p w:rsidR="002E7AAF" w:rsidRPr="00FE1AD8" w:rsidRDefault="002E7AAF" w:rsidP="002E7AAF">
            <w:pPr>
              <w:pStyle w:val="SCCShortJudgment"/>
              <w:ind w:firstLine="0"/>
              <w:rPr>
                <w:szCs w:val="20"/>
                <w:lang w:val="fr-CA"/>
              </w:rPr>
            </w:pPr>
          </w:p>
          <w:p w:rsidR="002E7AAF" w:rsidRPr="00FE1AD8" w:rsidRDefault="002E7AAF" w:rsidP="002E7AAF">
            <w:pPr>
              <w:pStyle w:val="SCCShortJudgment"/>
              <w:rPr>
                <w:szCs w:val="20"/>
              </w:rPr>
            </w:pPr>
            <w:r w:rsidRPr="00FE1AD8">
              <w:rPr>
                <w:szCs w:val="20"/>
              </w:rPr>
              <w:t>The motion for an extension of time to serve and file the application for leave to appeal is granted.  The application for leave to appeal from the judgment of the Court of Appeal of Quebec (Montréal), Number 500-10-005703-143, 2014 QCCA 1764, dated September 24, 2014, is dismissed.</w:t>
            </w:r>
          </w:p>
        </w:tc>
      </w:tr>
    </w:tbl>
    <w:p w:rsidR="00467AD0" w:rsidRDefault="00467AD0" w:rsidP="00467AD0">
      <w:pPr>
        <w:rPr>
          <w:sz w:val="20"/>
          <w:szCs w:val="20"/>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527" w:rsidRPr="00305EE6" w:rsidTr="00DB5F86">
        <w:tc>
          <w:tcPr>
            <w:tcW w:w="5000" w:type="pct"/>
            <w:gridSpan w:val="3"/>
          </w:tcPr>
          <w:p w:rsidR="00A30527" w:rsidRPr="00305EE6" w:rsidRDefault="00A30527" w:rsidP="00DB5F86">
            <w:pPr>
              <w:jc w:val="both"/>
              <w:rPr>
                <w:rFonts w:eastAsia="Calibri"/>
                <w:sz w:val="20"/>
              </w:rPr>
            </w:pPr>
            <w:r w:rsidRPr="00305EE6">
              <w:rPr>
                <w:rFonts w:eastAsia="Calibri"/>
                <w:sz w:val="20"/>
              </w:rPr>
              <w:t>Criminal law – Driving “over 80”</w:t>
            </w:r>
            <w:r w:rsidRPr="00305EE6">
              <w:rPr>
                <w:rFonts w:eastAsia="Calibri"/>
                <w:iCs/>
                <w:sz w:val="20"/>
              </w:rPr>
              <w:t xml:space="preserve"> – Evidence – Admissibility of certificates of analysis for alcohol samples – Whether objection to filing in evidence of certificate of analysis for alcohol samples must be made when evidence adduced or may be made during oral argument at end of trial – Whether Court of Appeal judge erred in concluding that Mr. Ryan had not raised appealable question of law – </w:t>
            </w:r>
            <w:r w:rsidRPr="00305EE6">
              <w:rPr>
                <w:rFonts w:eastAsia="Calibri"/>
                <w:i/>
                <w:iCs/>
                <w:sz w:val="20"/>
              </w:rPr>
              <w:t>Criminal Code</w:t>
            </w:r>
            <w:r w:rsidRPr="00305EE6">
              <w:rPr>
                <w:rFonts w:eastAsia="Calibri"/>
                <w:iCs/>
                <w:sz w:val="20"/>
              </w:rPr>
              <w:t>, R.S.C. 1985, c. C-46, ss. 254(3), 258(1)(</w:t>
            </w:r>
            <w:r w:rsidRPr="00305EE6">
              <w:rPr>
                <w:rFonts w:eastAsia="Calibri"/>
                <w:i/>
                <w:iCs/>
                <w:sz w:val="20"/>
              </w:rPr>
              <w:t>c</w:t>
            </w:r>
            <w:r w:rsidRPr="00305EE6">
              <w:rPr>
                <w:rFonts w:eastAsia="Calibri"/>
                <w:iCs/>
                <w:sz w:val="20"/>
              </w:rPr>
              <w:t>).</w:t>
            </w:r>
          </w:p>
        </w:tc>
      </w:tr>
      <w:tr w:rsidR="00A30527" w:rsidRPr="00305EE6" w:rsidTr="00DB5F86">
        <w:tc>
          <w:tcPr>
            <w:tcW w:w="5000" w:type="pct"/>
            <w:gridSpan w:val="3"/>
          </w:tcPr>
          <w:p w:rsidR="00A30527" w:rsidRPr="00305EE6" w:rsidRDefault="00A30527" w:rsidP="00DB5F86">
            <w:pPr>
              <w:jc w:val="both"/>
              <w:rPr>
                <w:rFonts w:eastAsia="Calibri"/>
                <w:sz w:val="20"/>
              </w:rPr>
            </w:pPr>
          </w:p>
        </w:tc>
      </w:tr>
      <w:tr w:rsidR="00A30527" w:rsidRPr="00305EE6" w:rsidTr="00DB5F86">
        <w:tc>
          <w:tcPr>
            <w:tcW w:w="5000" w:type="pct"/>
            <w:gridSpan w:val="3"/>
          </w:tcPr>
          <w:p w:rsidR="00A30527" w:rsidRPr="00305EE6" w:rsidRDefault="00A30527" w:rsidP="00DB5F86">
            <w:pPr>
              <w:jc w:val="both"/>
              <w:rPr>
                <w:rFonts w:eastAsia="Calibri"/>
                <w:sz w:val="20"/>
              </w:rPr>
            </w:pPr>
            <w:r w:rsidRPr="00305EE6">
              <w:rPr>
                <w:rFonts w:eastAsia="Calibri"/>
                <w:sz w:val="20"/>
              </w:rPr>
              <w:t>Mr. Ryan, the applicant, was convicted of operating a motor vehicle while the concentration of alcohol in his blood exceeded 80 milligrams of alcohol in 100 millilitres of blood.  During oral argument at trial, Mr. Ryan argued that the prosecution could not rely on the presumption of identity in s. 258(1)(</w:t>
            </w:r>
            <w:r w:rsidRPr="00305EE6">
              <w:rPr>
                <w:rFonts w:eastAsia="Calibri"/>
                <w:i/>
                <w:sz w:val="20"/>
              </w:rPr>
              <w:t>c</w:t>
            </w:r>
            <w:r w:rsidRPr="00305EE6">
              <w:rPr>
                <w:rFonts w:eastAsia="Calibri"/>
                <w:sz w:val="20"/>
              </w:rPr>
              <w:t xml:space="preserve">) of the </w:t>
            </w:r>
            <w:r w:rsidRPr="00305EE6">
              <w:rPr>
                <w:rFonts w:eastAsia="Calibri"/>
                <w:i/>
                <w:sz w:val="20"/>
              </w:rPr>
              <w:t>Criminal Code</w:t>
            </w:r>
            <w:r w:rsidRPr="00305EE6">
              <w:rPr>
                <w:rFonts w:eastAsia="Calibri"/>
                <w:sz w:val="20"/>
              </w:rPr>
              <w:t xml:space="preserve"> because the time limits specified in that section had not been met.  The trial judge refused to deal with Mr. Ryan’s argument on the ground that it had been raised late. The Superior Court dismissed the appeal and the Court of Appeal dismissed the motion for leave to appeal.</w:t>
            </w:r>
          </w:p>
          <w:p w:rsidR="00A30527" w:rsidRPr="00305EE6" w:rsidRDefault="00A30527" w:rsidP="00DB5F86">
            <w:pPr>
              <w:jc w:val="both"/>
              <w:rPr>
                <w:rFonts w:eastAsia="Calibri"/>
                <w:sz w:val="20"/>
              </w:rPr>
            </w:pPr>
          </w:p>
        </w:tc>
      </w:tr>
      <w:tr w:rsidR="00A30527" w:rsidRPr="00305EE6" w:rsidTr="00DB5F86">
        <w:tc>
          <w:tcPr>
            <w:tcW w:w="2427" w:type="pct"/>
          </w:tcPr>
          <w:p w:rsidR="00A30527" w:rsidRPr="00305EE6" w:rsidRDefault="00A30527" w:rsidP="00DB5F86">
            <w:pPr>
              <w:jc w:val="both"/>
              <w:rPr>
                <w:rFonts w:eastAsia="Calibri"/>
                <w:sz w:val="20"/>
              </w:rPr>
            </w:pPr>
            <w:r w:rsidRPr="00305EE6">
              <w:rPr>
                <w:rFonts w:eastAsia="Calibri"/>
                <w:sz w:val="20"/>
              </w:rPr>
              <w:t>January 21, 2014</w:t>
            </w:r>
          </w:p>
          <w:p w:rsidR="00A30527" w:rsidRPr="00305EE6" w:rsidRDefault="00A30527" w:rsidP="00DB5F86">
            <w:pPr>
              <w:jc w:val="both"/>
              <w:rPr>
                <w:rFonts w:eastAsia="Calibri"/>
                <w:sz w:val="20"/>
              </w:rPr>
            </w:pPr>
            <w:r w:rsidRPr="00305EE6">
              <w:rPr>
                <w:rFonts w:eastAsia="Calibri"/>
                <w:sz w:val="20"/>
              </w:rPr>
              <w:t>Municipal Court of Montréal</w:t>
            </w:r>
          </w:p>
          <w:p w:rsidR="00A30527" w:rsidRPr="00305EE6" w:rsidRDefault="00A30527" w:rsidP="00DB5F86">
            <w:pPr>
              <w:jc w:val="both"/>
              <w:rPr>
                <w:rFonts w:eastAsia="Calibri"/>
                <w:sz w:val="20"/>
              </w:rPr>
            </w:pPr>
            <w:r w:rsidRPr="00305EE6">
              <w:rPr>
                <w:rFonts w:eastAsia="Calibri"/>
                <w:sz w:val="20"/>
              </w:rPr>
              <w:t>(Judge Girard)</w:t>
            </w:r>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rPr>
            </w:pPr>
            <w:r w:rsidRPr="00305EE6">
              <w:rPr>
                <w:rFonts w:eastAsia="Calibri"/>
                <w:sz w:val="20"/>
              </w:rPr>
              <w:t>Applicant convicted of operating motor vehicle while concentration of alcohol in his blood exceeded 80 milligrams of alcohol in 100 millilitres of blood (s. 253(1)(</w:t>
            </w:r>
            <w:r w:rsidRPr="00305EE6">
              <w:rPr>
                <w:rFonts w:eastAsia="Calibri"/>
                <w:i/>
                <w:sz w:val="20"/>
              </w:rPr>
              <w:t>b</w:t>
            </w:r>
            <w:r w:rsidRPr="00305EE6">
              <w:rPr>
                <w:rFonts w:eastAsia="Calibri"/>
                <w:sz w:val="20"/>
              </w:rPr>
              <w:t xml:space="preserve">) </w:t>
            </w:r>
            <w:r w:rsidRPr="00305EE6">
              <w:rPr>
                <w:rFonts w:eastAsia="Calibri"/>
                <w:i/>
                <w:sz w:val="20"/>
              </w:rPr>
              <w:t>Criminal Code</w:t>
            </w:r>
            <w:r w:rsidRPr="00305EE6">
              <w:rPr>
                <w:rFonts w:eastAsia="Calibri"/>
                <w:sz w:val="20"/>
              </w:rPr>
              <w:t>)</w:t>
            </w:r>
          </w:p>
          <w:p w:rsidR="00A30527" w:rsidRPr="00305EE6" w:rsidRDefault="00A30527" w:rsidP="00DB5F86">
            <w:pPr>
              <w:jc w:val="both"/>
              <w:rPr>
                <w:rFonts w:eastAsia="Calibri"/>
                <w:sz w:val="20"/>
              </w:rPr>
            </w:pPr>
          </w:p>
        </w:tc>
      </w:tr>
      <w:tr w:rsidR="00A30527" w:rsidRPr="00305EE6" w:rsidTr="00DB5F86">
        <w:tc>
          <w:tcPr>
            <w:tcW w:w="2427" w:type="pct"/>
          </w:tcPr>
          <w:p w:rsidR="00A30527" w:rsidRPr="00305EE6" w:rsidRDefault="00A30527" w:rsidP="00DB5F86">
            <w:pPr>
              <w:jc w:val="both"/>
              <w:rPr>
                <w:rFonts w:eastAsia="Calibri"/>
                <w:sz w:val="20"/>
              </w:rPr>
            </w:pPr>
            <w:r w:rsidRPr="00305EE6">
              <w:rPr>
                <w:rFonts w:eastAsia="Calibri"/>
                <w:sz w:val="20"/>
              </w:rPr>
              <w:t>September 4, 2014</w:t>
            </w:r>
          </w:p>
          <w:p w:rsidR="00A30527" w:rsidRPr="00305EE6" w:rsidRDefault="00A30527" w:rsidP="00DB5F86">
            <w:pPr>
              <w:jc w:val="both"/>
              <w:rPr>
                <w:rFonts w:eastAsia="Calibri"/>
                <w:sz w:val="20"/>
              </w:rPr>
            </w:pPr>
            <w:r w:rsidRPr="00305EE6">
              <w:rPr>
                <w:rFonts w:eastAsia="Calibri"/>
                <w:sz w:val="20"/>
              </w:rPr>
              <w:t>Quebec Superior Court</w:t>
            </w:r>
          </w:p>
          <w:p w:rsidR="00A30527" w:rsidRPr="00305EE6" w:rsidRDefault="00A30527" w:rsidP="00DB5F86">
            <w:pPr>
              <w:jc w:val="both"/>
              <w:rPr>
                <w:rFonts w:eastAsia="Calibri"/>
                <w:sz w:val="20"/>
              </w:rPr>
            </w:pPr>
            <w:r w:rsidRPr="00305EE6">
              <w:rPr>
                <w:rFonts w:eastAsia="Calibri"/>
                <w:sz w:val="20"/>
              </w:rPr>
              <w:t>(Di Salvo J.)</w:t>
            </w:r>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rPr>
            </w:pPr>
            <w:r w:rsidRPr="00305EE6">
              <w:rPr>
                <w:rFonts w:eastAsia="Calibri"/>
                <w:sz w:val="20"/>
              </w:rPr>
              <w:t>Appeal dismissed</w:t>
            </w:r>
          </w:p>
          <w:p w:rsidR="00A30527" w:rsidRPr="00305EE6" w:rsidRDefault="00A30527" w:rsidP="00DB5F86">
            <w:pPr>
              <w:jc w:val="both"/>
              <w:rPr>
                <w:rFonts w:eastAsia="Calibri"/>
                <w:sz w:val="20"/>
              </w:rPr>
            </w:pPr>
          </w:p>
        </w:tc>
      </w:tr>
      <w:tr w:rsidR="00A30527" w:rsidRPr="00305EE6" w:rsidTr="009D7EED">
        <w:trPr>
          <w:cantSplit/>
        </w:trPr>
        <w:tc>
          <w:tcPr>
            <w:tcW w:w="2427" w:type="pct"/>
          </w:tcPr>
          <w:p w:rsidR="00A30527" w:rsidRPr="00305EE6" w:rsidRDefault="00A30527" w:rsidP="00DB5F86">
            <w:pPr>
              <w:jc w:val="both"/>
              <w:rPr>
                <w:rFonts w:eastAsia="Calibri"/>
                <w:sz w:val="20"/>
              </w:rPr>
            </w:pPr>
            <w:r w:rsidRPr="00305EE6">
              <w:rPr>
                <w:rFonts w:eastAsia="Calibri"/>
                <w:sz w:val="20"/>
              </w:rPr>
              <w:lastRenderedPageBreak/>
              <w:t>September 24, 2014</w:t>
            </w:r>
          </w:p>
          <w:p w:rsidR="00A30527" w:rsidRPr="00305EE6" w:rsidRDefault="00A30527" w:rsidP="00DB5F86">
            <w:pPr>
              <w:jc w:val="both"/>
              <w:rPr>
                <w:rFonts w:eastAsia="Calibri"/>
                <w:sz w:val="20"/>
              </w:rPr>
            </w:pPr>
            <w:r w:rsidRPr="00305EE6">
              <w:rPr>
                <w:rFonts w:eastAsia="Calibri"/>
                <w:sz w:val="20"/>
              </w:rPr>
              <w:t>Quebec Court of Appeal (Montréal)</w:t>
            </w:r>
          </w:p>
          <w:p w:rsidR="00A30527" w:rsidRPr="00305EE6" w:rsidRDefault="00A30527" w:rsidP="00DB5F86">
            <w:pPr>
              <w:jc w:val="both"/>
              <w:rPr>
                <w:rFonts w:eastAsia="Calibri"/>
                <w:sz w:val="20"/>
              </w:rPr>
            </w:pPr>
            <w:r w:rsidRPr="00305EE6">
              <w:rPr>
                <w:rFonts w:eastAsia="Calibri"/>
                <w:sz w:val="20"/>
              </w:rPr>
              <w:t>(Doyon J.A.)</w:t>
            </w:r>
          </w:p>
          <w:p w:rsidR="00A30527" w:rsidRPr="00305EE6" w:rsidRDefault="001D3FE1" w:rsidP="00DB5F86">
            <w:pPr>
              <w:jc w:val="both"/>
              <w:rPr>
                <w:rFonts w:eastAsia="Calibri"/>
                <w:sz w:val="20"/>
              </w:rPr>
            </w:pPr>
            <w:hyperlink r:id="rId29" w:history="1">
              <w:r w:rsidR="00A30527" w:rsidRPr="00305EE6">
                <w:rPr>
                  <w:rFonts w:eastAsia="Calibri"/>
                  <w:color w:val="0000FF"/>
                  <w:sz w:val="20"/>
                  <w:u w:val="single"/>
                </w:rPr>
                <w:t>2014 QCCA 1764</w:t>
              </w:r>
            </w:hyperlink>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rPr>
            </w:pPr>
            <w:r w:rsidRPr="00305EE6">
              <w:rPr>
                <w:rFonts w:eastAsia="Calibri"/>
                <w:sz w:val="20"/>
              </w:rPr>
              <w:t>Motion for leave to appeal dismissed</w:t>
            </w:r>
          </w:p>
          <w:p w:rsidR="00A30527" w:rsidRPr="00305EE6" w:rsidRDefault="00A30527" w:rsidP="00DB5F86">
            <w:pPr>
              <w:jc w:val="both"/>
              <w:rPr>
                <w:rFonts w:eastAsia="Calibri"/>
                <w:sz w:val="20"/>
              </w:rPr>
            </w:pPr>
          </w:p>
        </w:tc>
      </w:tr>
      <w:tr w:rsidR="00A30527" w:rsidRPr="00305EE6" w:rsidTr="009D7EED">
        <w:trPr>
          <w:cantSplit/>
        </w:trPr>
        <w:tc>
          <w:tcPr>
            <w:tcW w:w="2427" w:type="pct"/>
          </w:tcPr>
          <w:p w:rsidR="00A30527" w:rsidRPr="00305EE6" w:rsidRDefault="00A30527" w:rsidP="00DB5F86">
            <w:pPr>
              <w:jc w:val="both"/>
              <w:rPr>
                <w:rFonts w:eastAsia="Calibri"/>
                <w:sz w:val="20"/>
              </w:rPr>
            </w:pPr>
            <w:r w:rsidRPr="00305EE6">
              <w:rPr>
                <w:rFonts w:eastAsia="Calibri"/>
                <w:sz w:val="20"/>
              </w:rPr>
              <w:t>January 7, 2015</w:t>
            </w:r>
          </w:p>
          <w:p w:rsidR="00A30527" w:rsidRPr="00305EE6" w:rsidRDefault="00A30527" w:rsidP="00DB5F86">
            <w:pPr>
              <w:jc w:val="both"/>
              <w:rPr>
                <w:rFonts w:eastAsia="Calibri"/>
                <w:sz w:val="20"/>
              </w:rPr>
            </w:pPr>
            <w:r w:rsidRPr="00305EE6">
              <w:rPr>
                <w:rFonts w:eastAsia="Calibri"/>
                <w:sz w:val="20"/>
              </w:rPr>
              <w:t>Supreme Court of Canada</w:t>
            </w: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rPr>
            </w:pPr>
            <w:r w:rsidRPr="00305EE6">
              <w:rPr>
                <w:rFonts w:eastAsia="Calibri"/>
                <w:sz w:val="20"/>
              </w:rPr>
              <w:t xml:space="preserve">Motion to extend time and application for leave to appeal filed </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40"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527" w:rsidRPr="00297C53" w:rsidTr="00DB5F86">
        <w:tc>
          <w:tcPr>
            <w:tcW w:w="5000" w:type="pct"/>
            <w:gridSpan w:val="3"/>
          </w:tcPr>
          <w:p w:rsidR="00A30527" w:rsidRPr="00305EE6" w:rsidRDefault="00A30527" w:rsidP="00DB5F86">
            <w:pPr>
              <w:jc w:val="both"/>
              <w:rPr>
                <w:rFonts w:eastAsia="Calibri"/>
                <w:sz w:val="20"/>
                <w:lang w:val="fr-CA"/>
              </w:rPr>
            </w:pPr>
            <w:r w:rsidRPr="00305EE6">
              <w:rPr>
                <w:rFonts w:eastAsia="Calibri"/>
                <w:sz w:val="20"/>
                <w:lang w:val="fr-CA"/>
              </w:rPr>
              <w:t xml:space="preserve">Droit criminel – </w:t>
            </w:r>
            <w:r w:rsidRPr="00305EE6">
              <w:rPr>
                <w:rFonts w:eastAsia="Calibri"/>
                <w:iCs/>
                <w:sz w:val="20"/>
                <w:lang w:val="fr-FR"/>
              </w:rPr>
              <w:t xml:space="preserve">Conduite avec une alcoolémie « supérieure à 80 » </w:t>
            </w:r>
            <w:r w:rsidRPr="00305EE6">
              <w:rPr>
                <w:rFonts w:eastAsia="Calibri"/>
                <w:sz w:val="20"/>
                <w:lang w:val="fr-CA"/>
              </w:rPr>
              <w:t xml:space="preserve">– </w:t>
            </w:r>
            <w:r w:rsidRPr="00305EE6">
              <w:rPr>
                <w:rFonts w:eastAsia="Calibri"/>
                <w:iCs/>
                <w:sz w:val="20"/>
                <w:lang w:val="fr-FR"/>
              </w:rPr>
              <w:t xml:space="preserve">Preuve – Admissibilité de certificats d’analyse d’échantillons d’alcool – Une objection au dépôt en preuve d’un certificat d’analyse des échantillons d’alcool doit-elle être formulée au moment où la preuve est présentée ou peut-elle être formulée lors des plaidoiries à la fin d’un procès? – Le juge de la Cour d’appel a-t-il fait erreur en concluant que M. Ryan n’a pas soulevé une question de droit susceptible d’appel? – </w:t>
            </w:r>
            <w:r w:rsidRPr="00305EE6">
              <w:rPr>
                <w:rFonts w:eastAsia="Calibri"/>
                <w:i/>
                <w:iCs/>
                <w:sz w:val="20"/>
                <w:lang w:val="fr-FR"/>
              </w:rPr>
              <w:t>Code criminel</w:t>
            </w:r>
            <w:r w:rsidRPr="00305EE6">
              <w:rPr>
                <w:rFonts w:eastAsia="Calibri"/>
                <w:iCs/>
                <w:sz w:val="20"/>
                <w:lang w:val="fr-FR"/>
              </w:rPr>
              <w:t>, L.R.C. 1985, ch. C-46, art. 254(3), 258(1)</w:t>
            </w:r>
            <w:r w:rsidRPr="00305EE6">
              <w:rPr>
                <w:rFonts w:eastAsia="Calibri"/>
                <w:i/>
                <w:iCs/>
                <w:sz w:val="20"/>
                <w:lang w:val="fr-FR"/>
              </w:rPr>
              <w:t>c</w:t>
            </w:r>
            <w:r w:rsidRPr="00305EE6">
              <w:rPr>
                <w:rFonts w:eastAsia="Calibri"/>
                <w:iCs/>
                <w:sz w:val="20"/>
                <w:lang w:val="fr-FR"/>
              </w:rPr>
              <w:t>).</w:t>
            </w:r>
          </w:p>
        </w:tc>
      </w:tr>
      <w:tr w:rsidR="00A30527" w:rsidRPr="00297C53" w:rsidTr="00DB5F86">
        <w:tc>
          <w:tcPr>
            <w:tcW w:w="5000" w:type="pct"/>
            <w:gridSpan w:val="3"/>
          </w:tcPr>
          <w:p w:rsidR="00A30527" w:rsidRPr="00305EE6" w:rsidRDefault="00A30527" w:rsidP="00DB5F86">
            <w:pPr>
              <w:jc w:val="both"/>
              <w:rPr>
                <w:rFonts w:eastAsia="Calibri"/>
                <w:sz w:val="20"/>
                <w:lang w:val="fr-CA"/>
              </w:rPr>
            </w:pPr>
          </w:p>
        </w:tc>
      </w:tr>
      <w:tr w:rsidR="00A30527" w:rsidRPr="001D3FE1" w:rsidTr="00DB5F86">
        <w:tc>
          <w:tcPr>
            <w:tcW w:w="5000" w:type="pct"/>
            <w:gridSpan w:val="3"/>
          </w:tcPr>
          <w:p w:rsidR="00A30527" w:rsidRPr="00305EE6" w:rsidRDefault="00A30527" w:rsidP="00DB5F86">
            <w:pPr>
              <w:jc w:val="both"/>
              <w:rPr>
                <w:rFonts w:eastAsia="Calibri"/>
                <w:sz w:val="20"/>
                <w:lang w:val="fr-CA"/>
              </w:rPr>
            </w:pPr>
            <w:r w:rsidRPr="00305EE6">
              <w:rPr>
                <w:rFonts w:eastAsia="Calibri"/>
                <w:sz w:val="20"/>
                <w:lang w:val="fr-CA"/>
              </w:rPr>
              <w:t>Monsieur Ryan, demandeur, a été déclaré coupable d’avoir conduit un véhicule à moteur alors que son alcoolémie dépassait 80 milligrammes d’alcool par 100 millilitres de sang.  Au procès lors des plaidoiries, M. Ryan a plaidé que la poursuite ne pouvait se prévaloir de la présomption d’identité prévue à l’art. 258(1)</w:t>
            </w:r>
            <w:r w:rsidRPr="00305EE6">
              <w:rPr>
                <w:rFonts w:eastAsia="Calibri"/>
                <w:i/>
                <w:sz w:val="20"/>
                <w:lang w:val="fr-CA"/>
              </w:rPr>
              <w:t>c</w:t>
            </w:r>
            <w:r w:rsidRPr="00305EE6">
              <w:rPr>
                <w:rFonts w:eastAsia="Calibri"/>
                <w:sz w:val="20"/>
                <w:lang w:val="fr-CA"/>
              </w:rPr>
              <w:t xml:space="preserve">) du </w:t>
            </w:r>
            <w:r w:rsidRPr="00305EE6">
              <w:rPr>
                <w:rFonts w:eastAsia="Calibri"/>
                <w:i/>
                <w:sz w:val="20"/>
                <w:lang w:val="fr-CA"/>
              </w:rPr>
              <w:t>Code criminel</w:t>
            </w:r>
            <w:r w:rsidRPr="00305EE6">
              <w:rPr>
                <w:rFonts w:eastAsia="Calibri"/>
                <w:sz w:val="20"/>
                <w:lang w:val="fr-CA"/>
              </w:rPr>
              <w:t>, car les délais prévus à ce même article n’avaient pas été respectés.  La juge de première instance a refusé de traiter de l’argument de M. Ryan au motif qu’il avait été présenté tardivement.  La Cour supérieure a rejeté l’appel et la Cour d’appel a rejeté la requête pour permission d’appeler.</w:t>
            </w:r>
          </w:p>
          <w:p w:rsidR="00A30527" w:rsidRPr="00305EE6" w:rsidRDefault="00A30527" w:rsidP="00DB5F86">
            <w:pPr>
              <w:jc w:val="both"/>
              <w:rPr>
                <w:rFonts w:eastAsia="Calibri"/>
                <w:sz w:val="20"/>
                <w:lang w:val="fr-CA"/>
              </w:rPr>
            </w:pPr>
          </w:p>
        </w:tc>
      </w:tr>
      <w:tr w:rsidR="00A30527" w:rsidRPr="001D3FE1" w:rsidTr="00DB5F86">
        <w:tc>
          <w:tcPr>
            <w:tcW w:w="2427" w:type="pct"/>
          </w:tcPr>
          <w:p w:rsidR="00A30527" w:rsidRPr="00305EE6" w:rsidRDefault="00A30527" w:rsidP="00DB5F86">
            <w:pPr>
              <w:jc w:val="both"/>
              <w:rPr>
                <w:rFonts w:eastAsia="Calibri"/>
                <w:sz w:val="20"/>
                <w:lang w:val="fr-CA"/>
              </w:rPr>
            </w:pPr>
            <w:r w:rsidRPr="00305EE6">
              <w:rPr>
                <w:rFonts w:eastAsia="Calibri"/>
                <w:sz w:val="20"/>
                <w:lang w:val="fr-CA"/>
              </w:rPr>
              <w:t>Le 21 janvier 2014</w:t>
            </w:r>
          </w:p>
          <w:p w:rsidR="00A30527" w:rsidRPr="00305EE6" w:rsidRDefault="00A30527" w:rsidP="00DB5F86">
            <w:pPr>
              <w:jc w:val="both"/>
              <w:rPr>
                <w:rFonts w:eastAsia="Calibri"/>
                <w:sz w:val="20"/>
                <w:lang w:val="fr-CA"/>
              </w:rPr>
            </w:pPr>
            <w:r w:rsidRPr="00305EE6">
              <w:rPr>
                <w:rFonts w:eastAsia="Calibri"/>
                <w:sz w:val="20"/>
                <w:lang w:val="fr-CA"/>
              </w:rPr>
              <w:t>Cour municipale de Montréal</w:t>
            </w:r>
          </w:p>
          <w:p w:rsidR="00A30527" w:rsidRPr="00305EE6" w:rsidRDefault="00A30527" w:rsidP="00DB5F86">
            <w:pPr>
              <w:jc w:val="both"/>
              <w:rPr>
                <w:rFonts w:eastAsia="Calibri"/>
                <w:sz w:val="20"/>
                <w:lang w:val="fr-CA"/>
              </w:rPr>
            </w:pPr>
            <w:r w:rsidRPr="00305EE6">
              <w:rPr>
                <w:rFonts w:eastAsia="Calibri"/>
                <w:sz w:val="20"/>
                <w:lang w:val="fr-CA"/>
              </w:rPr>
              <w:t>(La juge Girard)</w:t>
            </w:r>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lang w:val="fr-CA"/>
              </w:rPr>
            </w:pPr>
            <w:r w:rsidRPr="00305EE6">
              <w:rPr>
                <w:rFonts w:eastAsia="Calibri"/>
                <w:sz w:val="20"/>
                <w:lang w:val="fr-CA"/>
              </w:rPr>
              <w:t>Demandeur déclaré coupable d’avoir conduit un véhicule à moteur alors que son alcoolémie dépassait 80 milligrammes d’alcool par 100 millilitres de sang (art. 253(1)</w:t>
            </w:r>
            <w:r w:rsidRPr="00305EE6">
              <w:rPr>
                <w:rFonts w:eastAsia="Calibri"/>
                <w:i/>
                <w:sz w:val="20"/>
                <w:lang w:val="fr-CA"/>
              </w:rPr>
              <w:t>b</w:t>
            </w:r>
            <w:r w:rsidRPr="00305EE6">
              <w:rPr>
                <w:rFonts w:eastAsia="Calibri"/>
                <w:sz w:val="20"/>
                <w:lang w:val="fr-CA"/>
              </w:rPr>
              <w:t xml:space="preserve">) </w:t>
            </w:r>
            <w:r w:rsidRPr="00305EE6">
              <w:rPr>
                <w:rFonts w:eastAsia="Calibri"/>
                <w:i/>
                <w:sz w:val="20"/>
                <w:lang w:val="fr-CA"/>
              </w:rPr>
              <w:t>Code criminel</w:t>
            </w:r>
            <w:r w:rsidRPr="00305EE6">
              <w:rPr>
                <w:rFonts w:eastAsia="Calibri"/>
                <w:sz w:val="20"/>
                <w:lang w:val="fr-CA"/>
              </w:rPr>
              <w:t>)</w:t>
            </w:r>
          </w:p>
          <w:p w:rsidR="00A30527" w:rsidRPr="00305EE6" w:rsidRDefault="00A30527" w:rsidP="00DB5F86">
            <w:pPr>
              <w:jc w:val="both"/>
              <w:rPr>
                <w:rFonts w:eastAsia="Calibri"/>
                <w:sz w:val="20"/>
                <w:lang w:val="fr-CA"/>
              </w:rPr>
            </w:pPr>
          </w:p>
        </w:tc>
      </w:tr>
      <w:tr w:rsidR="00A30527" w:rsidRPr="00305EE6" w:rsidTr="00DB5F86">
        <w:tc>
          <w:tcPr>
            <w:tcW w:w="2427" w:type="pct"/>
          </w:tcPr>
          <w:p w:rsidR="00A30527" w:rsidRPr="00305EE6" w:rsidRDefault="00A30527" w:rsidP="00DB5F86">
            <w:pPr>
              <w:jc w:val="both"/>
              <w:rPr>
                <w:rFonts w:eastAsia="Calibri"/>
                <w:sz w:val="20"/>
                <w:lang w:val="fr-CA"/>
              </w:rPr>
            </w:pPr>
            <w:r w:rsidRPr="00305EE6">
              <w:rPr>
                <w:rFonts w:eastAsia="Calibri"/>
                <w:sz w:val="20"/>
                <w:lang w:val="fr-CA"/>
              </w:rPr>
              <w:t>Le 4 septembre 2014</w:t>
            </w:r>
          </w:p>
          <w:p w:rsidR="00A30527" w:rsidRPr="00305EE6" w:rsidRDefault="00A30527" w:rsidP="00DB5F86">
            <w:pPr>
              <w:jc w:val="both"/>
              <w:rPr>
                <w:rFonts w:eastAsia="Calibri"/>
                <w:sz w:val="20"/>
                <w:lang w:val="fr-CA"/>
              </w:rPr>
            </w:pPr>
            <w:r w:rsidRPr="00305EE6">
              <w:rPr>
                <w:rFonts w:eastAsia="Calibri"/>
                <w:sz w:val="20"/>
                <w:lang w:val="fr-CA"/>
              </w:rPr>
              <w:t>Cour supérieure du Québec</w:t>
            </w:r>
          </w:p>
          <w:p w:rsidR="00A30527" w:rsidRPr="00305EE6" w:rsidRDefault="00A30527" w:rsidP="00DB5F86">
            <w:pPr>
              <w:jc w:val="both"/>
              <w:rPr>
                <w:rFonts w:eastAsia="Calibri"/>
                <w:sz w:val="20"/>
                <w:lang w:val="fr-CA"/>
              </w:rPr>
            </w:pPr>
            <w:r w:rsidRPr="00305EE6">
              <w:rPr>
                <w:rFonts w:eastAsia="Calibri"/>
                <w:sz w:val="20"/>
                <w:lang w:val="fr-CA"/>
              </w:rPr>
              <w:t>(La juge Di Salvo)</w:t>
            </w:r>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lang w:val="fr-CA"/>
              </w:rPr>
            </w:pPr>
            <w:r w:rsidRPr="00305EE6">
              <w:rPr>
                <w:rFonts w:eastAsia="Calibri"/>
                <w:sz w:val="20"/>
                <w:lang w:val="fr-CA"/>
              </w:rPr>
              <w:t>Appel rejeté</w:t>
            </w:r>
          </w:p>
          <w:p w:rsidR="00A30527" w:rsidRPr="00305EE6" w:rsidRDefault="00A30527" w:rsidP="00DB5F86">
            <w:pPr>
              <w:jc w:val="both"/>
              <w:rPr>
                <w:rFonts w:eastAsia="Calibri"/>
                <w:sz w:val="20"/>
                <w:lang w:val="fr-CA"/>
              </w:rPr>
            </w:pPr>
          </w:p>
        </w:tc>
      </w:tr>
      <w:tr w:rsidR="00A30527" w:rsidRPr="00305EE6" w:rsidTr="00DB5F86">
        <w:tc>
          <w:tcPr>
            <w:tcW w:w="2427" w:type="pct"/>
          </w:tcPr>
          <w:p w:rsidR="00A30527" w:rsidRPr="00305EE6" w:rsidRDefault="00A30527" w:rsidP="00DB5F86">
            <w:pPr>
              <w:jc w:val="both"/>
              <w:rPr>
                <w:rFonts w:eastAsia="Calibri"/>
                <w:sz w:val="20"/>
                <w:lang w:val="fr-CA"/>
              </w:rPr>
            </w:pPr>
            <w:r w:rsidRPr="00305EE6">
              <w:rPr>
                <w:rFonts w:eastAsia="Calibri"/>
                <w:sz w:val="20"/>
                <w:lang w:val="fr-CA"/>
              </w:rPr>
              <w:t>Le 24 septembre 2014</w:t>
            </w:r>
          </w:p>
          <w:p w:rsidR="00A30527" w:rsidRPr="00305EE6" w:rsidRDefault="00A30527" w:rsidP="00DB5F86">
            <w:pPr>
              <w:jc w:val="both"/>
              <w:rPr>
                <w:rFonts w:eastAsia="Calibri"/>
                <w:sz w:val="20"/>
                <w:lang w:val="fr-CA"/>
              </w:rPr>
            </w:pPr>
            <w:r w:rsidRPr="00305EE6">
              <w:rPr>
                <w:rFonts w:eastAsia="Calibri"/>
                <w:sz w:val="20"/>
                <w:lang w:val="fr-CA"/>
              </w:rPr>
              <w:t>Cour d’appel du Québec (Montréal)</w:t>
            </w:r>
          </w:p>
          <w:p w:rsidR="00A30527" w:rsidRPr="00305EE6" w:rsidRDefault="00A30527" w:rsidP="00DB5F86">
            <w:pPr>
              <w:jc w:val="both"/>
              <w:rPr>
                <w:rFonts w:eastAsia="Calibri"/>
                <w:sz w:val="20"/>
                <w:lang w:val="fr-CA"/>
              </w:rPr>
            </w:pPr>
            <w:r w:rsidRPr="00305EE6">
              <w:rPr>
                <w:rFonts w:eastAsia="Calibri"/>
                <w:sz w:val="20"/>
                <w:lang w:val="fr-CA"/>
              </w:rPr>
              <w:t>(Le juge Doyon)</w:t>
            </w:r>
          </w:p>
          <w:p w:rsidR="00A30527" w:rsidRPr="00305EE6" w:rsidRDefault="001D3FE1" w:rsidP="00DB5F86">
            <w:pPr>
              <w:jc w:val="both"/>
              <w:rPr>
                <w:rFonts w:eastAsia="Calibri"/>
                <w:sz w:val="20"/>
                <w:lang w:val="fr-CA"/>
              </w:rPr>
            </w:pPr>
            <w:hyperlink r:id="rId30" w:history="1">
              <w:r w:rsidR="00A30527" w:rsidRPr="00305EE6">
                <w:rPr>
                  <w:rFonts w:eastAsia="Calibri"/>
                  <w:color w:val="0000FF"/>
                  <w:sz w:val="20"/>
                  <w:u w:val="single"/>
                  <w:lang w:val="fr-CA"/>
                </w:rPr>
                <w:t>2014 QCCA 1764</w:t>
              </w:r>
            </w:hyperlink>
          </w:p>
          <w:p w:rsidR="00A30527" w:rsidRPr="00305EE6" w:rsidRDefault="00A30527" w:rsidP="00DB5F86">
            <w:pPr>
              <w:jc w:val="both"/>
              <w:rPr>
                <w:rFonts w:eastAsia="Calibri"/>
                <w:sz w:val="20"/>
              </w:rPr>
            </w:pPr>
          </w:p>
        </w:tc>
        <w:tc>
          <w:tcPr>
            <w:tcW w:w="243" w:type="pct"/>
          </w:tcPr>
          <w:p w:rsidR="00A30527" w:rsidRPr="00305EE6" w:rsidRDefault="00A30527" w:rsidP="00DB5F86">
            <w:pPr>
              <w:jc w:val="both"/>
              <w:rPr>
                <w:rFonts w:eastAsia="Calibri"/>
                <w:sz w:val="20"/>
              </w:rPr>
            </w:pPr>
          </w:p>
        </w:tc>
        <w:tc>
          <w:tcPr>
            <w:tcW w:w="2330" w:type="pct"/>
          </w:tcPr>
          <w:p w:rsidR="00A30527" w:rsidRPr="00305EE6" w:rsidRDefault="00A30527" w:rsidP="00DB5F86">
            <w:pPr>
              <w:jc w:val="both"/>
              <w:rPr>
                <w:rFonts w:eastAsia="Calibri"/>
                <w:sz w:val="20"/>
                <w:lang w:val="fr-CA"/>
              </w:rPr>
            </w:pPr>
            <w:r w:rsidRPr="00305EE6">
              <w:rPr>
                <w:rFonts w:eastAsia="Calibri"/>
                <w:sz w:val="20"/>
                <w:lang w:val="fr-CA"/>
              </w:rPr>
              <w:t>Requête pour permission d’appeler rejetée</w:t>
            </w:r>
          </w:p>
          <w:p w:rsidR="00A30527" w:rsidRPr="00305EE6" w:rsidRDefault="00A30527" w:rsidP="00DB5F86">
            <w:pPr>
              <w:jc w:val="both"/>
              <w:rPr>
                <w:rFonts w:eastAsia="Calibri"/>
                <w:sz w:val="20"/>
                <w:lang w:val="fr-CA"/>
              </w:rPr>
            </w:pPr>
          </w:p>
        </w:tc>
      </w:tr>
      <w:tr w:rsidR="00A30527" w:rsidRPr="001D3FE1" w:rsidTr="00DB5F86">
        <w:tc>
          <w:tcPr>
            <w:tcW w:w="2427" w:type="pct"/>
          </w:tcPr>
          <w:p w:rsidR="00A30527" w:rsidRPr="00305EE6" w:rsidRDefault="00A30527" w:rsidP="00DB5F86">
            <w:pPr>
              <w:jc w:val="both"/>
              <w:rPr>
                <w:rFonts w:eastAsia="Calibri"/>
                <w:sz w:val="20"/>
                <w:lang w:val="fr-CA"/>
              </w:rPr>
            </w:pPr>
            <w:r w:rsidRPr="00305EE6">
              <w:rPr>
                <w:rFonts w:eastAsia="Calibri"/>
                <w:sz w:val="20"/>
                <w:lang w:val="fr-CA"/>
              </w:rPr>
              <w:t>Le 7 janvier 2015</w:t>
            </w:r>
          </w:p>
          <w:p w:rsidR="00A30527" w:rsidRPr="00305EE6" w:rsidRDefault="00A30527" w:rsidP="00DB5F86">
            <w:pPr>
              <w:jc w:val="both"/>
              <w:rPr>
                <w:rFonts w:eastAsia="Calibri"/>
                <w:sz w:val="20"/>
                <w:lang w:val="fr-CA"/>
              </w:rPr>
            </w:pPr>
            <w:r w:rsidRPr="00305EE6">
              <w:rPr>
                <w:rFonts w:eastAsia="Calibri"/>
                <w:sz w:val="20"/>
                <w:lang w:val="fr-CA"/>
              </w:rPr>
              <w:t>Cour suprême du Canada</w:t>
            </w:r>
          </w:p>
        </w:tc>
        <w:tc>
          <w:tcPr>
            <w:tcW w:w="243" w:type="pct"/>
          </w:tcPr>
          <w:p w:rsidR="00A30527" w:rsidRPr="00305EE6" w:rsidRDefault="00A30527" w:rsidP="00DB5F86">
            <w:pPr>
              <w:jc w:val="both"/>
              <w:rPr>
                <w:rFonts w:eastAsia="Calibri"/>
                <w:sz w:val="20"/>
                <w:lang w:val="fr-CA"/>
              </w:rPr>
            </w:pPr>
          </w:p>
        </w:tc>
        <w:tc>
          <w:tcPr>
            <w:tcW w:w="2330" w:type="pct"/>
          </w:tcPr>
          <w:p w:rsidR="00A30527" w:rsidRPr="00305EE6" w:rsidRDefault="00A30527" w:rsidP="00DB5F86">
            <w:pPr>
              <w:jc w:val="both"/>
              <w:rPr>
                <w:rFonts w:eastAsia="Calibri"/>
                <w:sz w:val="20"/>
                <w:lang w:val="fr-CA"/>
              </w:rPr>
            </w:pPr>
            <w:r w:rsidRPr="00305EE6">
              <w:rPr>
                <w:rFonts w:eastAsia="Calibri"/>
                <w:sz w:val="20"/>
                <w:lang w:val="fr-CA"/>
              </w:rPr>
              <w:t xml:space="preserve">Requête en prorogation de délai et demande d’autorisation d’appel déposées </w:t>
            </w:r>
          </w:p>
        </w:tc>
      </w:tr>
    </w:tbl>
    <w:p w:rsidR="00467AD0" w:rsidRPr="00A30527"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41"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9D7EED" w:rsidRPr="00FE1AD8" w:rsidTr="008805B2">
        <w:trPr>
          <w:cantSplit/>
        </w:trPr>
        <w:tc>
          <w:tcPr>
            <w:tcW w:w="1458" w:type="dxa"/>
          </w:tcPr>
          <w:p w:rsidR="009D7EED" w:rsidRPr="00FE1AD8" w:rsidRDefault="009D7EED" w:rsidP="008805B2">
            <w:pPr>
              <w:rPr>
                <w:sz w:val="20"/>
                <w:szCs w:val="20"/>
              </w:rPr>
            </w:pPr>
            <w:r w:rsidRPr="00FE1AD8">
              <w:rPr>
                <w:rStyle w:val="SCCFileNumberChar"/>
                <w:sz w:val="20"/>
                <w:szCs w:val="20"/>
              </w:rPr>
              <w:t>36258</w:t>
            </w:r>
          </w:p>
          <w:p w:rsidR="009D7EED" w:rsidRPr="00FE1AD8" w:rsidRDefault="009D7EED" w:rsidP="008805B2">
            <w:pPr>
              <w:rPr>
                <w:b/>
                <w:sz w:val="20"/>
                <w:szCs w:val="20"/>
                <w:lang w:val="fr-CA"/>
              </w:rPr>
            </w:pPr>
          </w:p>
        </w:tc>
        <w:tc>
          <w:tcPr>
            <w:tcW w:w="8118" w:type="dxa"/>
          </w:tcPr>
          <w:p w:rsidR="009D7EED" w:rsidRPr="00FE1AD8" w:rsidRDefault="009D7EED" w:rsidP="008805B2">
            <w:pPr>
              <w:rPr>
                <w:sz w:val="20"/>
                <w:szCs w:val="20"/>
              </w:rPr>
            </w:pPr>
            <w:r w:rsidRPr="00FE1AD8">
              <w:rPr>
                <w:rStyle w:val="SCCLsocChar"/>
                <w:sz w:val="20"/>
                <w:szCs w:val="20"/>
                <w:lang w:val="en-CA"/>
              </w:rPr>
              <w:t>Attorney General of Canada v. Igloo Vikski Inc.</w:t>
            </w:r>
            <w:r w:rsidRPr="00FE1AD8">
              <w:rPr>
                <w:sz w:val="20"/>
                <w:szCs w:val="20"/>
              </w:rPr>
              <w:t xml:space="preserve"> (F.C) (Civil) (By Leave)</w:t>
            </w:r>
          </w:p>
          <w:p w:rsidR="009D7EED" w:rsidRPr="00FE1AD8" w:rsidRDefault="009D7EED" w:rsidP="008805B2">
            <w:pPr>
              <w:rPr>
                <w:sz w:val="20"/>
                <w:szCs w:val="20"/>
              </w:rPr>
            </w:pPr>
          </w:p>
        </w:tc>
      </w:tr>
      <w:tr w:rsidR="009D7EED" w:rsidRPr="00FE1AD8" w:rsidTr="008805B2">
        <w:trPr>
          <w:cantSplit/>
        </w:trPr>
        <w:tc>
          <w:tcPr>
            <w:tcW w:w="1458" w:type="dxa"/>
          </w:tcPr>
          <w:p w:rsidR="009D7EED" w:rsidRPr="00FE1AD8" w:rsidRDefault="009D7EED" w:rsidP="008805B2">
            <w:pPr>
              <w:rPr>
                <w:sz w:val="20"/>
                <w:szCs w:val="20"/>
              </w:rPr>
            </w:pPr>
            <w:r w:rsidRPr="00FE1AD8">
              <w:rPr>
                <w:sz w:val="20"/>
                <w:szCs w:val="20"/>
              </w:rPr>
              <w:t>Coram :</w:t>
            </w:r>
          </w:p>
        </w:tc>
        <w:tc>
          <w:tcPr>
            <w:tcW w:w="8118" w:type="dxa"/>
          </w:tcPr>
          <w:p w:rsidR="009D7EED" w:rsidRPr="00FE1AD8" w:rsidRDefault="009D7EED" w:rsidP="008805B2">
            <w:pPr>
              <w:rPr>
                <w:sz w:val="20"/>
                <w:szCs w:val="20"/>
              </w:rPr>
            </w:pPr>
            <w:r w:rsidRPr="00FE1AD8">
              <w:rPr>
                <w:rStyle w:val="SCCCoramChar"/>
                <w:sz w:val="20"/>
                <w:szCs w:val="20"/>
                <w:lang w:val="en-CA"/>
              </w:rPr>
              <w:t>Rothstein, Cromwell and Moldaver JJ.</w:t>
            </w:r>
          </w:p>
          <w:p w:rsidR="009D7EED" w:rsidRPr="00FE1AD8" w:rsidRDefault="009D7EED" w:rsidP="008805B2">
            <w:pPr>
              <w:rPr>
                <w:sz w:val="20"/>
                <w:szCs w:val="20"/>
                <w:u w:val="single"/>
              </w:rPr>
            </w:pPr>
          </w:p>
        </w:tc>
      </w:tr>
      <w:tr w:rsidR="009D7EED" w:rsidRPr="001D3FE1" w:rsidTr="008805B2">
        <w:trPr>
          <w:cantSplit/>
        </w:trPr>
        <w:tc>
          <w:tcPr>
            <w:tcW w:w="9576" w:type="dxa"/>
            <w:gridSpan w:val="2"/>
          </w:tcPr>
          <w:p w:rsidR="009D7EED" w:rsidRPr="00FE1AD8" w:rsidRDefault="009D7EED" w:rsidP="008805B2">
            <w:pPr>
              <w:pStyle w:val="SCCShortJudgment"/>
              <w:rPr>
                <w:szCs w:val="20"/>
              </w:rPr>
            </w:pPr>
            <w:r w:rsidRPr="00FE1AD8">
              <w:rPr>
                <w:szCs w:val="20"/>
              </w:rPr>
              <w:lastRenderedPageBreak/>
              <w:t>The application for leave to appeal from the judgment of the Federal Court of Appeal, Number A-65-13, 2014 FCA 266, dated November 17, 2014, is granted with costs in the cause.</w:t>
            </w:r>
          </w:p>
          <w:p w:rsidR="009D7EED" w:rsidRPr="00FE1AD8" w:rsidRDefault="009D7EED" w:rsidP="008805B2">
            <w:pPr>
              <w:pStyle w:val="SCCShortJudgment"/>
              <w:ind w:firstLine="0"/>
              <w:rPr>
                <w:szCs w:val="20"/>
              </w:rPr>
            </w:pPr>
          </w:p>
          <w:p w:rsidR="009D7EED" w:rsidRPr="00FE1AD8" w:rsidRDefault="009D7EED" w:rsidP="008805B2">
            <w:pPr>
              <w:pStyle w:val="SCCShortJudgment"/>
              <w:rPr>
                <w:szCs w:val="20"/>
                <w:lang w:val="fr-CA"/>
              </w:rPr>
            </w:pPr>
            <w:r w:rsidRPr="00FE1AD8">
              <w:rPr>
                <w:szCs w:val="20"/>
                <w:lang w:val="fr-CA"/>
              </w:rPr>
              <w:t>La demande d’autorisation d’appel de l’arrêt de la Cour d’appel fédérale, numéro A-65-13, 2014 CAF 266, daté du 17 novembre 2014, est accueillie avec dépens selon l’issue de la cause.</w:t>
            </w:r>
          </w:p>
        </w:tc>
      </w:tr>
    </w:tbl>
    <w:p w:rsidR="00467AD0" w:rsidRPr="009D7EED"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63032F" w:rsidTr="00DB5F86">
        <w:tc>
          <w:tcPr>
            <w:tcW w:w="5000" w:type="pct"/>
            <w:gridSpan w:val="3"/>
          </w:tcPr>
          <w:p w:rsidR="00C95205" w:rsidRPr="0063032F" w:rsidRDefault="00C95205" w:rsidP="00DB5F86">
            <w:pPr>
              <w:jc w:val="both"/>
              <w:rPr>
                <w:rFonts w:eastAsia="Calibri"/>
                <w:sz w:val="20"/>
              </w:rPr>
            </w:pPr>
            <w:r w:rsidRPr="0063032F">
              <w:rPr>
                <w:rFonts w:eastAsia="Calibri"/>
                <w:sz w:val="20"/>
              </w:rPr>
              <w:t xml:space="preserve">Taxation — Customs and duties — Classification of goods under </w:t>
            </w:r>
            <w:r w:rsidRPr="0063032F">
              <w:rPr>
                <w:rFonts w:eastAsia="Calibri"/>
                <w:i/>
                <w:iCs/>
                <w:sz w:val="20"/>
              </w:rPr>
              <w:t>Customs Tariff</w:t>
            </w:r>
            <w:r w:rsidRPr="0063032F">
              <w:rPr>
                <w:rFonts w:eastAsia="Calibri"/>
                <w:iCs/>
                <w:sz w:val="20"/>
              </w:rPr>
              <w:t xml:space="preserve">, S.C. 1997, c. 36 — </w:t>
            </w:r>
            <w:r w:rsidRPr="0063032F">
              <w:rPr>
                <w:rFonts w:eastAsia="Calibri"/>
                <w:sz w:val="20"/>
              </w:rPr>
              <w:t xml:space="preserve">Federal Court of Appeal allowing appeal from decision of Canadian International Trade Tribunal — Whether Federal Court of Appeal decision modifies how a significant number of goods imported into Canada are classified under </w:t>
            </w:r>
            <w:r w:rsidRPr="0063032F">
              <w:rPr>
                <w:rFonts w:eastAsia="Calibri"/>
                <w:i/>
                <w:iCs/>
                <w:sz w:val="20"/>
              </w:rPr>
              <w:t>Customs Tariff</w:t>
            </w:r>
            <w:r w:rsidRPr="0063032F">
              <w:rPr>
                <w:rFonts w:eastAsia="Calibri"/>
                <w:iCs/>
                <w:sz w:val="20"/>
              </w:rPr>
              <w:t>.</w:t>
            </w:r>
          </w:p>
        </w:tc>
      </w:tr>
      <w:tr w:rsidR="00C95205" w:rsidRPr="0063032F" w:rsidTr="00DB5F86">
        <w:tc>
          <w:tcPr>
            <w:tcW w:w="5000" w:type="pct"/>
            <w:gridSpan w:val="3"/>
          </w:tcPr>
          <w:p w:rsidR="00C95205" w:rsidRPr="0063032F" w:rsidRDefault="00C95205" w:rsidP="00DB5F86">
            <w:pPr>
              <w:jc w:val="both"/>
              <w:rPr>
                <w:rFonts w:eastAsia="Calibri"/>
                <w:sz w:val="20"/>
              </w:rPr>
            </w:pPr>
          </w:p>
        </w:tc>
      </w:tr>
      <w:tr w:rsidR="00C95205" w:rsidRPr="0063032F" w:rsidTr="00DB5F86">
        <w:tc>
          <w:tcPr>
            <w:tcW w:w="5000" w:type="pct"/>
            <w:gridSpan w:val="3"/>
          </w:tcPr>
          <w:p w:rsidR="00C95205" w:rsidRPr="0063032F" w:rsidRDefault="00C95205" w:rsidP="00DB5F86">
            <w:pPr>
              <w:jc w:val="both"/>
              <w:rPr>
                <w:rFonts w:eastAsia="Calibri"/>
                <w:sz w:val="20"/>
              </w:rPr>
            </w:pPr>
            <w:r w:rsidRPr="0063032F">
              <w:rPr>
                <w:rFonts w:eastAsia="Calibri"/>
                <w:sz w:val="20"/>
              </w:rPr>
              <w:t xml:space="preserve">The respondent, Igloo Vikski Inc. imported hockey gloves.  The respondent later requested refunds of duties paid, claiming the goods should be reclassified.  The Canada Border Services Agency classified the five models of sports gloves, designed for ice hockey goaltenders under tariff item No. 62.16 rejecting the respondent’s position that they be classified under tariff item No. 39.26 of the </w:t>
            </w:r>
            <w:r w:rsidRPr="0063032F">
              <w:rPr>
                <w:rFonts w:eastAsia="Calibri"/>
                <w:i/>
                <w:iCs/>
                <w:sz w:val="20"/>
              </w:rPr>
              <w:t>Customs Tariff</w:t>
            </w:r>
            <w:r w:rsidRPr="0063032F">
              <w:rPr>
                <w:rFonts w:eastAsia="Calibri"/>
                <w:sz w:val="20"/>
              </w:rPr>
              <w:t xml:space="preserve">.  </w:t>
            </w:r>
          </w:p>
          <w:p w:rsidR="00C95205" w:rsidRPr="0063032F" w:rsidRDefault="00C95205" w:rsidP="00DB5F86">
            <w:pPr>
              <w:jc w:val="both"/>
              <w:rPr>
                <w:rFonts w:eastAsia="Calibri"/>
                <w:sz w:val="20"/>
              </w:rPr>
            </w:pPr>
          </w:p>
          <w:p w:rsidR="00C95205" w:rsidRPr="0063032F" w:rsidRDefault="00C95205" w:rsidP="00DB5F86">
            <w:pPr>
              <w:jc w:val="both"/>
              <w:rPr>
                <w:rFonts w:eastAsia="Calibri"/>
                <w:sz w:val="20"/>
              </w:rPr>
            </w:pPr>
            <w:r w:rsidRPr="0063032F">
              <w:rPr>
                <w:rFonts w:eastAsia="Calibri"/>
                <w:sz w:val="20"/>
              </w:rPr>
              <w:t xml:space="preserve">The respondent appealed to the Canadian International Trade Tribunal (the “CITT”).  The CITT dismissed the appeal.  The Federal Court of Appeal allowed the appeal, set aside the decision of the CITT and referred the matter back for adjudication.  </w:t>
            </w:r>
          </w:p>
          <w:p w:rsidR="00C95205" w:rsidRPr="0063032F" w:rsidRDefault="00C95205" w:rsidP="00DB5F86">
            <w:pPr>
              <w:jc w:val="both"/>
              <w:rPr>
                <w:rFonts w:eastAsia="Calibri"/>
                <w:sz w:val="20"/>
              </w:rPr>
            </w:pPr>
          </w:p>
        </w:tc>
      </w:tr>
      <w:tr w:rsidR="00C95205" w:rsidRPr="0063032F" w:rsidTr="00DB5F86">
        <w:tc>
          <w:tcPr>
            <w:tcW w:w="2427" w:type="pct"/>
          </w:tcPr>
          <w:p w:rsidR="00C95205" w:rsidRPr="0063032F" w:rsidRDefault="00C95205" w:rsidP="00DB5F86">
            <w:pPr>
              <w:jc w:val="both"/>
              <w:rPr>
                <w:rFonts w:eastAsia="Calibri"/>
                <w:sz w:val="20"/>
              </w:rPr>
            </w:pPr>
            <w:r w:rsidRPr="0063032F">
              <w:rPr>
                <w:rFonts w:eastAsia="Calibri"/>
                <w:sz w:val="20"/>
              </w:rPr>
              <w:t>January 16, 2013</w:t>
            </w:r>
          </w:p>
          <w:p w:rsidR="00C95205" w:rsidRPr="0063032F" w:rsidRDefault="00C95205" w:rsidP="00DB5F86">
            <w:pPr>
              <w:jc w:val="both"/>
              <w:rPr>
                <w:rFonts w:eastAsia="Calibri"/>
                <w:sz w:val="20"/>
              </w:rPr>
            </w:pPr>
            <w:r w:rsidRPr="0063032F">
              <w:rPr>
                <w:rFonts w:eastAsia="Calibri"/>
                <w:sz w:val="20"/>
              </w:rPr>
              <w:t>Canadian International Trade Tribunal</w:t>
            </w:r>
          </w:p>
          <w:p w:rsidR="00C95205" w:rsidRPr="0063032F" w:rsidRDefault="00C95205" w:rsidP="00DB5F86">
            <w:pPr>
              <w:jc w:val="both"/>
              <w:rPr>
                <w:rFonts w:eastAsia="Calibri"/>
                <w:sz w:val="20"/>
              </w:rPr>
            </w:pPr>
            <w:r w:rsidRPr="0063032F">
              <w:rPr>
                <w:rFonts w:eastAsia="Calibri"/>
                <w:sz w:val="20"/>
              </w:rPr>
              <w:t>(D. Vincent)</w:t>
            </w:r>
          </w:p>
          <w:p w:rsidR="00C95205" w:rsidRPr="0063032F" w:rsidRDefault="00C95205" w:rsidP="00DB5F86">
            <w:pPr>
              <w:jc w:val="both"/>
              <w:rPr>
                <w:rFonts w:eastAsia="Calibri"/>
                <w:sz w:val="20"/>
              </w:rPr>
            </w:pPr>
          </w:p>
        </w:tc>
        <w:tc>
          <w:tcPr>
            <w:tcW w:w="243" w:type="pct"/>
          </w:tcPr>
          <w:p w:rsidR="00C95205" w:rsidRPr="0063032F" w:rsidRDefault="00C95205" w:rsidP="00DB5F86">
            <w:pPr>
              <w:jc w:val="both"/>
              <w:rPr>
                <w:rFonts w:eastAsia="Calibri"/>
                <w:sz w:val="20"/>
              </w:rPr>
            </w:pPr>
          </w:p>
        </w:tc>
        <w:tc>
          <w:tcPr>
            <w:tcW w:w="2330" w:type="pct"/>
          </w:tcPr>
          <w:p w:rsidR="00C95205" w:rsidRPr="0063032F" w:rsidRDefault="00C95205" w:rsidP="00DB5F86">
            <w:pPr>
              <w:jc w:val="both"/>
              <w:rPr>
                <w:rFonts w:eastAsia="Calibri"/>
                <w:sz w:val="20"/>
              </w:rPr>
            </w:pPr>
            <w:r w:rsidRPr="0063032F">
              <w:rPr>
                <w:rFonts w:eastAsia="Calibri"/>
                <w:sz w:val="20"/>
              </w:rPr>
              <w:t xml:space="preserve">Igloo Vikski Inc.’s appeal dismissed. </w:t>
            </w:r>
          </w:p>
        </w:tc>
      </w:tr>
      <w:tr w:rsidR="00C95205" w:rsidRPr="0063032F" w:rsidTr="00DB5F86">
        <w:tc>
          <w:tcPr>
            <w:tcW w:w="2427" w:type="pct"/>
          </w:tcPr>
          <w:p w:rsidR="00C95205" w:rsidRPr="0063032F" w:rsidRDefault="00C95205" w:rsidP="00DB5F86">
            <w:pPr>
              <w:jc w:val="both"/>
              <w:rPr>
                <w:rFonts w:eastAsia="Calibri"/>
                <w:sz w:val="20"/>
              </w:rPr>
            </w:pPr>
            <w:r w:rsidRPr="0063032F">
              <w:rPr>
                <w:rFonts w:eastAsia="Calibri"/>
                <w:sz w:val="20"/>
              </w:rPr>
              <w:t>November 17, 2014</w:t>
            </w:r>
          </w:p>
          <w:p w:rsidR="00C95205" w:rsidRPr="0063032F" w:rsidRDefault="00C95205" w:rsidP="00DB5F86">
            <w:pPr>
              <w:jc w:val="both"/>
              <w:rPr>
                <w:rFonts w:eastAsia="Calibri"/>
                <w:sz w:val="20"/>
              </w:rPr>
            </w:pPr>
            <w:r w:rsidRPr="0063032F">
              <w:rPr>
                <w:rFonts w:eastAsia="Calibri"/>
                <w:sz w:val="20"/>
              </w:rPr>
              <w:t>Federal Court of Appeal</w:t>
            </w:r>
          </w:p>
          <w:p w:rsidR="00C95205" w:rsidRPr="0063032F" w:rsidRDefault="00C95205" w:rsidP="00DB5F86">
            <w:pPr>
              <w:jc w:val="both"/>
              <w:rPr>
                <w:rFonts w:eastAsia="Calibri"/>
                <w:sz w:val="20"/>
              </w:rPr>
            </w:pPr>
            <w:r w:rsidRPr="0063032F">
              <w:rPr>
                <w:rFonts w:eastAsia="Calibri"/>
                <w:sz w:val="20"/>
              </w:rPr>
              <w:t>(Pelletier, Near and Scott JJ.A.)</w:t>
            </w:r>
          </w:p>
          <w:p w:rsidR="00C95205" w:rsidRPr="0063032F" w:rsidRDefault="001D3FE1" w:rsidP="00DB5F86">
            <w:pPr>
              <w:jc w:val="both"/>
              <w:rPr>
                <w:rFonts w:eastAsia="Calibri"/>
                <w:sz w:val="20"/>
              </w:rPr>
            </w:pPr>
            <w:hyperlink r:id="rId31" w:history="1">
              <w:r w:rsidR="00C95205" w:rsidRPr="00305EE6">
                <w:rPr>
                  <w:rFonts w:eastAsia="Calibri"/>
                  <w:color w:val="0000FF"/>
                  <w:sz w:val="20"/>
                  <w:u w:val="single"/>
                </w:rPr>
                <w:t>2014 FCA 266</w:t>
              </w:r>
            </w:hyperlink>
          </w:p>
          <w:p w:rsidR="00C95205" w:rsidRPr="0063032F" w:rsidRDefault="00C95205" w:rsidP="00DB5F86">
            <w:pPr>
              <w:jc w:val="both"/>
              <w:rPr>
                <w:rFonts w:eastAsia="Calibri"/>
                <w:sz w:val="20"/>
              </w:rPr>
            </w:pPr>
            <w:r w:rsidRPr="0063032F">
              <w:rPr>
                <w:rFonts w:eastAsia="Calibri"/>
                <w:sz w:val="20"/>
              </w:rPr>
              <w:t>File No.:  A-65-13</w:t>
            </w:r>
          </w:p>
          <w:p w:rsidR="00C95205" w:rsidRPr="0063032F" w:rsidRDefault="00C95205" w:rsidP="00DB5F86">
            <w:pPr>
              <w:jc w:val="both"/>
              <w:rPr>
                <w:rFonts w:eastAsia="Calibri"/>
                <w:sz w:val="20"/>
              </w:rPr>
            </w:pPr>
          </w:p>
        </w:tc>
        <w:tc>
          <w:tcPr>
            <w:tcW w:w="243" w:type="pct"/>
          </w:tcPr>
          <w:p w:rsidR="00C95205" w:rsidRPr="0063032F" w:rsidRDefault="00C95205" w:rsidP="00DB5F86">
            <w:pPr>
              <w:jc w:val="both"/>
              <w:rPr>
                <w:rFonts w:eastAsia="Calibri"/>
                <w:sz w:val="20"/>
              </w:rPr>
            </w:pPr>
          </w:p>
        </w:tc>
        <w:tc>
          <w:tcPr>
            <w:tcW w:w="2330" w:type="pct"/>
          </w:tcPr>
          <w:p w:rsidR="00C95205" w:rsidRPr="0063032F" w:rsidRDefault="00C95205" w:rsidP="00DB5F86">
            <w:pPr>
              <w:jc w:val="both"/>
              <w:rPr>
                <w:rFonts w:eastAsia="Calibri"/>
                <w:sz w:val="20"/>
              </w:rPr>
            </w:pPr>
            <w:r w:rsidRPr="0063032F">
              <w:rPr>
                <w:rFonts w:eastAsia="Calibri"/>
                <w:sz w:val="20"/>
              </w:rPr>
              <w:t xml:space="preserve">Appeal allowed; decision of Canadian International Trade Tribunal set aside and matter referred back for adjudication.   </w:t>
            </w:r>
          </w:p>
          <w:p w:rsidR="00C95205" w:rsidRPr="0063032F" w:rsidRDefault="00C95205" w:rsidP="00DB5F86">
            <w:pPr>
              <w:jc w:val="both"/>
              <w:rPr>
                <w:rFonts w:eastAsia="Calibri"/>
                <w:sz w:val="20"/>
              </w:rPr>
            </w:pPr>
          </w:p>
        </w:tc>
      </w:tr>
      <w:tr w:rsidR="00C95205" w:rsidRPr="0063032F" w:rsidTr="00DB5F86">
        <w:tc>
          <w:tcPr>
            <w:tcW w:w="2427" w:type="pct"/>
          </w:tcPr>
          <w:p w:rsidR="00C95205" w:rsidRPr="0063032F" w:rsidRDefault="00C95205" w:rsidP="00DB5F86">
            <w:pPr>
              <w:jc w:val="both"/>
              <w:rPr>
                <w:rFonts w:eastAsia="Calibri"/>
                <w:sz w:val="20"/>
              </w:rPr>
            </w:pPr>
            <w:r w:rsidRPr="0063032F">
              <w:rPr>
                <w:rFonts w:eastAsia="Calibri"/>
                <w:sz w:val="20"/>
              </w:rPr>
              <w:t>January 15, 2015</w:t>
            </w:r>
          </w:p>
          <w:p w:rsidR="00C95205" w:rsidRPr="0063032F" w:rsidRDefault="00C95205" w:rsidP="00DB5F86">
            <w:pPr>
              <w:jc w:val="both"/>
              <w:rPr>
                <w:rFonts w:eastAsia="Calibri"/>
                <w:sz w:val="20"/>
              </w:rPr>
            </w:pPr>
            <w:r w:rsidRPr="0063032F">
              <w:rPr>
                <w:rFonts w:eastAsia="Calibri"/>
                <w:sz w:val="20"/>
              </w:rPr>
              <w:t>Supreme Court of Canada</w:t>
            </w:r>
          </w:p>
        </w:tc>
        <w:tc>
          <w:tcPr>
            <w:tcW w:w="243" w:type="pct"/>
          </w:tcPr>
          <w:p w:rsidR="00C95205" w:rsidRPr="0063032F" w:rsidRDefault="00C95205" w:rsidP="00DB5F86">
            <w:pPr>
              <w:jc w:val="both"/>
              <w:rPr>
                <w:rFonts w:eastAsia="Calibri"/>
                <w:sz w:val="20"/>
              </w:rPr>
            </w:pPr>
          </w:p>
        </w:tc>
        <w:tc>
          <w:tcPr>
            <w:tcW w:w="2330" w:type="pct"/>
          </w:tcPr>
          <w:p w:rsidR="00C95205" w:rsidRPr="0063032F" w:rsidRDefault="00C95205" w:rsidP="00DB5F86">
            <w:pPr>
              <w:jc w:val="both"/>
              <w:rPr>
                <w:rFonts w:eastAsia="Calibri"/>
                <w:sz w:val="20"/>
              </w:rPr>
            </w:pPr>
            <w:r w:rsidRPr="0063032F">
              <w:rPr>
                <w:rFonts w:eastAsia="Calibri"/>
                <w:sz w:val="20"/>
              </w:rPr>
              <w:t>Application for leave to appeal filed.</w:t>
            </w:r>
          </w:p>
          <w:p w:rsidR="00C95205" w:rsidRPr="0063032F" w:rsidRDefault="00C95205" w:rsidP="00DB5F86">
            <w:pPr>
              <w:jc w:val="both"/>
              <w:rPr>
                <w:rFonts w:eastAsia="Calibri"/>
                <w:sz w:val="20"/>
              </w:rPr>
            </w:pP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42"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1D3FE1" w:rsidTr="00DB5F86">
        <w:tc>
          <w:tcPr>
            <w:tcW w:w="5000" w:type="pct"/>
            <w:gridSpan w:val="3"/>
          </w:tcPr>
          <w:p w:rsidR="00C95205" w:rsidRPr="0063032F" w:rsidRDefault="00C95205" w:rsidP="00DB5F86">
            <w:pPr>
              <w:jc w:val="both"/>
              <w:rPr>
                <w:rFonts w:eastAsia="Calibri"/>
                <w:sz w:val="20"/>
                <w:lang w:val="fr-CA"/>
              </w:rPr>
            </w:pPr>
            <w:r w:rsidRPr="0063032F">
              <w:rPr>
                <w:rFonts w:eastAsia="Calibri"/>
                <w:sz w:val="20"/>
                <w:lang w:val="fr-CA"/>
              </w:rPr>
              <w:t xml:space="preserve">Droit fiscal — Douanes et droits — Classement de marchandises en application du </w:t>
            </w:r>
            <w:r w:rsidRPr="0063032F">
              <w:rPr>
                <w:rFonts w:eastAsia="Calibri"/>
                <w:i/>
                <w:iCs/>
                <w:sz w:val="20"/>
                <w:lang w:val="fr-CA"/>
              </w:rPr>
              <w:t>Tarif des douanes</w:t>
            </w:r>
            <w:r w:rsidRPr="0063032F">
              <w:rPr>
                <w:rFonts w:eastAsia="Calibri"/>
                <w:iCs/>
                <w:sz w:val="20"/>
                <w:lang w:val="fr-CA"/>
              </w:rPr>
              <w:t xml:space="preserve">, L.C. 1997, ch. 36 — </w:t>
            </w:r>
            <w:r w:rsidRPr="0063032F">
              <w:rPr>
                <w:rFonts w:eastAsia="Calibri"/>
                <w:sz w:val="20"/>
                <w:lang w:val="fr-CA"/>
              </w:rPr>
              <w:t xml:space="preserve">La Cour d’appel fédérale a accueilli l’appel d’une décision du Tribunal canadien du commerce extérieur — L’arrêt de la Cour d’appel fédérale modifie-t-il la manière dont un nombre important de marchandises importées au Canada sont classées en application du </w:t>
            </w:r>
            <w:r w:rsidRPr="0063032F">
              <w:rPr>
                <w:rFonts w:eastAsia="Calibri"/>
                <w:i/>
                <w:iCs/>
                <w:sz w:val="20"/>
                <w:lang w:val="fr-CA"/>
              </w:rPr>
              <w:t>Tarif des douanes</w:t>
            </w:r>
            <w:r w:rsidRPr="0063032F">
              <w:rPr>
                <w:rFonts w:eastAsia="Calibri"/>
                <w:iCs/>
                <w:sz w:val="20"/>
                <w:lang w:val="fr-CA"/>
              </w:rPr>
              <w:t>?</w:t>
            </w:r>
          </w:p>
        </w:tc>
      </w:tr>
      <w:tr w:rsidR="00C95205" w:rsidRPr="001D3FE1" w:rsidTr="00DB5F86">
        <w:tc>
          <w:tcPr>
            <w:tcW w:w="5000" w:type="pct"/>
            <w:gridSpan w:val="3"/>
          </w:tcPr>
          <w:p w:rsidR="00C95205" w:rsidRPr="0063032F" w:rsidRDefault="00C95205" w:rsidP="00DB5F86">
            <w:pPr>
              <w:jc w:val="both"/>
              <w:rPr>
                <w:rFonts w:eastAsia="Calibri"/>
                <w:sz w:val="20"/>
                <w:lang w:val="fr-CA"/>
              </w:rPr>
            </w:pPr>
          </w:p>
        </w:tc>
      </w:tr>
      <w:tr w:rsidR="00C95205" w:rsidRPr="001D3FE1" w:rsidTr="00DB5F86">
        <w:tc>
          <w:tcPr>
            <w:tcW w:w="5000" w:type="pct"/>
            <w:gridSpan w:val="3"/>
          </w:tcPr>
          <w:p w:rsidR="00C95205" w:rsidRPr="0063032F" w:rsidRDefault="00C95205" w:rsidP="00DB5F86">
            <w:pPr>
              <w:jc w:val="both"/>
              <w:rPr>
                <w:rFonts w:eastAsia="Calibri"/>
                <w:sz w:val="20"/>
                <w:lang w:val="fr-CA"/>
              </w:rPr>
            </w:pPr>
            <w:r w:rsidRPr="0063032F">
              <w:rPr>
                <w:rFonts w:eastAsia="Calibri"/>
                <w:sz w:val="20"/>
                <w:lang w:val="fr-CA"/>
              </w:rPr>
              <w:t xml:space="preserve">L’intimée, Igloo Vikski Inc. importait des gants de hockey.  Plus tard, l’intimée a demandé le remboursement de droits payés, prétendant que les marchandises devaient faire l’objet d’un nouveau classement.  L’Agence des services frontaliers du Canada a classé les cinq modèles de gants de sports, conçus pour les gardiens de but de hockey sur glace, sous la position tarifaire 62.16, rejetant la thèse de l’intimée selon laquelle ils devaient être classés sous la position tarifaire 39.26 du </w:t>
            </w:r>
            <w:r w:rsidRPr="0063032F">
              <w:rPr>
                <w:rFonts w:eastAsia="Calibri"/>
                <w:i/>
                <w:iCs/>
                <w:sz w:val="20"/>
                <w:lang w:val="fr-CA"/>
              </w:rPr>
              <w:t>Tarif des douanes</w:t>
            </w:r>
            <w:r w:rsidRPr="0063032F">
              <w:rPr>
                <w:rFonts w:eastAsia="Calibri"/>
                <w:sz w:val="20"/>
                <w:lang w:val="fr-CA"/>
              </w:rPr>
              <w:t xml:space="preserve">.  </w:t>
            </w:r>
          </w:p>
          <w:p w:rsidR="00C95205" w:rsidRPr="0063032F" w:rsidRDefault="00C95205" w:rsidP="00DB5F86">
            <w:pPr>
              <w:jc w:val="both"/>
              <w:rPr>
                <w:rFonts w:eastAsia="Calibri"/>
                <w:sz w:val="20"/>
                <w:lang w:val="fr-CA"/>
              </w:rPr>
            </w:pPr>
          </w:p>
          <w:p w:rsidR="00C95205" w:rsidRPr="0063032F" w:rsidRDefault="00C95205" w:rsidP="00DB5F86">
            <w:pPr>
              <w:jc w:val="both"/>
              <w:rPr>
                <w:rFonts w:eastAsia="Calibri"/>
                <w:sz w:val="20"/>
                <w:lang w:val="fr-CA"/>
              </w:rPr>
            </w:pPr>
            <w:r w:rsidRPr="0063032F">
              <w:rPr>
                <w:rFonts w:eastAsia="Calibri"/>
                <w:sz w:val="20"/>
                <w:lang w:val="fr-CA"/>
              </w:rPr>
              <w:t xml:space="preserve">L’intimée a interjeté appel au Tribunal canadien du commerce extérieur (le « TCCE »).  Le TCCE a rejeté l’appel.  La </w:t>
            </w:r>
            <w:r w:rsidRPr="0063032F">
              <w:rPr>
                <w:rFonts w:eastAsia="Calibri"/>
                <w:sz w:val="20"/>
                <w:lang w:val="fr-CA"/>
              </w:rPr>
              <w:lastRenderedPageBreak/>
              <w:t xml:space="preserve">Cour d’appel fédérale a accueilli l’appel, annulé la décision du TCCE et renvoyé l’affaire pour jugement.  </w:t>
            </w:r>
          </w:p>
          <w:p w:rsidR="00C95205" w:rsidRPr="0063032F" w:rsidRDefault="00C95205" w:rsidP="00DB5F86">
            <w:pPr>
              <w:jc w:val="both"/>
              <w:rPr>
                <w:rFonts w:eastAsia="Calibri"/>
                <w:sz w:val="20"/>
                <w:lang w:val="fr-CA"/>
              </w:rPr>
            </w:pPr>
          </w:p>
        </w:tc>
      </w:tr>
      <w:tr w:rsidR="00C95205" w:rsidRPr="001D3FE1" w:rsidTr="00DB5F86">
        <w:tc>
          <w:tcPr>
            <w:tcW w:w="2427" w:type="pct"/>
          </w:tcPr>
          <w:p w:rsidR="00C95205" w:rsidRPr="0063032F" w:rsidRDefault="00C95205" w:rsidP="00DB5F86">
            <w:pPr>
              <w:jc w:val="both"/>
              <w:rPr>
                <w:rFonts w:eastAsia="Calibri"/>
                <w:sz w:val="20"/>
                <w:lang w:val="fr-CA"/>
              </w:rPr>
            </w:pPr>
            <w:r w:rsidRPr="0063032F">
              <w:rPr>
                <w:rFonts w:eastAsia="Calibri"/>
                <w:sz w:val="20"/>
                <w:lang w:val="fr-CA"/>
              </w:rPr>
              <w:lastRenderedPageBreak/>
              <w:t>16 janvier 2013</w:t>
            </w:r>
          </w:p>
          <w:p w:rsidR="00C95205" w:rsidRPr="0063032F" w:rsidRDefault="00C95205" w:rsidP="00DB5F86">
            <w:pPr>
              <w:jc w:val="both"/>
              <w:rPr>
                <w:rFonts w:eastAsia="Calibri"/>
                <w:sz w:val="20"/>
                <w:lang w:val="fr-CA"/>
              </w:rPr>
            </w:pPr>
            <w:r w:rsidRPr="0063032F">
              <w:rPr>
                <w:rFonts w:eastAsia="Calibri"/>
                <w:sz w:val="20"/>
                <w:lang w:val="fr-CA"/>
              </w:rPr>
              <w:t>Tribunal canadien du commerce extérieur</w:t>
            </w:r>
          </w:p>
          <w:p w:rsidR="00C95205" w:rsidRPr="0063032F" w:rsidRDefault="00C95205" w:rsidP="00DB5F86">
            <w:pPr>
              <w:jc w:val="both"/>
              <w:rPr>
                <w:rFonts w:eastAsia="Calibri"/>
                <w:sz w:val="20"/>
                <w:lang w:val="fr-CA"/>
              </w:rPr>
            </w:pPr>
            <w:r w:rsidRPr="0063032F">
              <w:rPr>
                <w:rFonts w:eastAsia="Calibri"/>
                <w:sz w:val="20"/>
                <w:lang w:val="fr-CA"/>
              </w:rPr>
              <w:t>(Membre présidant Vincent)</w:t>
            </w:r>
          </w:p>
          <w:p w:rsidR="00C95205" w:rsidRPr="0063032F" w:rsidRDefault="00C95205" w:rsidP="00DB5F86">
            <w:pPr>
              <w:jc w:val="both"/>
              <w:rPr>
                <w:rFonts w:eastAsia="Calibri"/>
                <w:sz w:val="20"/>
                <w:lang w:val="fr-CA"/>
              </w:rPr>
            </w:pPr>
          </w:p>
        </w:tc>
        <w:tc>
          <w:tcPr>
            <w:tcW w:w="243" w:type="pct"/>
          </w:tcPr>
          <w:p w:rsidR="00C95205" w:rsidRPr="0063032F" w:rsidRDefault="00C95205" w:rsidP="00DB5F86">
            <w:pPr>
              <w:jc w:val="both"/>
              <w:rPr>
                <w:rFonts w:eastAsia="Calibri"/>
                <w:sz w:val="20"/>
                <w:lang w:val="fr-CA"/>
              </w:rPr>
            </w:pPr>
          </w:p>
        </w:tc>
        <w:tc>
          <w:tcPr>
            <w:tcW w:w="2330" w:type="pct"/>
          </w:tcPr>
          <w:p w:rsidR="00C95205" w:rsidRPr="0063032F" w:rsidRDefault="00C95205" w:rsidP="00DB5F86">
            <w:pPr>
              <w:jc w:val="both"/>
              <w:rPr>
                <w:rFonts w:eastAsia="Calibri"/>
                <w:sz w:val="20"/>
                <w:lang w:val="fr-CA"/>
              </w:rPr>
            </w:pPr>
            <w:r w:rsidRPr="0063032F">
              <w:rPr>
                <w:rFonts w:eastAsia="Calibri"/>
                <w:sz w:val="20"/>
                <w:lang w:val="fr-CA"/>
              </w:rPr>
              <w:t xml:space="preserve">Rejet de l’appel d’Igloo Vikski Inc. </w:t>
            </w:r>
          </w:p>
        </w:tc>
      </w:tr>
      <w:tr w:rsidR="00C95205" w:rsidRPr="001D3FE1" w:rsidTr="00DB5F86">
        <w:tc>
          <w:tcPr>
            <w:tcW w:w="2427" w:type="pct"/>
          </w:tcPr>
          <w:p w:rsidR="00C95205" w:rsidRPr="0063032F" w:rsidRDefault="00C95205" w:rsidP="00DB5F86">
            <w:pPr>
              <w:jc w:val="both"/>
              <w:rPr>
                <w:rFonts w:eastAsia="Calibri"/>
                <w:sz w:val="20"/>
                <w:lang w:val="fr-CA"/>
              </w:rPr>
            </w:pPr>
            <w:r w:rsidRPr="0063032F">
              <w:rPr>
                <w:rFonts w:eastAsia="Calibri"/>
                <w:sz w:val="20"/>
                <w:lang w:val="fr-CA"/>
              </w:rPr>
              <w:t>17 novembre 2014</w:t>
            </w:r>
          </w:p>
          <w:p w:rsidR="00C95205" w:rsidRPr="0063032F" w:rsidRDefault="00C95205" w:rsidP="00DB5F86">
            <w:pPr>
              <w:jc w:val="both"/>
              <w:rPr>
                <w:rFonts w:eastAsia="Calibri"/>
                <w:sz w:val="20"/>
                <w:lang w:val="fr-CA"/>
              </w:rPr>
            </w:pPr>
            <w:r w:rsidRPr="0063032F">
              <w:rPr>
                <w:rFonts w:eastAsia="Calibri"/>
                <w:sz w:val="20"/>
                <w:lang w:val="fr-CA"/>
              </w:rPr>
              <w:t>Cour d’appel fédérale</w:t>
            </w:r>
          </w:p>
          <w:p w:rsidR="00C95205" w:rsidRPr="0063032F" w:rsidRDefault="00C95205" w:rsidP="00DB5F86">
            <w:pPr>
              <w:jc w:val="both"/>
              <w:rPr>
                <w:rFonts w:eastAsia="Calibri"/>
                <w:sz w:val="20"/>
                <w:lang w:val="fr-CA"/>
              </w:rPr>
            </w:pPr>
            <w:r w:rsidRPr="0063032F">
              <w:rPr>
                <w:rFonts w:eastAsia="Calibri"/>
                <w:sz w:val="20"/>
                <w:lang w:val="fr-CA"/>
              </w:rPr>
              <w:t>(Juges Pelletier, Near et Scott)</w:t>
            </w:r>
          </w:p>
          <w:p w:rsidR="00C95205" w:rsidRPr="0063032F" w:rsidRDefault="001D3FE1" w:rsidP="00DB5F86">
            <w:pPr>
              <w:jc w:val="both"/>
              <w:rPr>
                <w:rFonts w:eastAsia="Calibri"/>
                <w:sz w:val="20"/>
              </w:rPr>
            </w:pPr>
            <w:hyperlink r:id="rId32" w:history="1">
              <w:r w:rsidR="00C95205" w:rsidRPr="00305EE6">
                <w:rPr>
                  <w:rFonts w:eastAsia="Calibri"/>
                  <w:color w:val="0000FF"/>
                  <w:sz w:val="20"/>
                  <w:u w:val="single"/>
                </w:rPr>
                <w:t>2014 FCA 266</w:t>
              </w:r>
            </w:hyperlink>
          </w:p>
          <w:p w:rsidR="00C95205" w:rsidRPr="0063032F" w:rsidRDefault="00C95205" w:rsidP="00DB5F86">
            <w:pPr>
              <w:jc w:val="both"/>
              <w:rPr>
                <w:rFonts w:eastAsia="Calibri"/>
                <w:sz w:val="20"/>
              </w:rPr>
            </w:pPr>
            <w:r w:rsidRPr="0063032F">
              <w:rPr>
                <w:rFonts w:eastAsia="Calibri"/>
                <w:sz w:val="20"/>
              </w:rPr>
              <w:t>N</w:t>
            </w:r>
            <w:r w:rsidRPr="0063032F">
              <w:rPr>
                <w:rFonts w:eastAsia="Calibri"/>
                <w:sz w:val="20"/>
                <w:vertAlign w:val="superscript"/>
              </w:rPr>
              <w:t>o</w:t>
            </w:r>
            <w:r w:rsidRPr="0063032F">
              <w:rPr>
                <w:rFonts w:eastAsia="Calibri"/>
                <w:sz w:val="20"/>
              </w:rPr>
              <w:t xml:space="preserve"> du greffe : A-65-13</w:t>
            </w:r>
          </w:p>
          <w:p w:rsidR="00C95205" w:rsidRPr="0063032F" w:rsidRDefault="00C95205" w:rsidP="00DB5F86">
            <w:pPr>
              <w:jc w:val="both"/>
              <w:rPr>
                <w:rFonts w:eastAsia="Calibri"/>
                <w:sz w:val="20"/>
              </w:rPr>
            </w:pPr>
          </w:p>
        </w:tc>
        <w:tc>
          <w:tcPr>
            <w:tcW w:w="243" w:type="pct"/>
          </w:tcPr>
          <w:p w:rsidR="00C95205" w:rsidRPr="0063032F" w:rsidRDefault="00C95205" w:rsidP="00DB5F86">
            <w:pPr>
              <w:jc w:val="both"/>
              <w:rPr>
                <w:rFonts w:eastAsia="Calibri"/>
                <w:sz w:val="20"/>
              </w:rPr>
            </w:pPr>
          </w:p>
        </w:tc>
        <w:tc>
          <w:tcPr>
            <w:tcW w:w="2330" w:type="pct"/>
          </w:tcPr>
          <w:p w:rsidR="00C95205" w:rsidRPr="0063032F" w:rsidRDefault="00C95205" w:rsidP="00DB5F86">
            <w:pPr>
              <w:jc w:val="both"/>
              <w:rPr>
                <w:rFonts w:eastAsia="Calibri"/>
                <w:sz w:val="20"/>
                <w:lang w:val="fr-CA"/>
              </w:rPr>
            </w:pPr>
            <w:r w:rsidRPr="0063032F">
              <w:rPr>
                <w:rFonts w:eastAsia="Calibri"/>
                <w:sz w:val="20"/>
                <w:lang w:val="fr-CA"/>
              </w:rPr>
              <w:t xml:space="preserve">Arrêt accueillant l’appel; annulation de la décision du Tribunal canadien du commerce extérieur et renvoi de l’affaire pour jugement.   </w:t>
            </w:r>
          </w:p>
          <w:p w:rsidR="00C95205" w:rsidRPr="0063032F" w:rsidRDefault="00C95205" w:rsidP="00DB5F86">
            <w:pPr>
              <w:jc w:val="both"/>
              <w:rPr>
                <w:rFonts w:eastAsia="Calibri"/>
                <w:sz w:val="20"/>
                <w:lang w:val="fr-CA"/>
              </w:rPr>
            </w:pPr>
          </w:p>
        </w:tc>
      </w:tr>
      <w:tr w:rsidR="00C95205" w:rsidRPr="001D3FE1" w:rsidTr="00DB5F86">
        <w:tc>
          <w:tcPr>
            <w:tcW w:w="2427" w:type="pct"/>
          </w:tcPr>
          <w:p w:rsidR="00C95205" w:rsidRPr="0063032F" w:rsidRDefault="00C95205" w:rsidP="00DB5F86">
            <w:pPr>
              <w:jc w:val="both"/>
              <w:rPr>
                <w:rFonts w:eastAsia="Calibri"/>
                <w:sz w:val="20"/>
                <w:lang w:val="fr-CA"/>
              </w:rPr>
            </w:pPr>
            <w:r w:rsidRPr="0063032F">
              <w:rPr>
                <w:rFonts w:eastAsia="Calibri"/>
                <w:sz w:val="20"/>
                <w:lang w:val="fr-CA"/>
              </w:rPr>
              <w:t>15 janvier 2015</w:t>
            </w:r>
          </w:p>
          <w:p w:rsidR="00C95205" w:rsidRPr="0063032F" w:rsidRDefault="00C95205" w:rsidP="00DB5F86">
            <w:pPr>
              <w:jc w:val="both"/>
              <w:rPr>
                <w:rFonts w:eastAsia="Calibri"/>
                <w:sz w:val="20"/>
                <w:lang w:val="fr-CA"/>
              </w:rPr>
            </w:pPr>
            <w:r w:rsidRPr="0063032F">
              <w:rPr>
                <w:rFonts w:eastAsia="Calibri"/>
                <w:sz w:val="20"/>
                <w:lang w:val="fr-CA"/>
              </w:rPr>
              <w:t>Cour suprême du Canada</w:t>
            </w:r>
          </w:p>
        </w:tc>
        <w:tc>
          <w:tcPr>
            <w:tcW w:w="243" w:type="pct"/>
          </w:tcPr>
          <w:p w:rsidR="00C95205" w:rsidRPr="0063032F" w:rsidRDefault="00C95205" w:rsidP="00DB5F86">
            <w:pPr>
              <w:jc w:val="both"/>
              <w:rPr>
                <w:rFonts w:eastAsia="Calibri"/>
                <w:sz w:val="20"/>
                <w:lang w:val="fr-CA"/>
              </w:rPr>
            </w:pPr>
          </w:p>
        </w:tc>
        <w:tc>
          <w:tcPr>
            <w:tcW w:w="2330" w:type="pct"/>
          </w:tcPr>
          <w:p w:rsidR="00C95205" w:rsidRPr="0063032F" w:rsidRDefault="00C95205" w:rsidP="00DB5F86">
            <w:pPr>
              <w:jc w:val="both"/>
              <w:rPr>
                <w:rFonts w:eastAsia="Calibri"/>
                <w:sz w:val="20"/>
                <w:lang w:val="fr-CA"/>
              </w:rPr>
            </w:pPr>
            <w:r w:rsidRPr="0063032F">
              <w:rPr>
                <w:rFonts w:eastAsia="Calibri"/>
                <w:sz w:val="20"/>
                <w:lang w:val="fr-CA"/>
              </w:rPr>
              <w:t>Dépôt de la demande d’autorisation d’appel.</w:t>
            </w:r>
          </w:p>
          <w:p w:rsidR="00C95205" w:rsidRPr="0063032F" w:rsidRDefault="00C95205" w:rsidP="00DB5F86">
            <w:pPr>
              <w:jc w:val="both"/>
              <w:rPr>
                <w:rFonts w:eastAsia="Calibri"/>
                <w:sz w:val="20"/>
                <w:lang w:val="fr-CA"/>
              </w:rPr>
            </w:pPr>
          </w:p>
        </w:tc>
      </w:tr>
    </w:tbl>
    <w:p w:rsidR="00467AD0" w:rsidRPr="00C9520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43"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37AC" w:rsidRPr="001D3FE1" w:rsidTr="008805B2">
        <w:trPr>
          <w:cantSplit/>
        </w:trPr>
        <w:tc>
          <w:tcPr>
            <w:tcW w:w="1458" w:type="dxa"/>
          </w:tcPr>
          <w:p w:rsidR="000037AC" w:rsidRPr="00FE1AD8" w:rsidRDefault="000037AC" w:rsidP="008805B2">
            <w:pPr>
              <w:rPr>
                <w:sz w:val="20"/>
                <w:szCs w:val="20"/>
              </w:rPr>
            </w:pPr>
            <w:r w:rsidRPr="00FE1AD8">
              <w:rPr>
                <w:rStyle w:val="SCCFileNumberChar"/>
                <w:sz w:val="20"/>
                <w:szCs w:val="20"/>
              </w:rPr>
              <w:t>36261</w:t>
            </w:r>
          </w:p>
          <w:p w:rsidR="000037AC" w:rsidRPr="00FE1AD8" w:rsidRDefault="000037AC" w:rsidP="008805B2">
            <w:pPr>
              <w:rPr>
                <w:b/>
                <w:sz w:val="20"/>
                <w:szCs w:val="20"/>
                <w:lang w:val="fr-CA"/>
              </w:rPr>
            </w:pPr>
          </w:p>
        </w:tc>
        <w:tc>
          <w:tcPr>
            <w:tcW w:w="8118" w:type="dxa"/>
          </w:tcPr>
          <w:p w:rsidR="000037AC" w:rsidRPr="00FE1AD8" w:rsidRDefault="000037AC" w:rsidP="008805B2">
            <w:pPr>
              <w:rPr>
                <w:sz w:val="20"/>
                <w:szCs w:val="20"/>
                <w:lang w:val="fr-CA"/>
              </w:rPr>
            </w:pPr>
            <w:r w:rsidRPr="00FE1AD8">
              <w:rPr>
                <w:rStyle w:val="SCCLsocChar"/>
                <w:sz w:val="20"/>
                <w:szCs w:val="20"/>
              </w:rPr>
              <w:t>Sa Majesté la Reine c. A.M.</w:t>
            </w:r>
            <w:r w:rsidRPr="00FE1AD8">
              <w:rPr>
                <w:sz w:val="20"/>
                <w:szCs w:val="20"/>
                <w:lang w:val="fr-CA"/>
              </w:rPr>
              <w:t xml:space="preserve"> (Qc) (Criminelle) (Autorisation)</w:t>
            </w:r>
          </w:p>
          <w:p w:rsidR="000037AC" w:rsidRPr="00FE1AD8" w:rsidRDefault="000037AC" w:rsidP="008805B2">
            <w:pPr>
              <w:rPr>
                <w:sz w:val="20"/>
                <w:szCs w:val="20"/>
                <w:lang w:val="fr-CA"/>
              </w:rPr>
            </w:pPr>
          </w:p>
        </w:tc>
      </w:tr>
      <w:tr w:rsidR="000037AC" w:rsidRPr="001D3FE1" w:rsidTr="008805B2">
        <w:trPr>
          <w:cantSplit/>
        </w:trPr>
        <w:tc>
          <w:tcPr>
            <w:tcW w:w="1458" w:type="dxa"/>
          </w:tcPr>
          <w:p w:rsidR="000037AC" w:rsidRPr="00FE1AD8" w:rsidRDefault="000037AC" w:rsidP="008805B2">
            <w:pPr>
              <w:rPr>
                <w:sz w:val="20"/>
                <w:szCs w:val="20"/>
              </w:rPr>
            </w:pPr>
            <w:r w:rsidRPr="00FE1AD8">
              <w:rPr>
                <w:sz w:val="20"/>
                <w:szCs w:val="20"/>
              </w:rPr>
              <w:t>Coram :</w:t>
            </w:r>
          </w:p>
        </w:tc>
        <w:tc>
          <w:tcPr>
            <w:tcW w:w="8118" w:type="dxa"/>
          </w:tcPr>
          <w:p w:rsidR="000037AC" w:rsidRPr="00FE1AD8" w:rsidRDefault="000037AC" w:rsidP="008805B2">
            <w:pPr>
              <w:rPr>
                <w:sz w:val="20"/>
                <w:szCs w:val="20"/>
                <w:lang w:val="fr-CA"/>
              </w:rPr>
            </w:pPr>
            <w:r w:rsidRPr="00FE1AD8">
              <w:rPr>
                <w:rStyle w:val="SCCCoramChar"/>
                <w:sz w:val="20"/>
                <w:szCs w:val="20"/>
              </w:rPr>
              <w:t>La juge en chef McLachlin et les juges Wagner et Gascon</w:t>
            </w:r>
          </w:p>
          <w:p w:rsidR="000037AC" w:rsidRPr="00FE1AD8" w:rsidRDefault="000037AC" w:rsidP="008805B2">
            <w:pPr>
              <w:rPr>
                <w:sz w:val="20"/>
                <w:szCs w:val="20"/>
                <w:u w:val="single"/>
                <w:lang w:val="fr-CA"/>
              </w:rPr>
            </w:pPr>
          </w:p>
        </w:tc>
      </w:tr>
      <w:tr w:rsidR="000037AC" w:rsidRPr="00FE1AD8" w:rsidTr="008805B2">
        <w:trPr>
          <w:cantSplit/>
        </w:trPr>
        <w:tc>
          <w:tcPr>
            <w:tcW w:w="9576" w:type="dxa"/>
            <w:gridSpan w:val="2"/>
          </w:tcPr>
          <w:p w:rsidR="000037AC" w:rsidRPr="00FE1AD8" w:rsidRDefault="000037AC" w:rsidP="008805B2">
            <w:pPr>
              <w:pStyle w:val="SCCShortJudgment"/>
              <w:rPr>
                <w:szCs w:val="20"/>
                <w:lang w:val="fr-CA"/>
              </w:rPr>
            </w:pPr>
            <w:r w:rsidRPr="00FE1AD8">
              <w:rPr>
                <w:szCs w:val="20"/>
                <w:lang w:val="fr-CA"/>
              </w:rPr>
              <w:t>La demande d’autorisation d’appel de l’arrêt de la Cour d’appel du Québec (Québec), numéro 200-08-000162-148, 2014 QCCA 2385, daté du 20 novembre 2014, est rejetée.</w:t>
            </w:r>
          </w:p>
          <w:p w:rsidR="000037AC" w:rsidRPr="00FE1AD8" w:rsidRDefault="000037AC" w:rsidP="008805B2">
            <w:pPr>
              <w:pStyle w:val="SCCShortJudgment"/>
              <w:ind w:firstLine="0"/>
              <w:rPr>
                <w:szCs w:val="20"/>
                <w:lang w:val="fr-CA"/>
              </w:rPr>
            </w:pPr>
          </w:p>
          <w:p w:rsidR="000037AC" w:rsidRPr="00FE1AD8" w:rsidRDefault="000037AC" w:rsidP="008805B2">
            <w:pPr>
              <w:pStyle w:val="SCCShortJudgment"/>
              <w:rPr>
                <w:szCs w:val="20"/>
              </w:rPr>
            </w:pPr>
            <w:r w:rsidRPr="00FE1AD8">
              <w:rPr>
                <w:szCs w:val="20"/>
              </w:rPr>
              <w:t>The application for leave to appeal from the judgment of the Court of Appeal of Quebec (Québec), Number 200-08-000162-148, 2014 QCCA 2385, dated November 20, 2014, is dismissed.</w:t>
            </w:r>
          </w:p>
        </w:tc>
      </w:tr>
    </w:tbl>
    <w:p w:rsidR="00467AD0" w:rsidRDefault="00467AD0" w:rsidP="00467AD0">
      <w:pPr>
        <w:rPr>
          <w:sz w:val="20"/>
          <w:szCs w:val="20"/>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305EE6" w:rsidTr="00DB5F86">
        <w:tc>
          <w:tcPr>
            <w:tcW w:w="5000" w:type="pct"/>
            <w:gridSpan w:val="3"/>
          </w:tcPr>
          <w:p w:rsidR="00C95205" w:rsidRPr="00305EE6" w:rsidRDefault="00C95205" w:rsidP="00DB5F86">
            <w:pPr>
              <w:jc w:val="both"/>
              <w:rPr>
                <w:rFonts w:eastAsia="Calibri"/>
                <w:smallCaps/>
                <w:sz w:val="20"/>
              </w:rPr>
            </w:pPr>
            <w:r w:rsidRPr="00305EE6">
              <w:rPr>
                <w:rFonts w:eastAsia="Calibri"/>
                <w:smallCaps/>
                <w:sz w:val="20"/>
              </w:rPr>
              <w:t xml:space="preserve">(Publication Ban in Case) (Publication Ban on Party) (Court </w:t>
            </w:r>
            <w:r>
              <w:rPr>
                <w:rFonts w:eastAsia="Calibri"/>
                <w:smallCaps/>
                <w:sz w:val="20"/>
              </w:rPr>
              <w:t>F</w:t>
            </w:r>
            <w:r w:rsidRPr="00305EE6">
              <w:rPr>
                <w:rFonts w:eastAsia="Calibri"/>
                <w:smallCaps/>
                <w:sz w:val="20"/>
              </w:rPr>
              <w:t xml:space="preserve">ile </w:t>
            </w:r>
            <w:r>
              <w:rPr>
                <w:rFonts w:eastAsia="Calibri"/>
                <w:smallCaps/>
                <w:sz w:val="20"/>
              </w:rPr>
              <w:t>C</w:t>
            </w:r>
            <w:r w:rsidRPr="00305EE6">
              <w:rPr>
                <w:rFonts w:eastAsia="Calibri"/>
                <w:smallCaps/>
                <w:sz w:val="20"/>
              </w:rPr>
              <w:t xml:space="preserve">ontains </w:t>
            </w:r>
            <w:r>
              <w:rPr>
                <w:rFonts w:eastAsia="Calibri"/>
                <w:smallCaps/>
                <w:sz w:val="20"/>
              </w:rPr>
              <w:t>I</w:t>
            </w:r>
            <w:r w:rsidRPr="00305EE6">
              <w:rPr>
                <w:rFonts w:eastAsia="Calibri"/>
                <w:smallCaps/>
                <w:sz w:val="20"/>
              </w:rPr>
              <w:t xml:space="preserve">nformation </w:t>
            </w:r>
            <w:r>
              <w:rPr>
                <w:rFonts w:eastAsia="Calibri"/>
                <w:smallCaps/>
                <w:sz w:val="20"/>
              </w:rPr>
              <w:t>T</w:t>
            </w:r>
            <w:r w:rsidRPr="00305EE6">
              <w:rPr>
                <w:rFonts w:eastAsia="Calibri"/>
                <w:smallCaps/>
                <w:sz w:val="20"/>
              </w:rPr>
              <w:t xml:space="preserve">hat is not </w:t>
            </w:r>
            <w:r>
              <w:rPr>
                <w:rFonts w:eastAsia="Calibri"/>
                <w:smallCaps/>
                <w:sz w:val="20"/>
              </w:rPr>
              <w:t>A</w:t>
            </w:r>
            <w:r w:rsidRPr="00305EE6">
              <w:rPr>
                <w:rFonts w:eastAsia="Calibri"/>
                <w:smallCaps/>
                <w:sz w:val="20"/>
              </w:rPr>
              <w:t xml:space="preserve">vailable for </w:t>
            </w:r>
            <w:r>
              <w:rPr>
                <w:rFonts w:eastAsia="Calibri"/>
                <w:smallCaps/>
                <w:sz w:val="20"/>
              </w:rPr>
              <w:t>I</w:t>
            </w:r>
            <w:r w:rsidRPr="00305EE6">
              <w:rPr>
                <w:rFonts w:eastAsia="Calibri"/>
                <w:smallCaps/>
                <w:sz w:val="20"/>
              </w:rPr>
              <w:t xml:space="preserve">nspection by the </w:t>
            </w:r>
            <w:r>
              <w:rPr>
                <w:rFonts w:eastAsia="Calibri"/>
                <w:smallCaps/>
                <w:sz w:val="20"/>
              </w:rPr>
              <w:t>P</w:t>
            </w:r>
            <w:r w:rsidRPr="00305EE6">
              <w:rPr>
                <w:rFonts w:eastAsia="Calibri"/>
                <w:smallCaps/>
                <w:sz w:val="20"/>
              </w:rPr>
              <w:t>ublic)</w:t>
            </w:r>
          </w:p>
          <w:p w:rsidR="00C95205" w:rsidRPr="00305EE6" w:rsidRDefault="00C95205" w:rsidP="00DB5F86">
            <w:pPr>
              <w:jc w:val="both"/>
              <w:rPr>
                <w:rFonts w:eastAsia="Calibri"/>
                <w:sz w:val="20"/>
              </w:rPr>
            </w:pPr>
          </w:p>
          <w:p w:rsidR="00C95205" w:rsidRPr="00305EE6" w:rsidRDefault="00C95205" w:rsidP="00DB5F86">
            <w:pPr>
              <w:jc w:val="both"/>
              <w:rPr>
                <w:rFonts w:eastAsia="Calibri"/>
                <w:sz w:val="20"/>
              </w:rPr>
            </w:pPr>
            <w:r w:rsidRPr="00305EE6">
              <w:rPr>
                <w:rFonts w:eastAsia="Calibri"/>
                <w:sz w:val="20"/>
              </w:rPr>
              <w:t xml:space="preserve">Criminal law – Youth – Evidence – Admissibility of statement made to person in authority – Whether school principal who obtained incriminating statement from respondent was “person in authority” within meaning of s. 146 of </w:t>
            </w:r>
            <w:r w:rsidRPr="00305EE6">
              <w:rPr>
                <w:rFonts w:eastAsia="Calibri"/>
                <w:i/>
                <w:sz w:val="20"/>
              </w:rPr>
              <w:t>Youth Criminal Justice Act</w:t>
            </w:r>
            <w:r w:rsidRPr="00305EE6">
              <w:rPr>
                <w:rFonts w:eastAsia="Calibri"/>
                <w:iCs/>
                <w:sz w:val="20"/>
              </w:rPr>
              <w:t>, S.C. 2002, c. 1.</w:t>
            </w:r>
          </w:p>
        </w:tc>
      </w:tr>
      <w:tr w:rsidR="00C95205" w:rsidRPr="00305EE6" w:rsidTr="00DB5F86">
        <w:tc>
          <w:tcPr>
            <w:tcW w:w="5000" w:type="pct"/>
            <w:gridSpan w:val="3"/>
          </w:tcPr>
          <w:p w:rsidR="00C95205" w:rsidRPr="00305EE6" w:rsidRDefault="00C95205" w:rsidP="00DB5F86">
            <w:pPr>
              <w:jc w:val="both"/>
              <w:rPr>
                <w:rFonts w:eastAsia="Calibri"/>
                <w:sz w:val="20"/>
              </w:rPr>
            </w:pPr>
          </w:p>
        </w:tc>
      </w:tr>
      <w:tr w:rsidR="00C95205" w:rsidRPr="00305EE6" w:rsidTr="00DB5F86">
        <w:tc>
          <w:tcPr>
            <w:tcW w:w="5000" w:type="pct"/>
            <w:gridSpan w:val="3"/>
          </w:tcPr>
          <w:p w:rsidR="00C95205" w:rsidRPr="00305EE6" w:rsidRDefault="00C95205" w:rsidP="00DB5F86">
            <w:pPr>
              <w:jc w:val="both"/>
              <w:rPr>
                <w:rFonts w:eastAsia="Calibri"/>
                <w:sz w:val="20"/>
              </w:rPr>
            </w:pPr>
            <w:r w:rsidRPr="00305EE6">
              <w:rPr>
                <w:rFonts w:eastAsia="Calibri"/>
                <w:sz w:val="20"/>
              </w:rPr>
              <w:t xml:space="preserve">After some parents of students gave him information indicating that the respondent, then aged 13, was selling drugs, the school principal asked her to come into his office with him so he could question her.  After twice denying that she had sold drugs, the respondent made an incriminating statement.  During her trial on three counts of possession of and trafficking in narcotics, the incriminating statement made by the respondent to the principal was found inadmissible in evidence.  In the trial judge’s opinion, the principal had to be considered a person in authority within the meaning of s. 146 of the </w:t>
            </w:r>
            <w:r w:rsidRPr="00305EE6">
              <w:rPr>
                <w:rFonts w:eastAsia="Calibri"/>
                <w:i/>
                <w:sz w:val="20"/>
              </w:rPr>
              <w:t>Youth Criminal Justice Act</w:t>
            </w:r>
            <w:r w:rsidRPr="00305EE6">
              <w:rPr>
                <w:rFonts w:eastAsia="Calibri"/>
                <w:i/>
                <w:iCs/>
                <w:sz w:val="20"/>
              </w:rPr>
              <w:t xml:space="preserve"> </w:t>
            </w:r>
            <w:r w:rsidRPr="00305EE6">
              <w:rPr>
                <w:rFonts w:eastAsia="Calibri"/>
                <w:iCs/>
                <w:sz w:val="20"/>
              </w:rPr>
              <w:t>(“</w:t>
            </w:r>
            <w:r w:rsidRPr="00305EE6">
              <w:rPr>
                <w:rFonts w:eastAsia="Calibri"/>
                <w:i/>
                <w:iCs/>
                <w:sz w:val="20"/>
              </w:rPr>
              <w:t>YCJA</w:t>
            </w:r>
            <w:r w:rsidRPr="00305EE6">
              <w:rPr>
                <w:rFonts w:eastAsia="Calibri"/>
                <w:iCs/>
                <w:sz w:val="20"/>
              </w:rPr>
              <w:t>”). Therefore, since the requirements of s. </w:t>
            </w:r>
            <w:r w:rsidRPr="00305EE6">
              <w:rPr>
                <w:rFonts w:eastAsia="Calibri"/>
                <w:sz w:val="20"/>
              </w:rPr>
              <w:t>146(2)(</w:t>
            </w:r>
            <w:r w:rsidRPr="00305EE6">
              <w:rPr>
                <w:rFonts w:eastAsia="Calibri"/>
                <w:i/>
                <w:sz w:val="20"/>
              </w:rPr>
              <w:t>b</w:t>
            </w:r>
            <w:r w:rsidRPr="00305EE6">
              <w:rPr>
                <w:rFonts w:eastAsia="Calibri"/>
                <w:sz w:val="20"/>
              </w:rPr>
              <w:t>) to (</w:t>
            </w:r>
            <w:r w:rsidRPr="00305EE6">
              <w:rPr>
                <w:rFonts w:eastAsia="Calibri"/>
                <w:i/>
                <w:sz w:val="20"/>
              </w:rPr>
              <w:t>d</w:t>
            </w:r>
            <w:r w:rsidRPr="00305EE6">
              <w:rPr>
                <w:rFonts w:eastAsia="Calibri"/>
                <w:sz w:val="20"/>
              </w:rPr>
              <w:t xml:space="preserve">) </w:t>
            </w:r>
            <w:r w:rsidRPr="00305EE6">
              <w:rPr>
                <w:rFonts w:eastAsia="Calibri"/>
                <w:i/>
                <w:sz w:val="20"/>
              </w:rPr>
              <w:t>YCJA</w:t>
            </w:r>
            <w:r w:rsidRPr="00305EE6">
              <w:rPr>
                <w:rFonts w:eastAsia="Calibri"/>
                <w:sz w:val="20"/>
              </w:rPr>
              <w:t xml:space="preserve"> had not been met, such as the duty of the person in authority to clearly explain to the young person that she was under no obligation to make a statement, to inform her that any statement made by her could be used as evidence against her and to explain to her that she had the right to consult counsel and a parent, relative or adult of her choice, the respondent’s statement was inadmissible.  The Court of Appeal dismissed the appeal.</w:t>
            </w:r>
          </w:p>
          <w:p w:rsidR="00C95205" w:rsidRPr="00305EE6" w:rsidRDefault="00C95205" w:rsidP="00DB5F86">
            <w:pPr>
              <w:jc w:val="both"/>
              <w:rPr>
                <w:rFonts w:eastAsia="Calibri"/>
                <w:sz w:val="20"/>
              </w:rPr>
            </w:pPr>
          </w:p>
        </w:tc>
      </w:tr>
      <w:tr w:rsidR="00C95205" w:rsidRPr="00305EE6" w:rsidTr="000037AC">
        <w:trPr>
          <w:cantSplit/>
        </w:trPr>
        <w:tc>
          <w:tcPr>
            <w:tcW w:w="2427" w:type="pct"/>
          </w:tcPr>
          <w:p w:rsidR="00C95205" w:rsidRPr="00305EE6" w:rsidRDefault="00C95205" w:rsidP="00DB5F86">
            <w:pPr>
              <w:jc w:val="both"/>
              <w:rPr>
                <w:rFonts w:eastAsia="Calibri"/>
                <w:sz w:val="20"/>
              </w:rPr>
            </w:pPr>
            <w:r w:rsidRPr="00305EE6">
              <w:rPr>
                <w:rFonts w:eastAsia="Calibri"/>
                <w:sz w:val="20"/>
              </w:rPr>
              <w:lastRenderedPageBreak/>
              <w:t>April 17, 2014</w:t>
            </w:r>
          </w:p>
          <w:p w:rsidR="00C95205" w:rsidRPr="00305EE6" w:rsidRDefault="00C95205" w:rsidP="00DB5F86">
            <w:pPr>
              <w:jc w:val="both"/>
              <w:rPr>
                <w:rFonts w:eastAsia="Calibri"/>
                <w:sz w:val="20"/>
              </w:rPr>
            </w:pPr>
            <w:r w:rsidRPr="00305EE6">
              <w:rPr>
                <w:rFonts w:eastAsia="Calibri"/>
                <w:sz w:val="20"/>
              </w:rPr>
              <w:t>Court of Québec</w:t>
            </w:r>
          </w:p>
          <w:p w:rsidR="00C95205" w:rsidRPr="00305EE6" w:rsidRDefault="00C95205" w:rsidP="00DB5F86">
            <w:pPr>
              <w:jc w:val="both"/>
              <w:rPr>
                <w:rFonts w:eastAsia="Calibri"/>
                <w:sz w:val="20"/>
              </w:rPr>
            </w:pPr>
            <w:r w:rsidRPr="00305EE6">
              <w:rPr>
                <w:rFonts w:eastAsia="Calibri"/>
                <w:sz w:val="20"/>
              </w:rPr>
              <w:t>(Judge Landry)</w:t>
            </w:r>
          </w:p>
          <w:p w:rsidR="00C95205" w:rsidRPr="00305EE6" w:rsidRDefault="00C95205" w:rsidP="00DB5F86">
            <w:pPr>
              <w:jc w:val="both"/>
              <w:rPr>
                <w:rFonts w:eastAsia="Calibri"/>
                <w:sz w:val="20"/>
              </w:rPr>
            </w:pPr>
          </w:p>
        </w:tc>
        <w:tc>
          <w:tcPr>
            <w:tcW w:w="243" w:type="pct"/>
          </w:tcPr>
          <w:p w:rsidR="00C95205" w:rsidRPr="00305EE6" w:rsidRDefault="00C95205" w:rsidP="00DB5F86">
            <w:pPr>
              <w:jc w:val="both"/>
              <w:rPr>
                <w:rFonts w:eastAsia="Calibri"/>
                <w:sz w:val="20"/>
              </w:rPr>
            </w:pPr>
          </w:p>
        </w:tc>
        <w:tc>
          <w:tcPr>
            <w:tcW w:w="2330" w:type="pct"/>
          </w:tcPr>
          <w:p w:rsidR="00C95205" w:rsidRPr="00305EE6" w:rsidRDefault="00C95205" w:rsidP="00DB5F86">
            <w:pPr>
              <w:jc w:val="both"/>
              <w:rPr>
                <w:rFonts w:eastAsia="Calibri"/>
                <w:sz w:val="20"/>
              </w:rPr>
            </w:pPr>
            <w:r w:rsidRPr="00305EE6">
              <w:rPr>
                <w:rFonts w:eastAsia="Calibri"/>
                <w:sz w:val="20"/>
              </w:rPr>
              <w:t xml:space="preserve">Respondent’s incriminating statement found inadmissible during </w:t>
            </w:r>
            <w:r w:rsidRPr="00305EE6">
              <w:rPr>
                <w:rFonts w:eastAsia="Calibri"/>
                <w:i/>
                <w:sz w:val="20"/>
              </w:rPr>
              <w:t>voir dire</w:t>
            </w:r>
            <w:r w:rsidRPr="00305EE6">
              <w:rPr>
                <w:rFonts w:eastAsia="Calibri"/>
                <w:sz w:val="20"/>
              </w:rPr>
              <w:t>; respondent  acquitted of three counts of possession of and trafficking in narcotics</w:t>
            </w:r>
          </w:p>
          <w:p w:rsidR="00C95205" w:rsidRPr="00305EE6" w:rsidRDefault="00C95205" w:rsidP="00DB5F86">
            <w:pPr>
              <w:jc w:val="both"/>
              <w:rPr>
                <w:rFonts w:eastAsia="Calibri"/>
                <w:sz w:val="20"/>
              </w:rPr>
            </w:pPr>
          </w:p>
        </w:tc>
      </w:tr>
      <w:tr w:rsidR="00C95205" w:rsidRPr="00305EE6" w:rsidTr="000037AC">
        <w:trPr>
          <w:cantSplit/>
        </w:trPr>
        <w:tc>
          <w:tcPr>
            <w:tcW w:w="2427" w:type="pct"/>
          </w:tcPr>
          <w:p w:rsidR="00C95205" w:rsidRPr="00305EE6" w:rsidRDefault="00C95205" w:rsidP="00DB5F86">
            <w:pPr>
              <w:jc w:val="both"/>
              <w:rPr>
                <w:rFonts w:eastAsia="Calibri"/>
                <w:sz w:val="20"/>
              </w:rPr>
            </w:pPr>
            <w:r w:rsidRPr="00305EE6">
              <w:rPr>
                <w:rFonts w:eastAsia="Calibri"/>
                <w:sz w:val="20"/>
              </w:rPr>
              <w:t>November 20, 2014</w:t>
            </w:r>
          </w:p>
          <w:p w:rsidR="00C95205" w:rsidRPr="00305EE6" w:rsidRDefault="00C95205" w:rsidP="00DB5F86">
            <w:pPr>
              <w:jc w:val="both"/>
              <w:rPr>
                <w:rFonts w:eastAsia="Calibri"/>
                <w:sz w:val="20"/>
              </w:rPr>
            </w:pPr>
            <w:r w:rsidRPr="00305EE6">
              <w:rPr>
                <w:rFonts w:eastAsia="Calibri"/>
                <w:sz w:val="20"/>
              </w:rPr>
              <w:t>Quebec Court of Appeal (Québec)</w:t>
            </w:r>
          </w:p>
          <w:p w:rsidR="00C95205" w:rsidRPr="00305EE6" w:rsidRDefault="00C95205" w:rsidP="00DB5F86">
            <w:pPr>
              <w:jc w:val="both"/>
              <w:rPr>
                <w:rFonts w:eastAsia="Calibri"/>
                <w:sz w:val="20"/>
              </w:rPr>
            </w:pPr>
            <w:r w:rsidRPr="00305EE6">
              <w:rPr>
                <w:rFonts w:eastAsia="Calibri"/>
                <w:sz w:val="20"/>
              </w:rPr>
              <w:t>(Morin, Morissette and Bouchard JJ.A.)</w:t>
            </w:r>
          </w:p>
          <w:p w:rsidR="00C95205" w:rsidRPr="00305EE6" w:rsidRDefault="001D3FE1" w:rsidP="00DB5F86">
            <w:pPr>
              <w:jc w:val="both"/>
              <w:rPr>
                <w:rFonts w:eastAsia="Calibri"/>
                <w:sz w:val="20"/>
              </w:rPr>
            </w:pPr>
            <w:hyperlink r:id="rId33" w:history="1">
              <w:r w:rsidR="00C95205" w:rsidRPr="00305EE6">
                <w:rPr>
                  <w:rFonts w:eastAsia="Calibri"/>
                  <w:color w:val="0000FF"/>
                  <w:sz w:val="20"/>
                  <w:u w:val="single"/>
                </w:rPr>
                <w:t>2014 QCCA 2385</w:t>
              </w:r>
            </w:hyperlink>
          </w:p>
          <w:p w:rsidR="00C95205" w:rsidRPr="00305EE6" w:rsidRDefault="00C95205" w:rsidP="00DB5F86">
            <w:pPr>
              <w:jc w:val="both"/>
              <w:rPr>
                <w:rFonts w:eastAsia="Calibri"/>
                <w:sz w:val="20"/>
              </w:rPr>
            </w:pPr>
          </w:p>
        </w:tc>
        <w:tc>
          <w:tcPr>
            <w:tcW w:w="243" w:type="pct"/>
          </w:tcPr>
          <w:p w:rsidR="00C95205" w:rsidRPr="00305EE6" w:rsidRDefault="00C95205" w:rsidP="00DB5F86">
            <w:pPr>
              <w:jc w:val="both"/>
              <w:rPr>
                <w:rFonts w:eastAsia="Calibri"/>
                <w:sz w:val="20"/>
              </w:rPr>
            </w:pPr>
          </w:p>
        </w:tc>
        <w:tc>
          <w:tcPr>
            <w:tcW w:w="2330" w:type="pct"/>
          </w:tcPr>
          <w:p w:rsidR="00C95205" w:rsidRPr="00305EE6" w:rsidRDefault="00C95205" w:rsidP="00DB5F86">
            <w:pPr>
              <w:jc w:val="both"/>
              <w:rPr>
                <w:rFonts w:eastAsia="Calibri"/>
                <w:sz w:val="20"/>
              </w:rPr>
            </w:pPr>
            <w:r w:rsidRPr="00305EE6">
              <w:rPr>
                <w:rFonts w:eastAsia="Calibri"/>
                <w:sz w:val="20"/>
              </w:rPr>
              <w:t>Appeal dismissed</w:t>
            </w:r>
          </w:p>
          <w:p w:rsidR="00C95205" w:rsidRPr="00305EE6" w:rsidRDefault="00C95205" w:rsidP="00DB5F86">
            <w:pPr>
              <w:jc w:val="both"/>
              <w:rPr>
                <w:rFonts w:eastAsia="Calibri"/>
                <w:sz w:val="20"/>
              </w:rPr>
            </w:pPr>
          </w:p>
        </w:tc>
      </w:tr>
      <w:tr w:rsidR="00C95205" w:rsidRPr="00305EE6" w:rsidTr="000037AC">
        <w:trPr>
          <w:cantSplit/>
        </w:trPr>
        <w:tc>
          <w:tcPr>
            <w:tcW w:w="2427" w:type="pct"/>
          </w:tcPr>
          <w:p w:rsidR="00C95205" w:rsidRPr="00305EE6" w:rsidRDefault="00C95205" w:rsidP="00DB5F86">
            <w:pPr>
              <w:jc w:val="both"/>
              <w:rPr>
                <w:rFonts w:eastAsia="Calibri"/>
                <w:sz w:val="20"/>
              </w:rPr>
            </w:pPr>
            <w:r w:rsidRPr="00305EE6">
              <w:rPr>
                <w:rFonts w:eastAsia="Calibri"/>
                <w:sz w:val="20"/>
              </w:rPr>
              <w:t>January 15, 2015</w:t>
            </w:r>
          </w:p>
          <w:p w:rsidR="00C95205" w:rsidRPr="00305EE6" w:rsidRDefault="00C95205" w:rsidP="00DB5F86">
            <w:pPr>
              <w:jc w:val="both"/>
              <w:rPr>
                <w:rFonts w:eastAsia="Calibri"/>
                <w:sz w:val="20"/>
              </w:rPr>
            </w:pPr>
            <w:r w:rsidRPr="00305EE6">
              <w:rPr>
                <w:rFonts w:eastAsia="Calibri"/>
                <w:sz w:val="20"/>
              </w:rPr>
              <w:t>Supreme Court of Canada</w:t>
            </w:r>
          </w:p>
        </w:tc>
        <w:tc>
          <w:tcPr>
            <w:tcW w:w="243" w:type="pct"/>
          </w:tcPr>
          <w:p w:rsidR="00C95205" w:rsidRPr="00305EE6" w:rsidRDefault="00C95205" w:rsidP="00DB5F86">
            <w:pPr>
              <w:jc w:val="both"/>
              <w:rPr>
                <w:rFonts w:eastAsia="Calibri"/>
                <w:sz w:val="20"/>
              </w:rPr>
            </w:pPr>
          </w:p>
        </w:tc>
        <w:tc>
          <w:tcPr>
            <w:tcW w:w="2330" w:type="pct"/>
          </w:tcPr>
          <w:p w:rsidR="00C95205" w:rsidRPr="00305EE6" w:rsidRDefault="00C95205" w:rsidP="00DB5F86">
            <w:pPr>
              <w:jc w:val="both"/>
              <w:rPr>
                <w:rFonts w:eastAsia="Calibri"/>
                <w:sz w:val="20"/>
              </w:rPr>
            </w:pPr>
            <w:r w:rsidRPr="00305EE6">
              <w:rPr>
                <w:rFonts w:eastAsia="Calibri"/>
                <w:sz w:val="20"/>
              </w:rPr>
              <w:t>Application for leave to appeal filed</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44"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1D3FE1" w:rsidTr="00DB5F86">
        <w:tc>
          <w:tcPr>
            <w:tcW w:w="5000" w:type="pct"/>
            <w:gridSpan w:val="3"/>
          </w:tcPr>
          <w:p w:rsidR="00C95205" w:rsidRPr="00305EE6" w:rsidRDefault="00C95205" w:rsidP="00DB5F86">
            <w:pPr>
              <w:jc w:val="both"/>
              <w:rPr>
                <w:rFonts w:eastAsia="Calibri"/>
                <w:smallCaps/>
                <w:sz w:val="20"/>
                <w:lang w:val="fr-CA"/>
              </w:rPr>
            </w:pPr>
            <w:r w:rsidRPr="00305EE6">
              <w:rPr>
                <w:rFonts w:eastAsia="Calibri"/>
                <w:smallCaps/>
                <w:sz w:val="20"/>
                <w:lang w:val="fr-CA"/>
              </w:rPr>
              <w:t>(</w:t>
            </w:r>
            <w:r>
              <w:rPr>
                <w:rFonts w:eastAsia="Calibri"/>
                <w:smallCaps/>
                <w:sz w:val="20"/>
                <w:lang w:val="fr-CA"/>
              </w:rPr>
              <w:t>O</w:t>
            </w:r>
            <w:r w:rsidRPr="00305EE6">
              <w:rPr>
                <w:rFonts w:eastAsia="Calibri"/>
                <w:smallCaps/>
                <w:sz w:val="20"/>
                <w:lang w:val="fr-CA"/>
              </w:rPr>
              <w:t>rdonnance de non-publication dans le dossier) (</w:t>
            </w:r>
            <w:r>
              <w:rPr>
                <w:rFonts w:eastAsia="Calibri"/>
                <w:smallCaps/>
                <w:sz w:val="20"/>
                <w:lang w:val="fr-CA"/>
              </w:rPr>
              <w:t>O</w:t>
            </w:r>
            <w:r w:rsidRPr="00305EE6">
              <w:rPr>
                <w:rFonts w:eastAsia="Calibri"/>
                <w:smallCaps/>
                <w:sz w:val="20"/>
                <w:lang w:val="fr-CA"/>
              </w:rPr>
              <w:t>rdonnance de non-publication visant une partie) (Le dossier de la Cour renferme des données que le public n’est pas autorisé à consulter)</w:t>
            </w:r>
          </w:p>
          <w:p w:rsidR="00C95205" w:rsidRPr="00305EE6" w:rsidRDefault="00C95205" w:rsidP="00DB5F86">
            <w:pPr>
              <w:jc w:val="both"/>
              <w:rPr>
                <w:rFonts w:eastAsia="Calibri"/>
                <w:sz w:val="20"/>
                <w:lang w:val="fr-CA"/>
              </w:rPr>
            </w:pPr>
          </w:p>
          <w:p w:rsidR="00C95205" w:rsidRPr="00305EE6" w:rsidRDefault="00C95205" w:rsidP="00DB5F86">
            <w:pPr>
              <w:jc w:val="both"/>
              <w:rPr>
                <w:rFonts w:eastAsia="Calibri"/>
                <w:sz w:val="20"/>
                <w:lang w:val="fr-CA"/>
              </w:rPr>
            </w:pPr>
            <w:r w:rsidRPr="00305EE6">
              <w:rPr>
                <w:rFonts w:eastAsia="Calibri"/>
                <w:sz w:val="20"/>
                <w:lang w:val="fr-CA"/>
              </w:rPr>
              <w:t xml:space="preserve">Droit criminel – Adolescents – Preuve – Admissibilité d’une déclaration faite à une personne en autorité – Le directeur d’école qui a obtenu une déclaration incriminante de l’intimée est-il une « personne en autorité » au sens de l’art. 146 de la </w:t>
            </w:r>
            <w:r w:rsidRPr="00305EE6">
              <w:rPr>
                <w:rFonts w:eastAsia="Calibri"/>
                <w:i/>
                <w:iCs/>
                <w:sz w:val="20"/>
                <w:lang w:val="fr-CA"/>
              </w:rPr>
              <w:t>Loi sur le système de justice pénale pour les adolescents</w:t>
            </w:r>
            <w:r w:rsidRPr="00305EE6">
              <w:rPr>
                <w:rFonts w:eastAsia="Calibri"/>
                <w:iCs/>
                <w:sz w:val="20"/>
                <w:lang w:val="fr-CA"/>
              </w:rPr>
              <w:t>, L.C. 2002, ch. 1?</w:t>
            </w:r>
          </w:p>
        </w:tc>
      </w:tr>
      <w:tr w:rsidR="00C95205" w:rsidRPr="001D3FE1" w:rsidTr="00DB5F86">
        <w:tc>
          <w:tcPr>
            <w:tcW w:w="5000" w:type="pct"/>
            <w:gridSpan w:val="3"/>
          </w:tcPr>
          <w:p w:rsidR="00C95205" w:rsidRPr="00305EE6" w:rsidRDefault="00C95205" w:rsidP="00DB5F86">
            <w:pPr>
              <w:jc w:val="both"/>
              <w:rPr>
                <w:rFonts w:eastAsia="Calibri"/>
                <w:sz w:val="20"/>
                <w:lang w:val="fr-CA"/>
              </w:rPr>
            </w:pPr>
          </w:p>
        </w:tc>
      </w:tr>
      <w:tr w:rsidR="00C95205" w:rsidRPr="00305EE6" w:rsidTr="00DB5F86">
        <w:tc>
          <w:tcPr>
            <w:tcW w:w="5000" w:type="pct"/>
            <w:gridSpan w:val="3"/>
          </w:tcPr>
          <w:p w:rsidR="00C95205" w:rsidRPr="00305EE6" w:rsidRDefault="00C95205" w:rsidP="00DB5F86">
            <w:pPr>
              <w:jc w:val="both"/>
              <w:rPr>
                <w:rFonts w:eastAsia="Calibri"/>
                <w:sz w:val="20"/>
                <w:lang w:val="fr-CA"/>
              </w:rPr>
            </w:pPr>
            <w:r w:rsidRPr="00305EE6">
              <w:rPr>
                <w:rFonts w:eastAsia="Calibri"/>
                <w:sz w:val="20"/>
                <w:lang w:val="fr-CA"/>
              </w:rPr>
              <w:t xml:space="preserve">Ayant obtenu des informations de certains parents d’élèves à l’effet que l’intimée, alors âgée de 13 ans, vendait de la drogue, le directeur d’école a demandé qu’elle l’accompagne dans son bureau afin de la questionner.  Après avoir nié à deux reprises avoir vendu de la drogue, l’intimée a fait une déclaration incriminante.  Au cours de son procès sur trois chefs d’accusation relatifs à la possession et au trafic de stupéfiants, la déclaration incriminante faite par l’intimée au directeur a été déclarée irrecevable en preuve.  De l’avis de la juge de première instance, le directeur devait </w:t>
            </w:r>
            <w:r w:rsidRPr="00305EE6">
              <w:rPr>
                <w:rFonts w:eastAsia="Calibri"/>
                <w:sz w:val="20"/>
                <w:lang w:val="fr-FR"/>
              </w:rPr>
              <w:t xml:space="preserve">être considéré comme une personne en situation d’autorité au sens de l’art. 146 de la </w:t>
            </w:r>
            <w:r w:rsidRPr="00305EE6">
              <w:rPr>
                <w:rFonts w:eastAsia="Calibri"/>
                <w:i/>
                <w:iCs/>
                <w:sz w:val="20"/>
                <w:lang w:val="fr-CA"/>
              </w:rPr>
              <w:t>Loi sur le système de justice pénale pour les adolescents</w:t>
            </w:r>
            <w:r w:rsidRPr="00305EE6">
              <w:rPr>
                <w:rFonts w:eastAsia="Calibri"/>
                <w:iCs/>
                <w:sz w:val="20"/>
                <w:lang w:val="fr-CA"/>
              </w:rPr>
              <w:t xml:space="preserve"> (« </w:t>
            </w:r>
            <w:r w:rsidRPr="00305EE6">
              <w:rPr>
                <w:rFonts w:eastAsia="Calibri"/>
                <w:i/>
                <w:iCs/>
                <w:sz w:val="20"/>
                <w:lang w:val="fr-CA"/>
              </w:rPr>
              <w:t>LSJPA</w:t>
            </w:r>
            <w:r w:rsidRPr="00305EE6">
              <w:rPr>
                <w:rFonts w:eastAsia="Calibri"/>
                <w:iCs/>
                <w:sz w:val="20"/>
                <w:lang w:val="fr-CA"/>
              </w:rPr>
              <w:t> »).</w:t>
            </w:r>
            <w:r w:rsidRPr="00305EE6">
              <w:rPr>
                <w:rFonts w:eastAsia="Calibri"/>
                <w:sz w:val="20"/>
                <w:lang w:val="fr-FR"/>
              </w:rPr>
              <w:t xml:space="preserve">  Ainsi, comme les prescriptions de l’art. 146(2)</w:t>
            </w:r>
            <w:r w:rsidRPr="00305EE6">
              <w:rPr>
                <w:rFonts w:eastAsia="Calibri"/>
                <w:i/>
                <w:sz w:val="20"/>
                <w:lang w:val="fr-FR"/>
              </w:rPr>
              <w:t>b</w:t>
            </w:r>
            <w:r w:rsidRPr="00305EE6">
              <w:rPr>
                <w:rFonts w:eastAsia="Calibri"/>
                <w:sz w:val="20"/>
                <w:lang w:val="fr-FR"/>
              </w:rPr>
              <w:t xml:space="preserve">) à </w:t>
            </w:r>
            <w:r w:rsidRPr="00305EE6">
              <w:rPr>
                <w:rFonts w:eastAsia="Calibri"/>
                <w:i/>
                <w:sz w:val="20"/>
                <w:lang w:val="fr-FR"/>
              </w:rPr>
              <w:t>d</w:t>
            </w:r>
            <w:r w:rsidRPr="00305EE6">
              <w:rPr>
                <w:rFonts w:eastAsia="Calibri"/>
                <w:sz w:val="20"/>
                <w:lang w:val="fr-FR"/>
              </w:rPr>
              <w:t xml:space="preserve">) </w:t>
            </w:r>
            <w:r w:rsidRPr="00305EE6">
              <w:rPr>
                <w:rFonts w:eastAsia="Calibri"/>
                <w:i/>
                <w:sz w:val="20"/>
                <w:lang w:val="fr-FR"/>
              </w:rPr>
              <w:t>LSJPA</w:t>
            </w:r>
            <w:r w:rsidRPr="00305EE6">
              <w:rPr>
                <w:rFonts w:eastAsia="Calibri"/>
                <w:sz w:val="20"/>
                <w:lang w:val="fr-FR"/>
              </w:rPr>
              <w:t xml:space="preserve"> n’avaient pas été rencontrées, telles les obligations de la personne en autorité d’expliquer clairement à l’adolescent qu’il n’est pas obligé de faire une déclaration, de l’informer que toute déclaration qu’il fait peut être utilisée en preuve contre lui et d’expliquer à l’adolescent qu’il a le droit de consulter un avocat et un parent ou un adulte de son choix, la déclaration de l’intimée était irrecevable.  </w:t>
            </w:r>
            <w:r w:rsidRPr="00305EE6">
              <w:rPr>
                <w:rFonts w:eastAsia="Calibri"/>
                <w:sz w:val="20"/>
                <w:lang w:val="fr-CA"/>
              </w:rPr>
              <w:t>La Cour d’appel a rejeté l’appel.</w:t>
            </w:r>
          </w:p>
          <w:p w:rsidR="00C95205" w:rsidRPr="00305EE6" w:rsidRDefault="00C95205" w:rsidP="00DB5F86">
            <w:pPr>
              <w:jc w:val="both"/>
              <w:rPr>
                <w:rFonts w:eastAsia="Calibri"/>
                <w:sz w:val="20"/>
                <w:lang w:val="fr-CA"/>
              </w:rPr>
            </w:pPr>
          </w:p>
        </w:tc>
      </w:tr>
      <w:tr w:rsidR="00C95205" w:rsidRPr="001D3FE1" w:rsidTr="00DB5F86">
        <w:tc>
          <w:tcPr>
            <w:tcW w:w="2427" w:type="pct"/>
          </w:tcPr>
          <w:p w:rsidR="00C95205" w:rsidRPr="00305EE6" w:rsidRDefault="00C95205" w:rsidP="00DB5F86">
            <w:pPr>
              <w:jc w:val="both"/>
              <w:rPr>
                <w:rFonts w:eastAsia="Calibri"/>
                <w:sz w:val="20"/>
                <w:lang w:val="fr-CA"/>
              </w:rPr>
            </w:pPr>
            <w:r w:rsidRPr="00305EE6">
              <w:rPr>
                <w:rFonts w:eastAsia="Calibri"/>
                <w:sz w:val="20"/>
                <w:lang w:val="fr-CA"/>
              </w:rPr>
              <w:t>Le 17 avril 2014</w:t>
            </w:r>
          </w:p>
          <w:p w:rsidR="00C95205" w:rsidRPr="00305EE6" w:rsidRDefault="00C95205" w:rsidP="00DB5F86">
            <w:pPr>
              <w:jc w:val="both"/>
              <w:rPr>
                <w:rFonts w:eastAsia="Calibri"/>
                <w:sz w:val="20"/>
                <w:lang w:val="fr-CA"/>
              </w:rPr>
            </w:pPr>
            <w:r w:rsidRPr="00305EE6">
              <w:rPr>
                <w:rFonts w:eastAsia="Calibri"/>
                <w:sz w:val="20"/>
                <w:lang w:val="fr-CA"/>
              </w:rPr>
              <w:t>Cour du Québec</w:t>
            </w:r>
          </w:p>
          <w:p w:rsidR="00C95205" w:rsidRPr="00305EE6" w:rsidRDefault="00C95205" w:rsidP="00DB5F86">
            <w:pPr>
              <w:jc w:val="both"/>
              <w:rPr>
                <w:rFonts w:eastAsia="Calibri"/>
                <w:sz w:val="20"/>
                <w:lang w:val="fr-CA"/>
              </w:rPr>
            </w:pPr>
            <w:r w:rsidRPr="00305EE6">
              <w:rPr>
                <w:rFonts w:eastAsia="Calibri"/>
                <w:sz w:val="20"/>
                <w:lang w:val="fr-CA"/>
              </w:rPr>
              <w:t>(La juge Landry)</w:t>
            </w:r>
          </w:p>
          <w:p w:rsidR="00C95205" w:rsidRPr="00305EE6" w:rsidRDefault="00C95205" w:rsidP="00DB5F86">
            <w:pPr>
              <w:jc w:val="both"/>
              <w:rPr>
                <w:rFonts w:eastAsia="Calibri"/>
                <w:sz w:val="20"/>
                <w:lang w:val="fr-CA"/>
              </w:rPr>
            </w:pPr>
          </w:p>
        </w:tc>
        <w:tc>
          <w:tcPr>
            <w:tcW w:w="243" w:type="pct"/>
          </w:tcPr>
          <w:p w:rsidR="00C95205" w:rsidRPr="00305EE6" w:rsidRDefault="00C95205" w:rsidP="00DB5F86">
            <w:pPr>
              <w:jc w:val="both"/>
              <w:rPr>
                <w:rFonts w:eastAsia="Calibri"/>
                <w:sz w:val="20"/>
                <w:lang w:val="fr-CA"/>
              </w:rPr>
            </w:pPr>
          </w:p>
        </w:tc>
        <w:tc>
          <w:tcPr>
            <w:tcW w:w="2330" w:type="pct"/>
          </w:tcPr>
          <w:p w:rsidR="00C95205" w:rsidRPr="00305EE6" w:rsidRDefault="00C95205" w:rsidP="00DB5F86">
            <w:pPr>
              <w:jc w:val="both"/>
              <w:rPr>
                <w:rFonts w:eastAsia="Calibri"/>
                <w:sz w:val="20"/>
                <w:lang w:val="fr-CA"/>
              </w:rPr>
            </w:pPr>
            <w:r w:rsidRPr="00305EE6">
              <w:rPr>
                <w:rFonts w:eastAsia="Calibri"/>
                <w:sz w:val="20"/>
                <w:lang w:val="fr-CA"/>
              </w:rPr>
              <w:t>Déclaration incriminante de l’intimée déclarée irrecevable lors d’un voir-dire; intimée acquittée à l’égard de trois chefs d’accusation relatifs à la possession et au trafic de stupéfiants</w:t>
            </w:r>
          </w:p>
          <w:p w:rsidR="00C95205" w:rsidRPr="00305EE6" w:rsidRDefault="00C95205" w:rsidP="00DB5F86">
            <w:pPr>
              <w:jc w:val="both"/>
              <w:rPr>
                <w:rFonts w:eastAsia="Calibri"/>
                <w:sz w:val="20"/>
                <w:lang w:val="fr-CA"/>
              </w:rPr>
            </w:pPr>
          </w:p>
        </w:tc>
      </w:tr>
      <w:tr w:rsidR="00C95205" w:rsidRPr="00305EE6" w:rsidTr="00DB5F86">
        <w:tc>
          <w:tcPr>
            <w:tcW w:w="2427" w:type="pct"/>
          </w:tcPr>
          <w:p w:rsidR="00C95205" w:rsidRPr="00305EE6" w:rsidRDefault="00C95205" w:rsidP="00DB5F86">
            <w:pPr>
              <w:jc w:val="both"/>
              <w:rPr>
                <w:rFonts w:eastAsia="Calibri"/>
                <w:sz w:val="20"/>
                <w:lang w:val="fr-CA"/>
              </w:rPr>
            </w:pPr>
            <w:r w:rsidRPr="00305EE6">
              <w:rPr>
                <w:rFonts w:eastAsia="Calibri"/>
                <w:sz w:val="20"/>
                <w:lang w:val="fr-CA"/>
              </w:rPr>
              <w:t>Le 20 novembre 2014</w:t>
            </w:r>
          </w:p>
          <w:p w:rsidR="00C95205" w:rsidRPr="00305EE6" w:rsidRDefault="00C95205" w:rsidP="00DB5F86">
            <w:pPr>
              <w:jc w:val="both"/>
              <w:rPr>
                <w:rFonts w:eastAsia="Calibri"/>
                <w:sz w:val="20"/>
                <w:lang w:val="fr-CA"/>
              </w:rPr>
            </w:pPr>
            <w:r w:rsidRPr="00305EE6">
              <w:rPr>
                <w:rFonts w:eastAsia="Calibri"/>
                <w:sz w:val="20"/>
                <w:lang w:val="fr-CA"/>
              </w:rPr>
              <w:t>Cour d’appel du Québec (Québec)</w:t>
            </w:r>
          </w:p>
          <w:p w:rsidR="00C95205" w:rsidRPr="00305EE6" w:rsidRDefault="00C95205" w:rsidP="00DB5F86">
            <w:pPr>
              <w:jc w:val="both"/>
              <w:rPr>
                <w:rFonts w:eastAsia="Calibri"/>
                <w:sz w:val="20"/>
                <w:lang w:val="fr-CA"/>
              </w:rPr>
            </w:pPr>
            <w:r w:rsidRPr="00305EE6">
              <w:rPr>
                <w:rFonts w:eastAsia="Calibri"/>
                <w:sz w:val="20"/>
                <w:lang w:val="fr-CA"/>
              </w:rPr>
              <w:t>(Les juges Morin, Morissette et Bouchard)</w:t>
            </w:r>
          </w:p>
          <w:p w:rsidR="00C95205" w:rsidRPr="00305EE6" w:rsidRDefault="001D3FE1" w:rsidP="00DB5F86">
            <w:pPr>
              <w:jc w:val="both"/>
              <w:rPr>
                <w:rFonts w:eastAsia="Calibri"/>
                <w:sz w:val="20"/>
                <w:lang w:val="fr-CA"/>
              </w:rPr>
            </w:pPr>
            <w:hyperlink r:id="rId34" w:history="1">
              <w:r w:rsidR="00C95205" w:rsidRPr="00305EE6">
                <w:rPr>
                  <w:rFonts w:eastAsia="Calibri"/>
                  <w:color w:val="0000FF"/>
                  <w:sz w:val="20"/>
                  <w:u w:val="single"/>
                  <w:lang w:val="fr-CA"/>
                </w:rPr>
                <w:t>2014 QCCA 2385</w:t>
              </w:r>
            </w:hyperlink>
          </w:p>
          <w:p w:rsidR="00C95205" w:rsidRPr="00305EE6" w:rsidRDefault="00C95205" w:rsidP="00DB5F86">
            <w:pPr>
              <w:jc w:val="both"/>
              <w:rPr>
                <w:rFonts w:eastAsia="Calibri"/>
                <w:sz w:val="20"/>
                <w:lang w:val="fr-CA"/>
              </w:rPr>
            </w:pPr>
          </w:p>
        </w:tc>
        <w:tc>
          <w:tcPr>
            <w:tcW w:w="243" w:type="pct"/>
          </w:tcPr>
          <w:p w:rsidR="00C95205" w:rsidRPr="00305EE6" w:rsidRDefault="00C95205" w:rsidP="00DB5F86">
            <w:pPr>
              <w:jc w:val="both"/>
              <w:rPr>
                <w:rFonts w:eastAsia="Calibri"/>
                <w:sz w:val="20"/>
                <w:lang w:val="fr-CA"/>
              </w:rPr>
            </w:pPr>
          </w:p>
        </w:tc>
        <w:tc>
          <w:tcPr>
            <w:tcW w:w="2330" w:type="pct"/>
          </w:tcPr>
          <w:p w:rsidR="00C95205" w:rsidRPr="00305EE6" w:rsidRDefault="00C95205" w:rsidP="00DB5F86">
            <w:pPr>
              <w:jc w:val="both"/>
              <w:rPr>
                <w:rFonts w:eastAsia="Calibri"/>
                <w:sz w:val="20"/>
                <w:lang w:val="fr-CA"/>
              </w:rPr>
            </w:pPr>
            <w:r w:rsidRPr="00305EE6">
              <w:rPr>
                <w:rFonts w:eastAsia="Calibri"/>
                <w:sz w:val="20"/>
                <w:lang w:val="fr-CA"/>
              </w:rPr>
              <w:t>Appel rejeté</w:t>
            </w:r>
          </w:p>
          <w:p w:rsidR="00C95205" w:rsidRPr="00305EE6" w:rsidRDefault="00C95205" w:rsidP="00DB5F86">
            <w:pPr>
              <w:jc w:val="both"/>
              <w:rPr>
                <w:rFonts w:eastAsia="Calibri"/>
                <w:sz w:val="20"/>
                <w:lang w:val="fr-CA"/>
              </w:rPr>
            </w:pPr>
          </w:p>
        </w:tc>
      </w:tr>
      <w:tr w:rsidR="00C95205" w:rsidRPr="00305EE6" w:rsidTr="00DB5F86">
        <w:tc>
          <w:tcPr>
            <w:tcW w:w="2427" w:type="pct"/>
          </w:tcPr>
          <w:p w:rsidR="00C95205" w:rsidRPr="00305EE6" w:rsidRDefault="00C95205" w:rsidP="00DB5F86">
            <w:pPr>
              <w:jc w:val="both"/>
              <w:rPr>
                <w:rFonts w:eastAsia="Calibri"/>
                <w:sz w:val="20"/>
                <w:lang w:val="fr-CA"/>
              </w:rPr>
            </w:pPr>
            <w:r w:rsidRPr="00305EE6">
              <w:rPr>
                <w:rFonts w:eastAsia="Calibri"/>
                <w:sz w:val="20"/>
                <w:lang w:val="fr-CA"/>
              </w:rPr>
              <w:t>Le 15 janvier 2015</w:t>
            </w:r>
          </w:p>
          <w:p w:rsidR="00C95205" w:rsidRPr="00305EE6" w:rsidRDefault="00C95205" w:rsidP="00DB5F86">
            <w:pPr>
              <w:jc w:val="both"/>
              <w:rPr>
                <w:rFonts w:eastAsia="Calibri"/>
                <w:sz w:val="20"/>
                <w:lang w:val="fr-CA"/>
              </w:rPr>
            </w:pPr>
            <w:r w:rsidRPr="00305EE6">
              <w:rPr>
                <w:rFonts w:eastAsia="Calibri"/>
                <w:sz w:val="20"/>
                <w:lang w:val="fr-CA"/>
              </w:rPr>
              <w:t>Cour suprême du Canada</w:t>
            </w:r>
          </w:p>
        </w:tc>
        <w:tc>
          <w:tcPr>
            <w:tcW w:w="243" w:type="pct"/>
          </w:tcPr>
          <w:p w:rsidR="00C95205" w:rsidRPr="00305EE6" w:rsidRDefault="00C95205" w:rsidP="00DB5F86">
            <w:pPr>
              <w:jc w:val="both"/>
              <w:rPr>
                <w:rFonts w:eastAsia="Calibri"/>
                <w:sz w:val="20"/>
                <w:lang w:val="fr-CA"/>
              </w:rPr>
            </w:pPr>
          </w:p>
        </w:tc>
        <w:tc>
          <w:tcPr>
            <w:tcW w:w="2330" w:type="pct"/>
          </w:tcPr>
          <w:p w:rsidR="00C95205" w:rsidRPr="00305EE6" w:rsidRDefault="00C95205" w:rsidP="00DB5F86">
            <w:pPr>
              <w:jc w:val="both"/>
              <w:rPr>
                <w:rFonts w:eastAsia="Calibri"/>
                <w:sz w:val="20"/>
                <w:lang w:val="fr-CA"/>
              </w:rPr>
            </w:pPr>
            <w:r w:rsidRPr="00305EE6">
              <w:rPr>
                <w:rFonts w:eastAsia="Calibri"/>
                <w:sz w:val="20"/>
                <w:lang w:val="fr-CA"/>
              </w:rPr>
              <w:t>Demande d'autorisation d'appel déposée</w:t>
            </w:r>
          </w:p>
          <w:p w:rsidR="00C95205" w:rsidRPr="00305EE6" w:rsidRDefault="00C95205" w:rsidP="00DB5F86">
            <w:pPr>
              <w:jc w:val="both"/>
              <w:rPr>
                <w:rFonts w:eastAsia="Calibri"/>
                <w:sz w:val="20"/>
                <w:lang w:val="fr-CA"/>
              </w:rPr>
            </w:pPr>
          </w:p>
        </w:tc>
      </w:tr>
    </w:tbl>
    <w:p w:rsidR="00467AD0" w:rsidRDefault="00467AD0" w:rsidP="00467AD0">
      <w:pPr>
        <w:rPr>
          <w:sz w:val="20"/>
          <w:szCs w:val="20"/>
        </w:rPr>
      </w:pPr>
    </w:p>
    <w:p w:rsidR="00467AD0" w:rsidRDefault="001D3FE1" w:rsidP="00467AD0">
      <w:pPr>
        <w:rPr>
          <w:sz w:val="20"/>
          <w:szCs w:val="20"/>
          <w:lang w:val="fr-CA"/>
        </w:rPr>
      </w:pPr>
      <w:r>
        <w:rPr>
          <w:sz w:val="20"/>
          <w:szCs w:val="20"/>
          <w:lang w:val="fr-CA"/>
        </w:rPr>
        <w:pict>
          <v:rect id="_x0000_i1045"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37AC" w:rsidRPr="001D3FE1" w:rsidTr="008805B2">
        <w:trPr>
          <w:cantSplit/>
        </w:trPr>
        <w:tc>
          <w:tcPr>
            <w:tcW w:w="1458" w:type="dxa"/>
          </w:tcPr>
          <w:p w:rsidR="000037AC" w:rsidRPr="00FE1AD8" w:rsidRDefault="000037AC" w:rsidP="008805B2">
            <w:pPr>
              <w:rPr>
                <w:sz w:val="20"/>
                <w:szCs w:val="20"/>
              </w:rPr>
            </w:pPr>
            <w:r w:rsidRPr="00FE1AD8">
              <w:rPr>
                <w:rStyle w:val="SCCFileNumberChar"/>
                <w:sz w:val="20"/>
                <w:szCs w:val="20"/>
              </w:rPr>
              <w:t>36275</w:t>
            </w:r>
          </w:p>
          <w:p w:rsidR="000037AC" w:rsidRPr="00FE1AD8" w:rsidRDefault="000037AC" w:rsidP="008805B2">
            <w:pPr>
              <w:rPr>
                <w:b/>
                <w:sz w:val="20"/>
                <w:szCs w:val="20"/>
                <w:lang w:val="fr-CA"/>
              </w:rPr>
            </w:pPr>
          </w:p>
        </w:tc>
        <w:tc>
          <w:tcPr>
            <w:tcW w:w="8118" w:type="dxa"/>
          </w:tcPr>
          <w:p w:rsidR="000037AC" w:rsidRPr="00FE1AD8" w:rsidRDefault="000037AC" w:rsidP="008805B2">
            <w:pPr>
              <w:jc w:val="both"/>
              <w:rPr>
                <w:sz w:val="20"/>
                <w:szCs w:val="20"/>
                <w:lang w:val="fr-CA"/>
              </w:rPr>
            </w:pPr>
            <w:r w:rsidRPr="00FE1AD8">
              <w:rPr>
                <w:rStyle w:val="SCCLsocChar"/>
                <w:sz w:val="20"/>
                <w:szCs w:val="20"/>
              </w:rPr>
              <w:t>9026-2981 Québec Inc. c. Commission des droits de la personne et des droits de la jeunesse, Suffrad Dagobert, Dacky Thermidor, Nicolas Casseus</w:t>
            </w:r>
            <w:r w:rsidR="0081788D">
              <w:rPr>
                <w:rStyle w:val="SCCLsocChar"/>
                <w:sz w:val="20"/>
                <w:szCs w:val="20"/>
              </w:rPr>
              <w:t xml:space="preserve"> et</w:t>
            </w:r>
            <w:r w:rsidRPr="00FE1AD8">
              <w:rPr>
                <w:rStyle w:val="SCCLsocChar"/>
                <w:sz w:val="20"/>
                <w:szCs w:val="20"/>
              </w:rPr>
              <w:t xml:space="preserve"> Edvard Casseus</w:t>
            </w:r>
            <w:r w:rsidRPr="00FE1AD8">
              <w:rPr>
                <w:sz w:val="20"/>
                <w:szCs w:val="20"/>
                <w:lang w:val="fr-CA"/>
              </w:rPr>
              <w:t xml:space="preserve"> (Qc) (Civile) (Autorisation)</w:t>
            </w:r>
          </w:p>
          <w:p w:rsidR="000037AC" w:rsidRPr="00FE1AD8" w:rsidRDefault="000037AC" w:rsidP="008805B2">
            <w:pPr>
              <w:jc w:val="both"/>
              <w:rPr>
                <w:sz w:val="20"/>
                <w:szCs w:val="20"/>
                <w:lang w:val="fr-CA"/>
              </w:rPr>
            </w:pPr>
          </w:p>
        </w:tc>
      </w:tr>
      <w:tr w:rsidR="000037AC" w:rsidRPr="001D3FE1" w:rsidTr="008805B2">
        <w:trPr>
          <w:cantSplit/>
        </w:trPr>
        <w:tc>
          <w:tcPr>
            <w:tcW w:w="1458" w:type="dxa"/>
          </w:tcPr>
          <w:p w:rsidR="000037AC" w:rsidRPr="00FE1AD8" w:rsidRDefault="000037AC" w:rsidP="008805B2">
            <w:pPr>
              <w:rPr>
                <w:sz w:val="20"/>
                <w:szCs w:val="20"/>
              </w:rPr>
            </w:pPr>
            <w:r w:rsidRPr="00FE1AD8">
              <w:rPr>
                <w:sz w:val="20"/>
                <w:szCs w:val="20"/>
              </w:rPr>
              <w:t>Coram :</w:t>
            </w:r>
          </w:p>
        </w:tc>
        <w:tc>
          <w:tcPr>
            <w:tcW w:w="8118" w:type="dxa"/>
          </w:tcPr>
          <w:p w:rsidR="000037AC" w:rsidRPr="00FE1AD8" w:rsidRDefault="000037AC" w:rsidP="008805B2">
            <w:pPr>
              <w:rPr>
                <w:sz w:val="20"/>
                <w:szCs w:val="20"/>
                <w:lang w:val="fr-CA"/>
              </w:rPr>
            </w:pPr>
            <w:r w:rsidRPr="00FE1AD8">
              <w:rPr>
                <w:rStyle w:val="SCCCoramChar"/>
                <w:sz w:val="20"/>
                <w:szCs w:val="20"/>
              </w:rPr>
              <w:t>La juge en chef McLachlin et les juges Wagner et Gascon</w:t>
            </w:r>
          </w:p>
          <w:p w:rsidR="000037AC" w:rsidRPr="00FE1AD8" w:rsidRDefault="000037AC" w:rsidP="008805B2">
            <w:pPr>
              <w:rPr>
                <w:sz w:val="20"/>
                <w:szCs w:val="20"/>
                <w:u w:val="single"/>
                <w:lang w:val="fr-CA"/>
              </w:rPr>
            </w:pPr>
          </w:p>
        </w:tc>
      </w:tr>
      <w:tr w:rsidR="000037AC" w:rsidRPr="00FE1AD8" w:rsidTr="008805B2">
        <w:trPr>
          <w:cantSplit/>
        </w:trPr>
        <w:tc>
          <w:tcPr>
            <w:tcW w:w="9576" w:type="dxa"/>
            <w:gridSpan w:val="2"/>
          </w:tcPr>
          <w:p w:rsidR="000037AC" w:rsidRPr="00FE1AD8" w:rsidRDefault="000037AC" w:rsidP="008805B2">
            <w:pPr>
              <w:pStyle w:val="SCCShortJudgment"/>
              <w:rPr>
                <w:szCs w:val="20"/>
                <w:lang w:val="fr-CA"/>
              </w:rPr>
            </w:pPr>
            <w:r w:rsidRPr="00FE1AD8">
              <w:rPr>
                <w:szCs w:val="20"/>
                <w:lang w:val="fr-CA"/>
              </w:rPr>
              <w:t>La demande d’autorisation d’appel de l’arrêt de la Cour d’appel du Québec (Montréal), numéro 500-09-023484-132, 2014 QCCA 2199, daté du 27 novembre 2014, est rejetée sans dépens</w:t>
            </w:r>
          </w:p>
          <w:p w:rsidR="000037AC" w:rsidRPr="00FE1AD8" w:rsidRDefault="000037AC" w:rsidP="008805B2">
            <w:pPr>
              <w:pStyle w:val="SCCShortJudgment"/>
              <w:ind w:firstLine="0"/>
              <w:rPr>
                <w:szCs w:val="20"/>
                <w:lang w:val="fr-CA"/>
              </w:rPr>
            </w:pPr>
          </w:p>
          <w:p w:rsidR="000037AC" w:rsidRPr="00FE1AD8" w:rsidRDefault="000037AC" w:rsidP="008805B2">
            <w:pPr>
              <w:pStyle w:val="SCCShortJudgment"/>
              <w:rPr>
                <w:szCs w:val="20"/>
              </w:rPr>
            </w:pPr>
            <w:r w:rsidRPr="00FE1AD8">
              <w:rPr>
                <w:szCs w:val="20"/>
              </w:rPr>
              <w:t>The application for leave to appeal from the judgment of the Court of Appeal of Quebec (Montréal), Number 500-09-023484-132, 2014 QCCA 2199, dated November 27, 2014, is dismissed without costs.</w:t>
            </w:r>
          </w:p>
        </w:tc>
      </w:tr>
    </w:tbl>
    <w:p w:rsidR="00467AD0" w:rsidRDefault="00467AD0" w:rsidP="00467AD0">
      <w:pPr>
        <w:rPr>
          <w:sz w:val="20"/>
          <w:szCs w:val="20"/>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C303FE" w:rsidTr="00DB5F86">
        <w:tc>
          <w:tcPr>
            <w:tcW w:w="5000" w:type="pct"/>
            <w:gridSpan w:val="3"/>
          </w:tcPr>
          <w:p w:rsidR="00C95205" w:rsidRPr="00C303FE" w:rsidRDefault="00C95205" w:rsidP="00DB5F86">
            <w:pPr>
              <w:jc w:val="both"/>
              <w:rPr>
                <w:rFonts w:eastAsia="Calibri"/>
                <w:sz w:val="20"/>
              </w:rPr>
            </w:pPr>
            <w:r w:rsidRPr="00C303FE">
              <w:rPr>
                <w:rFonts w:eastAsia="Calibri"/>
                <w:sz w:val="20"/>
              </w:rPr>
              <w:t>Human rights</w:t>
            </w:r>
            <w:r w:rsidRPr="00C303FE">
              <w:rPr>
                <w:rFonts w:eastAsia="Calibri"/>
                <w:i/>
                <w:sz w:val="20"/>
              </w:rPr>
              <w:t xml:space="preserve"> </w:t>
            </w:r>
            <w:r w:rsidRPr="00C303FE">
              <w:rPr>
                <w:rFonts w:eastAsia="Calibri"/>
                <w:sz w:val="20"/>
              </w:rPr>
              <w:t xml:space="preserve">– Right to equality – Right to dignity – Discrimination based on race – Identification required to gain access to licensed establishment – Racial profiling – Whether complainants were victims of discrimination based on race – Whether judges should have found that every person must prove that he or she is of full age to have access to licensed establishment under </w:t>
            </w:r>
            <w:r w:rsidRPr="00C303FE">
              <w:rPr>
                <w:rFonts w:eastAsia="Calibri"/>
                <w:i/>
                <w:sz w:val="20"/>
              </w:rPr>
              <w:t>Act respecting liquor permits</w:t>
            </w:r>
            <w:r w:rsidRPr="00C303FE">
              <w:rPr>
                <w:rFonts w:eastAsia="Calibri"/>
                <w:sz w:val="20"/>
              </w:rPr>
              <w:t>, CQLR, c. P</w:t>
            </w:r>
            <w:r w:rsidRPr="00C303FE">
              <w:rPr>
                <w:rFonts w:eastAsia="Calibri"/>
                <w:sz w:val="20"/>
              </w:rPr>
              <w:noBreakHyphen/>
              <w:t>9.1.</w:t>
            </w:r>
          </w:p>
        </w:tc>
      </w:tr>
      <w:tr w:rsidR="00C95205" w:rsidRPr="00C303FE" w:rsidTr="00DB5F86">
        <w:tc>
          <w:tcPr>
            <w:tcW w:w="5000" w:type="pct"/>
            <w:gridSpan w:val="3"/>
          </w:tcPr>
          <w:p w:rsidR="00C95205" w:rsidRPr="00C303FE" w:rsidRDefault="00C95205" w:rsidP="00DB5F86">
            <w:pPr>
              <w:jc w:val="both"/>
              <w:rPr>
                <w:rFonts w:eastAsia="Calibri"/>
                <w:sz w:val="20"/>
              </w:rPr>
            </w:pPr>
          </w:p>
        </w:tc>
      </w:tr>
      <w:tr w:rsidR="00C95205" w:rsidRPr="00C303FE" w:rsidTr="00DB5F86">
        <w:tc>
          <w:tcPr>
            <w:tcW w:w="5000" w:type="pct"/>
            <w:gridSpan w:val="3"/>
          </w:tcPr>
          <w:p w:rsidR="00C95205" w:rsidRPr="00C303FE" w:rsidRDefault="00C95205" w:rsidP="00DB5F86">
            <w:pPr>
              <w:jc w:val="both"/>
              <w:rPr>
                <w:rFonts w:eastAsia="Calibri"/>
                <w:sz w:val="20"/>
              </w:rPr>
            </w:pPr>
            <w:r w:rsidRPr="00C303FE">
              <w:rPr>
                <w:rFonts w:eastAsia="Calibri"/>
                <w:sz w:val="20"/>
              </w:rPr>
              <w:t xml:space="preserve">On July 5, 2006, four friends of Haitian origin went to the applicant’s licensed bar.  Although the first doorman allowed them to enter the bar without identifying themselves, a second doorman came and demanded that each man present two identification documents.  One of the four men, Suffrad Dagobert, aged 38, did not have his wallet and was therefore unable to comply with that demand, so he was denied access to the bar.  The men protested the doorman’s refusal but ended up leaving.  </w:t>
            </w:r>
            <w:r w:rsidRPr="00C303FE">
              <w:rPr>
                <w:rFonts w:eastAsia="Calibri"/>
                <w:sz w:val="20"/>
                <w:lang w:val="fr-CA"/>
              </w:rPr>
              <w:t xml:space="preserve">The four men filed a complaint against the bar with the Commission des droits de la personne et des droits de la jeunesse.  </w:t>
            </w:r>
            <w:r w:rsidRPr="00C303FE">
              <w:rPr>
                <w:rFonts w:eastAsia="Calibri"/>
                <w:sz w:val="20"/>
              </w:rPr>
              <w:t>They argued that the second doorman’s decision concerning them amounted to racial profiling that had the effect of interfering with their right to have access to a public place without distinction based on race.</w:t>
            </w:r>
          </w:p>
          <w:p w:rsidR="00C95205" w:rsidRPr="00C303FE" w:rsidRDefault="00C95205" w:rsidP="00DB5F86">
            <w:pPr>
              <w:jc w:val="both"/>
              <w:rPr>
                <w:rFonts w:eastAsia="Calibri"/>
                <w:sz w:val="20"/>
              </w:rPr>
            </w:pPr>
          </w:p>
          <w:p w:rsidR="00C95205" w:rsidRPr="00C303FE" w:rsidRDefault="00C95205" w:rsidP="00DB5F86">
            <w:pPr>
              <w:jc w:val="both"/>
              <w:rPr>
                <w:rFonts w:eastAsia="Calibri"/>
                <w:sz w:val="20"/>
              </w:rPr>
            </w:pPr>
            <w:r w:rsidRPr="00C303FE">
              <w:rPr>
                <w:rFonts w:eastAsia="Calibri"/>
                <w:sz w:val="20"/>
              </w:rPr>
              <w:t xml:space="preserve">The Human Rights Tribunal allowed the application in part.  The judge concluded that the four men had been victims of racial profiling, which had impaired their right to have equal access to a public place (ss. 10 and 15 of the </w:t>
            </w:r>
            <w:r w:rsidRPr="00C303FE">
              <w:rPr>
                <w:rFonts w:eastAsia="Calibri"/>
                <w:i/>
                <w:sz w:val="20"/>
              </w:rPr>
              <w:t>Charter of human rights and freedoms</w:t>
            </w:r>
            <w:r w:rsidRPr="00C303FE">
              <w:rPr>
                <w:rFonts w:eastAsia="Calibri"/>
                <w:sz w:val="20"/>
              </w:rPr>
              <w:t xml:space="preserve">) and their right to the safeguard of their dignity (s. 4 of the </w:t>
            </w:r>
            <w:r w:rsidRPr="00C303FE">
              <w:rPr>
                <w:rFonts w:eastAsia="Calibri"/>
                <w:i/>
                <w:sz w:val="20"/>
              </w:rPr>
              <w:t>Charter</w:t>
            </w:r>
            <w:r w:rsidRPr="00C303FE">
              <w:rPr>
                <w:rFonts w:eastAsia="Calibri"/>
                <w:sz w:val="20"/>
              </w:rPr>
              <w:t>).  The judge found that, in accordance with art. 1463 C.C.Q., the liability of the owner of the bar was fully engaged.  The owner and the applicant were therefore condemned solidarily to pay each complainant $3,000.  The Court of Appeal allowed the appeal in part, finding that the owner of the bar did not have to be condemned personally to pay damages because he had not committed any personal fault and he was not the employer or principal of the doorman at fault within the meaning of art. 1463 C.C.Q.</w:t>
            </w:r>
          </w:p>
          <w:p w:rsidR="00C95205" w:rsidRPr="00C303FE" w:rsidRDefault="00C95205" w:rsidP="00DB5F86">
            <w:pPr>
              <w:jc w:val="both"/>
              <w:rPr>
                <w:rFonts w:eastAsia="Calibri"/>
                <w:sz w:val="20"/>
              </w:rPr>
            </w:pPr>
          </w:p>
        </w:tc>
      </w:tr>
      <w:tr w:rsidR="00C95205" w:rsidRPr="00C303FE" w:rsidTr="00DB5F86">
        <w:tc>
          <w:tcPr>
            <w:tcW w:w="2427" w:type="pct"/>
          </w:tcPr>
          <w:p w:rsidR="00C95205" w:rsidRPr="00C303FE" w:rsidRDefault="00C95205" w:rsidP="00DB5F86">
            <w:pPr>
              <w:jc w:val="both"/>
              <w:rPr>
                <w:rFonts w:eastAsia="Calibri"/>
                <w:sz w:val="20"/>
              </w:rPr>
            </w:pPr>
            <w:r w:rsidRPr="00C303FE">
              <w:rPr>
                <w:rFonts w:eastAsia="Calibri"/>
                <w:sz w:val="20"/>
              </w:rPr>
              <w:t>March 5, 2013</w:t>
            </w:r>
          </w:p>
          <w:p w:rsidR="00C95205" w:rsidRPr="00C303FE" w:rsidRDefault="00C95205" w:rsidP="00DB5F86">
            <w:pPr>
              <w:jc w:val="both"/>
              <w:rPr>
                <w:rFonts w:eastAsia="Calibri"/>
                <w:sz w:val="20"/>
              </w:rPr>
            </w:pPr>
            <w:r w:rsidRPr="00C303FE">
              <w:rPr>
                <w:rFonts w:eastAsia="Calibri"/>
                <w:sz w:val="20"/>
              </w:rPr>
              <w:t>Human Rights Tribunal</w:t>
            </w:r>
          </w:p>
          <w:p w:rsidR="00C95205" w:rsidRPr="00C303FE" w:rsidRDefault="00C95205" w:rsidP="00DB5F86">
            <w:pPr>
              <w:jc w:val="both"/>
              <w:rPr>
                <w:rFonts w:eastAsia="Calibri"/>
                <w:sz w:val="20"/>
              </w:rPr>
            </w:pPr>
            <w:r w:rsidRPr="00C303FE">
              <w:rPr>
                <w:rFonts w:eastAsia="Calibri"/>
                <w:sz w:val="20"/>
              </w:rPr>
              <w:t>(Judge Brosseau)</w:t>
            </w:r>
          </w:p>
          <w:p w:rsidR="00C95205" w:rsidRPr="00C303FE" w:rsidRDefault="001D3FE1" w:rsidP="00DB5F86">
            <w:pPr>
              <w:jc w:val="both"/>
              <w:rPr>
                <w:rFonts w:eastAsia="Calibri"/>
                <w:sz w:val="20"/>
              </w:rPr>
            </w:pPr>
            <w:hyperlink r:id="rId35" w:history="1">
              <w:r w:rsidR="00C95205" w:rsidRPr="00305EE6">
                <w:rPr>
                  <w:color w:val="0000FF"/>
                  <w:sz w:val="20"/>
                  <w:u w:val="single"/>
                </w:rPr>
                <w:t>2013 QCTDP 6</w:t>
              </w:r>
            </w:hyperlink>
          </w:p>
          <w:p w:rsidR="00C95205" w:rsidRPr="00C303FE" w:rsidRDefault="00C95205" w:rsidP="00DB5F86">
            <w:pPr>
              <w:jc w:val="both"/>
              <w:rPr>
                <w:rFonts w:eastAsia="Calibri"/>
                <w:sz w:val="20"/>
              </w:rPr>
            </w:pPr>
          </w:p>
        </w:tc>
        <w:tc>
          <w:tcPr>
            <w:tcW w:w="243" w:type="pct"/>
          </w:tcPr>
          <w:p w:rsidR="00C95205" w:rsidRPr="00C303FE" w:rsidRDefault="00C95205" w:rsidP="00DB5F86">
            <w:pPr>
              <w:jc w:val="both"/>
              <w:rPr>
                <w:rFonts w:eastAsia="Calibri"/>
                <w:sz w:val="20"/>
              </w:rPr>
            </w:pPr>
          </w:p>
        </w:tc>
        <w:tc>
          <w:tcPr>
            <w:tcW w:w="2330" w:type="pct"/>
          </w:tcPr>
          <w:p w:rsidR="00C95205" w:rsidRPr="00C303FE" w:rsidRDefault="00C95205" w:rsidP="00DB5F86">
            <w:pPr>
              <w:jc w:val="both"/>
              <w:rPr>
                <w:rFonts w:eastAsia="Calibri"/>
                <w:sz w:val="20"/>
              </w:rPr>
            </w:pPr>
            <w:r w:rsidRPr="00C303FE">
              <w:rPr>
                <w:rFonts w:eastAsia="Calibri"/>
                <w:sz w:val="20"/>
              </w:rPr>
              <w:t>Application allowed in part</w:t>
            </w:r>
          </w:p>
        </w:tc>
      </w:tr>
      <w:tr w:rsidR="00C95205" w:rsidRPr="00C303FE" w:rsidTr="00DB5F86">
        <w:tc>
          <w:tcPr>
            <w:tcW w:w="2427" w:type="pct"/>
          </w:tcPr>
          <w:p w:rsidR="00C95205" w:rsidRPr="00C303FE" w:rsidRDefault="00C95205" w:rsidP="00DB5F86">
            <w:pPr>
              <w:jc w:val="both"/>
              <w:rPr>
                <w:rFonts w:eastAsia="Calibri"/>
                <w:sz w:val="20"/>
              </w:rPr>
            </w:pPr>
            <w:r w:rsidRPr="00C303FE">
              <w:rPr>
                <w:rFonts w:eastAsia="Calibri"/>
                <w:sz w:val="20"/>
              </w:rPr>
              <w:t>November 27, 2014</w:t>
            </w:r>
          </w:p>
          <w:p w:rsidR="00C95205" w:rsidRPr="00C303FE" w:rsidRDefault="00C95205" w:rsidP="00DB5F86">
            <w:pPr>
              <w:jc w:val="both"/>
              <w:rPr>
                <w:rFonts w:eastAsia="Calibri"/>
                <w:sz w:val="20"/>
              </w:rPr>
            </w:pPr>
            <w:r w:rsidRPr="00C303FE">
              <w:rPr>
                <w:rFonts w:eastAsia="Calibri"/>
                <w:sz w:val="20"/>
              </w:rPr>
              <w:t>Quebec Court of Appeal (Montréal)</w:t>
            </w:r>
          </w:p>
          <w:p w:rsidR="00C95205" w:rsidRPr="00C303FE" w:rsidRDefault="00C95205" w:rsidP="00DB5F86">
            <w:pPr>
              <w:jc w:val="both"/>
              <w:rPr>
                <w:rFonts w:eastAsia="Calibri"/>
                <w:sz w:val="20"/>
              </w:rPr>
            </w:pPr>
            <w:r w:rsidRPr="00C303FE">
              <w:rPr>
                <w:rFonts w:eastAsia="Calibri"/>
                <w:sz w:val="20"/>
              </w:rPr>
              <w:t>(Rochette, Bich and Gagnon JJ.A.)</w:t>
            </w:r>
          </w:p>
          <w:p w:rsidR="00C95205" w:rsidRPr="00C303FE" w:rsidRDefault="001D3FE1" w:rsidP="00DB5F86">
            <w:pPr>
              <w:jc w:val="both"/>
              <w:rPr>
                <w:rFonts w:eastAsia="Calibri"/>
                <w:sz w:val="20"/>
              </w:rPr>
            </w:pPr>
            <w:hyperlink r:id="rId36" w:history="1">
              <w:r w:rsidR="00C95205" w:rsidRPr="00305EE6">
                <w:rPr>
                  <w:color w:val="0000FF"/>
                  <w:sz w:val="20"/>
                  <w:u w:val="single"/>
                </w:rPr>
                <w:t>2014 QCCA 2199</w:t>
              </w:r>
            </w:hyperlink>
            <w:r w:rsidR="00C95205" w:rsidRPr="00C303FE">
              <w:rPr>
                <w:rFonts w:eastAsia="Calibri"/>
                <w:sz w:val="20"/>
              </w:rPr>
              <w:t>; 500-09-023484-132</w:t>
            </w:r>
          </w:p>
          <w:p w:rsidR="00C95205" w:rsidRPr="00C303FE" w:rsidRDefault="00C95205" w:rsidP="00DB5F86">
            <w:pPr>
              <w:jc w:val="both"/>
              <w:rPr>
                <w:rFonts w:eastAsia="Calibri"/>
                <w:sz w:val="20"/>
              </w:rPr>
            </w:pPr>
          </w:p>
        </w:tc>
        <w:tc>
          <w:tcPr>
            <w:tcW w:w="243" w:type="pct"/>
          </w:tcPr>
          <w:p w:rsidR="00C95205" w:rsidRPr="00C303FE" w:rsidRDefault="00C95205" w:rsidP="00DB5F86">
            <w:pPr>
              <w:jc w:val="both"/>
              <w:rPr>
                <w:rFonts w:eastAsia="Calibri"/>
                <w:sz w:val="20"/>
              </w:rPr>
            </w:pPr>
          </w:p>
        </w:tc>
        <w:tc>
          <w:tcPr>
            <w:tcW w:w="2330" w:type="pct"/>
          </w:tcPr>
          <w:p w:rsidR="00C95205" w:rsidRPr="00C303FE" w:rsidRDefault="00C95205" w:rsidP="00DB5F86">
            <w:pPr>
              <w:jc w:val="both"/>
              <w:rPr>
                <w:rFonts w:eastAsia="Calibri"/>
                <w:sz w:val="20"/>
              </w:rPr>
            </w:pPr>
            <w:r w:rsidRPr="00C303FE">
              <w:rPr>
                <w:rFonts w:eastAsia="Calibri"/>
                <w:sz w:val="20"/>
              </w:rPr>
              <w:t>Appeal allowed in part</w:t>
            </w:r>
          </w:p>
          <w:p w:rsidR="00C95205" w:rsidRPr="00C303FE" w:rsidRDefault="00C95205" w:rsidP="00DB5F86">
            <w:pPr>
              <w:jc w:val="both"/>
              <w:rPr>
                <w:rFonts w:eastAsia="Calibri"/>
                <w:sz w:val="20"/>
              </w:rPr>
            </w:pPr>
          </w:p>
        </w:tc>
      </w:tr>
    </w:tbl>
    <w:p w:rsidR="000037AC" w:rsidRDefault="000037AC">
      <w:pPr>
        <w:rPr>
          <w:sz w:val="20"/>
          <w:szCs w:val="20"/>
        </w:rPr>
      </w:pPr>
      <w:r>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C303FE" w:rsidTr="00DB5F86">
        <w:tc>
          <w:tcPr>
            <w:tcW w:w="2427" w:type="pct"/>
          </w:tcPr>
          <w:p w:rsidR="00C95205" w:rsidRPr="00C303FE" w:rsidRDefault="00C95205" w:rsidP="00DB5F86">
            <w:pPr>
              <w:jc w:val="both"/>
              <w:rPr>
                <w:rFonts w:eastAsia="Calibri"/>
                <w:sz w:val="20"/>
              </w:rPr>
            </w:pPr>
            <w:r w:rsidRPr="00C303FE">
              <w:rPr>
                <w:rFonts w:eastAsia="Calibri"/>
                <w:sz w:val="20"/>
              </w:rPr>
              <w:lastRenderedPageBreak/>
              <w:t>January 22, 2015</w:t>
            </w:r>
          </w:p>
          <w:p w:rsidR="00C95205" w:rsidRPr="00C303FE" w:rsidRDefault="00C95205" w:rsidP="00DB5F86">
            <w:pPr>
              <w:jc w:val="both"/>
              <w:rPr>
                <w:rFonts w:eastAsia="Calibri"/>
                <w:sz w:val="20"/>
              </w:rPr>
            </w:pPr>
            <w:r w:rsidRPr="00C303FE">
              <w:rPr>
                <w:rFonts w:eastAsia="Calibri"/>
                <w:sz w:val="20"/>
              </w:rPr>
              <w:t>Supreme Court of Canada</w:t>
            </w:r>
          </w:p>
        </w:tc>
        <w:tc>
          <w:tcPr>
            <w:tcW w:w="243" w:type="pct"/>
          </w:tcPr>
          <w:p w:rsidR="00C95205" w:rsidRPr="00C303FE" w:rsidRDefault="00C95205" w:rsidP="00DB5F86">
            <w:pPr>
              <w:jc w:val="both"/>
              <w:rPr>
                <w:rFonts w:eastAsia="Calibri"/>
                <w:sz w:val="20"/>
              </w:rPr>
            </w:pPr>
          </w:p>
        </w:tc>
        <w:tc>
          <w:tcPr>
            <w:tcW w:w="2330" w:type="pct"/>
          </w:tcPr>
          <w:p w:rsidR="00C95205" w:rsidRPr="00C303FE" w:rsidRDefault="00C95205" w:rsidP="00DB5F86">
            <w:pPr>
              <w:jc w:val="both"/>
              <w:rPr>
                <w:rFonts w:eastAsia="Calibri"/>
                <w:sz w:val="20"/>
              </w:rPr>
            </w:pPr>
            <w:r w:rsidRPr="00C303FE">
              <w:rPr>
                <w:rFonts w:eastAsia="Calibri"/>
                <w:sz w:val="20"/>
              </w:rPr>
              <w:t>Application for leave to appeal filed</w:t>
            </w:r>
          </w:p>
          <w:p w:rsidR="00C95205" w:rsidRPr="00C303FE" w:rsidRDefault="00C95205" w:rsidP="00DB5F86">
            <w:pPr>
              <w:jc w:val="both"/>
              <w:rPr>
                <w:rFonts w:eastAsia="Calibri"/>
                <w:sz w:val="20"/>
              </w:rPr>
            </w:pP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46"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95205" w:rsidRPr="001D3FE1" w:rsidTr="00DB5F86">
        <w:tc>
          <w:tcPr>
            <w:tcW w:w="5000" w:type="pct"/>
            <w:gridSpan w:val="3"/>
          </w:tcPr>
          <w:p w:rsidR="00C95205" w:rsidRPr="00C303FE" w:rsidRDefault="00C95205" w:rsidP="00DB5F86">
            <w:pPr>
              <w:jc w:val="both"/>
              <w:rPr>
                <w:rFonts w:eastAsia="Calibri"/>
                <w:sz w:val="20"/>
                <w:lang w:val="fr-CA"/>
              </w:rPr>
            </w:pPr>
            <w:r w:rsidRPr="00C303FE">
              <w:rPr>
                <w:rFonts w:eastAsia="Calibri"/>
                <w:sz w:val="20"/>
                <w:lang w:val="fr-CA"/>
              </w:rPr>
              <w:t>Droits de la personne</w:t>
            </w:r>
            <w:r w:rsidRPr="00C303FE">
              <w:rPr>
                <w:rFonts w:eastAsia="Calibri"/>
                <w:i/>
                <w:sz w:val="20"/>
                <w:lang w:val="fr-CA"/>
              </w:rPr>
              <w:t xml:space="preserve"> </w:t>
            </w:r>
            <w:r w:rsidRPr="00C303FE">
              <w:rPr>
                <w:rFonts w:eastAsia="Calibri"/>
                <w:sz w:val="20"/>
                <w:lang w:val="fr-CA"/>
              </w:rPr>
              <w:t xml:space="preserve">– Droit à l’égalité – Droit à la dignité – Discrimination fondée sur la race – Exigence d’identification pour accéder à un établissement licencié – Profilage racial – Les plaignants ont-ils été victimes de discrimination fondée sur la race? – Les tribunaux auraient-ils dû conclure qu’il incombe à toute personne de faire la preuve de sa majorité pour avoir accès à un établissement licencié en vertu de la </w:t>
            </w:r>
            <w:r w:rsidRPr="00C303FE">
              <w:rPr>
                <w:rFonts w:eastAsia="Calibri"/>
                <w:i/>
                <w:sz w:val="20"/>
                <w:lang w:val="fr-CA"/>
              </w:rPr>
              <w:t>Loi sur les permis d’alcool</w:t>
            </w:r>
            <w:r w:rsidRPr="00C303FE">
              <w:rPr>
                <w:rFonts w:eastAsia="Calibri"/>
                <w:sz w:val="20"/>
                <w:lang w:val="fr-CA"/>
              </w:rPr>
              <w:t>, RLRQ, c. P-9.1?</w:t>
            </w:r>
          </w:p>
        </w:tc>
      </w:tr>
      <w:tr w:rsidR="00C95205" w:rsidRPr="001D3FE1" w:rsidTr="00DB5F86">
        <w:tc>
          <w:tcPr>
            <w:tcW w:w="5000" w:type="pct"/>
            <w:gridSpan w:val="3"/>
          </w:tcPr>
          <w:p w:rsidR="00C95205" w:rsidRPr="00C303FE" w:rsidRDefault="00C95205" w:rsidP="00DB5F86">
            <w:pPr>
              <w:jc w:val="both"/>
              <w:rPr>
                <w:rFonts w:eastAsia="Calibri"/>
                <w:sz w:val="20"/>
                <w:lang w:val="fr-CA"/>
              </w:rPr>
            </w:pPr>
          </w:p>
        </w:tc>
      </w:tr>
      <w:tr w:rsidR="00C95205" w:rsidRPr="001D3FE1" w:rsidTr="00DB5F86">
        <w:tc>
          <w:tcPr>
            <w:tcW w:w="5000" w:type="pct"/>
            <w:gridSpan w:val="3"/>
          </w:tcPr>
          <w:p w:rsidR="00C95205" w:rsidRPr="00C303FE" w:rsidRDefault="00C95205" w:rsidP="00DB5F86">
            <w:pPr>
              <w:jc w:val="both"/>
              <w:rPr>
                <w:rFonts w:eastAsia="Calibri"/>
                <w:sz w:val="20"/>
                <w:lang w:val="fr-CA"/>
              </w:rPr>
            </w:pPr>
            <w:r w:rsidRPr="00C303FE">
              <w:rPr>
                <w:rFonts w:eastAsia="Calibri"/>
                <w:sz w:val="20"/>
                <w:lang w:val="fr-CA"/>
              </w:rPr>
              <w:t>Le 5 juillet 2006, quatre amis d’origine haïtienne se présentent au bar licencié de la demanderesse.  Alors que le premier portier leur permet d’entrer dans le bar sans s’identifier, un deuxième arrive et exige que chacun des hommes présente deux pièces d’identité.  N’ayant pas son portefeuille et donc ne pouvant répondre à cette exigence, un des quatre hommes, Suffrad Dagobert, 38 ans, se voit refuser l’accès au bar.  Les hommes protestent devant le refus du portier, mais finissent par quitter les lieux.  Les quatre hommes s’adressent à la Commission des droits de la personne et des droits de la jeunesse pour porter plainte contre le bar. Ils soutiennent que la décision du second portier à leur endroit constitue du profilage racial qui a eu pour effet de porter atteinte à leur droit d’avoir accès à un lieu public sans distinction fondée sur la race.</w:t>
            </w:r>
          </w:p>
          <w:p w:rsidR="00C95205" w:rsidRPr="00C303FE" w:rsidRDefault="00C95205" w:rsidP="00DB5F86">
            <w:pPr>
              <w:jc w:val="both"/>
              <w:rPr>
                <w:rFonts w:eastAsia="Calibri"/>
                <w:sz w:val="20"/>
                <w:lang w:val="fr-CA"/>
              </w:rPr>
            </w:pPr>
          </w:p>
          <w:p w:rsidR="00C95205" w:rsidRPr="00C303FE" w:rsidRDefault="00C95205" w:rsidP="00DB5F86">
            <w:pPr>
              <w:jc w:val="both"/>
              <w:rPr>
                <w:rFonts w:eastAsia="Calibri"/>
                <w:sz w:val="20"/>
                <w:lang w:val="fr-CA"/>
              </w:rPr>
            </w:pPr>
            <w:r w:rsidRPr="00C303FE">
              <w:rPr>
                <w:rFonts w:eastAsia="Calibri"/>
                <w:sz w:val="20"/>
                <w:lang w:val="fr-CA"/>
              </w:rPr>
              <w:t xml:space="preserve">Le Tribunal des droits de la personne accueille en partie la demande. La juge conclut que les quatre hommes ont été victimes de profilage racial, ce qui a compromis leur droit d’avoir accès en toute égalité à un lieu public (art. 10 et 15 de la </w:t>
            </w:r>
            <w:r w:rsidRPr="00C303FE">
              <w:rPr>
                <w:rFonts w:eastAsia="Calibri"/>
                <w:i/>
                <w:sz w:val="20"/>
                <w:lang w:val="fr-CA"/>
              </w:rPr>
              <w:t>Charte des droits et libertés de la personne</w:t>
            </w:r>
            <w:r w:rsidRPr="00C303FE">
              <w:rPr>
                <w:rFonts w:eastAsia="Calibri"/>
                <w:sz w:val="20"/>
                <w:lang w:val="fr-CA"/>
              </w:rPr>
              <w:t xml:space="preserve">) et leur droit à la sauvegarde de leur dignité (art. 4 de la </w:t>
            </w:r>
            <w:r w:rsidRPr="00C303FE">
              <w:rPr>
                <w:rFonts w:eastAsia="Calibri"/>
                <w:i/>
                <w:sz w:val="20"/>
                <w:lang w:val="fr-CA"/>
              </w:rPr>
              <w:t>Charte</w:t>
            </w:r>
            <w:r w:rsidRPr="00C303FE">
              <w:rPr>
                <w:rFonts w:eastAsia="Calibri"/>
                <w:sz w:val="20"/>
                <w:lang w:val="fr-CA"/>
              </w:rPr>
              <w:t>).  La juge estime que conformément à l’art. 1463 C.c.Q., la responsabilité du propriétaire du bar est pleinement engagée.  Le propriétaire ainsi que la demanderesse sont donc condamnés solidairement à payer une somme de 3 000 $ à chacun des plaignants.  La Cour d’appel accueille l’appel en partie. Elle est d’avis que le propriétaire du bar n’avait pas à être condamné personnellement au paiement des dommages-intérêts, puisqu’il n’a commis aucune faute personnelle et qu’il n’était pas l’employeur ou le commettant du portier fautif au sens de l’art. 1463 C.c.Q.</w:t>
            </w:r>
          </w:p>
          <w:p w:rsidR="00C95205" w:rsidRPr="00C303FE" w:rsidRDefault="00C95205" w:rsidP="00DB5F86">
            <w:pPr>
              <w:jc w:val="both"/>
              <w:rPr>
                <w:rFonts w:eastAsia="Calibri"/>
                <w:sz w:val="20"/>
                <w:lang w:val="fr-CA"/>
              </w:rPr>
            </w:pPr>
          </w:p>
        </w:tc>
      </w:tr>
      <w:tr w:rsidR="00C95205" w:rsidRPr="00C303FE" w:rsidTr="00DB5F86">
        <w:tc>
          <w:tcPr>
            <w:tcW w:w="2427" w:type="pct"/>
          </w:tcPr>
          <w:p w:rsidR="00C95205" w:rsidRPr="00C303FE" w:rsidRDefault="00C95205" w:rsidP="00DB5F86">
            <w:pPr>
              <w:jc w:val="both"/>
              <w:rPr>
                <w:rFonts w:eastAsia="Calibri"/>
                <w:sz w:val="20"/>
                <w:lang w:val="fr-CA"/>
              </w:rPr>
            </w:pPr>
            <w:r w:rsidRPr="00C303FE">
              <w:rPr>
                <w:rFonts w:eastAsia="Calibri"/>
                <w:sz w:val="20"/>
                <w:lang w:val="fr-CA"/>
              </w:rPr>
              <w:t>Le 5 mars 2013</w:t>
            </w:r>
          </w:p>
          <w:p w:rsidR="00C95205" w:rsidRPr="00C303FE" w:rsidRDefault="00C95205" w:rsidP="00DB5F86">
            <w:pPr>
              <w:jc w:val="both"/>
              <w:rPr>
                <w:rFonts w:eastAsia="Calibri"/>
                <w:sz w:val="20"/>
                <w:lang w:val="fr-CA"/>
              </w:rPr>
            </w:pPr>
            <w:r w:rsidRPr="00C303FE">
              <w:rPr>
                <w:rFonts w:eastAsia="Calibri"/>
                <w:sz w:val="20"/>
                <w:lang w:val="fr-CA"/>
              </w:rPr>
              <w:t>Tribunal des droits de la personne</w:t>
            </w:r>
          </w:p>
          <w:p w:rsidR="00C95205" w:rsidRPr="00C303FE" w:rsidRDefault="00C95205" w:rsidP="00DB5F86">
            <w:pPr>
              <w:jc w:val="both"/>
              <w:rPr>
                <w:rFonts w:eastAsia="Calibri"/>
                <w:sz w:val="20"/>
                <w:lang w:val="fr-CA"/>
              </w:rPr>
            </w:pPr>
            <w:r w:rsidRPr="00C303FE">
              <w:rPr>
                <w:rFonts w:eastAsia="Calibri"/>
                <w:sz w:val="20"/>
                <w:lang w:val="fr-CA"/>
              </w:rPr>
              <w:t>(La juge Brosseau)</w:t>
            </w:r>
          </w:p>
          <w:p w:rsidR="00C95205" w:rsidRPr="00C303FE" w:rsidRDefault="001D3FE1" w:rsidP="00DB5F86">
            <w:pPr>
              <w:jc w:val="both"/>
              <w:rPr>
                <w:rFonts w:eastAsia="Calibri"/>
                <w:sz w:val="20"/>
                <w:lang w:val="fr-CA"/>
              </w:rPr>
            </w:pPr>
            <w:hyperlink r:id="rId37" w:history="1">
              <w:r w:rsidR="00C95205" w:rsidRPr="00305EE6">
                <w:rPr>
                  <w:color w:val="0000FF"/>
                  <w:sz w:val="20"/>
                  <w:u w:val="single"/>
                  <w:lang w:val="fr-CA"/>
                </w:rPr>
                <w:t>2013 QCTDP 6</w:t>
              </w:r>
            </w:hyperlink>
          </w:p>
          <w:p w:rsidR="00C95205" w:rsidRPr="00C303FE" w:rsidRDefault="00C95205" w:rsidP="00DB5F86">
            <w:pPr>
              <w:jc w:val="both"/>
              <w:rPr>
                <w:rFonts w:eastAsia="Calibri"/>
                <w:sz w:val="20"/>
                <w:lang w:val="fr-CA"/>
              </w:rPr>
            </w:pPr>
          </w:p>
        </w:tc>
        <w:tc>
          <w:tcPr>
            <w:tcW w:w="243" w:type="pct"/>
          </w:tcPr>
          <w:p w:rsidR="00C95205" w:rsidRPr="00C303FE" w:rsidRDefault="00C95205" w:rsidP="00DB5F86">
            <w:pPr>
              <w:jc w:val="both"/>
              <w:rPr>
                <w:rFonts w:eastAsia="Calibri"/>
                <w:sz w:val="20"/>
                <w:lang w:val="fr-CA"/>
              </w:rPr>
            </w:pPr>
          </w:p>
        </w:tc>
        <w:tc>
          <w:tcPr>
            <w:tcW w:w="2330" w:type="pct"/>
          </w:tcPr>
          <w:p w:rsidR="00C95205" w:rsidRPr="00C303FE" w:rsidRDefault="00C95205" w:rsidP="00DB5F86">
            <w:pPr>
              <w:jc w:val="both"/>
              <w:rPr>
                <w:rFonts w:eastAsia="Calibri"/>
                <w:sz w:val="20"/>
                <w:lang w:val="fr-CA"/>
              </w:rPr>
            </w:pPr>
            <w:r w:rsidRPr="00C303FE">
              <w:rPr>
                <w:rFonts w:eastAsia="Calibri"/>
                <w:sz w:val="20"/>
                <w:lang w:val="fr-CA"/>
              </w:rPr>
              <w:t>Demande accueillie en partie</w:t>
            </w:r>
          </w:p>
        </w:tc>
      </w:tr>
      <w:tr w:rsidR="00C95205" w:rsidRPr="00C303FE" w:rsidTr="00DB5F86">
        <w:tc>
          <w:tcPr>
            <w:tcW w:w="2427" w:type="pct"/>
          </w:tcPr>
          <w:p w:rsidR="00C95205" w:rsidRPr="00C303FE" w:rsidRDefault="00C95205" w:rsidP="00DB5F86">
            <w:pPr>
              <w:jc w:val="both"/>
              <w:rPr>
                <w:rFonts w:eastAsia="Calibri"/>
                <w:sz w:val="20"/>
                <w:lang w:val="fr-CA"/>
              </w:rPr>
            </w:pPr>
            <w:r w:rsidRPr="00C303FE">
              <w:rPr>
                <w:rFonts w:eastAsia="Calibri"/>
                <w:sz w:val="20"/>
                <w:lang w:val="fr-CA"/>
              </w:rPr>
              <w:t>Le 27 novembre 2014</w:t>
            </w:r>
          </w:p>
          <w:p w:rsidR="00C95205" w:rsidRPr="00C303FE" w:rsidRDefault="00C95205" w:rsidP="00DB5F86">
            <w:pPr>
              <w:jc w:val="both"/>
              <w:rPr>
                <w:rFonts w:eastAsia="Calibri"/>
                <w:sz w:val="20"/>
                <w:lang w:val="fr-CA"/>
              </w:rPr>
            </w:pPr>
            <w:r w:rsidRPr="00C303FE">
              <w:rPr>
                <w:rFonts w:eastAsia="Calibri"/>
                <w:sz w:val="20"/>
                <w:lang w:val="fr-CA"/>
              </w:rPr>
              <w:t>Cour d’appel du Québec (Montréal)</w:t>
            </w:r>
          </w:p>
          <w:p w:rsidR="00C95205" w:rsidRPr="00C303FE" w:rsidRDefault="00C95205" w:rsidP="00DB5F86">
            <w:pPr>
              <w:jc w:val="both"/>
              <w:rPr>
                <w:rFonts w:eastAsia="Calibri"/>
                <w:sz w:val="20"/>
                <w:lang w:val="fr-CA"/>
              </w:rPr>
            </w:pPr>
            <w:r w:rsidRPr="00C303FE">
              <w:rPr>
                <w:rFonts w:eastAsia="Calibri"/>
                <w:sz w:val="20"/>
                <w:lang w:val="fr-CA"/>
              </w:rPr>
              <w:t>(Les juges Rochette, Bich et Gagnon)</w:t>
            </w:r>
          </w:p>
          <w:p w:rsidR="00C95205" w:rsidRPr="00C303FE" w:rsidRDefault="001D3FE1" w:rsidP="00DB5F86">
            <w:pPr>
              <w:jc w:val="both"/>
              <w:rPr>
                <w:rFonts w:eastAsia="Calibri"/>
                <w:sz w:val="20"/>
                <w:lang w:val="fr-CA"/>
              </w:rPr>
            </w:pPr>
            <w:hyperlink r:id="rId38" w:history="1">
              <w:r w:rsidR="00C95205" w:rsidRPr="00305EE6">
                <w:rPr>
                  <w:color w:val="0000FF"/>
                  <w:sz w:val="20"/>
                  <w:u w:val="single"/>
                  <w:lang w:val="fr-CA"/>
                </w:rPr>
                <w:t>2014 QCCA 2199</w:t>
              </w:r>
            </w:hyperlink>
            <w:r w:rsidR="00C95205" w:rsidRPr="00C303FE">
              <w:rPr>
                <w:rFonts w:eastAsia="Calibri"/>
                <w:sz w:val="20"/>
                <w:lang w:val="fr-CA"/>
              </w:rPr>
              <w:t>; 500-09-023484-132</w:t>
            </w:r>
          </w:p>
          <w:p w:rsidR="00C95205" w:rsidRPr="00C303FE" w:rsidRDefault="00C95205" w:rsidP="00DB5F86">
            <w:pPr>
              <w:jc w:val="both"/>
              <w:rPr>
                <w:rFonts w:eastAsia="Calibri"/>
                <w:sz w:val="20"/>
                <w:lang w:val="fr-CA"/>
              </w:rPr>
            </w:pPr>
          </w:p>
        </w:tc>
        <w:tc>
          <w:tcPr>
            <w:tcW w:w="243" w:type="pct"/>
          </w:tcPr>
          <w:p w:rsidR="00C95205" w:rsidRPr="00C303FE" w:rsidRDefault="00C95205" w:rsidP="00DB5F86">
            <w:pPr>
              <w:jc w:val="both"/>
              <w:rPr>
                <w:rFonts w:eastAsia="Calibri"/>
                <w:sz w:val="20"/>
                <w:lang w:val="fr-CA"/>
              </w:rPr>
            </w:pPr>
          </w:p>
        </w:tc>
        <w:tc>
          <w:tcPr>
            <w:tcW w:w="2330" w:type="pct"/>
          </w:tcPr>
          <w:p w:rsidR="00C95205" w:rsidRPr="00C303FE" w:rsidRDefault="00C95205" w:rsidP="00DB5F86">
            <w:pPr>
              <w:jc w:val="both"/>
              <w:rPr>
                <w:rFonts w:eastAsia="Calibri"/>
                <w:sz w:val="20"/>
                <w:lang w:val="fr-CA"/>
              </w:rPr>
            </w:pPr>
            <w:r w:rsidRPr="00C303FE">
              <w:rPr>
                <w:rFonts w:eastAsia="Calibri"/>
                <w:sz w:val="20"/>
                <w:lang w:val="fr-CA"/>
              </w:rPr>
              <w:t>Appel accueilli en partie</w:t>
            </w:r>
          </w:p>
          <w:p w:rsidR="00C95205" w:rsidRPr="00C303FE" w:rsidRDefault="00C95205" w:rsidP="00DB5F86">
            <w:pPr>
              <w:jc w:val="both"/>
              <w:rPr>
                <w:rFonts w:eastAsia="Calibri"/>
                <w:sz w:val="20"/>
                <w:lang w:val="fr-CA"/>
              </w:rPr>
            </w:pPr>
          </w:p>
        </w:tc>
      </w:tr>
      <w:tr w:rsidR="00C95205" w:rsidRPr="00C303FE" w:rsidTr="00DB5F86">
        <w:tc>
          <w:tcPr>
            <w:tcW w:w="2427" w:type="pct"/>
          </w:tcPr>
          <w:p w:rsidR="00C95205" w:rsidRPr="00C303FE" w:rsidRDefault="00C95205" w:rsidP="00DB5F86">
            <w:pPr>
              <w:jc w:val="both"/>
              <w:rPr>
                <w:rFonts w:eastAsia="Calibri"/>
                <w:sz w:val="20"/>
                <w:lang w:val="fr-CA"/>
              </w:rPr>
            </w:pPr>
            <w:r w:rsidRPr="00C303FE">
              <w:rPr>
                <w:rFonts w:eastAsia="Calibri"/>
                <w:sz w:val="20"/>
                <w:lang w:val="fr-CA"/>
              </w:rPr>
              <w:t>Le 22 janvier 2015</w:t>
            </w:r>
          </w:p>
          <w:p w:rsidR="00C95205" w:rsidRPr="00C303FE" w:rsidRDefault="00C95205" w:rsidP="00DB5F86">
            <w:pPr>
              <w:jc w:val="both"/>
              <w:rPr>
                <w:rFonts w:eastAsia="Calibri"/>
                <w:sz w:val="20"/>
                <w:lang w:val="fr-CA"/>
              </w:rPr>
            </w:pPr>
            <w:r w:rsidRPr="00C303FE">
              <w:rPr>
                <w:rFonts w:eastAsia="Calibri"/>
                <w:sz w:val="20"/>
                <w:lang w:val="fr-CA"/>
              </w:rPr>
              <w:t>Cour suprême du Canada</w:t>
            </w:r>
          </w:p>
        </w:tc>
        <w:tc>
          <w:tcPr>
            <w:tcW w:w="243" w:type="pct"/>
          </w:tcPr>
          <w:p w:rsidR="00C95205" w:rsidRPr="00C303FE" w:rsidRDefault="00C95205" w:rsidP="00DB5F86">
            <w:pPr>
              <w:jc w:val="both"/>
              <w:rPr>
                <w:rFonts w:eastAsia="Calibri"/>
                <w:sz w:val="20"/>
                <w:lang w:val="fr-CA"/>
              </w:rPr>
            </w:pPr>
          </w:p>
        </w:tc>
        <w:tc>
          <w:tcPr>
            <w:tcW w:w="2330" w:type="pct"/>
          </w:tcPr>
          <w:p w:rsidR="00C95205" w:rsidRPr="00C303FE" w:rsidRDefault="00C95205" w:rsidP="00DB5F86">
            <w:pPr>
              <w:jc w:val="both"/>
              <w:rPr>
                <w:rFonts w:eastAsia="Calibri"/>
                <w:sz w:val="20"/>
                <w:lang w:val="fr-CA"/>
              </w:rPr>
            </w:pPr>
            <w:r w:rsidRPr="00C303FE">
              <w:rPr>
                <w:rFonts w:eastAsia="Calibri"/>
                <w:sz w:val="20"/>
                <w:lang w:val="fr-CA"/>
              </w:rPr>
              <w:t>Demande d'autorisation d'appel déposée</w:t>
            </w:r>
          </w:p>
          <w:p w:rsidR="00C95205" w:rsidRPr="00C303FE" w:rsidRDefault="00C95205" w:rsidP="00DB5F86">
            <w:pPr>
              <w:jc w:val="both"/>
              <w:rPr>
                <w:rFonts w:eastAsia="Calibri"/>
                <w:sz w:val="20"/>
                <w:lang w:val="fr-CA"/>
              </w:rPr>
            </w:pPr>
          </w:p>
        </w:tc>
      </w:tr>
    </w:tbl>
    <w:p w:rsidR="00467AD0" w:rsidRDefault="00467AD0" w:rsidP="00467AD0">
      <w:pPr>
        <w:rPr>
          <w:sz w:val="20"/>
          <w:szCs w:val="20"/>
        </w:rPr>
      </w:pPr>
    </w:p>
    <w:p w:rsidR="00467AD0" w:rsidRDefault="001D3FE1" w:rsidP="00467AD0">
      <w:pPr>
        <w:rPr>
          <w:sz w:val="20"/>
          <w:szCs w:val="20"/>
          <w:lang w:val="fr-CA"/>
        </w:rPr>
      </w:pPr>
      <w:r>
        <w:rPr>
          <w:sz w:val="20"/>
          <w:szCs w:val="20"/>
          <w:lang w:val="fr-CA"/>
        </w:rPr>
        <w:pict>
          <v:rect id="_x0000_i1047"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37AC" w:rsidRPr="00FE1AD8" w:rsidTr="008805B2">
        <w:trPr>
          <w:cantSplit/>
        </w:trPr>
        <w:tc>
          <w:tcPr>
            <w:tcW w:w="1458" w:type="dxa"/>
          </w:tcPr>
          <w:p w:rsidR="000037AC" w:rsidRPr="00FE1AD8" w:rsidRDefault="000037AC" w:rsidP="008805B2">
            <w:pPr>
              <w:rPr>
                <w:sz w:val="20"/>
                <w:szCs w:val="20"/>
              </w:rPr>
            </w:pPr>
            <w:r w:rsidRPr="00FE1AD8">
              <w:rPr>
                <w:rStyle w:val="SCCFileNumberChar"/>
                <w:sz w:val="20"/>
                <w:szCs w:val="20"/>
              </w:rPr>
              <w:t>36302</w:t>
            </w:r>
          </w:p>
          <w:p w:rsidR="000037AC" w:rsidRPr="00FE1AD8" w:rsidRDefault="000037AC" w:rsidP="008805B2">
            <w:pPr>
              <w:rPr>
                <w:b/>
                <w:sz w:val="20"/>
                <w:szCs w:val="20"/>
                <w:lang w:val="fr-CA"/>
              </w:rPr>
            </w:pPr>
          </w:p>
        </w:tc>
        <w:tc>
          <w:tcPr>
            <w:tcW w:w="8118" w:type="dxa"/>
          </w:tcPr>
          <w:p w:rsidR="000037AC" w:rsidRPr="00FE1AD8" w:rsidRDefault="000037AC" w:rsidP="008805B2">
            <w:pPr>
              <w:rPr>
                <w:sz w:val="20"/>
                <w:szCs w:val="20"/>
              </w:rPr>
            </w:pPr>
            <w:r w:rsidRPr="00FE1AD8">
              <w:rPr>
                <w:rStyle w:val="SCCLsocChar"/>
                <w:sz w:val="20"/>
                <w:szCs w:val="20"/>
              </w:rPr>
              <w:t>Anna Dibiase v. Michele Dibiase</w:t>
            </w:r>
            <w:r w:rsidRPr="00FE1AD8">
              <w:rPr>
                <w:sz w:val="20"/>
                <w:szCs w:val="20"/>
                <w:lang w:val="fr-CA"/>
              </w:rPr>
              <w:t xml:space="preserve"> (Ont.) </w:t>
            </w:r>
            <w:r w:rsidRPr="00FE1AD8">
              <w:rPr>
                <w:sz w:val="20"/>
                <w:szCs w:val="20"/>
              </w:rPr>
              <w:t>(Civil) (By Leave)</w:t>
            </w:r>
          </w:p>
          <w:p w:rsidR="000037AC" w:rsidRPr="00FE1AD8" w:rsidRDefault="000037AC" w:rsidP="008805B2">
            <w:pPr>
              <w:rPr>
                <w:sz w:val="20"/>
                <w:szCs w:val="20"/>
              </w:rPr>
            </w:pPr>
          </w:p>
        </w:tc>
      </w:tr>
      <w:tr w:rsidR="000037AC" w:rsidRPr="00FE1AD8" w:rsidTr="008805B2">
        <w:trPr>
          <w:cantSplit/>
        </w:trPr>
        <w:tc>
          <w:tcPr>
            <w:tcW w:w="1458" w:type="dxa"/>
          </w:tcPr>
          <w:p w:rsidR="000037AC" w:rsidRPr="00FE1AD8" w:rsidRDefault="000037AC" w:rsidP="008805B2">
            <w:pPr>
              <w:rPr>
                <w:sz w:val="20"/>
                <w:szCs w:val="20"/>
              </w:rPr>
            </w:pPr>
            <w:r w:rsidRPr="00FE1AD8">
              <w:rPr>
                <w:sz w:val="20"/>
                <w:szCs w:val="20"/>
              </w:rPr>
              <w:t>Coram :</w:t>
            </w:r>
          </w:p>
        </w:tc>
        <w:tc>
          <w:tcPr>
            <w:tcW w:w="8118" w:type="dxa"/>
          </w:tcPr>
          <w:p w:rsidR="000037AC" w:rsidRPr="00FE1AD8" w:rsidRDefault="000037AC" w:rsidP="008805B2">
            <w:pPr>
              <w:rPr>
                <w:sz w:val="20"/>
                <w:szCs w:val="20"/>
              </w:rPr>
            </w:pPr>
            <w:r w:rsidRPr="00FE1AD8">
              <w:rPr>
                <w:rStyle w:val="SCCCoramChar"/>
                <w:sz w:val="20"/>
                <w:szCs w:val="20"/>
                <w:lang w:val="en-CA"/>
              </w:rPr>
              <w:t>Rothstein, Cromwell and Moldaver JJ.</w:t>
            </w:r>
          </w:p>
          <w:p w:rsidR="000037AC" w:rsidRPr="00FE1AD8" w:rsidRDefault="000037AC" w:rsidP="008805B2">
            <w:pPr>
              <w:rPr>
                <w:sz w:val="20"/>
                <w:szCs w:val="20"/>
                <w:u w:val="single"/>
              </w:rPr>
            </w:pPr>
          </w:p>
        </w:tc>
      </w:tr>
      <w:tr w:rsidR="000037AC" w:rsidRPr="001D3FE1" w:rsidTr="008805B2">
        <w:trPr>
          <w:cantSplit/>
        </w:trPr>
        <w:tc>
          <w:tcPr>
            <w:tcW w:w="9576" w:type="dxa"/>
            <w:gridSpan w:val="2"/>
          </w:tcPr>
          <w:p w:rsidR="000037AC" w:rsidRPr="00FE1AD8" w:rsidRDefault="000037AC" w:rsidP="008805B2">
            <w:pPr>
              <w:pStyle w:val="SCCShortJudgment"/>
              <w:rPr>
                <w:szCs w:val="20"/>
              </w:rPr>
            </w:pPr>
            <w:r w:rsidRPr="00FE1AD8">
              <w:rPr>
                <w:szCs w:val="20"/>
              </w:rPr>
              <w:lastRenderedPageBreak/>
              <w:t>The application for leave to appeal from the judgment of the Court of Appeal for Ontario, Number C58739, 2014 ONCA 913, dated December 17, 2014, is dismissed with costs.</w:t>
            </w:r>
          </w:p>
          <w:p w:rsidR="000037AC" w:rsidRPr="00FE1AD8" w:rsidRDefault="000037AC" w:rsidP="008805B2">
            <w:pPr>
              <w:pStyle w:val="SCCShortJudgment"/>
              <w:ind w:firstLine="0"/>
              <w:rPr>
                <w:szCs w:val="20"/>
              </w:rPr>
            </w:pPr>
          </w:p>
          <w:p w:rsidR="000037AC" w:rsidRPr="00FE1AD8" w:rsidRDefault="000037AC" w:rsidP="008805B2">
            <w:pPr>
              <w:pStyle w:val="SCCShortJudgment"/>
              <w:rPr>
                <w:szCs w:val="20"/>
                <w:lang w:val="fr-CA"/>
              </w:rPr>
            </w:pPr>
            <w:r w:rsidRPr="00FE1AD8">
              <w:rPr>
                <w:szCs w:val="20"/>
                <w:lang w:val="fr-CA"/>
              </w:rPr>
              <w:t>La demande d’autorisation d’appel de l’arrêt de la Cour d’appel de l’Ontario, numéro C58739, 2014 ONCA 913, daté du 17 décembre 2014, est rejetée avec dépens.</w:t>
            </w:r>
          </w:p>
        </w:tc>
      </w:tr>
    </w:tbl>
    <w:p w:rsidR="00467AD0" w:rsidRPr="000037AC"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sz w:val="20"/>
              </w:rPr>
              <w:t xml:space="preserve">Civil procedure – Summary judgment – Limitation periods – Alleged fraudulent transfer of land – Whether the Ontario </w:t>
            </w:r>
            <w:r w:rsidRPr="0063032F">
              <w:rPr>
                <w:rFonts w:eastAsia="Calibri"/>
                <w:i/>
                <w:sz w:val="20"/>
              </w:rPr>
              <w:t>Limitations Act, 2002</w:t>
            </w:r>
            <w:r w:rsidRPr="0063032F">
              <w:rPr>
                <w:rFonts w:eastAsia="Calibri"/>
                <w:sz w:val="20"/>
              </w:rPr>
              <w:t>, S.O. 2002, c. 24, Sch. B, applies to a claim alleging a fraudulent conveyance of land – Whether the motion judge erred in granting summary judgment – Whether the Court of Appeal erred in upholding the decision of the motion judge.</w:t>
            </w:r>
          </w:p>
        </w:tc>
      </w:tr>
      <w:tr w:rsidR="00492785" w:rsidRPr="0063032F" w:rsidTr="00DB5F86">
        <w:tc>
          <w:tcPr>
            <w:tcW w:w="5000" w:type="pct"/>
            <w:gridSpan w:val="3"/>
          </w:tcPr>
          <w:p w:rsidR="00492785" w:rsidRPr="0063032F" w:rsidRDefault="00492785" w:rsidP="00DB5F86">
            <w:pPr>
              <w:jc w:val="both"/>
              <w:rPr>
                <w:rFonts w:eastAsia="Calibri"/>
                <w:sz w:val="20"/>
              </w:rPr>
            </w:pPr>
          </w:p>
        </w:tc>
      </w:tr>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sz w:val="20"/>
              </w:rPr>
              <w:t>The application for leave to appeal concerns a civil action involving a 1988 deed, which the applicant, Anna Dibiase, alleges that she did not sign and which created a fraudulent conveyance of land from Anna Dibiase and her late husband to her late husband's brother, the respondent, Michele Dibiase.  Ms. Dibiase claimed that the forged deed resulted in an instrument that is void and a nullity.  She sought declaratory relief in order to return title of the subject property to her own name, as well as $5,000,000 under various heads of damages.  By virtue of the forged deed, Ms. Dibiase submitted that she had been deprived of ownership of one-half of the property for which she did not receive any consideration from Michele, who was unjustly enriched by his wrongful act.  Ms. Dibiase admitted on examination that in early 2004 she discovered the existence of the 1988 deed.  She brought it to a lawyer who advised her that it was a fraud, however she did not commence her action until March 3, 2009. On a motion for summary judgment, Michele maintained that the action was statute barred.  He also submitted there was no genuine issue requiring a trial because Ms. Dibiase suffered no damages.  In that regard, she had retained a lawyer in 1996 to give effect to an agreement whereby she and her late husband transferred their interest in the property that is the subject of the 1988 deed.  According to Ms. Dibiase’s evidence, she understood and agreed that the purpose of the 1996 transfers was to correct and clarify any issues raised by the 1988 deed.  The 1996 conveyance was not challenged.</w:t>
            </w:r>
          </w:p>
          <w:p w:rsidR="00492785" w:rsidRPr="0063032F" w:rsidRDefault="00492785" w:rsidP="00DB5F86">
            <w:pPr>
              <w:jc w:val="both"/>
              <w:rPr>
                <w:rFonts w:eastAsia="Calibri"/>
                <w:sz w:val="20"/>
              </w:rPr>
            </w:pPr>
          </w:p>
          <w:p w:rsidR="00492785" w:rsidRPr="0063032F" w:rsidRDefault="00492785" w:rsidP="00DB5F86">
            <w:pPr>
              <w:jc w:val="both"/>
              <w:rPr>
                <w:rFonts w:eastAsia="Calibri"/>
                <w:sz w:val="20"/>
              </w:rPr>
            </w:pPr>
            <w:r w:rsidRPr="0063032F">
              <w:rPr>
                <w:rFonts w:eastAsia="Calibri"/>
                <w:sz w:val="20"/>
              </w:rPr>
              <w:t>The Ontario Superior Court of Justice allowed the motion for summary judgment finding the onus to show that there is no genuine issue requiring a trial had been met.  The Ontario Court of Appeal dismissed the applicant’s appeal.</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April 3, 2014</w:t>
            </w:r>
          </w:p>
          <w:p w:rsidR="00492785" w:rsidRPr="0063032F" w:rsidRDefault="00492785" w:rsidP="00DB5F86">
            <w:pPr>
              <w:jc w:val="both"/>
              <w:rPr>
                <w:rFonts w:eastAsia="Calibri"/>
                <w:sz w:val="20"/>
              </w:rPr>
            </w:pPr>
            <w:r w:rsidRPr="0063032F">
              <w:rPr>
                <w:rFonts w:eastAsia="Calibri"/>
                <w:sz w:val="20"/>
              </w:rPr>
              <w:t>Ontario Superior Court of Justice</w:t>
            </w:r>
          </w:p>
          <w:p w:rsidR="00492785" w:rsidRPr="0063032F" w:rsidRDefault="00492785" w:rsidP="00DB5F86">
            <w:pPr>
              <w:jc w:val="both"/>
              <w:rPr>
                <w:rFonts w:eastAsia="Calibri"/>
                <w:sz w:val="20"/>
              </w:rPr>
            </w:pPr>
            <w:r w:rsidRPr="0063032F">
              <w:rPr>
                <w:rFonts w:eastAsia="Calibri"/>
                <w:sz w:val="20"/>
              </w:rPr>
              <w:t>(Gilmore J.)</w:t>
            </w:r>
          </w:p>
          <w:p w:rsidR="00492785" w:rsidRPr="0063032F" w:rsidRDefault="00492785" w:rsidP="00DB5F86">
            <w:pPr>
              <w:jc w:val="both"/>
              <w:rPr>
                <w:rFonts w:eastAsia="Calibri"/>
                <w:sz w:val="20"/>
              </w:rPr>
            </w:pPr>
            <w:r w:rsidRPr="0063032F">
              <w:rPr>
                <w:rFonts w:eastAsia="Calibri"/>
                <w:sz w:val="20"/>
              </w:rPr>
              <w:t xml:space="preserve"> </w:t>
            </w:r>
            <w:hyperlink r:id="rId39" w:history="1">
              <w:r w:rsidRPr="00305EE6">
                <w:rPr>
                  <w:rFonts w:eastAsia="Calibri"/>
                  <w:color w:val="0000FF"/>
                  <w:sz w:val="20"/>
                  <w:u w:val="single"/>
                </w:rPr>
                <w:t>2014 ONSC 1240</w:t>
              </w:r>
            </w:hyperlink>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Respondent’s motion for summary judgment, granted.</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December 1</w:t>
            </w:r>
            <w:r w:rsidR="00446E23">
              <w:rPr>
                <w:rFonts w:eastAsia="Calibri"/>
                <w:sz w:val="20"/>
              </w:rPr>
              <w:t>7</w:t>
            </w:r>
            <w:r w:rsidRPr="0063032F">
              <w:rPr>
                <w:rFonts w:eastAsia="Calibri"/>
                <w:sz w:val="20"/>
              </w:rPr>
              <w:t>, 2014</w:t>
            </w:r>
          </w:p>
          <w:p w:rsidR="00492785" w:rsidRPr="0063032F" w:rsidRDefault="00492785" w:rsidP="00DB5F86">
            <w:pPr>
              <w:jc w:val="both"/>
              <w:rPr>
                <w:rFonts w:eastAsia="Calibri"/>
                <w:sz w:val="20"/>
              </w:rPr>
            </w:pPr>
            <w:r w:rsidRPr="0063032F">
              <w:rPr>
                <w:rFonts w:eastAsia="Calibri"/>
                <w:sz w:val="20"/>
              </w:rPr>
              <w:t>Court of Appeal for Ontario</w:t>
            </w:r>
          </w:p>
          <w:p w:rsidR="00492785" w:rsidRPr="0063032F" w:rsidRDefault="00492785" w:rsidP="00DB5F86">
            <w:pPr>
              <w:jc w:val="both"/>
              <w:rPr>
                <w:rFonts w:eastAsia="Calibri"/>
                <w:sz w:val="20"/>
              </w:rPr>
            </w:pPr>
            <w:r w:rsidRPr="0063032F">
              <w:rPr>
                <w:rFonts w:eastAsia="Calibri"/>
                <w:sz w:val="20"/>
              </w:rPr>
              <w:t>(Sharpe, van Rensburg and Pardu JJ.A.)</w:t>
            </w:r>
          </w:p>
          <w:p w:rsidR="00492785" w:rsidRPr="00305EE6" w:rsidRDefault="00492785" w:rsidP="00DB5F86">
            <w:pPr>
              <w:jc w:val="both"/>
              <w:rPr>
                <w:rFonts w:eastAsia="Calibri"/>
                <w:sz w:val="20"/>
              </w:rPr>
            </w:pPr>
            <w:r w:rsidRPr="0063032F">
              <w:rPr>
                <w:rFonts w:eastAsia="Calibri"/>
                <w:sz w:val="20"/>
              </w:rPr>
              <w:t xml:space="preserve"> </w:t>
            </w:r>
            <w:hyperlink r:id="rId40" w:history="1">
              <w:r w:rsidRPr="00305EE6">
                <w:rPr>
                  <w:rFonts w:eastAsia="Calibri"/>
                  <w:color w:val="0000FF"/>
                  <w:sz w:val="20"/>
                  <w:u w:val="single"/>
                </w:rPr>
                <w:t>2014 ONCA 913</w:t>
              </w:r>
            </w:hyperlink>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Applicant’s appeal, dismissed.</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February 13, 2015</w:t>
            </w:r>
          </w:p>
          <w:p w:rsidR="00492785" w:rsidRPr="0063032F" w:rsidRDefault="00492785" w:rsidP="00DB5F86">
            <w:pPr>
              <w:jc w:val="both"/>
              <w:rPr>
                <w:rFonts w:eastAsia="Calibri"/>
                <w:sz w:val="20"/>
              </w:rPr>
            </w:pPr>
            <w:r w:rsidRPr="0063032F">
              <w:rPr>
                <w:rFonts w:eastAsia="Calibri"/>
                <w:sz w:val="20"/>
              </w:rPr>
              <w:t>Supreme Court of Canada</w:t>
            </w: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Application for leave to appeal, filed.</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48"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1D3FE1" w:rsidTr="00DB5F86">
        <w:tc>
          <w:tcPr>
            <w:tcW w:w="5000" w:type="pct"/>
            <w:gridSpan w:val="3"/>
          </w:tcPr>
          <w:p w:rsidR="00492785" w:rsidRPr="0063032F" w:rsidRDefault="00492785" w:rsidP="00DB5F86">
            <w:pPr>
              <w:jc w:val="both"/>
              <w:rPr>
                <w:rFonts w:eastAsia="Calibri"/>
                <w:sz w:val="20"/>
                <w:lang w:val="fr-CA"/>
              </w:rPr>
            </w:pPr>
            <w:r w:rsidRPr="0063032F">
              <w:rPr>
                <w:rFonts w:eastAsia="Calibri"/>
                <w:sz w:val="20"/>
                <w:lang w:val="fr-CA"/>
              </w:rPr>
              <w:t xml:space="preserve">Procédure civile – Jugement sommaire – Délais de prescription – Transfert de terrain présumé frauduleux – La </w:t>
            </w:r>
            <w:r w:rsidRPr="0063032F">
              <w:rPr>
                <w:rFonts w:eastAsia="Calibri"/>
                <w:i/>
                <w:sz w:val="20"/>
                <w:lang w:val="fr-CA"/>
              </w:rPr>
              <w:t>Loi de 2002 sur la prescription des actions</w:t>
            </w:r>
            <w:r w:rsidRPr="0063032F">
              <w:rPr>
                <w:rFonts w:eastAsia="Calibri"/>
                <w:sz w:val="20"/>
                <w:lang w:val="fr-CA"/>
              </w:rPr>
              <w:t xml:space="preserve">, L.O. 2002, ch. 24, annexe B, s’applique-t-elle à une demande alléguant le transport frauduleux d’un terrain? – Le juge de première instance a-t-il commis une erreur en prononçant un jugement </w:t>
            </w:r>
            <w:r w:rsidRPr="0063032F">
              <w:rPr>
                <w:rFonts w:eastAsia="Calibri"/>
                <w:sz w:val="20"/>
                <w:lang w:val="fr-CA"/>
              </w:rPr>
              <w:lastRenderedPageBreak/>
              <w:t>sommaire? – La Cour d’appel a-t-elle commis une erreur en confirmant la décision du juge de première instance?</w:t>
            </w:r>
          </w:p>
        </w:tc>
      </w:tr>
      <w:tr w:rsidR="00492785" w:rsidRPr="001D3FE1" w:rsidTr="00DB5F86">
        <w:tc>
          <w:tcPr>
            <w:tcW w:w="5000" w:type="pct"/>
            <w:gridSpan w:val="3"/>
          </w:tcPr>
          <w:p w:rsidR="00492785" w:rsidRPr="0063032F" w:rsidRDefault="00492785" w:rsidP="00DB5F86">
            <w:pPr>
              <w:jc w:val="both"/>
              <w:rPr>
                <w:rFonts w:eastAsia="Calibri"/>
                <w:sz w:val="20"/>
                <w:lang w:val="fr-CA"/>
              </w:rPr>
            </w:pPr>
          </w:p>
        </w:tc>
      </w:tr>
      <w:tr w:rsidR="00492785" w:rsidRPr="001D3FE1" w:rsidTr="00DB5F86">
        <w:tc>
          <w:tcPr>
            <w:tcW w:w="5000" w:type="pct"/>
            <w:gridSpan w:val="3"/>
          </w:tcPr>
          <w:p w:rsidR="00492785" w:rsidRPr="0063032F" w:rsidRDefault="00492785" w:rsidP="00DB5F86">
            <w:pPr>
              <w:jc w:val="both"/>
              <w:rPr>
                <w:rFonts w:eastAsia="Calibri"/>
                <w:sz w:val="20"/>
                <w:lang w:val="fr-CA"/>
              </w:rPr>
            </w:pPr>
            <w:r w:rsidRPr="0063032F">
              <w:rPr>
                <w:rFonts w:eastAsia="Calibri"/>
                <w:sz w:val="20"/>
                <w:lang w:val="fr-CA"/>
              </w:rPr>
              <w:t>La demande d’autorisation d’appel concerne une action au civil portant sur un acte datant de 1988, que la demanderesse, Anna Dibiase, prétend ne pas avoir signé et qui aurait créé un transport frauduleux de terrain d’Anna Dibiase et son défunt mari au frère de ce dernier, l’intimé Michele Dibiase.  Selon Mme Dibiase, l’acte contrefait a donné lieu à un instrument frappé de nullité absolue.  Elle a sollicité un jugement déclaratoire pour que le titre du bien en cause lui soit restitué et des dommages-intérêts de 5 000 000 $ sous plusieurs chefs.  Madame Dibiase a prétendu qu’en raison de l’acte contrefait, elle avait été privée de la propriété de la moitié du bien pour laquelle elle n’avait reçu aucune contrepartie de Michele, qui s’était injustement enrichi par son acte fautif.  En interrogatoire, Mme Dibiase a admis qu’au début de 2004, elle avait découvert l’existence de l’acte de 1988.  Elle l’a apporté à un avocat qui l’a informée qu’il s’agissait d’une fraude; toutefois, elle n’a intenté son action que le 3 mars 2009. Par motion visant à obtenir un jugement sommaire, Michele a soutenu que l’action était prescrite.  Il a également fait valoir qu’il n’y avait aucune véritable question litigieuse nécessitant la tenue d’une instruction parce que Mme Dibiase n’avait subi aucun préjudice.  À cet égard, cette dernière avait retenu les services d’un avocat en 1996 pour donner effet à une entente par laquelle elle et son défunt mari avaient transféré leur droit à l’égard du bien faisant l’objet de l’acte de 1988.  D’après le témoignage de Mme Dibiase, cette dernière avait compris et accepté que les transferts de 1996 avaient pour but de corriger et clarifier les questions soulevées par l’acte de 1988.  Le transport de 1996 n’a pas été contesté.</w:t>
            </w:r>
          </w:p>
          <w:p w:rsidR="00492785" w:rsidRPr="0063032F" w:rsidRDefault="00492785" w:rsidP="00DB5F86">
            <w:pPr>
              <w:jc w:val="both"/>
              <w:rPr>
                <w:rFonts w:eastAsia="Calibri"/>
                <w:sz w:val="20"/>
                <w:lang w:val="fr-CA"/>
              </w:rPr>
            </w:pPr>
          </w:p>
          <w:p w:rsidR="00492785" w:rsidRPr="0063032F" w:rsidRDefault="00492785" w:rsidP="00DB5F86">
            <w:pPr>
              <w:jc w:val="both"/>
              <w:rPr>
                <w:rFonts w:eastAsia="Calibri"/>
                <w:sz w:val="20"/>
                <w:lang w:val="fr-CA"/>
              </w:rPr>
            </w:pPr>
            <w:r w:rsidRPr="0063032F">
              <w:rPr>
                <w:rFonts w:eastAsia="Calibri"/>
                <w:sz w:val="20"/>
                <w:lang w:val="fr-CA"/>
              </w:rPr>
              <w:t>La Cour supérieure de justice de l’Ontario a accueilli la motion en jugement sommaire, concluant que l’intimé s’était acquitté de la charge d’établir qu’il n’y avait pas de véritable question litigieuse nécessitant la tenue d’un procès.  La Cour d’appel de l’Ontario a rejeté l’appel de la demanderesse.</w:t>
            </w:r>
          </w:p>
          <w:p w:rsidR="00492785" w:rsidRPr="0063032F" w:rsidRDefault="00492785" w:rsidP="00DB5F86">
            <w:pPr>
              <w:jc w:val="both"/>
              <w:rPr>
                <w:rFonts w:eastAsia="Calibri"/>
                <w:sz w:val="20"/>
                <w:lang w:val="fr-CA"/>
              </w:rPr>
            </w:pPr>
          </w:p>
        </w:tc>
      </w:tr>
      <w:tr w:rsidR="00492785" w:rsidRPr="001D3FE1"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3 avril 2014</w:t>
            </w:r>
          </w:p>
          <w:p w:rsidR="00492785" w:rsidRPr="0063032F" w:rsidRDefault="00492785" w:rsidP="00DB5F86">
            <w:pPr>
              <w:jc w:val="both"/>
              <w:rPr>
                <w:rFonts w:eastAsia="Calibri"/>
                <w:sz w:val="20"/>
                <w:lang w:val="fr-CA"/>
              </w:rPr>
            </w:pPr>
            <w:r w:rsidRPr="0063032F">
              <w:rPr>
                <w:rFonts w:eastAsia="Calibri"/>
                <w:sz w:val="20"/>
                <w:lang w:val="fr-CA"/>
              </w:rPr>
              <w:t>Cour supérieure de justice de l’Ontario</w:t>
            </w:r>
          </w:p>
          <w:p w:rsidR="00492785" w:rsidRPr="0063032F" w:rsidRDefault="00492785" w:rsidP="00DB5F86">
            <w:pPr>
              <w:jc w:val="both"/>
              <w:rPr>
                <w:rFonts w:eastAsia="Calibri"/>
                <w:sz w:val="20"/>
                <w:lang w:val="fr-CA"/>
              </w:rPr>
            </w:pPr>
            <w:r w:rsidRPr="0063032F">
              <w:rPr>
                <w:rFonts w:eastAsia="Calibri"/>
                <w:sz w:val="20"/>
                <w:lang w:val="fr-CA"/>
              </w:rPr>
              <w:t>(Juge Gilmore)</w:t>
            </w:r>
          </w:p>
          <w:p w:rsidR="00492785" w:rsidRPr="0063032F" w:rsidRDefault="00492785" w:rsidP="00DB5F86">
            <w:pPr>
              <w:jc w:val="both"/>
              <w:rPr>
                <w:rFonts w:eastAsia="Calibri"/>
                <w:sz w:val="20"/>
                <w:lang w:val="fr-CA"/>
              </w:rPr>
            </w:pPr>
            <w:r w:rsidRPr="0063032F">
              <w:rPr>
                <w:rFonts w:eastAsia="Calibri"/>
                <w:sz w:val="20"/>
                <w:lang w:val="fr-CA"/>
              </w:rPr>
              <w:t xml:space="preserve"> </w:t>
            </w:r>
            <w:hyperlink r:id="rId41" w:history="1">
              <w:r w:rsidRPr="00305EE6">
                <w:rPr>
                  <w:rFonts w:eastAsia="Calibri"/>
                  <w:color w:val="0000FF"/>
                  <w:sz w:val="20"/>
                  <w:u w:val="single"/>
                  <w:lang w:val="fr-CA"/>
                </w:rPr>
                <w:t>2014 ONSC 1240</w:t>
              </w:r>
            </w:hyperlink>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Jugement accueillant la motion de l’intimé en jugement sommaire.</w:t>
            </w:r>
          </w:p>
          <w:p w:rsidR="00492785" w:rsidRPr="0063032F" w:rsidRDefault="00492785" w:rsidP="00DB5F86">
            <w:pPr>
              <w:jc w:val="both"/>
              <w:rPr>
                <w:rFonts w:eastAsia="Calibri"/>
                <w:sz w:val="20"/>
                <w:lang w:val="fr-CA"/>
              </w:rPr>
            </w:pPr>
          </w:p>
          <w:p w:rsidR="00492785" w:rsidRPr="0063032F" w:rsidRDefault="00492785" w:rsidP="00DB5F86">
            <w:pPr>
              <w:jc w:val="both"/>
              <w:rPr>
                <w:rFonts w:eastAsia="Calibri"/>
                <w:sz w:val="20"/>
                <w:lang w:val="fr-CA"/>
              </w:rPr>
            </w:pPr>
          </w:p>
        </w:tc>
      </w:tr>
      <w:tr w:rsidR="00492785" w:rsidRPr="001D3FE1"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1</w:t>
            </w:r>
            <w:r w:rsidR="00446E23">
              <w:rPr>
                <w:rFonts w:eastAsia="Calibri"/>
                <w:sz w:val="20"/>
                <w:lang w:val="fr-CA"/>
              </w:rPr>
              <w:t>7</w:t>
            </w:r>
            <w:r w:rsidRPr="0063032F">
              <w:rPr>
                <w:rFonts w:eastAsia="Calibri"/>
                <w:sz w:val="20"/>
                <w:lang w:val="fr-CA"/>
              </w:rPr>
              <w:t xml:space="preserve"> décembre 2014</w:t>
            </w:r>
          </w:p>
          <w:p w:rsidR="00492785" w:rsidRPr="0063032F" w:rsidRDefault="00492785" w:rsidP="00DB5F86">
            <w:pPr>
              <w:jc w:val="both"/>
              <w:rPr>
                <w:rFonts w:eastAsia="Calibri"/>
                <w:sz w:val="20"/>
                <w:lang w:val="fr-CA"/>
              </w:rPr>
            </w:pPr>
            <w:r w:rsidRPr="0063032F">
              <w:rPr>
                <w:rFonts w:eastAsia="Calibri"/>
                <w:sz w:val="20"/>
                <w:lang w:val="fr-CA"/>
              </w:rPr>
              <w:t>Cour d’appel de l’Ontario</w:t>
            </w:r>
          </w:p>
          <w:p w:rsidR="00492785" w:rsidRPr="0063032F" w:rsidRDefault="00492785" w:rsidP="00DB5F86">
            <w:pPr>
              <w:jc w:val="both"/>
              <w:rPr>
                <w:rFonts w:eastAsia="Calibri"/>
                <w:sz w:val="20"/>
                <w:lang w:val="fr-CA"/>
              </w:rPr>
            </w:pPr>
            <w:r w:rsidRPr="0063032F">
              <w:rPr>
                <w:rFonts w:eastAsia="Calibri"/>
                <w:sz w:val="20"/>
                <w:lang w:val="fr-CA"/>
              </w:rPr>
              <w:t>(Juges Sharpe, van Rensburg et Pardu)</w:t>
            </w:r>
          </w:p>
          <w:p w:rsidR="00492785" w:rsidRPr="00305EE6" w:rsidRDefault="00492785" w:rsidP="00DB5F86">
            <w:pPr>
              <w:jc w:val="both"/>
              <w:rPr>
                <w:rFonts w:eastAsia="Calibri"/>
                <w:sz w:val="20"/>
                <w:lang w:val="fr-CA"/>
              </w:rPr>
            </w:pPr>
            <w:r w:rsidRPr="0063032F">
              <w:rPr>
                <w:rFonts w:eastAsia="Calibri"/>
                <w:sz w:val="20"/>
                <w:lang w:val="fr-CA"/>
              </w:rPr>
              <w:t xml:space="preserve"> </w:t>
            </w:r>
            <w:hyperlink r:id="rId42" w:history="1">
              <w:r w:rsidRPr="00305EE6">
                <w:rPr>
                  <w:rFonts w:eastAsia="Calibri"/>
                  <w:color w:val="0000FF"/>
                  <w:sz w:val="20"/>
                  <w:u w:val="single"/>
                  <w:lang w:val="fr-CA"/>
                </w:rPr>
                <w:t>2014 ONCA 913</w:t>
              </w:r>
            </w:hyperlink>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Rejet de l’appel de la demanderesse.</w:t>
            </w:r>
          </w:p>
          <w:p w:rsidR="00492785" w:rsidRPr="0063032F" w:rsidRDefault="00492785" w:rsidP="00DB5F86">
            <w:pPr>
              <w:jc w:val="both"/>
              <w:rPr>
                <w:rFonts w:eastAsia="Calibri"/>
                <w:sz w:val="20"/>
                <w:lang w:val="fr-CA"/>
              </w:rPr>
            </w:pPr>
          </w:p>
          <w:p w:rsidR="00492785" w:rsidRPr="0063032F" w:rsidRDefault="00492785" w:rsidP="00DB5F86">
            <w:pPr>
              <w:jc w:val="both"/>
              <w:rPr>
                <w:rFonts w:eastAsia="Calibri"/>
                <w:sz w:val="20"/>
                <w:lang w:val="fr-CA"/>
              </w:rPr>
            </w:pPr>
          </w:p>
        </w:tc>
      </w:tr>
      <w:tr w:rsidR="00492785" w:rsidRPr="001D3FE1"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13 février 2015</w:t>
            </w:r>
          </w:p>
          <w:p w:rsidR="00492785" w:rsidRPr="0063032F" w:rsidRDefault="00492785" w:rsidP="00DB5F86">
            <w:pPr>
              <w:jc w:val="both"/>
              <w:rPr>
                <w:rFonts w:eastAsia="Calibri"/>
                <w:sz w:val="20"/>
                <w:lang w:val="fr-CA"/>
              </w:rPr>
            </w:pPr>
            <w:r w:rsidRPr="0063032F">
              <w:rPr>
                <w:rFonts w:eastAsia="Calibri"/>
                <w:sz w:val="20"/>
                <w:lang w:val="fr-CA"/>
              </w:rPr>
              <w:t>Cour suprême du Canada</w:t>
            </w: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Dépôt de la demande d’autorisation d’appel.</w:t>
            </w:r>
          </w:p>
        </w:tc>
      </w:tr>
    </w:tbl>
    <w:p w:rsidR="00467AD0" w:rsidRPr="0049278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49"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37AC" w:rsidRPr="00FE1AD8" w:rsidTr="000037AC">
        <w:tc>
          <w:tcPr>
            <w:tcW w:w="1458" w:type="dxa"/>
          </w:tcPr>
          <w:p w:rsidR="000037AC" w:rsidRPr="00FE1AD8" w:rsidRDefault="000037AC" w:rsidP="008805B2">
            <w:pPr>
              <w:rPr>
                <w:sz w:val="20"/>
                <w:szCs w:val="20"/>
              </w:rPr>
            </w:pPr>
            <w:r w:rsidRPr="00FE1AD8">
              <w:rPr>
                <w:rStyle w:val="SCCFileNumberChar"/>
                <w:sz w:val="20"/>
                <w:szCs w:val="20"/>
              </w:rPr>
              <w:t>36313</w:t>
            </w:r>
          </w:p>
          <w:p w:rsidR="000037AC" w:rsidRPr="00FE1AD8" w:rsidRDefault="000037AC" w:rsidP="008805B2">
            <w:pPr>
              <w:rPr>
                <w:b/>
                <w:sz w:val="20"/>
                <w:szCs w:val="20"/>
                <w:lang w:val="fr-CA"/>
              </w:rPr>
            </w:pPr>
          </w:p>
        </w:tc>
        <w:tc>
          <w:tcPr>
            <w:tcW w:w="8118" w:type="dxa"/>
          </w:tcPr>
          <w:p w:rsidR="000037AC" w:rsidRPr="00FE1AD8" w:rsidRDefault="000037AC" w:rsidP="008805B2">
            <w:pPr>
              <w:rPr>
                <w:sz w:val="20"/>
                <w:szCs w:val="20"/>
              </w:rPr>
            </w:pPr>
            <w:r w:rsidRPr="00FE1AD8">
              <w:rPr>
                <w:rStyle w:val="SCCLsocChar"/>
                <w:sz w:val="20"/>
                <w:szCs w:val="20"/>
                <w:lang w:val="en-CA"/>
              </w:rPr>
              <w:t>Adam Michael Brown v. Her Majesty the Queen</w:t>
            </w:r>
            <w:r w:rsidRPr="00FE1AD8">
              <w:rPr>
                <w:sz w:val="20"/>
                <w:szCs w:val="20"/>
              </w:rPr>
              <w:t xml:space="preserve"> (Alta.) (Criminal) (By Leave)</w:t>
            </w:r>
          </w:p>
          <w:p w:rsidR="000037AC" w:rsidRPr="00FE1AD8" w:rsidRDefault="000037AC" w:rsidP="008805B2">
            <w:pPr>
              <w:rPr>
                <w:sz w:val="20"/>
                <w:szCs w:val="20"/>
              </w:rPr>
            </w:pPr>
          </w:p>
        </w:tc>
      </w:tr>
      <w:tr w:rsidR="000037AC" w:rsidRPr="00FE1AD8" w:rsidTr="000037AC">
        <w:tc>
          <w:tcPr>
            <w:tcW w:w="1458" w:type="dxa"/>
          </w:tcPr>
          <w:p w:rsidR="000037AC" w:rsidRPr="00FE1AD8" w:rsidRDefault="000037AC" w:rsidP="008805B2">
            <w:pPr>
              <w:rPr>
                <w:sz w:val="20"/>
                <w:szCs w:val="20"/>
              </w:rPr>
            </w:pPr>
            <w:r w:rsidRPr="00FE1AD8">
              <w:rPr>
                <w:sz w:val="20"/>
                <w:szCs w:val="20"/>
              </w:rPr>
              <w:t>Coram :</w:t>
            </w:r>
          </w:p>
        </w:tc>
        <w:tc>
          <w:tcPr>
            <w:tcW w:w="8118" w:type="dxa"/>
          </w:tcPr>
          <w:p w:rsidR="000037AC" w:rsidRPr="00FE1AD8" w:rsidRDefault="000037AC" w:rsidP="008805B2">
            <w:pPr>
              <w:rPr>
                <w:sz w:val="20"/>
                <w:szCs w:val="20"/>
              </w:rPr>
            </w:pPr>
            <w:r w:rsidRPr="00FE1AD8">
              <w:rPr>
                <w:rStyle w:val="SCCCoramChar"/>
                <w:sz w:val="20"/>
                <w:szCs w:val="20"/>
                <w:lang w:val="en-CA"/>
              </w:rPr>
              <w:t>McLachlin C.J. and Wagner and Gascon JJ.</w:t>
            </w:r>
          </w:p>
          <w:p w:rsidR="000037AC" w:rsidRPr="00FE1AD8" w:rsidRDefault="000037AC" w:rsidP="008805B2">
            <w:pPr>
              <w:rPr>
                <w:sz w:val="20"/>
                <w:szCs w:val="20"/>
                <w:u w:val="single"/>
              </w:rPr>
            </w:pPr>
          </w:p>
        </w:tc>
      </w:tr>
      <w:tr w:rsidR="000037AC" w:rsidRPr="001D3FE1" w:rsidTr="000037AC">
        <w:tc>
          <w:tcPr>
            <w:tcW w:w="9576" w:type="dxa"/>
            <w:gridSpan w:val="2"/>
          </w:tcPr>
          <w:p w:rsidR="000037AC" w:rsidRPr="00FE1AD8" w:rsidRDefault="000037AC" w:rsidP="008805B2">
            <w:pPr>
              <w:pStyle w:val="SCCShortJudgment"/>
              <w:rPr>
                <w:szCs w:val="20"/>
              </w:rPr>
            </w:pPr>
            <w:r w:rsidRPr="00FE1AD8">
              <w:rPr>
                <w:szCs w:val="20"/>
              </w:rPr>
              <w:t>The motion for an extension of time to serve and file the application for leave to appeal is granted. The motion for leave to adduce new evidence is granted. The application for leave to appeal from the judgment of the Court of Appeal of Alberta (Edmonton), Number 1103-0004-A, 2013 ABCA 289, dated August 23, 2013, is remanded to the Court of Appeal for Alberta for consideration of the new evidence and whether the applicant’s convictions constitute a miscarriage of justice</w:t>
            </w:r>
          </w:p>
          <w:p w:rsidR="000037AC" w:rsidRPr="00FE1AD8" w:rsidRDefault="000037AC" w:rsidP="008805B2">
            <w:pPr>
              <w:pStyle w:val="SCCShortJudgment"/>
              <w:ind w:firstLine="0"/>
              <w:rPr>
                <w:szCs w:val="20"/>
              </w:rPr>
            </w:pPr>
          </w:p>
          <w:p w:rsidR="000037AC" w:rsidRPr="00FE1AD8" w:rsidRDefault="000037AC" w:rsidP="006E79FD">
            <w:pPr>
              <w:pStyle w:val="SCCShortJudgment"/>
              <w:rPr>
                <w:szCs w:val="20"/>
                <w:lang w:val="fr-CA"/>
              </w:rPr>
            </w:pPr>
            <w:r w:rsidRPr="00FE1AD8">
              <w:rPr>
                <w:szCs w:val="20"/>
                <w:lang w:val="fr-CA"/>
              </w:rPr>
              <w:t xml:space="preserve">La requête en prorogation du délai de signification et de dépôt de la demande d’autorisation d’appel est accueillie. La requête en autorisation pour déposer de nouveaux éléments de preuve est accueillie. La demande d’autorisation d’appel de l’arrêt de la Cour d'appel de l’Alberta (Edmonton), numéro 1103-0004-A, 2013 ABCA 289, </w:t>
            </w:r>
            <w:r w:rsidRPr="00FE1AD8">
              <w:rPr>
                <w:szCs w:val="20"/>
                <w:lang w:val="fr-CA"/>
              </w:rPr>
              <w:lastRenderedPageBreak/>
              <w:t>daté du 23 août 2013, est renvoyée à la Cour d</w:t>
            </w:r>
            <w:r w:rsidR="006E79FD">
              <w:rPr>
                <w:szCs w:val="20"/>
                <w:lang w:val="fr-CA"/>
              </w:rPr>
              <w:t>’</w:t>
            </w:r>
            <w:r w:rsidRPr="00FE1AD8">
              <w:rPr>
                <w:szCs w:val="20"/>
                <w:lang w:val="fr-CA"/>
              </w:rPr>
              <w:t>appel de l’Alberta pour qu’elle examine les nouveaux éléments de preuve et décide si les déclarations de culpabilité prononcées contre le demandeur constituent une erreur judiciaire.</w:t>
            </w:r>
          </w:p>
        </w:tc>
      </w:tr>
    </w:tbl>
    <w:p w:rsidR="00467AD0" w:rsidRPr="000037AC"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305EE6" w:rsidTr="00DB5F86">
        <w:tc>
          <w:tcPr>
            <w:tcW w:w="5000" w:type="pct"/>
            <w:gridSpan w:val="3"/>
          </w:tcPr>
          <w:p w:rsidR="00492785" w:rsidRPr="00305EE6" w:rsidRDefault="00492785" w:rsidP="00DB5F86">
            <w:pPr>
              <w:jc w:val="both"/>
              <w:rPr>
                <w:rFonts w:eastAsia="Calibri"/>
                <w:sz w:val="20"/>
              </w:rPr>
            </w:pPr>
            <w:r w:rsidRPr="00305EE6">
              <w:rPr>
                <w:rFonts w:eastAsia="Calibri"/>
                <w:sz w:val="20"/>
              </w:rPr>
              <w:t>Criminal Law – Evidence – Disclosure – Whether Crown has an obligation to disclose, prior to the hearing of an appeal, any information in its possession where there is reasonable possibility that the information may assist an accused – Appropriate remedy when Crown counsel withholds relevant disclosure until after an appeal is dismissed.</w:t>
            </w:r>
          </w:p>
        </w:tc>
      </w:tr>
      <w:tr w:rsidR="00492785" w:rsidRPr="00305EE6" w:rsidTr="00DB5F86">
        <w:tc>
          <w:tcPr>
            <w:tcW w:w="5000" w:type="pct"/>
            <w:gridSpan w:val="3"/>
          </w:tcPr>
          <w:p w:rsidR="00492785" w:rsidRPr="00305EE6" w:rsidRDefault="00492785" w:rsidP="00DB5F86">
            <w:pPr>
              <w:jc w:val="both"/>
              <w:rPr>
                <w:rFonts w:eastAsia="Calibri"/>
                <w:sz w:val="20"/>
              </w:rPr>
            </w:pPr>
          </w:p>
        </w:tc>
      </w:tr>
      <w:tr w:rsidR="00492785" w:rsidRPr="00305EE6" w:rsidTr="00DB5F86">
        <w:tc>
          <w:tcPr>
            <w:tcW w:w="5000" w:type="pct"/>
            <w:gridSpan w:val="3"/>
          </w:tcPr>
          <w:p w:rsidR="00492785" w:rsidRPr="00305EE6" w:rsidRDefault="00492785" w:rsidP="00DB5F86">
            <w:pPr>
              <w:jc w:val="both"/>
              <w:rPr>
                <w:rFonts w:eastAsia="Calibri"/>
                <w:sz w:val="20"/>
              </w:rPr>
            </w:pPr>
            <w:r w:rsidRPr="00305EE6">
              <w:rPr>
                <w:rFonts w:eastAsia="Calibri"/>
                <w:sz w:val="20"/>
              </w:rPr>
              <w:t>Mr. Brown and a co-accused were charged with second degree murder and assault with a weapon in relation to a shooting outside a casino.  The identities of the two shooters were in issue at trial.  The Crown’s case against Mr. Brown relied heavily on a statement to police given by a friend who was with Mr. Brown and the co-accused at the casino.  The friend did not witness the shootings or see Mr. Brown with a gun but his statement places Mr. Brown at the shootings and attributes incriminating statements to him.  The trial judge convicted Mr. Brown. After the trial but before the hearing of Mr. Brown’s appeal from his convictions, the police obtained two statements from a witness who was four steps away from the shootings.  His statements were not disclosed until after Mr. Brown’s appeal was dismissed.</w:t>
            </w:r>
          </w:p>
          <w:p w:rsidR="00492785" w:rsidRPr="00305EE6" w:rsidRDefault="00492785" w:rsidP="00DB5F86">
            <w:pPr>
              <w:jc w:val="both"/>
              <w:rPr>
                <w:rFonts w:eastAsia="Calibri"/>
                <w:sz w:val="20"/>
              </w:rPr>
            </w:pP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November 26, 2010</w:t>
            </w:r>
          </w:p>
          <w:p w:rsidR="00492785" w:rsidRPr="00305EE6" w:rsidRDefault="00492785" w:rsidP="00DB5F86">
            <w:pPr>
              <w:jc w:val="both"/>
              <w:rPr>
                <w:rFonts w:eastAsia="Calibri"/>
                <w:sz w:val="20"/>
              </w:rPr>
            </w:pPr>
            <w:r w:rsidRPr="00305EE6">
              <w:rPr>
                <w:rFonts w:eastAsia="Calibri"/>
                <w:sz w:val="20"/>
              </w:rPr>
              <w:t>Court of Queen’s Bench of Alberta</w:t>
            </w:r>
          </w:p>
          <w:p w:rsidR="00492785" w:rsidRPr="00305EE6" w:rsidRDefault="00492785" w:rsidP="00DB5F86">
            <w:pPr>
              <w:jc w:val="both"/>
              <w:rPr>
                <w:rFonts w:eastAsia="Calibri"/>
                <w:sz w:val="20"/>
              </w:rPr>
            </w:pPr>
            <w:r w:rsidRPr="00305EE6">
              <w:rPr>
                <w:rFonts w:eastAsia="Calibri"/>
                <w:sz w:val="20"/>
              </w:rPr>
              <w:t>(Belzil J.)</w:t>
            </w:r>
          </w:p>
          <w:p w:rsidR="00492785" w:rsidRPr="00305EE6" w:rsidRDefault="001D3FE1" w:rsidP="00DB5F86">
            <w:pPr>
              <w:jc w:val="both"/>
              <w:rPr>
                <w:rFonts w:eastAsia="Calibri"/>
                <w:sz w:val="20"/>
              </w:rPr>
            </w:pPr>
            <w:hyperlink r:id="rId43" w:history="1">
              <w:r w:rsidR="00492785" w:rsidRPr="00305EE6">
                <w:rPr>
                  <w:rFonts w:eastAsia="Calibri"/>
                  <w:color w:val="0000FF"/>
                  <w:sz w:val="20"/>
                  <w:u w:val="single"/>
                </w:rPr>
                <w:t>2010 ABQB 720</w:t>
              </w:r>
            </w:hyperlink>
          </w:p>
          <w:p w:rsidR="00492785" w:rsidRPr="00305EE6" w:rsidRDefault="00492785" w:rsidP="00DB5F86">
            <w:pPr>
              <w:spacing w:after="120"/>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Convictions:  Second degree murder and assault with a weapon</w:t>
            </w:r>
          </w:p>
          <w:p w:rsidR="00492785" w:rsidRPr="00305EE6" w:rsidRDefault="00492785" w:rsidP="00DB5F86">
            <w:pPr>
              <w:jc w:val="both"/>
              <w:rPr>
                <w:rFonts w:eastAsia="Calibri"/>
                <w:sz w:val="20"/>
              </w:rPr>
            </w:pP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August 23, 2013</w:t>
            </w:r>
          </w:p>
          <w:p w:rsidR="00492785" w:rsidRPr="00305EE6" w:rsidRDefault="00492785" w:rsidP="00DB5F86">
            <w:pPr>
              <w:jc w:val="both"/>
              <w:rPr>
                <w:rFonts w:eastAsia="Calibri"/>
                <w:sz w:val="20"/>
              </w:rPr>
            </w:pPr>
            <w:r w:rsidRPr="00305EE6">
              <w:rPr>
                <w:rFonts w:eastAsia="Calibri"/>
                <w:sz w:val="20"/>
              </w:rPr>
              <w:t>Court of Appeal of Alberta (Edmonton)</w:t>
            </w:r>
          </w:p>
          <w:p w:rsidR="00492785" w:rsidRPr="00305EE6" w:rsidRDefault="00492785" w:rsidP="00DB5F86">
            <w:pPr>
              <w:jc w:val="both"/>
              <w:rPr>
                <w:rFonts w:eastAsia="Calibri"/>
                <w:sz w:val="20"/>
              </w:rPr>
            </w:pPr>
            <w:r w:rsidRPr="00305EE6">
              <w:rPr>
                <w:rFonts w:eastAsia="Calibri"/>
                <w:sz w:val="20"/>
              </w:rPr>
              <w:t>(Picard, McDonald, O'Ferrall JJ.A.)</w:t>
            </w:r>
          </w:p>
          <w:p w:rsidR="00492785" w:rsidRPr="00305EE6" w:rsidRDefault="00492785" w:rsidP="00DB5F86">
            <w:pPr>
              <w:jc w:val="both"/>
              <w:rPr>
                <w:rFonts w:eastAsia="Calibri"/>
                <w:sz w:val="20"/>
              </w:rPr>
            </w:pPr>
            <w:r w:rsidRPr="00305EE6">
              <w:rPr>
                <w:rFonts w:eastAsia="Calibri"/>
                <w:sz w:val="20"/>
              </w:rPr>
              <w:t xml:space="preserve">1103-0004-A; </w:t>
            </w:r>
            <w:hyperlink r:id="rId44" w:history="1">
              <w:r w:rsidRPr="00305EE6">
                <w:rPr>
                  <w:rFonts w:eastAsia="Calibri"/>
                  <w:color w:val="0000FF"/>
                  <w:sz w:val="20"/>
                  <w:u w:val="single"/>
                </w:rPr>
                <w:t>2013 ABCA 289</w:t>
              </w:r>
            </w:hyperlink>
          </w:p>
          <w:p w:rsidR="00492785" w:rsidRPr="00305EE6" w:rsidRDefault="00492785" w:rsidP="00DB5F86">
            <w:pPr>
              <w:spacing w:after="120"/>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Appeal dismissed</w:t>
            </w: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February 19, 2015</w:t>
            </w:r>
          </w:p>
          <w:p w:rsidR="00492785" w:rsidRPr="00305EE6" w:rsidRDefault="00492785" w:rsidP="00DB5F86">
            <w:pPr>
              <w:jc w:val="both"/>
              <w:rPr>
                <w:rFonts w:eastAsia="Calibri"/>
                <w:sz w:val="20"/>
              </w:rPr>
            </w:pPr>
            <w:r w:rsidRPr="00305EE6">
              <w:rPr>
                <w:rFonts w:eastAsia="Calibri"/>
                <w:sz w:val="20"/>
              </w:rPr>
              <w:t>Supreme Court of Canada</w:t>
            </w: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 xml:space="preserve">Application for extension of time to serve and file application for leave to appeal, Motion to file fresh evidence, and Application for leave to appeal or for a remand filed </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50"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1D3FE1" w:rsidTr="00DB5F86">
        <w:tc>
          <w:tcPr>
            <w:tcW w:w="5000" w:type="pct"/>
            <w:gridSpan w:val="3"/>
          </w:tcPr>
          <w:p w:rsidR="00492785" w:rsidRPr="00305EE6" w:rsidRDefault="00492785" w:rsidP="00DB5F86">
            <w:pPr>
              <w:jc w:val="both"/>
              <w:rPr>
                <w:rFonts w:eastAsia="Calibri"/>
                <w:sz w:val="20"/>
                <w:lang w:val="fr-CA"/>
              </w:rPr>
            </w:pPr>
            <w:r w:rsidRPr="00305EE6">
              <w:rPr>
                <w:rFonts w:eastAsia="Calibri"/>
                <w:sz w:val="20"/>
                <w:lang w:val="fr-CA"/>
              </w:rPr>
              <w:t>Droit</w:t>
            </w:r>
            <w:r>
              <w:rPr>
                <w:rFonts w:eastAsia="Calibri"/>
                <w:sz w:val="20"/>
                <w:lang w:val="fr-CA"/>
              </w:rPr>
              <w:t xml:space="preserve"> </w:t>
            </w:r>
            <w:r w:rsidRPr="00305EE6">
              <w:rPr>
                <w:rFonts w:eastAsia="Calibri"/>
                <w:sz w:val="20"/>
                <w:lang w:val="fr-CA"/>
              </w:rPr>
              <w:t>criminel – Preuve – Communication de la preuve – Le ministère public a-t-il l’obligation de communiquer, avant l’instruction de l’appel, les renseignements qu’il a en sa possession lorsqu’il y a une possibilité raisonnable que les renseignements soient susceptibles d’aider l’accusé? – Réparation appropriée lorsque le procureur de la Couronne ne communique la preuve qu’après le rejet de l’appel.</w:t>
            </w:r>
          </w:p>
        </w:tc>
      </w:tr>
      <w:tr w:rsidR="00492785" w:rsidRPr="001D3FE1" w:rsidTr="00DB5F86">
        <w:tc>
          <w:tcPr>
            <w:tcW w:w="5000" w:type="pct"/>
            <w:gridSpan w:val="3"/>
          </w:tcPr>
          <w:p w:rsidR="00492785" w:rsidRPr="00305EE6" w:rsidRDefault="00492785" w:rsidP="00DB5F86">
            <w:pPr>
              <w:jc w:val="both"/>
              <w:rPr>
                <w:rFonts w:eastAsia="Calibri"/>
                <w:sz w:val="20"/>
                <w:lang w:val="fr-CA"/>
              </w:rPr>
            </w:pPr>
          </w:p>
        </w:tc>
      </w:tr>
      <w:tr w:rsidR="00492785" w:rsidRPr="001D3FE1" w:rsidTr="00DB5F86">
        <w:tc>
          <w:tcPr>
            <w:tcW w:w="5000" w:type="pct"/>
            <w:gridSpan w:val="3"/>
          </w:tcPr>
          <w:p w:rsidR="00492785" w:rsidRPr="00305EE6" w:rsidRDefault="00492785" w:rsidP="00DB5F86">
            <w:pPr>
              <w:jc w:val="both"/>
              <w:rPr>
                <w:rFonts w:eastAsia="Calibri"/>
                <w:sz w:val="20"/>
                <w:lang w:val="fr-CA"/>
              </w:rPr>
            </w:pPr>
            <w:r w:rsidRPr="00305EE6">
              <w:rPr>
                <w:rFonts w:eastAsia="Calibri"/>
                <w:sz w:val="20"/>
                <w:lang w:val="fr-CA"/>
              </w:rPr>
              <w:t xml:space="preserve">Monsieur Brown et un coaccusé ont été inculpés de meurtre au deuxième degré et d’agression armée en lien avec un attentat par balle à l’extérieur d’un casino.  L’identité des deux tireurs était en cause au procès.  La preuve du ministère public contre M. Brown s’appuyait en grande partie sur une déclaration faite aux policiers par un ami qui se trouvait avec M. Brown et le coaccusé au casino.  L’ami n’a pas été témoin de l’incident ou aperçu M. Brown avec une arme à feu, mais sa déclaration place M. Brown sur les lieux de l’incident et lui attribue des déclarations incriminantes.  Le juge du procès a déclaré M. Brown coupable.  Après le procès, mais avant l’instruction de l’appel de M. Brown de ses déclarations de culpabilité, la police a obtenu deux déclarations d’un témoin qui se trouvait à quatre pas de l’endroit de </w:t>
            </w:r>
            <w:r w:rsidRPr="00305EE6">
              <w:rPr>
                <w:rFonts w:eastAsia="Calibri"/>
                <w:sz w:val="20"/>
                <w:lang w:val="fr-CA"/>
              </w:rPr>
              <w:lastRenderedPageBreak/>
              <w:t>l’incident.  Ses déclarations n’ont été communiquées qu’après le rejet de l’appel de M. Brown.</w:t>
            </w:r>
          </w:p>
          <w:p w:rsidR="00492785" w:rsidRPr="00305EE6" w:rsidRDefault="00492785" w:rsidP="00DB5F86">
            <w:pPr>
              <w:jc w:val="both"/>
              <w:rPr>
                <w:rFonts w:eastAsia="Calibri"/>
                <w:sz w:val="20"/>
                <w:lang w:val="fr-CA"/>
              </w:rPr>
            </w:pPr>
          </w:p>
        </w:tc>
      </w:tr>
      <w:tr w:rsidR="00492785" w:rsidRPr="001D3FE1"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lastRenderedPageBreak/>
              <w:t>26 novembre 2010</w:t>
            </w:r>
          </w:p>
          <w:p w:rsidR="00492785" w:rsidRPr="00305EE6" w:rsidRDefault="00492785" w:rsidP="00DB5F86">
            <w:pPr>
              <w:jc w:val="both"/>
              <w:rPr>
                <w:rFonts w:eastAsia="Calibri"/>
                <w:sz w:val="20"/>
                <w:lang w:val="fr-CA"/>
              </w:rPr>
            </w:pPr>
            <w:r w:rsidRPr="00305EE6">
              <w:rPr>
                <w:rFonts w:eastAsia="Calibri"/>
                <w:sz w:val="20"/>
                <w:lang w:val="fr-CA"/>
              </w:rPr>
              <w:t>Cour du Banc de la Reine de l’Alberta</w:t>
            </w:r>
          </w:p>
          <w:p w:rsidR="00492785" w:rsidRPr="00305EE6" w:rsidRDefault="00492785" w:rsidP="00DB5F86">
            <w:pPr>
              <w:jc w:val="both"/>
              <w:rPr>
                <w:rFonts w:eastAsia="Calibri"/>
                <w:sz w:val="20"/>
                <w:lang w:val="fr-CA"/>
              </w:rPr>
            </w:pPr>
            <w:r w:rsidRPr="00305EE6">
              <w:rPr>
                <w:rFonts w:eastAsia="Calibri"/>
                <w:sz w:val="20"/>
                <w:lang w:val="fr-CA"/>
              </w:rPr>
              <w:t>(Juge Belzil)</w:t>
            </w:r>
          </w:p>
          <w:p w:rsidR="00492785" w:rsidRPr="00305EE6" w:rsidRDefault="001D3FE1" w:rsidP="00DB5F86">
            <w:pPr>
              <w:jc w:val="both"/>
              <w:rPr>
                <w:rFonts w:eastAsia="Calibri"/>
                <w:sz w:val="20"/>
                <w:lang w:val="fr-CA"/>
              </w:rPr>
            </w:pPr>
            <w:hyperlink r:id="rId45" w:history="1">
              <w:r w:rsidR="00492785" w:rsidRPr="00305EE6">
                <w:rPr>
                  <w:rFonts w:eastAsia="Calibri"/>
                  <w:color w:val="0000FF"/>
                  <w:sz w:val="20"/>
                  <w:u w:val="single"/>
                  <w:lang w:val="fr-CA"/>
                </w:rPr>
                <w:t>2010 ABQB 720</w:t>
              </w:r>
            </w:hyperlink>
          </w:p>
          <w:p w:rsidR="00492785" w:rsidRPr="00305EE6" w:rsidRDefault="00492785" w:rsidP="00DB5F86">
            <w:pPr>
              <w:spacing w:after="120"/>
              <w:jc w:val="both"/>
              <w:rPr>
                <w:rFonts w:eastAsia="Calibri"/>
                <w:sz w:val="20"/>
                <w:lang w:val="fr-CA"/>
              </w:rPr>
            </w:pPr>
          </w:p>
        </w:tc>
        <w:tc>
          <w:tcPr>
            <w:tcW w:w="243" w:type="pct"/>
          </w:tcPr>
          <w:p w:rsidR="00492785" w:rsidRPr="00305EE6" w:rsidRDefault="00492785" w:rsidP="00DB5F86">
            <w:pPr>
              <w:jc w:val="both"/>
              <w:rPr>
                <w:rFonts w:eastAsia="Calibri"/>
                <w:sz w:val="20"/>
                <w:lang w:val="fr-CA"/>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Déclarations de culpabilité : meurtre au deuxième degré et agression armée</w:t>
            </w:r>
          </w:p>
          <w:p w:rsidR="00492785" w:rsidRPr="00305EE6" w:rsidRDefault="00492785" w:rsidP="00DB5F86">
            <w:pPr>
              <w:jc w:val="both"/>
              <w:rPr>
                <w:rFonts w:eastAsia="Calibri"/>
                <w:sz w:val="20"/>
                <w:lang w:val="fr-CA"/>
              </w:rPr>
            </w:pPr>
          </w:p>
        </w:tc>
      </w:tr>
      <w:tr w:rsidR="00492785" w:rsidRPr="00305EE6"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t>23 août 2013</w:t>
            </w:r>
          </w:p>
          <w:p w:rsidR="00492785" w:rsidRPr="00305EE6" w:rsidRDefault="00492785" w:rsidP="00DB5F86">
            <w:pPr>
              <w:jc w:val="both"/>
              <w:rPr>
                <w:rFonts w:eastAsia="Calibri"/>
                <w:sz w:val="20"/>
                <w:lang w:val="fr-CA"/>
              </w:rPr>
            </w:pPr>
            <w:r w:rsidRPr="00305EE6">
              <w:rPr>
                <w:rFonts w:eastAsia="Calibri"/>
                <w:sz w:val="20"/>
                <w:lang w:val="fr-CA"/>
              </w:rPr>
              <w:t>Cour d’appel de l’Alberta (Edmonton)</w:t>
            </w:r>
          </w:p>
          <w:p w:rsidR="00492785" w:rsidRPr="00305EE6" w:rsidRDefault="00492785" w:rsidP="00DB5F86">
            <w:pPr>
              <w:jc w:val="both"/>
              <w:rPr>
                <w:rFonts w:eastAsia="Calibri"/>
                <w:sz w:val="20"/>
              </w:rPr>
            </w:pPr>
            <w:r w:rsidRPr="00305EE6">
              <w:rPr>
                <w:rFonts w:eastAsia="Calibri"/>
                <w:sz w:val="20"/>
              </w:rPr>
              <w:t>(Juges Picard, McDonald et O'Ferrall)</w:t>
            </w:r>
          </w:p>
          <w:p w:rsidR="00492785" w:rsidRPr="00305EE6" w:rsidRDefault="00492785" w:rsidP="00DB5F86">
            <w:pPr>
              <w:jc w:val="both"/>
              <w:rPr>
                <w:rFonts w:eastAsia="Calibri"/>
                <w:sz w:val="20"/>
              </w:rPr>
            </w:pPr>
            <w:r w:rsidRPr="00305EE6">
              <w:rPr>
                <w:rFonts w:eastAsia="Calibri"/>
                <w:sz w:val="20"/>
              </w:rPr>
              <w:t xml:space="preserve">1103-0004-A; </w:t>
            </w:r>
            <w:hyperlink r:id="rId46" w:history="1">
              <w:r w:rsidRPr="00305EE6">
                <w:rPr>
                  <w:rFonts w:eastAsia="Calibri"/>
                  <w:color w:val="0000FF"/>
                  <w:sz w:val="20"/>
                  <w:u w:val="single"/>
                </w:rPr>
                <w:t>2013 ABCA 289</w:t>
              </w:r>
            </w:hyperlink>
          </w:p>
          <w:p w:rsidR="00492785" w:rsidRPr="00305EE6" w:rsidRDefault="00492785" w:rsidP="00DB5F86">
            <w:pPr>
              <w:spacing w:after="120"/>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Rejet de l’appel</w:t>
            </w:r>
          </w:p>
        </w:tc>
      </w:tr>
      <w:tr w:rsidR="00492785" w:rsidRPr="001D3FE1"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t>19 février 2015</w:t>
            </w:r>
          </w:p>
          <w:p w:rsidR="00492785" w:rsidRPr="00305EE6" w:rsidRDefault="00492785" w:rsidP="00DB5F86">
            <w:pPr>
              <w:jc w:val="both"/>
              <w:rPr>
                <w:rFonts w:eastAsia="Calibri"/>
                <w:sz w:val="20"/>
                <w:lang w:val="fr-CA"/>
              </w:rPr>
            </w:pPr>
            <w:r w:rsidRPr="00305EE6">
              <w:rPr>
                <w:rFonts w:eastAsia="Calibri"/>
                <w:sz w:val="20"/>
                <w:lang w:val="fr-CA"/>
              </w:rPr>
              <w:t>Cour suprême du Canada</w:t>
            </w:r>
          </w:p>
        </w:tc>
        <w:tc>
          <w:tcPr>
            <w:tcW w:w="243" w:type="pct"/>
          </w:tcPr>
          <w:p w:rsidR="00492785" w:rsidRPr="00305EE6" w:rsidRDefault="00492785" w:rsidP="00DB5F86">
            <w:pPr>
              <w:jc w:val="both"/>
              <w:rPr>
                <w:rFonts w:eastAsia="Calibri"/>
                <w:sz w:val="20"/>
                <w:lang w:val="fr-CA"/>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 xml:space="preserve">Dépôt de la requête en prorogation du délai de signification et de dépôt de la demande d’autorisation d’appel, de la requête en vue de produire de nouveaux éléments de preuve et de la demande d’autorisation d’appel ou de renvoi </w:t>
            </w:r>
          </w:p>
        </w:tc>
      </w:tr>
    </w:tbl>
    <w:p w:rsidR="00467AD0" w:rsidRPr="0049278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51"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4BAB" w:rsidRPr="00FE1AD8" w:rsidTr="008805B2">
        <w:trPr>
          <w:cantSplit/>
        </w:trPr>
        <w:tc>
          <w:tcPr>
            <w:tcW w:w="1458" w:type="dxa"/>
          </w:tcPr>
          <w:p w:rsidR="00E74BAB" w:rsidRPr="00FE1AD8" w:rsidRDefault="00E74BAB" w:rsidP="008805B2">
            <w:pPr>
              <w:rPr>
                <w:sz w:val="20"/>
                <w:szCs w:val="20"/>
              </w:rPr>
            </w:pPr>
            <w:r w:rsidRPr="00FE1AD8">
              <w:rPr>
                <w:rStyle w:val="SCCFileNumberChar"/>
                <w:sz w:val="20"/>
                <w:szCs w:val="20"/>
              </w:rPr>
              <w:t>36324</w:t>
            </w:r>
          </w:p>
          <w:p w:rsidR="00E74BAB" w:rsidRPr="00FE1AD8" w:rsidRDefault="00E74BAB" w:rsidP="008805B2">
            <w:pPr>
              <w:rPr>
                <w:b/>
                <w:sz w:val="20"/>
                <w:szCs w:val="20"/>
                <w:lang w:val="fr-CA"/>
              </w:rPr>
            </w:pPr>
          </w:p>
        </w:tc>
        <w:tc>
          <w:tcPr>
            <w:tcW w:w="8118" w:type="dxa"/>
          </w:tcPr>
          <w:p w:rsidR="00E74BAB" w:rsidRPr="00FE1AD8" w:rsidRDefault="00E74BAB" w:rsidP="008805B2">
            <w:pPr>
              <w:jc w:val="both"/>
              <w:rPr>
                <w:sz w:val="20"/>
                <w:szCs w:val="20"/>
              </w:rPr>
            </w:pPr>
            <w:r w:rsidRPr="00FE1AD8">
              <w:rPr>
                <w:rStyle w:val="SCCLsocChar"/>
                <w:sz w:val="20"/>
                <w:szCs w:val="20"/>
                <w:lang w:val="en-CA"/>
              </w:rPr>
              <w:t>Steven Tonner v. Real Estate Council of Ontario, Allan Johnson, Anita John and Bruce Jackson</w:t>
            </w:r>
            <w:r w:rsidRPr="00FE1AD8">
              <w:rPr>
                <w:sz w:val="20"/>
                <w:szCs w:val="20"/>
              </w:rPr>
              <w:t xml:space="preserve"> (Ont.) (Civil) (By Leave)</w:t>
            </w:r>
          </w:p>
          <w:p w:rsidR="00E74BAB" w:rsidRPr="00FE1AD8" w:rsidRDefault="00E74BAB" w:rsidP="008805B2">
            <w:pPr>
              <w:jc w:val="both"/>
              <w:rPr>
                <w:sz w:val="20"/>
                <w:szCs w:val="20"/>
              </w:rPr>
            </w:pPr>
          </w:p>
        </w:tc>
      </w:tr>
      <w:tr w:rsidR="00E74BAB" w:rsidRPr="00FE1AD8" w:rsidTr="008805B2">
        <w:trPr>
          <w:cantSplit/>
        </w:trPr>
        <w:tc>
          <w:tcPr>
            <w:tcW w:w="1458" w:type="dxa"/>
          </w:tcPr>
          <w:p w:rsidR="00E74BAB" w:rsidRPr="00FE1AD8" w:rsidRDefault="00E74BAB" w:rsidP="008805B2">
            <w:pPr>
              <w:rPr>
                <w:sz w:val="20"/>
                <w:szCs w:val="20"/>
              </w:rPr>
            </w:pPr>
            <w:r w:rsidRPr="00FE1AD8">
              <w:rPr>
                <w:sz w:val="20"/>
                <w:szCs w:val="20"/>
              </w:rPr>
              <w:t>Coram :</w:t>
            </w:r>
          </w:p>
        </w:tc>
        <w:tc>
          <w:tcPr>
            <w:tcW w:w="8118" w:type="dxa"/>
          </w:tcPr>
          <w:p w:rsidR="00E74BAB" w:rsidRPr="00FE1AD8" w:rsidRDefault="00E74BAB" w:rsidP="008805B2">
            <w:pPr>
              <w:rPr>
                <w:sz w:val="20"/>
                <w:szCs w:val="20"/>
              </w:rPr>
            </w:pPr>
            <w:r w:rsidRPr="00FE1AD8">
              <w:rPr>
                <w:rStyle w:val="SCCCoramChar"/>
                <w:sz w:val="20"/>
                <w:szCs w:val="20"/>
                <w:lang w:val="en-CA"/>
              </w:rPr>
              <w:t>Rothstein, Cromwell and Moldaver JJ.</w:t>
            </w:r>
          </w:p>
          <w:p w:rsidR="00E74BAB" w:rsidRPr="00FE1AD8" w:rsidRDefault="00E74BAB" w:rsidP="008805B2">
            <w:pPr>
              <w:rPr>
                <w:sz w:val="20"/>
                <w:szCs w:val="20"/>
                <w:u w:val="single"/>
              </w:rPr>
            </w:pPr>
          </w:p>
        </w:tc>
      </w:tr>
      <w:tr w:rsidR="00E74BAB" w:rsidRPr="001D3FE1" w:rsidTr="008805B2">
        <w:trPr>
          <w:cantSplit/>
        </w:trPr>
        <w:tc>
          <w:tcPr>
            <w:tcW w:w="9576" w:type="dxa"/>
            <w:gridSpan w:val="2"/>
          </w:tcPr>
          <w:p w:rsidR="00E74BAB" w:rsidRPr="00FE1AD8" w:rsidRDefault="00E74BAB" w:rsidP="008805B2">
            <w:pPr>
              <w:pStyle w:val="SCCShortJudgment"/>
              <w:rPr>
                <w:szCs w:val="20"/>
              </w:rPr>
            </w:pPr>
            <w:r w:rsidRPr="00FE1AD8">
              <w:rPr>
                <w:szCs w:val="20"/>
              </w:rPr>
              <w:t>The motion to join this application for leave to appeal with the applicant’s application for leave to appeal received on March 30, 2015, is dismissed. The motion for an extension of time to serve and file the application for leave to appeal from the judgment of the Court of Appeal for Ontario, Number C43012, 2008 ONCA 808, dated November 21, 2008, is dismissed. In any event, had such motion been granted, the application for leave to appeal would have been dismissed without costs.</w:t>
            </w:r>
          </w:p>
          <w:p w:rsidR="00E74BAB" w:rsidRPr="00FE1AD8" w:rsidRDefault="00E74BAB" w:rsidP="008805B2">
            <w:pPr>
              <w:pStyle w:val="SCCShortJudgment"/>
              <w:ind w:firstLine="0"/>
              <w:rPr>
                <w:szCs w:val="20"/>
              </w:rPr>
            </w:pPr>
          </w:p>
          <w:p w:rsidR="00E74BAB" w:rsidRPr="00FE1AD8" w:rsidRDefault="00E74BAB" w:rsidP="008805B2">
            <w:pPr>
              <w:pStyle w:val="SCCShortJudgment"/>
              <w:rPr>
                <w:szCs w:val="20"/>
                <w:lang w:val="fr-CA"/>
              </w:rPr>
            </w:pPr>
            <w:r w:rsidRPr="00FE1AD8">
              <w:rPr>
                <w:szCs w:val="20"/>
                <w:lang w:val="fr-CA"/>
              </w:rPr>
              <w:t>La requête sollicitant la jonction de la présente demande d’autorisation d’appel et de celle du demandeur reçue le 30 mars 2015, est rejetée. La requête en prorogation du délai de signification et de dépôt de la demande d’autorisation d’appel de l’arrêt de la Cour d’appel de l’Ontario, numéro C43012, 2008 ONCA 808, daté du 21 novembre 2008, est rejetée. Quoi qu’il en soit, même si la requête avait été accueillie, la demande d’autorisation d’appel aurait été rejetée sans dépens.</w:t>
            </w:r>
          </w:p>
        </w:tc>
      </w:tr>
    </w:tbl>
    <w:p w:rsidR="00467AD0" w:rsidRPr="00E74BAB"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i/>
                <w:sz w:val="20"/>
              </w:rPr>
              <w:t>Charter of Rights</w:t>
            </w:r>
            <w:r w:rsidRPr="0063032F">
              <w:rPr>
                <w:rFonts w:eastAsia="Calibri"/>
                <w:sz w:val="20"/>
              </w:rPr>
              <w:t xml:space="preserve"> – Right to life and security of the person – Applicant subject to disciplinary proceedings in workplace – Justice of the peace issuing information and summonses against respondents for alleged breaches of </w:t>
            </w:r>
            <w:r w:rsidRPr="0063032F">
              <w:rPr>
                <w:rFonts w:eastAsia="Calibri"/>
                <w:i/>
                <w:sz w:val="20"/>
              </w:rPr>
              <w:t>Real Estate and Business Brokers Act</w:t>
            </w:r>
            <w:r w:rsidRPr="0063032F">
              <w:rPr>
                <w:rFonts w:eastAsia="Calibri"/>
                <w:sz w:val="20"/>
              </w:rPr>
              <w:t>, R.S.O. 1990, c. R.4. – Applicant seeking order for constitutional damages for false arrest, false imprisonment, sexual assault, criminal harassment and disobeying court order</w:t>
            </w:r>
          </w:p>
        </w:tc>
      </w:tr>
      <w:tr w:rsidR="00492785" w:rsidRPr="0063032F" w:rsidTr="00DB5F86">
        <w:tc>
          <w:tcPr>
            <w:tcW w:w="5000" w:type="pct"/>
            <w:gridSpan w:val="3"/>
          </w:tcPr>
          <w:p w:rsidR="00492785" w:rsidRPr="0063032F" w:rsidRDefault="00492785" w:rsidP="00DB5F86">
            <w:pPr>
              <w:jc w:val="both"/>
              <w:rPr>
                <w:rFonts w:eastAsia="Calibri"/>
                <w:sz w:val="20"/>
              </w:rPr>
            </w:pPr>
          </w:p>
        </w:tc>
      </w:tr>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sz w:val="20"/>
              </w:rPr>
              <w:t xml:space="preserve">Mr. Tonner was a licensed real estate salesman for twenty years when he became the subject of disciplinary proceedings before the Real Estate Council of Ontario (“RECO”).  The panel found him guilty of professional misconduct and he was ordered to pay a penalty of $5,000.  He sought to appeal the order and also applied before a justice of the peace to have summonses issued against the respondents for allegedly breaching the </w:t>
            </w:r>
            <w:r w:rsidRPr="0063032F">
              <w:rPr>
                <w:rFonts w:eastAsia="Calibri"/>
                <w:i/>
                <w:sz w:val="20"/>
              </w:rPr>
              <w:t>Real Estate and Business Brokers Act.</w:t>
            </w:r>
            <w:r w:rsidRPr="0063032F">
              <w:rPr>
                <w:rFonts w:eastAsia="Calibri"/>
                <w:sz w:val="20"/>
              </w:rPr>
              <w:t xml:space="preserve">  The appeal was dismissed and the penalty upheld.  The respondents applied to quash the </w:t>
            </w:r>
            <w:r w:rsidRPr="0063032F">
              <w:rPr>
                <w:rFonts w:eastAsia="Calibri"/>
                <w:sz w:val="20"/>
              </w:rPr>
              <w:lastRenderedPageBreak/>
              <w:t xml:space="preserve">summonses. </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lastRenderedPageBreak/>
              <w:t>January 19, 2005</w:t>
            </w:r>
          </w:p>
          <w:p w:rsidR="00492785" w:rsidRPr="0063032F" w:rsidRDefault="00492785" w:rsidP="00DB5F86">
            <w:pPr>
              <w:jc w:val="both"/>
              <w:rPr>
                <w:rFonts w:eastAsia="Calibri"/>
                <w:sz w:val="20"/>
              </w:rPr>
            </w:pPr>
            <w:r w:rsidRPr="0063032F">
              <w:rPr>
                <w:rFonts w:eastAsia="Calibri"/>
                <w:sz w:val="20"/>
              </w:rPr>
              <w:t>Ontario Superior Court of Justice</w:t>
            </w:r>
          </w:p>
          <w:p w:rsidR="00492785" w:rsidRPr="0063032F" w:rsidRDefault="00492785" w:rsidP="00DB5F86">
            <w:pPr>
              <w:jc w:val="both"/>
              <w:rPr>
                <w:rFonts w:eastAsia="Calibri"/>
                <w:sz w:val="20"/>
              </w:rPr>
            </w:pPr>
            <w:r w:rsidRPr="0063032F">
              <w:rPr>
                <w:rFonts w:eastAsia="Calibri"/>
                <w:sz w:val="20"/>
              </w:rPr>
              <w:t>(McCombs J.)</w:t>
            </w:r>
          </w:p>
          <w:p w:rsidR="00492785" w:rsidRPr="0063032F" w:rsidRDefault="00492785" w:rsidP="00DB5F86">
            <w:pPr>
              <w:jc w:val="both"/>
              <w:rPr>
                <w:rFonts w:eastAsia="Calibri"/>
                <w:sz w:val="20"/>
              </w:rPr>
            </w:pPr>
            <w:r w:rsidRPr="0063032F">
              <w:rPr>
                <w:rFonts w:eastAsia="Calibri"/>
                <w:sz w:val="20"/>
              </w:rPr>
              <w:t>Unreported</w:t>
            </w:r>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 xml:space="preserve">Order quashing summonses issued by justice of the peace  </w:t>
            </w:r>
          </w:p>
          <w:p w:rsidR="00492785" w:rsidRPr="0063032F" w:rsidRDefault="00492785" w:rsidP="00DB5F86">
            <w:pPr>
              <w:jc w:val="both"/>
              <w:rPr>
                <w:rFonts w:eastAsia="Calibri"/>
                <w:sz w:val="20"/>
              </w:rPr>
            </w:pP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061E7E" w:rsidP="00DB5F86">
            <w:pPr>
              <w:jc w:val="both"/>
              <w:rPr>
                <w:rFonts w:eastAsia="Calibri"/>
                <w:sz w:val="20"/>
              </w:rPr>
            </w:pPr>
            <w:r>
              <w:rPr>
                <w:rFonts w:eastAsia="Calibri"/>
                <w:sz w:val="20"/>
              </w:rPr>
              <w:t>Nov</w:t>
            </w:r>
            <w:r w:rsidR="00492785" w:rsidRPr="0063032F">
              <w:rPr>
                <w:rFonts w:eastAsia="Calibri"/>
                <w:sz w:val="20"/>
              </w:rPr>
              <w:t xml:space="preserve">ember </w:t>
            </w:r>
            <w:r>
              <w:rPr>
                <w:rFonts w:eastAsia="Calibri"/>
                <w:sz w:val="20"/>
              </w:rPr>
              <w:t>2</w:t>
            </w:r>
            <w:r w:rsidR="00492785" w:rsidRPr="0063032F">
              <w:rPr>
                <w:rFonts w:eastAsia="Calibri"/>
                <w:sz w:val="20"/>
              </w:rPr>
              <w:t>1, 2008</w:t>
            </w:r>
          </w:p>
          <w:p w:rsidR="00492785" w:rsidRPr="0063032F" w:rsidRDefault="00492785" w:rsidP="00DB5F86">
            <w:pPr>
              <w:jc w:val="both"/>
              <w:rPr>
                <w:rFonts w:eastAsia="Calibri"/>
                <w:sz w:val="20"/>
              </w:rPr>
            </w:pPr>
            <w:r w:rsidRPr="0063032F">
              <w:rPr>
                <w:rFonts w:eastAsia="Calibri"/>
                <w:sz w:val="20"/>
              </w:rPr>
              <w:t>Court of Appeal for Ontario</w:t>
            </w:r>
          </w:p>
          <w:p w:rsidR="00492785" w:rsidRPr="0063032F" w:rsidRDefault="00492785" w:rsidP="00DB5F86">
            <w:pPr>
              <w:jc w:val="both"/>
              <w:rPr>
                <w:rFonts w:eastAsia="Calibri"/>
                <w:sz w:val="20"/>
              </w:rPr>
            </w:pPr>
            <w:r w:rsidRPr="0063032F">
              <w:rPr>
                <w:rFonts w:eastAsia="Calibri"/>
                <w:sz w:val="20"/>
              </w:rPr>
              <w:t>(Rosenberg, Feldman, Simmons JJ.A.)</w:t>
            </w:r>
          </w:p>
          <w:p w:rsidR="00492785" w:rsidRPr="0063032F" w:rsidRDefault="00492785" w:rsidP="00DB5F86">
            <w:pPr>
              <w:jc w:val="both"/>
              <w:rPr>
                <w:rFonts w:eastAsia="Calibri"/>
                <w:sz w:val="20"/>
              </w:rPr>
            </w:pPr>
            <w:r w:rsidRPr="0063032F">
              <w:rPr>
                <w:rFonts w:eastAsia="Calibri"/>
                <w:sz w:val="20"/>
              </w:rPr>
              <w:t>2008 ONCA 808</w:t>
            </w:r>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Applicant’s appeal allowed in part; order of McCombs J. revised; quashing order upheld</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November 14, 2014</w:t>
            </w:r>
          </w:p>
          <w:p w:rsidR="00492785" w:rsidRPr="0063032F" w:rsidRDefault="00492785" w:rsidP="00DB5F86">
            <w:pPr>
              <w:jc w:val="both"/>
              <w:rPr>
                <w:rFonts w:eastAsia="Calibri"/>
                <w:sz w:val="20"/>
              </w:rPr>
            </w:pPr>
            <w:r w:rsidRPr="0063032F">
              <w:rPr>
                <w:rFonts w:eastAsia="Calibri"/>
                <w:sz w:val="20"/>
              </w:rPr>
              <w:t>Supreme Court of Canada</w:t>
            </w:r>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Application for leave to appeal filed</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February 3, 2015</w:t>
            </w:r>
          </w:p>
          <w:p w:rsidR="00492785" w:rsidRPr="0063032F" w:rsidRDefault="00492785" w:rsidP="00DB5F86">
            <w:pPr>
              <w:jc w:val="both"/>
              <w:rPr>
                <w:rFonts w:eastAsia="Calibri"/>
                <w:sz w:val="20"/>
              </w:rPr>
            </w:pPr>
            <w:r w:rsidRPr="0063032F">
              <w:rPr>
                <w:rFonts w:eastAsia="Calibri"/>
                <w:sz w:val="20"/>
              </w:rPr>
              <w:t>Supreme Court of Canada</w:t>
            </w: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Motion to extend time to serve and file leave application</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52"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1D3FE1" w:rsidTr="00DB5F86">
        <w:tc>
          <w:tcPr>
            <w:tcW w:w="5000" w:type="pct"/>
            <w:gridSpan w:val="3"/>
          </w:tcPr>
          <w:p w:rsidR="00492785" w:rsidRPr="0063032F" w:rsidRDefault="00492785" w:rsidP="00DB5F86">
            <w:pPr>
              <w:jc w:val="both"/>
              <w:rPr>
                <w:rFonts w:eastAsia="Calibri"/>
                <w:sz w:val="20"/>
                <w:lang w:val="fr-CA"/>
              </w:rPr>
            </w:pPr>
            <w:r w:rsidRPr="0063032F">
              <w:rPr>
                <w:rFonts w:eastAsia="Calibri"/>
                <w:i/>
                <w:sz w:val="20"/>
                <w:lang w:val="fr-CA"/>
              </w:rPr>
              <w:t>Charte des droits</w:t>
            </w:r>
            <w:r w:rsidRPr="0063032F">
              <w:rPr>
                <w:rFonts w:eastAsia="Calibri"/>
                <w:sz w:val="20"/>
                <w:lang w:val="fr-CA"/>
              </w:rPr>
              <w:t xml:space="preserve"> – Droit à la vie et à la sécurité de la personne – Le demandeur a été l’objet d’une instance disciplinaire en milieu de travail – Un juge de paix a décerné une dénonciation et des sommations contre les intimés pour des violations présumées à la </w:t>
            </w:r>
            <w:r w:rsidRPr="0063032F">
              <w:rPr>
                <w:rFonts w:eastAsia="Calibri"/>
                <w:i/>
                <w:sz w:val="20"/>
                <w:lang w:val="fr-CA"/>
              </w:rPr>
              <w:t>Loi sur le courtage commercial et immobilier</w:t>
            </w:r>
            <w:r w:rsidRPr="0063032F">
              <w:rPr>
                <w:rFonts w:eastAsia="Calibri"/>
                <w:sz w:val="20"/>
                <w:lang w:val="fr-CA"/>
              </w:rPr>
              <w:t>, L.R.O. 1990, ch. R.4. – Le demandeur sollicite une ordonnance en vue d’obtenir des dommages-intérêts en matière constitutionnelle pour arrestation illégale, séquestration, agression sexuelle, harcèlement criminel et désobéissance à une ordonnance judiciaire.</w:t>
            </w:r>
          </w:p>
        </w:tc>
      </w:tr>
      <w:tr w:rsidR="00492785" w:rsidRPr="001D3FE1" w:rsidTr="00DB5F86">
        <w:tc>
          <w:tcPr>
            <w:tcW w:w="5000" w:type="pct"/>
            <w:gridSpan w:val="3"/>
          </w:tcPr>
          <w:p w:rsidR="00492785" w:rsidRPr="0063032F" w:rsidRDefault="00492785" w:rsidP="00DB5F86">
            <w:pPr>
              <w:jc w:val="both"/>
              <w:rPr>
                <w:rFonts w:eastAsia="Calibri"/>
                <w:sz w:val="20"/>
                <w:lang w:val="fr-CA"/>
              </w:rPr>
            </w:pPr>
          </w:p>
        </w:tc>
      </w:tr>
      <w:tr w:rsidR="00492785" w:rsidRPr="0063032F" w:rsidTr="00DB5F86">
        <w:tc>
          <w:tcPr>
            <w:tcW w:w="5000" w:type="pct"/>
            <w:gridSpan w:val="3"/>
          </w:tcPr>
          <w:p w:rsidR="00492785" w:rsidRPr="0063032F" w:rsidRDefault="00492785" w:rsidP="00DB5F86">
            <w:pPr>
              <w:jc w:val="both"/>
              <w:rPr>
                <w:rFonts w:eastAsia="Calibri"/>
                <w:sz w:val="20"/>
                <w:lang w:val="fr-CA"/>
              </w:rPr>
            </w:pPr>
            <w:r w:rsidRPr="0063032F">
              <w:rPr>
                <w:rFonts w:eastAsia="Calibri"/>
                <w:sz w:val="20"/>
                <w:lang w:val="fr-CA"/>
              </w:rPr>
              <w:t xml:space="preserve">Monsieur Tonner était agent immobilier agréé depuis vingt ans lorsqu’il a été l’objet d’une instance disciplinaire devant le Conseil ontarien de l’immobilier (« COI »).  Le Conseil l’a reconnu coupable d’inconduite professionnelle et lui a imposé une pénalité de 5 000 $.  Il a voulu interjeter appel de l’ordonnance et demandé à un juge de paix de décerner des sommations contre les intimés pour avoir censément violé la </w:t>
            </w:r>
            <w:r w:rsidRPr="0063032F">
              <w:rPr>
                <w:rFonts w:eastAsia="Calibri"/>
                <w:i/>
                <w:sz w:val="20"/>
                <w:lang w:val="fr-CA"/>
              </w:rPr>
              <w:t>Loi sur le courtage commercial et immobilier.</w:t>
            </w:r>
            <w:r w:rsidRPr="0063032F">
              <w:rPr>
                <w:rFonts w:eastAsia="Calibri"/>
                <w:sz w:val="20"/>
                <w:lang w:val="fr-CA"/>
              </w:rPr>
              <w:t xml:space="preserve">  L’appel a été rejeté et la pénalité a été maintenue.  Les intimés ont demandé l’annulation des sommations. </w:t>
            </w:r>
          </w:p>
          <w:p w:rsidR="00492785" w:rsidRPr="0063032F" w:rsidRDefault="00492785" w:rsidP="00DB5F86">
            <w:pPr>
              <w:jc w:val="both"/>
              <w:rPr>
                <w:rFonts w:eastAsia="Calibri"/>
                <w:sz w:val="20"/>
                <w:lang w:val="fr-CA"/>
              </w:rPr>
            </w:pPr>
          </w:p>
        </w:tc>
      </w:tr>
      <w:tr w:rsidR="00492785" w:rsidRPr="001D3FE1"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19 janvier 2005</w:t>
            </w:r>
          </w:p>
          <w:p w:rsidR="00492785" w:rsidRPr="0063032F" w:rsidRDefault="00492785" w:rsidP="00DB5F86">
            <w:pPr>
              <w:jc w:val="both"/>
              <w:rPr>
                <w:rFonts w:eastAsia="Calibri"/>
                <w:sz w:val="20"/>
                <w:lang w:val="fr-CA"/>
              </w:rPr>
            </w:pPr>
            <w:r w:rsidRPr="0063032F">
              <w:rPr>
                <w:rFonts w:eastAsia="Calibri"/>
                <w:sz w:val="20"/>
                <w:lang w:val="fr-CA"/>
              </w:rPr>
              <w:t>Cour supérieure de justice de l’Ontario</w:t>
            </w:r>
          </w:p>
          <w:p w:rsidR="00492785" w:rsidRPr="0063032F" w:rsidRDefault="00492785" w:rsidP="00DB5F86">
            <w:pPr>
              <w:jc w:val="both"/>
              <w:rPr>
                <w:rFonts w:eastAsia="Calibri"/>
                <w:sz w:val="20"/>
                <w:lang w:val="fr-CA"/>
              </w:rPr>
            </w:pPr>
            <w:r w:rsidRPr="0063032F">
              <w:rPr>
                <w:rFonts w:eastAsia="Calibri"/>
                <w:sz w:val="20"/>
                <w:lang w:val="fr-CA"/>
              </w:rPr>
              <w:t>(Juge McCombs)</w:t>
            </w:r>
          </w:p>
          <w:p w:rsidR="00492785" w:rsidRPr="0063032F" w:rsidRDefault="00492785" w:rsidP="00DB5F86">
            <w:pPr>
              <w:jc w:val="both"/>
              <w:rPr>
                <w:rFonts w:eastAsia="Calibri"/>
                <w:sz w:val="20"/>
                <w:lang w:val="fr-CA"/>
              </w:rPr>
            </w:pPr>
            <w:r w:rsidRPr="0063032F">
              <w:rPr>
                <w:rFonts w:eastAsia="Calibri"/>
                <w:sz w:val="20"/>
                <w:lang w:val="fr-CA"/>
              </w:rPr>
              <w:t>Non publié</w:t>
            </w:r>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Annulation des sommations décernées par le juge de paix</w:t>
            </w:r>
          </w:p>
          <w:p w:rsidR="00492785" w:rsidRPr="0063032F" w:rsidRDefault="00492785" w:rsidP="00DB5F86">
            <w:pPr>
              <w:jc w:val="both"/>
              <w:rPr>
                <w:rFonts w:eastAsia="Calibri"/>
                <w:sz w:val="20"/>
                <w:lang w:val="fr-CA"/>
              </w:rPr>
            </w:pPr>
          </w:p>
        </w:tc>
      </w:tr>
      <w:tr w:rsidR="00492785" w:rsidRPr="00C11D3B" w:rsidTr="00DB5F86">
        <w:tc>
          <w:tcPr>
            <w:tcW w:w="2427" w:type="pct"/>
          </w:tcPr>
          <w:p w:rsidR="00492785" w:rsidRPr="0063032F" w:rsidRDefault="00061E7E" w:rsidP="00DB5F86">
            <w:pPr>
              <w:jc w:val="both"/>
              <w:rPr>
                <w:rFonts w:eastAsia="Calibri"/>
                <w:sz w:val="20"/>
                <w:lang w:val="fr-CA"/>
              </w:rPr>
            </w:pPr>
            <w:r>
              <w:rPr>
                <w:rFonts w:eastAsia="Calibri"/>
                <w:sz w:val="20"/>
                <w:lang w:val="fr-CA"/>
              </w:rPr>
              <w:t>2</w:t>
            </w:r>
            <w:r w:rsidR="00492785" w:rsidRPr="0063032F">
              <w:rPr>
                <w:rFonts w:eastAsia="Calibri"/>
                <w:sz w:val="20"/>
                <w:lang w:val="fr-CA"/>
              </w:rPr>
              <w:t xml:space="preserve">1 </w:t>
            </w:r>
            <w:r>
              <w:rPr>
                <w:rFonts w:eastAsia="Calibri"/>
                <w:sz w:val="20"/>
                <w:lang w:val="fr-CA"/>
              </w:rPr>
              <w:t>nov</w:t>
            </w:r>
            <w:r w:rsidR="00492785" w:rsidRPr="0063032F">
              <w:rPr>
                <w:rFonts w:eastAsia="Calibri"/>
                <w:sz w:val="20"/>
                <w:lang w:val="fr-CA"/>
              </w:rPr>
              <w:t>embre 2008</w:t>
            </w:r>
          </w:p>
          <w:p w:rsidR="00492785" w:rsidRPr="0063032F" w:rsidRDefault="00492785" w:rsidP="00DB5F86">
            <w:pPr>
              <w:jc w:val="both"/>
              <w:rPr>
                <w:rFonts w:eastAsia="Calibri"/>
                <w:sz w:val="20"/>
                <w:lang w:val="fr-CA"/>
              </w:rPr>
            </w:pPr>
            <w:r w:rsidRPr="0063032F">
              <w:rPr>
                <w:rFonts w:eastAsia="Calibri"/>
                <w:sz w:val="20"/>
                <w:lang w:val="fr-CA"/>
              </w:rPr>
              <w:t>Cour d’appel de l’Ontario</w:t>
            </w:r>
          </w:p>
          <w:p w:rsidR="00492785" w:rsidRPr="0063032F" w:rsidRDefault="00492785" w:rsidP="00DB5F86">
            <w:pPr>
              <w:jc w:val="both"/>
              <w:rPr>
                <w:rFonts w:eastAsia="Calibri"/>
                <w:sz w:val="20"/>
                <w:lang w:val="fr-CA"/>
              </w:rPr>
            </w:pPr>
            <w:r w:rsidRPr="0063032F">
              <w:rPr>
                <w:rFonts w:eastAsia="Calibri"/>
                <w:sz w:val="20"/>
                <w:lang w:val="fr-CA"/>
              </w:rPr>
              <w:t>(Juges Rosenberg, Feldman et Simmons)</w:t>
            </w:r>
          </w:p>
          <w:p w:rsidR="00492785" w:rsidRPr="0063032F" w:rsidRDefault="00492785" w:rsidP="00DB5F86">
            <w:pPr>
              <w:jc w:val="both"/>
              <w:rPr>
                <w:rFonts w:eastAsia="Calibri"/>
                <w:sz w:val="20"/>
                <w:lang w:val="fr-CA"/>
              </w:rPr>
            </w:pPr>
            <w:r w:rsidRPr="0063032F">
              <w:rPr>
                <w:rFonts w:eastAsia="Calibri"/>
                <w:sz w:val="20"/>
                <w:lang w:val="fr-CA"/>
              </w:rPr>
              <w:t>2008 ONCA 808</w:t>
            </w:r>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Arrêt accueillant en partie l’appel du demandeur; révision de l’ordonnance du juge McCombs; confirmation de l’ordonnance d’annulation</w:t>
            </w:r>
          </w:p>
          <w:p w:rsidR="00492785" w:rsidRPr="0063032F" w:rsidRDefault="00492785" w:rsidP="00DB5F86">
            <w:pPr>
              <w:jc w:val="both"/>
              <w:rPr>
                <w:rFonts w:eastAsia="Calibri"/>
                <w:sz w:val="20"/>
                <w:lang w:val="fr-CA"/>
              </w:rPr>
            </w:pPr>
          </w:p>
        </w:tc>
      </w:tr>
      <w:tr w:rsidR="00492785" w:rsidRPr="00C11D3B"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14 novembre 2014</w:t>
            </w:r>
          </w:p>
          <w:p w:rsidR="00492785" w:rsidRPr="0063032F" w:rsidRDefault="00492785" w:rsidP="00DB5F86">
            <w:pPr>
              <w:jc w:val="both"/>
              <w:rPr>
                <w:rFonts w:eastAsia="Calibri"/>
                <w:sz w:val="20"/>
                <w:lang w:val="fr-CA"/>
              </w:rPr>
            </w:pPr>
            <w:r w:rsidRPr="0063032F">
              <w:rPr>
                <w:rFonts w:eastAsia="Calibri"/>
                <w:sz w:val="20"/>
                <w:lang w:val="fr-CA"/>
              </w:rPr>
              <w:t>Cour suprême du Canada</w:t>
            </w:r>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Dépôt de la demande d’autorisation d’appel</w:t>
            </w:r>
          </w:p>
          <w:p w:rsidR="00492785" w:rsidRPr="0063032F" w:rsidRDefault="00492785" w:rsidP="00DB5F86">
            <w:pPr>
              <w:jc w:val="both"/>
              <w:rPr>
                <w:rFonts w:eastAsia="Calibri"/>
                <w:sz w:val="20"/>
                <w:lang w:val="fr-CA"/>
              </w:rPr>
            </w:pPr>
          </w:p>
        </w:tc>
      </w:tr>
      <w:tr w:rsidR="00492785" w:rsidRPr="00C11D3B" w:rsidTr="00E74BAB">
        <w:trPr>
          <w:cantSplit/>
        </w:trPr>
        <w:tc>
          <w:tcPr>
            <w:tcW w:w="2427" w:type="pct"/>
          </w:tcPr>
          <w:p w:rsidR="00492785" w:rsidRPr="0063032F" w:rsidRDefault="00492785" w:rsidP="00DB5F86">
            <w:pPr>
              <w:jc w:val="both"/>
              <w:rPr>
                <w:rFonts w:eastAsia="Calibri"/>
                <w:sz w:val="20"/>
                <w:lang w:val="fr-CA"/>
              </w:rPr>
            </w:pPr>
            <w:r w:rsidRPr="0063032F">
              <w:rPr>
                <w:rFonts w:eastAsia="Calibri"/>
                <w:sz w:val="20"/>
                <w:lang w:val="fr-CA"/>
              </w:rPr>
              <w:lastRenderedPageBreak/>
              <w:t>3 février 2015</w:t>
            </w:r>
          </w:p>
          <w:p w:rsidR="00492785" w:rsidRPr="0063032F" w:rsidRDefault="00492785" w:rsidP="00DB5F86">
            <w:pPr>
              <w:jc w:val="both"/>
              <w:rPr>
                <w:rFonts w:eastAsia="Calibri"/>
                <w:sz w:val="20"/>
                <w:lang w:val="fr-CA"/>
              </w:rPr>
            </w:pPr>
            <w:r w:rsidRPr="0063032F">
              <w:rPr>
                <w:rFonts w:eastAsia="Calibri"/>
                <w:sz w:val="20"/>
                <w:lang w:val="fr-CA"/>
              </w:rPr>
              <w:t>Cour suprême du Canada</w:t>
            </w: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Requête en prorogation du délai de signification et de dépôt de la demande d’autorisation d’appel</w:t>
            </w:r>
          </w:p>
        </w:tc>
      </w:tr>
    </w:tbl>
    <w:p w:rsidR="00467AD0" w:rsidRPr="0049278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53"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4BAB" w:rsidRPr="00FE1AD8" w:rsidTr="008805B2">
        <w:trPr>
          <w:cantSplit/>
        </w:trPr>
        <w:tc>
          <w:tcPr>
            <w:tcW w:w="1458" w:type="dxa"/>
          </w:tcPr>
          <w:p w:rsidR="00E74BAB" w:rsidRPr="00FE1AD8" w:rsidRDefault="00E74BAB" w:rsidP="008805B2">
            <w:pPr>
              <w:rPr>
                <w:sz w:val="20"/>
                <w:szCs w:val="20"/>
              </w:rPr>
            </w:pPr>
            <w:r w:rsidRPr="00FE1AD8">
              <w:rPr>
                <w:rStyle w:val="SCCFileNumberChar"/>
                <w:sz w:val="20"/>
                <w:szCs w:val="20"/>
              </w:rPr>
              <w:t>36346</w:t>
            </w:r>
          </w:p>
          <w:p w:rsidR="00E74BAB" w:rsidRPr="00FE1AD8" w:rsidRDefault="00E74BAB" w:rsidP="008805B2">
            <w:pPr>
              <w:rPr>
                <w:b/>
                <w:sz w:val="20"/>
                <w:szCs w:val="20"/>
                <w:lang w:val="fr-CA"/>
              </w:rPr>
            </w:pPr>
          </w:p>
        </w:tc>
        <w:tc>
          <w:tcPr>
            <w:tcW w:w="8118" w:type="dxa"/>
          </w:tcPr>
          <w:p w:rsidR="00E74BAB" w:rsidRPr="00FE1AD8" w:rsidRDefault="00E74BAB" w:rsidP="008805B2">
            <w:pPr>
              <w:rPr>
                <w:sz w:val="20"/>
                <w:szCs w:val="20"/>
              </w:rPr>
            </w:pPr>
            <w:r w:rsidRPr="00FE1AD8">
              <w:rPr>
                <w:rStyle w:val="SCCLsocChar"/>
                <w:sz w:val="20"/>
                <w:szCs w:val="20"/>
                <w:lang w:val="en-CA"/>
              </w:rPr>
              <w:t>Michael Erin Briscoe v. Her Majesty the Queen</w:t>
            </w:r>
            <w:r w:rsidRPr="00FE1AD8">
              <w:rPr>
                <w:sz w:val="20"/>
                <w:szCs w:val="20"/>
              </w:rPr>
              <w:t xml:space="preserve"> (Alta.) (Criminal) (By Leave)</w:t>
            </w:r>
          </w:p>
          <w:p w:rsidR="00E74BAB" w:rsidRPr="00FE1AD8" w:rsidRDefault="00E74BAB" w:rsidP="008805B2">
            <w:pPr>
              <w:rPr>
                <w:sz w:val="20"/>
                <w:szCs w:val="20"/>
              </w:rPr>
            </w:pPr>
          </w:p>
        </w:tc>
      </w:tr>
      <w:tr w:rsidR="00E74BAB" w:rsidRPr="00FE1AD8" w:rsidTr="008805B2">
        <w:trPr>
          <w:cantSplit/>
        </w:trPr>
        <w:tc>
          <w:tcPr>
            <w:tcW w:w="1458" w:type="dxa"/>
          </w:tcPr>
          <w:p w:rsidR="00E74BAB" w:rsidRPr="00FE1AD8" w:rsidRDefault="00E74BAB" w:rsidP="008805B2">
            <w:pPr>
              <w:rPr>
                <w:sz w:val="20"/>
                <w:szCs w:val="20"/>
              </w:rPr>
            </w:pPr>
            <w:r w:rsidRPr="00FE1AD8">
              <w:rPr>
                <w:sz w:val="20"/>
                <w:szCs w:val="20"/>
              </w:rPr>
              <w:t>Coram :</w:t>
            </w:r>
          </w:p>
        </w:tc>
        <w:tc>
          <w:tcPr>
            <w:tcW w:w="8118" w:type="dxa"/>
          </w:tcPr>
          <w:p w:rsidR="00E74BAB" w:rsidRPr="00FE1AD8" w:rsidRDefault="00E74BAB" w:rsidP="008805B2">
            <w:pPr>
              <w:rPr>
                <w:sz w:val="20"/>
                <w:szCs w:val="20"/>
              </w:rPr>
            </w:pPr>
            <w:r w:rsidRPr="00FE1AD8">
              <w:rPr>
                <w:rStyle w:val="SCCCoramChar"/>
                <w:sz w:val="20"/>
                <w:szCs w:val="20"/>
                <w:lang w:val="en-CA"/>
              </w:rPr>
              <w:t>Rothstein, Cromwell and Moldaver JJ.</w:t>
            </w:r>
          </w:p>
          <w:p w:rsidR="00E74BAB" w:rsidRPr="00FE1AD8" w:rsidRDefault="00E74BAB" w:rsidP="008805B2">
            <w:pPr>
              <w:rPr>
                <w:sz w:val="20"/>
                <w:szCs w:val="20"/>
                <w:u w:val="single"/>
              </w:rPr>
            </w:pPr>
          </w:p>
        </w:tc>
      </w:tr>
      <w:tr w:rsidR="00E74BAB" w:rsidRPr="00C11D3B" w:rsidTr="008805B2">
        <w:trPr>
          <w:cantSplit/>
        </w:trPr>
        <w:tc>
          <w:tcPr>
            <w:tcW w:w="9576" w:type="dxa"/>
            <w:gridSpan w:val="2"/>
          </w:tcPr>
          <w:p w:rsidR="00E74BAB" w:rsidRPr="00FE1AD8" w:rsidRDefault="00E74BAB" w:rsidP="008805B2">
            <w:pPr>
              <w:pStyle w:val="SCCShortJudgment"/>
              <w:rPr>
                <w:szCs w:val="20"/>
              </w:rPr>
            </w:pPr>
            <w:r w:rsidRPr="00FE1AD8">
              <w:rPr>
                <w:szCs w:val="20"/>
              </w:rPr>
              <w:t>The motion for an extension of time to serve and file the application for leave to appeal is granted. The application for leave to appeal from the judgment of the Court of Appeal of Alberta (Edmonton), Number 1203-0083-A, 2015 ABCA 2, dated January 8, 2015, is dismissed.</w:t>
            </w:r>
          </w:p>
          <w:p w:rsidR="00E74BAB" w:rsidRPr="00FE1AD8" w:rsidRDefault="00E74BAB" w:rsidP="008805B2">
            <w:pPr>
              <w:pStyle w:val="SCCShortJudgment"/>
              <w:ind w:firstLine="0"/>
              <w:rPr>
                <w:szCs w:val="20"/>
              </w:rPr>
            </w:pPr>
          </w:p>
          <w:p w:rsidR="00E74BAB" w:rsidRPr="00FE1AD8" w:rsidRDefault="00E74BAB" w:rsidP="008805B2">
            <w:pPr>
              <w:pStyle w:val="SCCShortJudgment"/>
              <w:rPr>
                <w:szCs w:val="20"/>
                <w:lang w:val="fr-CA"/>
              </w:rPr>
            </w:pPr>
            <w:r w:rsidRPr="00FE1AD8">
              <w:rPr>
                <w:szCs w:val="20"/>
                <w:lang w:val="fr-CA"/>
              </w:rPr>
              <w:t>La requête en prorogation du délai de signification et de dépôt de la demande d’autorisation d’appel est accueillie. La demande d’autorisation d’appel de l’arrêt de la Cour d’appel de l’Alberta (Edmonton), numéro 1203-0083-A, 2015 ABCA 2, daté du 8 janvier 2015, est rejetée.</w:t>
            </w:r>
          </w:p>
        </w:tc>
      </w:tr>
    </w:tbl>
    <w:p w:rsidR="00467AD0" w:rsidRPr="00E74BAB"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63032F" w:rsidTr="00DB5F86">
        <w:tc>
          <w:tcPr>
            <w:tcW w:w="5000" w:type="pct"/>
            <w:gridSpan w:val="3"/>
          </w:tcPr>
          <w:p w:rsidR="00492785" w:rsidRPr="0063032F" w:rsidRDefault="00492785" w:rsidP="00DB5F86">
            <w:pPr>
              <w:jc w:val="both"/>
              <w:rPr>
                <w:rFonts w:eastAsia="Calibri"/>
                <w:smallCaps/>
                <w:sz w:val="20"/>
              </w:rPr>
            </w:pPr>
            <w:r w:rsidRPr="0063032F">
              <w:rPr>
                <w:rFonts w:eastAsia="Calibri"/>
                <w:smallCaps/>
                <w:sz w:val="20"/>
              </w:rPr>
              <w:t xml:space="preserve">(Publication </w:t>
            </w:r>
            <w:r>
              <w:rPr>
                <w:rFonts w:eastAsia="Calibri"/>
                <w:smallCaps/>
                <w:sz w:val="20"/>
              </w:rPr>
              <w:t>B</w:t>
            </w:r>
            <w:r w:rsidRPr="0063032F">
              <w:rPr>
                <w:rFonts w:eastAsia="Calibri"/>
                <w:smallCaps/>
                <w:sz w:val="20"/>
              </w:rPr>
              <w:t xml:space="preserve">an in </w:t>
            </w:r>
            <w:r>
              <w:rPr>
                <w:rFonts w:eastAsia="Calibri"/>
                <w:smallCaps/>
                <w:sz w:val="20"/>
              </w:rPr>
              <w:t>C</w:t>
            </w:r>
            <w:r w:rsidRPr="0063032F">
              <w:rPr>
                <w:rFonts w:eastAsia="Calibri"/>
                <w:smallCaps/>
                <w:sz w:val="20"/>
              </w:rPr>
              <w:t>ase)</w:t>
            </w:r>
          </w:p>
          <w:p w:rsidR="00492785" w:rsidRPr="0063032F" w:rsidRDefault="00492785" w:rsidP="00DB5F86">
            <w:pPr>
              <w:jc w:val="both"/>
              <w:rPr>
                <w:rFonts w:eastAsia="Calibri"/>
                <w:sz w:val="20"/>
              </w:rPr>
            </w:pPr>
          </w:p>
        </w:tc>
      </w:tr>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i/>
                <w:sz w:val="20"/>
              </w:rPr>
              <w:t>Charter of Rights and Freedoms</w:t>
            </w:r>
            <w:r w:rsidRPr="0063032F">
              <w:rPr>
                <w:rFonts w:eastAsia="Calibri"/>
                <w:sz w:val="20"/>
              </w:rPr>
              <w:t xml:space="preserve"> – Right to counsel – Applicant’s 10(b) </w:t>
            </w:r>
            <w:r w:rsidRPr="0063032F">
              <w:rPr>
                <w:rFonts w:eastAsia="Calibri"/>
                <w:i/>
                <w:sz w:val="20"/>
              </w:rPr>
              <w:t>Charter</w:t>
            </w:r>
            <w:r w:rsidRPr="0063032F">
              <w:rPr>
                <w:rFonts w:eastAsia="Calibri"/>
                <w:sz w:val="20"/>
              </w:rPr>
              <w:t xml:space="preserve"> rights not violated – Remedy – Evidence ruled admissible – After a custodial interview has ended, does s. 10(b) of the </w:t>
            </w:r>
            <w:r w:rsidRPr="0063032F">
              <w:rPr>
                <w:rFonts w:eastAsia="Calibri"/>
                <w:i/>
                <w:sz w:val="20"/>
              </w:rPr>
              <w:t xml:space="preserve">Charter </w:t>
            </w:r>
            <w:r w:rsidRPr="0063032F">
              <w:rPr>
                <w:rFonts w:eastAsia="Calibri"/>
                <w:sz w:val="20"/>
              </w:rPr>
              <w:t xml:space="preserve">entitle a detainee to an additional opportunity to consult with counsel – If the police promise a detainee an additional opportunity to consult with counsel, does the failure to honour this promise violate s. 10(b) of the </w:t>
            </w:r>
            <w:r w:rsidRPr="0063032F">
              <w:rPr>
                <w:rFonts w:eastAsia="Calibri"/>
                <w:i/>
                <w:sz w:val="20"/>
              </w:rPr>
              <w:t>Charter</w:t>
            </w:r>
            <w:r w:rsidRPr="0063032F">
              <w:rPr>
                <w:rFonts w:eastAsia="Calibri"/>
                <w:sz w:val="20"/>
              </w:rPr>
              <w:t xml:space="preserve">, even if the detainee would not otherwise have the right to another consultation with counsel – Should an appellate court afford a trial judge’s conclusions or findings about the seriousness or impact of a </w:t>
            </w:r>
            <w:r w:rsidRPr="0063032F">
              <w:rPr>
                <w:rFonts w:eastAsia="Calibri"/>
                <w:i/>
                <w:sz w:val="20"/>
              </w:rPr>
              <w:t>Charter</w:t>
            </w:r>
            <w:r w:rsidRPr="0063032F">
              <w:rPr>
                <w:rFonts w:eastAsia="Calibri"/>
                <w:sz w:val="20"/>
              </w:rPr>
              <w:t xml:space="preserve"> breach any deference when the trial judge has mistakenly concluded that the accused’s </w:t>
            </w:r>
            <w:r w:rsidRPr="0063032F">
              <w:rPr>
                <w:rFonts w:eastAsia="Calibri"/>
                <w:i/>
                <w:sz w:val="20"/>
              </w:rPr>
              <w:t>Charter</w:t>
            </w:r>
            <w:r w:rsidRPr="0063032F">
              <w:rPr>
                <w:rFonts w:eastAsia="Calibri"/>
                <w:sz w:val="20"/>
              </w:rPr>
              <w:t xml:space="preserve"> rights were not violated – </w:t>
            </w:r>
            <w:r w:rsidRPr="0063032F">
              <w:rPr>
                <w:rFonts w:eastAsia="Calibri"/>
                <w:i/>
                <w:sz w:val="20"/>
              </w:rPr>
              <w:t xml:space="preserve">Charter </w:t>
            </w:r>
            <w:r w:rsidRPr="0063032F">
              <w:rPr>
                <w:rFonts w:eastAsia="Calibri"/>
                <w:sz w:val="20"/>
              </w:rPr>
              <w:t>ss. 10(b), 24(2).</w:t>
            </w:r>
          </w:p>
          <w:p w:rsidR="00492785" w:rsidRPr="0063032F" w:rsidRDefault="00492785" w:rsidP="00DB5F86">
            <w:pPr>
              <w:jc w:val="both"/>
              <w:rPr>
                <w:rFonts w:eastAsia="Calibri"/>
                <w:sz w:val="20"/>
              </w:rPr>
            </w:pPr>
          </w:p>
        </w:tc>
      </w:tr>
      <w:tr w:rsidR="00492785" w:rsidRPr="0063032F" w:rsidTr="00DB5F86">
        <w:tc>
          <w:tcPr>
            <w:tcW w:w="5000" w:type="pct"/>
            <w:gridSpan w:val="3"/>
          </w:tcPr>
          <w:p w:rsidR="00492785" w:rsidRPr="0063032F" w:rsidRDefault="00492785" w:rsidP="00DB5F86">
            <w:pPr>
              <w:jc w:val="both"/>
              <w:rPr>
                <w:rFonts w:eastAsia="Calibri"/>
                <w:sz w:val="20"/>
              </w:rPr>
            </w:pPr>
            <w:r w:rsidRPr="0063032F">
              <w:rPr>
                <w:rFonts w:eastAsia="Calibri"/>
                <w:sz w:val="20"/>
              </w:rPr>
              <w:t xml:space="preserve">The applicant was charged with murder.  He was acquitted at trial. After appeals to both the Alberta Court of Appeal (2008 ABCA 327), and the Supreme Court of Canada (2010 SCC 13), the applicant was retried for the murder.  A </w:t>
            </w:r>
            <w:r w:rsidRPr="0063032F">
              <w:rPr>
                <w:rFonts w:eastAsia="Calibri"/>
                <w:i/>
                <w:sz w:val="20"/>
              </w:rPr>
              <w:t>voir dire</w:t>
            </w:r>
            <w:r w:rsidRPr="0063032F">
              <w:rPr>
                <w:rFonts w:eastAsia="Calibri"/>
                <w:sz w:val="20"/>
              </w:rPr>
              <w:t xml:space="preserve"> was held into the admissibility of the applicant’s statements to RCMP investigators in April 2005.  The judge stated that the RCMP officer did not place the applicant in a position of having to participate in any non-routine procedure (he did not provide a DNA sample); the applicant understood the jeopardy he was facing; and, he also understood his s. 10(b) </w:t>
            </w:r>
            <w:r w:rsidRPr="0063032F">
              <w:rPr>
                <w:rFonts w:eastAsia="Calibri"/>
                <w:i/>
                <w:sz w:val="20"/>
              </w:rPr>
              <w:t>Charter</w:t>
            </w:r>
            <w:r w:rsidRPr="0063032F">
              <w:rPr>
                <w:rFonts w:eastAsia="Calibri"/>
                <w:sz w:val="20"/>
              </w:rPr>
              <w:t xml:space="preserve"> rights.  The holding out did not result in the RCMP breaching the applicant’s s. 10(b) </w:t>
            </w:r>
            <w:r w:rsidRPr="0063032F">
              <w:rPr>
                <w:rFonts w:eastAsia="Calibri"/>
                <w:i/>
                <w:sz w:val="20"/>
              </w:rPr>
              <w:t>Charter</w:t>
            </w:r>
            <w:r w:rsidRPr="0063032F">
              <w:rPr>
                <w:rFonts w:eastAsia="Calibri"/>
                <w:sz w:val="20"/>
              </w:rPr>
              <w:t xml:space="preserve"> rights.  The judge held that the applicant’s s. 10(b) </w:t>
            </w:r>
            <w:r w:rsidRPr="0063032F">
              <w:rPr>
                <w:rFonts w:eastAsia="Calibri"/>
                <w:i/>
                <w:sz w:val="20"/>
              </w:rPr>
              <w:t>Charter</w:t>
            </w:r>
            <w:r w:rsidRPr="0063032F">
              <w:rPr>
                <w:rFonts w:eastAsia="Calibri"/>
                <w:sz w:val="20"/>
              </w:rPr>
              <w:t xml:space="preserve"> rights had not been violated and his statements to RCMP officers were admissible at trial.  The applicant was convicted of kidnapping, sexual assault and first degree murder.  His conviction appeal was dismissed.</w:t>
            </w:r>
          </w:p>
          <w:p w:rsidR="00492785" w:rsidRPr="0063032F" w:rsidRDefault="00492785" w:rsidP="00DB5F86">
            <w:pPr>
              <w:jc w:val="both"/>
              <w:rPr>
                <w:rFonts w:eastAsia="Calibri"/>
                <w:sz w:val="20"/>
              </w:rPr>
            </w:pPr>
          </w:p>
        </w:tc>
      </w:tr>
      <w:tr w:rsidR="00492785" w:rsidRPr="0063032F" w:rsidTr="00DB5F86">
        <w:tc>
          <w:tcPr>
            <w:tcW w:w="2427" w:type="pct"/>
          </w:tcPr>
          <w:p w:rsidR="00492785" w:rsidRPr="0063032F" w:rsidRDefault="00492785" w:rsidP="00DB5F86">
            <w:pPr>
              <w:jc w:val="both"/>
              <w:rPr>
                <w:rFonts w:eastAsia="Calibri"/>
                <w:sz w:val="20"/>
              </w:rPr>
            </w:pPr>
            <w:r w:rsidRPr="0063032F">
              <w:rPr>
                <w:rFonts w:eastAsia="Calibri"/>
                <w:sz w:val="20"/>
              </w:rPr>
              <w:t>February 21, 2012</w:t>
            </w:r>
          </w:p>
          <w:p w:rsidR="00492785" w:rsidRPr="0063032F" w:rsidRDefault="00492785" w:rsidP="00DB5F86">
            <w:pPr>
              <w:jc w:val="both"/>
              <w:rPr>
                <w:rFonts w:eastAsia="Calibri"/>
                <w:sz w:val="20"/>
              </w:rPr>
            </w:pPr>
            <w:r w:rsidRPr="0063032F">
              <w:rPr>
                <w:rFonts w:eastAsia="Calibri"/>
                <w:sz w:val="20"/>
              </w:rPr>
              <w:t>Court of Queen’s Bench of Alberta</w:t>
            </w:r>
          </w:p>
          <w:p w:rsidR="00492785" w:rsidRPr="0063032F" w:rsidRDefault="00492785" w:rsidP="00DB5F86">
            <w:pPr>
              <w:jc w:val="both"/>
              <w:rPr>
                <w:rFonts w:eastAsia="Calibri"/>
                <w:sz w:val="20"/>
                <w:lang w:val="fr-FR"/>
              </w:rPr>
            </w:pPr>
            <w:r w:rsidRPr="0063032F">
              <w:rPr>
                <w:rFonts w:eastAsia="Calibri"/>
                <w:sz w:val="20"/>
                <w:lang w:val="fr-FR"/>
              </w:rPr>
              <w:t>(Yamauchi J.)</w:t>
            </w:r>
          </w:p>
          <w:p w:rsidR="00492785" w:rsidRPr="0063032F" w:rsidRDefault="00492785" w:rsidP="00DB5F86">
            <w:pPr>
              <w:jc w:val="both"/>
              <w:rPr>
                <w:rFonts w:eastAsia="Calibri"/>
                <w:sz w:val="20"/>
                <w:lang w:val="fr-FR"/>
              </w:rPr>
            </w:pPr>
            <w:r w:rsidRPr="0063032F">
              <w:rPr>
                <w:rFonts w:eastAsia="Calibri"/>
                <w:sz w:val="20"/>
                <w:lang w:val="fr-FR"/>
              </w:rPr>
              <w:t>2012 ABQB 111</w:t>
            </w:r>
          </w:p>
          <w:p w:rsidR="00492785" w:rsidRPr="0063032F" w:rsidRDefault="001D3FE1" w:rsidP="00DB5F86">
            <w:pPr>
              <w:jc w:val="both"/>
              <w:rPr>
                <w:rFonts w:eastAsia="Calibri"/>
                <w:sz w:val="20"/>
                <w:lang w:val="fr-FR"/>
              </w:rPr>
            </w:pPr>
            <w:hyperlink r:id="rId47" w:history="1">
              <w:r w:rsidR="00492785" w:rsidRPr="00305EE6">
                <w:rPr>
                  <w:sz w:val="20"/>
                  <w:lang w:val="fr-FR"/>
                </w:rPr>
                <w:t>http://canlii.ca/t/fqc7j</w:t>
              </w:r>
            </w:hyperlink>
          </w:p>
          <w:p w:rsidR="00492785" w:rsidRPr="0063032F" w:rsidRDefault="00492785" w:rsidP="00DB5F86">
            <w:pPr>
              <w:jc w:val="both"/>
              <w:rPr>
                <w:rFonts w:eastAsia="Calibri"/>
                <w:sz w:val="20"/>
                <w:lang w:val="fr-FR"/>
              </w:rPr>
            </w:pPr>
          </w:p>
        </w:tc>
        <w:tc>
          <w:tcPr>
            <w:tcW w:w="243" w:type="pct"/>
          </w:tcPr>
          <w:p w:rsidR="00492785" w:rsidRPr="0063032F" w:rsidRDefault="00492785" w:rsidP="00DB5F86">
            <w:pPr>
              <w:jc w:val="both"/>
              <w:rPr>
                <w:rFonts w:eastAsia="Calibri"/>
                <w:sz w:val="20"/>
                <w:lang w:val="fr-FR"/>
              </w:rPr>
            </w:pPr>
          </w:p>
        </w:tc>
        <w:tc>
          <w:tcPr>
            <w:tcW w:w="2330" w:type="pct"/>
          </w:tcPr>
          <w:p w:rsidR="00492785" w:rsidRPr="0063032F" w:rsidRDefault="00492785" w:rsidP="00DB5F86">
            <w:pPr>
              <w:jc w:val="both"/>
              <w:rPr>
                <w:rFonts w:eastAsia="Calibri"/>
                <w:sz w:val="20"/>
              </w:rPr>
            </w:pPr>
            <w:r w:rsidRPr="0063032F">
              <w:rPr>
                <w:rFonts w:eastAsia="Calibri"/>
                <w:i/>
                <w:sz w:val="20"/>
              </w:rPr>
              <w:t>Voir</w:t>
            </w:r>
            <w:r w:rsidRPr="0063032F">
              <w:rPr>
                <w:rFonts w:eastAsia="Calibri"/>
                <w:sz w:val="20"/>
              </w:rPr>
              <w:t xml:space="preserve"> dire held: evidence ruled admissible</w:t>
            </w:r>
          </w:p>
          <w:p w:rsidR="00492785" w:rsidRPr="0063032F" w:rsidRDefault="00492785" w:rsidP="00DB5F86">
            <w:pPr>
              <w:jc w:val="both"/>
              <w:rPr>
                <w:rFonts w:eastAsia="Calibri"/>
                <w:sz w:val="20"/>
              </w:rPr>
            </w:pPr>
          </w:p>
        </w:tc>
      </w:tr>
      <w:tr w:rsidR="00492785" w:rsidRPr="0063032F" w:rsidTr="00E74BAB">
        <w:trPr>
          <w:cantSplit/>
        </w:trPr>
        <w:tc>
          <w:tcPr>
            <w:tcW w:w="2427" w:type="pct"/>
          </w:tcPr>
          <w:p w:rsidR="00492785" w:rsidRPr="0063032F" w:rsidRDefault="00492785" w:rsidP="00DB5F86">
            <w:pPr>
              <w:jc w:val="both"/>
              <w:rPr>
                <w:rFonts w:eastAsia="Calibri"/>
                <w:sz w:val="20"/>
              </w:rPr>
            </w:pPr>
            <w:r w:rsidRPr="0063032F">
              <w:rPr>
                <w:rFonts w:eastAsia="Calibri"/>
                <w:sz w:val="20"/>
              </w:rPr>
              <w:lastRenderedPageBreak/>
              <w:t>January 8, 2015</w:t>
            </w:r>
          </w:p>
          <w:p w:rsidR="00492785" w:rsidRPr="0063032F" w:rsidRDefault="00492785" w:rsidP="00DB5F86">
            <w:pPr>
              <w:jc w:val="both"/>
              <w:rPr>
                <w:rFonts w:eastAsia="Calibri"/>
                <w:sz w:val="20"/>
              </w:rPr>
            </w:pPr>
            <w:r w:rsidRPr="0063032F">
              <w:rPr>
                <w:rFonts w:eastAsia="Calibri"/>
                <w:sz w:val="20"/>
              </w:rPr>
              <w:t>Court of Appeal of Alberta (Edmonton)</w:t>
            </w:r>
          </w:p>
          <w:p w:rsidR="00492785" w:rsidRPr="0063032F" w:rsidRDefault="00492785" w:rsidP="00DB5F86">
            <w:pPr>
              <w:jc w:val="both"/>
              <w:rPr>
                <w:rFonts w:eastAsia="Calibri"/>
                <w:sz w:val="20"/>
              </w:rPr>
            </w:pPr>
            <w:r w:rsidRPr="0063032F">
              <w:rPr>
                <w:rFonts w:eastAsia="Calibri"/>
                <w:sz w:val="20"/>
              </w:rPr>
              <w:t>(O’Brien (concurring in the result), Watson, Brown (concurring in the result) JJ.A.)</w:t>
            </w:r>
          </w:p>
          <w:p w:rsidR="00492785" w:rsidRPr="0063032F" w:rsidRDefault="00492785" w:rsidP="00DB5F86">
            <w:pPr>
              <w:jc w:val="both"/>
              <w:rPr>
                <w:rFonts w:eastAsia="Calibri"/>
                <w:sz w:val="20"/>
              </w:rPr>
            </w:pPr>
            <w:r w:rsidRPr="0063032F">
              <w:rPr>
                <w:rFonts w:eastAsia="Calibri"/>
                <w:sz w:val="20"/>
              </w:rPr>
              <w:t>2015 ABCA 2, 1203-0083-A</w:t>
            </w:r>
          </w:p>
          <w:p w:rsidR="00492785" w:rsidRPr="00305EE6" w:rsidRDefault="001D3FE1" w:rsidP="00DB5F86">
            <w:pPr>
              <w:jc w:val="both"/>
              <w:rPr>
                <w:rFonts w:eastAsia="Calibri"/>
                <w:sz w:val="20"/>
              </w:rPr>
            </w:pPr>
            <w:hyperlink r:id="rId48" w:history="1">
              <w:r w:rsidR="00492785" w:rsidRPr="00305EE6">
                <w:rPr>
                  <w:color w:val="0000FF"/>
                  <w:sz w:val="20"/>
                  <w:u w:val="single"/>
                </w:rPr>
                <w:t>http://canlii.ca/t/gfv1v</w:t>
              </w:r>
            </w:hyperlink>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Conviction appeal dismissed</w:t>
            </w:r>
          </w:p>
          <w:p w:rsidR="00492785" w:rsidRPr="0063032F" w:rsidRDefault="00492785" w:rsidP="00DB5F86">
            <w:pPr>
              <w:jc w:val="both"/>
              <w:rPr>
                <w:rFonts w:eastAsia="Calibri"/>
                <w:sz w:val="20"/>
              </w:rPr>
            </w:pPr>
          </w:p>
        </w:tc>
      </w:tr>
      <w:tr w:rsidR="00492785" w:rsidRPr="0063032F" w:rsidTr="00E74BAB">
        <w:trPr>
          <w:cantSplit/>
        </w:trPr>
        <w:tc>
          <w:tcPr>
            <w:tcW w:w="2427" w:type="pct"/>
          </w:tcPr>
          <w:p w:rsidR="00492785" w:rsidRPr="0063032F" w:rsidRDefault="00492785" w:rsidP="00DB5F86">
            <w:pPr>
              <w:jc w:val="both"/>
              <w:rPr>
                <w:rFonts w:eastAsia="Calibri"/>
                <w:sz w:val="20"/>
              </w:rPr>
            </w:pPr>
            <w:r w:rsidRPr="0063032F">
              <w:rPr>
                <w:rFonts w:eastAsia="Calibri"/>
                <w:sz w:val="20"/>
              </w:rPr>
              <w:t>March 16, 2015</w:t>
            </w:r>
          </w:p>
          <w:p w:rsidR="00492785" w:rsidRPr="0063032F" w:rsidRDefault="00492785" w:rsidP="00DB5F86">
            <w:pPr>
              <w:jc w:val="both"/>
              <w:rPr>
                <w:rFonts w:eastAsia="Calibri"/>
                <w:sz w:val="20"/>
              </w:rPr>
            </w:pPr>
            <w:r w:rsidRPr="0063032F">
              <w:rPr>
                <w:rFonts w:eastAsia="Calibri"/>
                <w:sz w:val="20"/>
              </w:rPr>
              <w:t>Supreme Court of Canada</w:t>
            </w:r>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rPr>
            </w:pPr>
            <w:r w:rsidRPr="0063032F">
              <w:rPr>
                <w:rFonts w:eastAsia="Calibri"/>
                <w:sz w:val="20"/>
              </w:rPr>
              <w:t>Applicant’s motion for an extension of time to serve and file the application for leave to appeal and application for leave to appeal filed</w:t>
            </w: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54"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C11D3B" w:rsidTr="00DB5F86">
        <w:tc>
          <w:tcPr>
            <w:tcW w:w="5000" w:type="pct"/>
            <w:gridSpan w:val="3"/>
          </w:tcPr>
          <w:p w:rsidR="00492785" w:rsidRPr="0063032F" w:rsidRDefault="00492785" w:rsidP="00DB5F86">
            <w:pPr>
              <w:jc w:val="both"/>
              <w:rPr>
                <w:rFonts w:eastAsia="Calibri"/>
                <w:smallCaps/>
                <w:sz w:val="20"/>
                <w:lang w:val="fr-CA"/>
              </w:rPr>
            </w:pPr>
            <w:r w:rsidRPr="0063032F">
              <w:rPr>
                <w:rFonts w:eastAsia="Calibri"/>
                <w:smallCaps/>
                <w:sz w:val="20"/>
                <w:lang w:val="fr-CA"/>
              </w:rPr>
              <w:t>(Ordonnance de non-publication dans le dossier)</w:t>
            </w:r>
          </w:p>
          <w:p w:rsidR="00492785" w:rsidRPr="0063032F" w:rsidRDefault="00492785" w:rsidP="00DB5F86">
            <w:pPr>
              <w:jc w:val="both"/>
              <w:rPr>
                <w:rFonts w:eastAsia="Calibri"/>
                <w:sz w:val="20"/>
                <w:lang w:val="fr-CA"/>
              </w:rPr>
            </w:pPr>
          </w:p>
        </w:tc>
      </w:tr>
      <w:tr w:rsidR="00492785" w:rsidRPr="00C11D3B" w:rsidTr="00DB5F86">
        <w:tc>
          <w:tcPr>
            <w:tcW w:w="5000" w:type="pct"/>
            <w:gridSpan w:val="3"/>
          </w:tcPr>
          <w:p w:rsidR="00492785" w:rsidRPr="0063032F" w:rsidRDefault="00492785" w:rsidP="00DB5F86">
            <w:pPr>
              <w:jc w:val="both"/>
              <w:rPr>
                <w:rFonts w:eastAsia="Calibri"/>
                <w:sz w:val="20"/>
                <w:lang w:val="fr-CA"/>
              </w:rPr>
            </w:pPr>
            <w:r w:rsidRPr="0063032F">
              <w:rPr>
                <w:rFonts w:eastAsia="Calibri"/>
                <w:i/>
                <w:sz w:val="20"/>
                <w:lang w:val="fr-CA"/>
              </w:rPr>
              <w:t>Charte des droits et libertés</w:t>
            </w:r>
            <w:r w:rsidRPr="0063032F">
              <w:rPr>
                <w:rFonts w:eastAsia="Calibri"/>
                <w:sz w:val="20"/>
                <w:lang w:val="fr-CA"/>
              </w:rPr>
              <w:t xml:space="preserve"> – Droit à l’assistance d’un avocat – Les droits que l’al. 10</w:t>
            </w:r>
            <w:r w:rsidRPr="0063032F">
              <w:rPr>
                <w:rFonts w:eastAsia="Calibri"/>
                <w:i/>
                <w:sz w:val="20"/>
                <w:lang w:val="fr-CA"/>
              </w:rPr>
              <w:t>b</w:t>
            </w:r>
            <w:r w:rsidRPr="0063032F">
              <w:rPr>
                <w:rFonts w:eastAsia="Calibri"/>
                <w:sz w:val="20"/>
                <w:lang w:val="fr-CA"/>
              </w:rPr>
              <w:t xml:space="preserve">) de la </w:t>
            </w:r>
            <w:r w:rsidRPr="0063032F">
              <w:rPr>
                <w:rFonts w:eastAsia="Calibri"/>
                <w:i/>
                <w:sz w:val="20"/>
                <w:lang w:val="fr-CA"/>
              </w:rPr>
              <w:t>Charte</w:t>
            </w:r>
            <w:r w:rsidRPr="0063032F">
              <w:rPr>
                <w:rFonts w:eastAsia="Calibri"/>
                <w:sz w:val="20"/>
                <w:lang w:val="fr-CA"/>
              </w:rPr>
              <w:t xml:space="preserve"> garantit au demandeur n’ont pas été violés – Réparation – La preuve a été jugée admissible – L’alinéa 10</w:t>
            </w:r>
            <w:r w:rsidRPr="0063032F">
              <w:rPr>
                <w:rFonts w:eastAsia="Calibri"/>
                <w:i/>
                <w:sz w:val="20"/>
                <w:lang w:val="fr-CA"/>
              </w:rPr>
              <w:t>b</w:t>
            </w:r>
            <w:r w:rsidRPr="0063032F">
              <w:rPr>
                <w:rFonts w:eastAsia="Calibri"/>
                <w:sz w:val="20"/>
                <w:lang w:val="fr-CA"/>
              </w:rPr>
              <w:t xml:space="preserve">) de la </w:t>
            </w:r>
            <w:r w:rsidRPr="0063032F">
              <w:rPr>
                <w:rFonts w:eastAsia="Calibri"/>
                <w:i/>
                <w:sz w:val="20"/>
                <w:lang w:val="fr-CA"/>
              </w:rPr>
              <w:t xml:space="preserve">Charte </w:t>
            </w:r>
            <w:r w:rsidRPr="0063032F">
              <w:rPr>
                <w:rFonts w:eastAsia="Calibri"/>
                <w:sz w:val="20"/>
                <w:lang w:val="fr-CA"/>
              </w:rPr>
              <w:t>confère-t-il au détenu, à la suite d’un entretien sous garde, le droit à une autre occasion de consulter un avocat? – Si la police promet au détenu une autre occasion de consulter un avocat, le défaut d’honorer cette promesse viole-t-il l’al. 10</w:t>
            </w:r>
            <w:r w:rsidRPr="0063032F">
              <w:rPr>
                <w:rFonts w:eastAsia="Calibri"/>
                <w:i/>
                <w:sz w:val="20"/>
                <w:lang w:val="fr-CA"/>
              </w:rPr>
              <w:t>b</w:t>
            </w:r>
            <w:r w:rsidRPr="0063032F">
              <w:rPr>
                <w:rFonts w:eastAsia="Calibri"/>
                <w:sz w:val="20"/>
                <w:lang w:val="fr-CA"/>
              </w:rPr>
              <w:t xml:space="preserve">) de la </w:t>
            </w:r>
            <w:r w:rsidRPr="0063032F">
              <w:rPr>
                <w:rFonts w:eastAsia="Calibri"/>
                <w:i/>
                <w:sz w:val="20"/>
                <w:lang w:val="fr-CA"/>
              </w:rPr>
              <w:t>Charte</w:t>
            </w:r>
            <w:r w:rsidRPr="0063032F">
              <w:rPr>
                <w:rFonts w:eastAsia="Calibri"/>
                <w:sz w:val="20"/>
                <w:lang w:val="fr-CA"/>
              </w:rPr>
              <w:t xml:space="preserve">, même si le détenu n’a pas par ailleurs le droit à une autre consultation avec un avocat? – Une cour d’appel doit-elle faire preuve de déférence à l’endroit des conclusions du juge du procès relativement à la gravité ou aux répercussions d’une violation de la </w:t>
            </w:r>
            <w:r w:rsidRPr="0063032F">
              <w:rPr>
                <w:rFonts w:eastAsia="Calibri"/>
                <w:i/>
                <w:sz w:val="20"/>
                <w:lang w:val="fr-CA"/>
              </w:rPr>
              <w:t>Charte</w:t>
            </w:r>
            <w:r w:rsidRPr="0063032F">
              <w:rPr>
                <w:rFonts w:eastAsia="Calibri"/>
                <w:sz w:val="20"/>
                <w:lang w:val="fr-CA"/>
              </w:rPr>
              <w:t xml:space="preserve"> lorsque le juge du procès a conclu à tort qu’il n’y avait pas eu de violation des droits que la </w:t>
            </w:r>
            <w:r w:rsidRPr="0063032F">
              <w:rPr>
                <w:rFonts w:eastAsia="Calibri"/>
                <w:i/>
                <w:sz w:val="20"/>
                <w:lang w:val="fr-CA"/>
              </w:rPr>
              <w:t>Charte</w:t>
            </w:r>
            <w:r w:rsidRPr="0063032F">
              <w:rPr>
                <w:rFonts w:eastAsia="Calibri"/>
                <w:sz w:val="20"/>
                <w:lang w:val="fr-CA"/>
              </w:rPr>
              <w:t xml:space="preserve"> garantit à l’accusé? – </w:t>
            </w:r>
            <w:r w:rsidRPr="0063032F">
              <w:rPr>
                <w:rFonts w:eastAsia="Calibri"/>
                <w:i/>
                <w:sz w:val="20"/>
                <w:lang w:val="fr-CA"/>
              </w:rPr>
              <w:t>Charte</w:t>
            </w:r>
            <w:r w:rsidRPr="0063032F">
              <w:rPr>
                <w:rFonts w:eastAsia="Calibri"/>
                <w:sz w:val="20"/>
                <w:lang w:val="fr-CA"/>
              </w:rPr>
              <w:t>,</w:t>
            </w:r>
            <w:r w:rsidRPr="0063032F">
              <w:rPr>
                <w:rFonts w:eastAsia="Calibri"/>
                <w:i/>
                <w:sz w:val="20"/>
                <w:lang w:val="fr-CA"/>
              </w:rPr>
              <w:t xml:space="preserve"> </w:t>
            </w:r>
            <w:r w:rsidRPr="0063032F">
              <w:rPr>
                <w:rFonts w:eastAsia="Calibri"/>
                <w:sz w:val="20"/>
                <w:lang w:val="fr-CA"/>
              </w:rPr>
              <w:t>al. 10b), par. 24(2).</w:t>
            </w:r>
          </w:p>
          <w:p w:rsidR="00492785" w:rsidRPr="0063032F" w:rsidRDefault="00492785" w:rsidP="00DB5F86">
            <w:pPr>
              <w:jc w:val="both"/>
              <w:rPr>
                <w:rFonts w:eastAsia="Calibri"/>
                <w:sz w:val="20"/>
                <w:lang w:val="fr-CA"/>
              </w:rPr>
            </w:pPr>
          </w:p>
        </w:tc>
      </w:tr>
      <w:tr w:rsidR="00492785" w:rsidRPr="00C11D3B" w:rsidTr="00DB5F86">
        <w:tc>
          <w:tcPr>
            <w:tcW w:w="5000" w:type="pct"/>
            <w:gridSpan w:val="3"/>
          </w:tcPr>
          <w:p w:rsidR="00492785" w:rsidRPr="0063032F" w:rsidRDefault="00492785" w:rsidP="00DB5F86">
            <w:pPr>
              <w:jc w:val="both"/>
              <w:rPr>
                <w:rFonts w:eastAsia="Calibri"/>
                <w:sz w:val="20"/>
                <w:lang w:val="fr-CA"/>
              </w:rPr>
            </w:pPr>
            <w:r w:rsidRPr="0063032F">
              <w:rPr>
                <w:rFonts w:eastAsia="Calibri"/>
                <w:sz w:val="20"/>
                <w:lang w:val="fr-CA"/>
              </w:rPr>
              <w:t>Le demandeur a été accusé de meurtre.  Il a été acquitté à son procès.  Après un appel à la Cour d’appel de l’Alberta (2008 ABCA 327) et un pourvoi à la Cour suprême du Canada (2010 CSC 13), le demandeur a subi un nouveau procès pour le meurtre.  Un voir-dire a été tenu sur l’admissibilité des déclarations que le demandeur avait faites aux enquêteurs de la GRC en avril 2005.  Le juge du procès a affirmé que l’agent de la GRC n’avait pas placé le demandeur dans une situation où il devait participer à une mesure peu habituelle (il n’a pas fourni d’échantillon d’ADN), que le demandeur comprenait le risque auquel il était exposé et qu’il comprenait également les droits que lui garantissait l’al. 10</w:t>
            </w:r>
            <w:r w:rsidRPr="0063032F">
              <w:rPr>
                <w:rFonts w:eastAsia="Calibri"/>
                <w:i/>
                <w:sz w:val="20"/>
                <w:lang w:val="fr-CA"/>
              </w:rPr>
              <w:t>b</w:t>
            </w:r>
            <w:r w:rsidRPr="0063032F">
              <w:rPr>
                <w:rFonts w:eastAsia="Calibri"/>
                <w:sz w:val="20"/>
                <w:lang w:val="fr-CA"/>
              </w:rPr>
              <w:t xml:space="preserve">) de la </w:t>
            </w:r>
            <w:r w:rsidRPr="0063032F">
              <w:rPr>
                <w:rFonts w:eastAsia="Calibri"/>
                <w:i/>
                <w:sz w:val="20"/>
                <w:lang w:val="fr-CA"/>
              </w:rPr>
              <w:t>Charte</w:t>
            </w:r>
            <w:r w:rsidRPr="0063032F">
              <w:rPr>
                <w:rFonts w:eastAsia="Calibri"/>
                <w:sz w:val="20"/>
                <w:lang w:val="fr-CA"/>
              </w:rPr>
              <w:t xml:space="preserve">.  En laissant entendre que le demandeur pouvait consulter de nouveau un avocat, la GRC n’avait pas violé les droits que l’al. 10b) de la </w:t>
            </w:r>
            <w:r w:rsidRPr="0063032F">
              <w:rPr>
                <w:rFonts w:eastAsia="Calibri"/>
                <w:i/>
                <w:sz w:val="20"/>
                <w:lang w:val="fr-CA"/>
              </w:rPr>
              <w:t>Charte</w:t>
            </w:r>
            <w:r w:rsidRPr="0063032F">
              <w:rPr>
                <w:rFonts w:eastAsia="Calibri"/>
                <w:sz w:val="20"/>
                <w:lang w:val="fr-CA"/>
              </w:rPr>
              <w:t xml:space="preserve"> garantit au demandeur.  Le juge a statué que les droits que l’al. 10</w:t>
            </w:r>
            <w:r w:rsidRPr="0063032F">
              <w:rPr>
                <w:rFonts w:eastAsia="Calibri"/>
                <w:i/>
                <w:sz w:val="20"/>
                <w:lang w:val="fr-CA"/>
              </w:rPr>
              <w:t>b</w:t>
            </w:r>
            <w:r w:rsidRPr="0063032F">
              <w:rPr>
                <w:rFonts w:eastAsia="Calibri"/>
                <w:sz w:val="20"/>
                <w:lang w:val="fr-CA"/>
              </w:rPr>
              <w:t xml:space="preserve">) de la </w:t>
            </w:r>
            <w:r w:rsidRPr="0063032F">
              <w:rPr>
                <w:rFonts w:eastAsia="Calibri"/>
                <w:i/>
                <w:sz w:val="20"/>
                <w:lang w:val="fr-CA"/>
              </w:rPr>
              <w:t>Charte</w:t>
            </w:r>
            <w:r w:rsidRPr="0063032F">
              <w:rPr>
                <w:rFonts w:eastAsia="Calibri"/>
                <w:sz w:val="20"/>
                <w:lang w:val="fr-CA"/>
              </w:rPr>
              <w:t xml:space="preserve"> garantit au demandeur n’avaient pas été violés et que ses déclarations à la GRC étaient admissibles au procès.  Le demandeur a été déclaré coupable d’enlèvement, d’agression sexuelle et de meurtre au premier degré.  Son appel relatif aux déclarations de culpabilité a été rejeté.</w:t>
            </w:r>
          </w:p>
          <w:p w:rsidR="00492785" w:rsidRPr="0063032F" w:rsidRDefault="00492785" w:rsidP="00DB5F86">
            <w:pPr>
              <w:jc w:val="both"/>
              <w:rPr>
                <w:rFonts w:eastAsia="Calibri"/>
                <w:sz w:val="20"/>
                <w:lang w:val="fr-CA"/>
              </w:rPr>
            </w:pPr>
          </w:p>
        </w:tc>
      </w:tr>
      <w:tr w:rsidR="00492785" w:rsidRPr="00C11D3B"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21 février 2012</w:t>
            </w:r>
          </w:p>
          <w:p w:rsidR="00492785" w:rsidRPr="0063032F" w:rsidRDefault="00492785" w:rsidP="00DB5F86">
            <w:pPr>
              <w:jc w:val="both"/>
              <w:rPr>
                <w:rFonts w:eastAsia="Calibri"/>
                <w:sz w:val="20"/>
                <w:lang w:val="fr-CA"/>
              </w:rPr>
            </w:pPr>
            <w:r w:rsidRPr="0063032F">
              <w:rPr>
                <w:rFonts w:eastAsia="Calibri"/>
                <w:sz w:val="20"/>
                <w:lang w:val="fr-CA"/>
              </w:rPr>
              <w:t>Cour du Banc de la Reine de l’Alberta</w:t>
            </w:r>
          </w:p>
          <w:p w:rsidR="00492785" w:rsidRPr="0063032F" w:rsidRDefault="00492785" w:rsidP="00DB5F86">
            <w:pPr>
              <w:jc w:val="both"/>
              <w:rPr>
                <w:rFonts w:eastAsia="Calibri"/>
                <w:sz w:val="20"/>
                <w:lang w:val="fr-CA"/>
              </w:rPr>
            </w:pPr>
            <w:r w:rsidRPr="0063032F">
              <w:rPr>
                <w:rFonts w:eastAsia="Calibri"/>
                <w:sz w:val="20"/>
                <w:lang w:val="fr-CA"/>
              </w:rPr>
              <w:t>(Juge Yamauchi)</w:t>
            </w:r>
          </w:p>
          <w:p w:rsidR="00492785" w:rsidRPr="0063032F" w:rsidRDefault="00492785" w:rsidP="00DB5F86">
            <w:pPr>
              <w:jc w:val="both"/>
              <w:rPr>
                <w:rFonts w:eastAsia="Calibri"/>
                <w:sz w:val="20"/>
                <w:lang w:val="fr-CA"/>
              </w:rPr>
            </w:pPr>
            <w:r w:rsidRPr="0063032F">
              <w:rPr>
                <w:rFonts w:eastAsia="Calibri"/>
                <w:sz w:val="20"/>
                <w:lang w:val="fr-CA"/>
              </w:rPr>
              <w:t>2012 ABQB 111</w:t>
            </w:r>
          </w:p>
          <w:p w:rsidR="00492785" w:rsidRPr="0063032F" w:rsidRDefault="001D3FE1" w:rsidP="00DB5F86">
            <w:pPr>
              <w:jc w:val="both"/>
              <w:rPr>
                <w:rFonts w:eastAsia="Calibri"/>
                <w:sz w:val="20"/>
                <w:lang w:val="fr-CA"/>
              </w:rPr>
            </w:pPr>
            <w:hyperlink r:id="rId49" w:history="1">
              <w:r w:rsidR="00492785" w:rsidRPr="00305EE6">
                <w:rPr>
                  <w:sz w:val="20"/>
                  <w:lang w:val="fr-CA"/>
                </w:rPr>
                <w:t>http://canlii.ca/t/fqc7j</w:t>
              </w:r>
            </w:hyperlink>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Jugement sur le voir-dire portant que la preuve est admissible</w:t>
            </w:r>
          </w:p>
          <w:p w:rsidR="00492785" w:rsidRPr="0063032F" w:rsidRDefault="00492785" w:rsidP="00DB5F86">
            <w:pPr>
              <w:jc w:val="both"/>
              <w:rPr>
                <w:rFonts w:eastAsia="Calibri"/>
                <w:sz w:val="20"/>
                <w:lang w:val="fr-CA"/>
              </w:rPr>
            </w:pPr>
          </w:p>
        </w:tc>
      </w:tr>
      <w:tr w:rsidR="00492785" w:rsidRPr="00C11D3B"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t>8 janvier 2015</w:t>
            </w:r>
          </w:p>
          <w:p w:rsidR="00492785" w:rsidRPr="0063032F" w:rsidRDefault="00492785" w:rsidP="00DB5F86">
            <w:pPr>
              <w:jc w:val="both"/>
              <w:rPr>
                <w:rFonts w:eastAsia="Calibri"/>
                <w:sz w:val="20"/>
                <w:lang w:val="fr-CA"/>
              </w:rPr>
            </w:pPr>
            <w:r w:rsidRPr="0063032F">
              <w:rPr>
                <w:rFonts w:eastAsia="Calibri"/>
                <w:sz w:val="20"/>
                <w:lang w:val="fr-CA"/>
              </w:rPr>
              <w:t>Cour d’appel de l’Alberta (Edmonton)</w:t>
            </w:r>
          </w:p>
          <w:p w:rsidR="00492785" w:rsidRPr="0063032F" w:rsidRDefault="00492785" w:rsidP="00DB5F86">
            <w:pPr>
              <w:jc w:val="both"/>
              <w:rPr>
                <w:rFonts w:eastAsia="Calibri"/>
                <w:sz w:val="20"/>
                <w:lang w:val="fr-CA"/>
              </w:rPr>
            </w:pPr>
            <w:r w:rsidRPr="0063032F">
              <w:rPr>
                <w:rFonts w:eastAsia="Calibri"/>
                <w:sz w:val="20"/>
                <w:lang w:val="fr-CA"/>
              </w:rPr>
              <w:t>(Juges O’Brien (souscrivant au résultat), Watson et Brown (souscrivant au résultat))</w:t>
            </w:r>
          </w:p>
          <w:p w:rsidR="00492785" w:rsidRPr="0063032F" w:rsidRDefault="00492785" w:rsidP="00DB5F86">
            <w:pPr>
              <w:jc w:val="both"/>
              <w:rPr>
                <w:rFonts w:eastAsia="Calibri"/>
                <w:sz w:val="20"/>
              </w:rPr>
            </w:pPr>
            <w:r w:rsidRPr="0063032F">
              <w:rPr>
                <w:rFonts w:eastAsia="Calibri"/>
                <w:sz w:val="20"/>
              </w:rPr>
              <w:t>2015 ABCA 2, 1203-0083-A</w:t>
            </w:r>
          </w:p>
          <w:p w:rsidR="00492785" w:rsidRPr="00305EE6" w:rsidRDefault="001D3FE1" w:rsidP="00DB5F86">
            <w:pPr>
              <w:jc w:val="both"/>
              <w:rPr>
                <w:rFonts w:eastAsia="Calibri"/>
                <w:sz w:val="20"/>
              </w:rPr>
            </w:pPr>
            <w:hyperlink r:id="rId50" w:history="1">
              <w:r w:rsidR="00492785" w:rsidRPr="00305EE6">
                <w:rPr>
                  <w:color w:val="0000FF"/>
                  <w:sz w:val="20"/>
                  <w:u w:val="single"/>
                </w:rPr>
                <w:t>http://canlii.ca/t/gfv1v</w:t>
              </w:r>
            </w:hyperlink>
          </w:p>
          <w:p w:rsidR="00492785" w:rsidRPr="0063032F" w:rsidRDefault="00492785" w:rsidP="00DB5F86">
            <w:pPr>
              <w:jc w:val="both"/>
              <w:rPr>
                <w:rFonts w:eastAsia="Calibri"/>
                <w:sz w:val="20"/>
              </w:rPr>
            </w:pPr>
          </w:p>
        </w:tc>
        <w:tc>
          <w:tcPr>
            <w:tcW w:w="243" w:type="pct"/>
          </w:tcPr>
          <w:p w:rsidR="00492785" w:rsidRPr="0063032F" w:rsidRDefault="00492785" w:rsidP="00DB5F86">
            <w:pPr>
              <w:jc w:val="both"/>
              <w:rPr>
                <w:rFonts w:eastAsia="Calibri"/>
                <w:sz w:val="20"/>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Rejet de l’appel relatif aux déclarations de culpabilité</w:t>
            </w:r>
          </w:p>
          <w:p w:rsidR="00492785" w:rsidRPr="0063032F" w:rsidRDefault="00492785" w:rsidP="00DB5F86">
            <w:pPr>
              <w:jc w:val="both"/>
              <w:rPr>
                <w:rFonts w:eastAsia="Calibri"/>
                <w:sz w:val="20"/>
                <w:lang w:val="fr-CA"/>
              </w:rPr>
            </w:pPr>
          </w:p>
        </w:tc>
      </w:tr>
      <w:tr w:rsidR="00492785" w:rsidRPr="00C11D3B" w:rsidTr="00DB5F86">
        <w:tc>
          <w:tcPr>
            <w:tcW w:w="2427" w:type="pct"/>
          </w:tcPr>
          <w:p w:rsidR="00492785" w:rsidRPr="0063032F" w:rsidRDefault="00492785" w:rsidP="00DB5F86">
            <w:pPr>
              <w:jc w:val="both"/>
              <w:rPr>
                <w:rFonts w:eastAsia="Calibri"/>
                <w:sz w:val="20"/>
                <w:lang w:val="fr-CA"/>
              </w:rPr>
            </w:pPr>
            <w:r w:rsidRPr="0063032F">
              <w:rPr>
                <w:rFonts w:eastAsia="Calibri"/>
                <w:sz w:val="20"/>
                <w:lang w:val="fr-CA"/>
              </w:rPr>
              <w:lastRenderedPageBreak/>
              <w:t>16 mars 2015</w:t>
            </w:r>
          </w:p>
          <w:p w:rsidR="00492785" w:rsidRPr="0063032F" w:rsidRDefault="00492785" w:rsidP="00DB5F86">
            <w:pPr>
              <w:jc w:val="both"/>
              <w:rPr>
                <w:rFonts w:eastAsia="Calibri"/>
                <w:sz w:val="20"/>
                <w:lang w:val="fr-CA"/>
              </w:rPr>
            </w:pPr>
            <w:r w:rsidRPr="0063032F">
              <w:rPr>
                <w:rFonts w:eastAsia="Calibri"/>
                <w:sz w:val="20"/>
                <w:lang w:val="fr-CA"/>
              </w:rPr>
              <w:t>Cour suprême du Canada</w:t>
            </w:r>
          </w:p>
          <w:p w:rsidR="00492785" w:rsidRPr="0063032F" w:rsidRDefault="00492785" w:rsidP="00DB5F86">
            <w:pPr>
              <w:jc w:val="both"/>
              <w:rPr>
                <w:rFonts w:eastAsia="Calibri"/>
                <w:sz w:val="20"/>
                <w:lang w:val="fr-CA"/>
              </w:rPr>
            </w:pPr>
          </w:p>
        </w:tc>
        <w:tc>
          <w:tcPr>
            <w:tcW w:w="243" w:type="pct"/>
          </w:tcPr>
          <w:p w:rsidR="00492785" w:rsidRPr="0063032F" w:rsidRDefault="00492785" w:rsidP="00DB5F86">
            <w:pPr>
              <w:jc w:val="both"/>
              <w:rPr>
                <w:rFonts w:eastAsia="Calibri"/>
                <w:sz w:val="20"/>
                <w:lang w:val="fr-CA"/>
              </w:rPr>
            </w:pPr>
          </w:p>
        </w:tc>
        <w:tc>
          <w:tcPr>
            <w:tcW w:w="2330" w:type="pct"/>
          </w:tcPr>
          <w:p w:rsidR="00492785" w:rsidRPr="0063032F" w:rsidRDefault="00492785" w:rsidP="00DB5F86">
            <w:pPr>
              <w:jc w:val="both"/>
              <w:rPr>
                <w:rFonts w:eastAsia="Calibri"/>
                <w:sz w:val="20"/>
                <w:lang w:val="fr-CA"/>
              </w:rPr>
            </w:pPr>
            <w:r w:rsidRPr="0063032F">
              <w:rPr>
                <w:rFonts w:eastAsia="Calibri"/>
                <w:sz w:val="20"/>
                <w:lang w:val="fr-CA"/>
              </w:rPr>
              <w:t xml:space="preserve">Dépôt de la requête du demandeur en prorogation du délai de signification et de dépôt de la demande d’autorisation d’appel et de la demande d’autorisation d’appel </w:t>
            </w:r>
          </w:p>
        </w:tc>
      </w:tr>
    </w:tbl>
    <w:p w:rsidR="00467AD0" w:rsidRPr="0049278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55" style="width:2in;height:1pt" o:hrpct="0" o:hralign="center" o:hrstd="t" o:hrnoshade="t" o:hr="t" fillcolor="black [3213]" stroked="f"/>
        </w:pict>
      </w:r>
    </w:p>
    <w:p w:rsidR="00467AD0" w:rsidRDefault="00467AD0" w:rsidP="00467A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74BAB" w:rsidRPr="00FE1AD8" w:rsidTr="008805B2">
        <w:trPr>
          <w:cantSplit/>
        </w:trPr>
        <w:tc>
          <w:tcPr>
            <w:tcW w:w="1458" w:type="dxa"/>
          </w:tcPr>
          <w:p w:rsidR="00E74BAB" w:rsidRPr="00FE1AD8" w:rsidRDefault="00E74BAB" w:rsidP="008805B2">
            <w:pPr>
              <w:rPr>
                <w:sz w:val="20"/>
                <w:szCs w:val="20"/>
              </w:rPr>
            </w:pPr>
            <w:r w:rsidRPr="00FE1AD8">
              <w:rPr>
                <w:rStyle w:val="SCCFileNumberChar"/>
                <w:sz w:val="20"/>
                <w:szCs w:val="20"/>
              </w:rPr>
              <w:t>36349</w:t>
            </w:r>
          </w:p>
          <w:p w:rsidR="00E74BAB" w:rsidRPr="00FE1AD8" w:rsidRDefault="00E74BAB" w:rsidP="008805B2">
            <w:pPr>
              <w:rPr>
                <w:b/>
                <w:sz w:val="20"/>
                <w:szCs w:val="20"/>
                <w:lang w:val="fr-CA"/>
              </w:rPr>
            </w:pPr>
          </w:p>
        </w:tc>
        <w:tc>
          <w:tcPr>
            <w:tcW w:w="8118" w:type="dxa"/>
          </w:tcPr>
          <w:p w:rsidR="00E74BAB" w:rsidRPr="00FE1AD8" w:rsidRDefault="00E74BAB" w:rsidP="008805B2">
            <w:pPr>
              <w:rPr>
                <w:sz w:val="20"/>
                <w:szCs w:val="20"/>
              </w:rPr>
            </w:pPr>
            <w:r w:rsidRPr="00FE1AD8">
              <w:rPr>
                <w:rStyle w:val="SCCLsocChar"/>
                <w:sz w:val="20"/>
                <w:szCs w:val="20"/>
                <w:lang w:val="en-CA"/>
              </w:rPr>
              <w:t>Marilyn Juel Shaw v. Her Majesty the Queen</w:t>
            </w:r>
            <w:r w:rsidRPr="00FE1AD8">
              <w:rPr>
                <w:sz w:val="20"/>
                <w:szCs w:val="20"/>
              </w:rPr>
              <w:t xml:space="preserve"> (Alta.) (Criminal) (By Leave)</w:t>
            </w:r>
          </w:p>
          <w:p w:rsidR="00E74BAB" w:rsidRPr="00FE1AD8" w:rsidRDefault="00E74BAB" w:rsidP="008805B2">
            <w:pPr>
              <w:rPr>
                <w:sz w:val="20"/>
                <w:szCs w:val="20"/>
              </w:rPr>
            </w:pPr>
          </w:p>
        </w:tc>
      </w:tr>
      <w:tr w:rsidR="00E74BAB" w:rsidRPr="00FE1AD8" w:rsidTr="008805B2">
        <w:trPr>
          <w:cantSplit/>
        </w:trPr>
        <w:tc>
          <w:tcPr>
            <w:tcW w:w="1458" w:type="dxa"/>
          </w:tcPr>
          <w:p w:rsidR="00E74BAB" w:rsidRPr="00FE1AD8" w:rsidRDefault="00E74BAB" w:rsidP="008805B2">
            <w:pPr>
              <w:rPr>
                <w:sz w:val="20"/>
                <w:szCs w:val="20"/>
              </w:rPr>
            </w:pPr>
            <w:r w:rsidRPr="00FE1AD8">
              <w:rPr>
                <w:sz w:val="20"/>
                <w:szCs w:val="20"/>
              </w:rPr>
              <w:t>Coram :</w:t>
            </w:r>
          </w:p>
        </w:tc>
        <w:tc>
          <w:tcPr>
            <w:tcW w:w="8118" w:type="dxa"/>
          </w:tcPr>
          <w:p w:rsidR="00E74BAB" w:rsidRPr="00FE1AD8" w:rsidRDefault="00E74BAB" w:rsidP="008805B2">
            <w:pPr>
              <w:rPr>
                <w:sz w:val="20"/>
                <w:szCs w:val="20"/>
              </w:rPr>
            </w:pPr>
            <w:r w:rsidRPr="00FE1AD8">
              <w:rPr>
                <w:rStyle w:val="SCCCoramChar"/>
                <w:sz w:val="20"/>
                <w:szCs w:val="20"/>
                <w:lang w:val="en-CA"/>
              </w:rPr>
              <w:t>McLachlin C.J. and Wagner and Gascon JJ.</w:t>
            </w:r>
          </w:p>
          <w:p w:rsidR="00E74BAB" w:rsidRPr="00FE1AD8" w:rsidRDefault="00E74BAB" w:rsidP="008805B2">
            <w:pPr>
              <w:rPr>
                <w:sz w:val="20"/>
                <w:szCs w:val="20"/>
                <w:u w:val="single"/>
              </w:rPr>
            </w:pPr>
          </w:p>
        </w:tc>
      </w:tr>
      <w:tr w:rsidR="00E74BAB" w:rsidRPr="00C11D3B" w:rsidTr="008805B2">
        <w:trPr>
          <w:cantSplit/>
        </w:trPr>
        <w:tc>
          <w:tcPr>
            <w:tcW w:w="9576" w:type="dxa"/>
            <w:gridSpan w:val="2"/>
          </w:tcPr>
          <w:p w:rsidR="00E74BAB" w:rsidRPr="00FE1AD8" w:rsidRDefault="00E74BAB" w:rsidP="008805B2">
            <w:pPr>
              <w:pStyle w:val="SCCShortJudgment"/>
              <w:rPr>
                <w:szCs w:val="20"/>
              </w:rPr>
            </w:pPr>
            <w:r w:rsidRPr="00FE1AD8">
              <w:rPr>
                <w:szCs w:val="20"/>
              </w:rPr>
              <w:t>The application for leave to appeal from the judgment of the Court of Appeal of Alberta (Calgary), Number  1201-0265-A, 2015 ABCA 25, dated January 21, 2015, is dismissed.</w:t>
            </w:r>
          </w:p>
          <w:p w:rsidR="00E74BAB" w:rsidRPr="00FE1AD8" w:rsidRDefault="00E74BAB" w:rsidP="008805B2">
            <w:pPr>
              <w:pStyle w:val="SCCShortJudgment"/>
              <w:ind w:firstLine="0"/>
              <w:rPr>
                <w:szCs w:val="20"/>
              </w:rPr>
            </w:pPr>
          </w:p>
          <w:p w:rsidR="00E74BAB" w:rsidRPr="00FE1AD8" w:rsidRDefault="00E74BAB" w:rsidP="008805B2">
            <w:pPr>
              <w:pStyle w:val="SCCShortJudgment"/>
              <w:rPr>
                <w:szCs w:val="20"/>
                <w:lang w:val="fr-CA"/>
              </w:rPr>
            </w:pPr>
            <w:r w:rsidRPr="00FE1AD8">
              <w:rPr>
                <w:szCs w:val="20"/>
                <w:lang w:val="fr-CA"/>
              </w:rPr>
              <w:t>La demande d’autorisation d’appel de l’arrêt de la Cour d'appel de l’Alberta (Calgary), numéro  1201-0265-A, 2015 ABCA 25, daté du 21 janvier 2015, est rejetée.</w:t>
            </w:r>
          </w:p>
        </w:tc>
      </w:tr>
    </w:tbl>
    <w:p w:rsidR="00467AD0" w:rsidRPr="00E74BAB" w:rsidRDefault="00467AD0" w:rsidP="00467AD0">
      <w:pPr>
        <w:rPr>
          <w:sz w:val="20"/>
          <w:szCs w:val="20"/>
          <w:lang w:val="fr-CA"/>
        </w:rPr>
      </w:pPr>
    </w:p>
    <w:p w:rsidR="00467AD0" w:rsidRPr="001B157C" w:rsidRDefault="00467AD0" w:rsidP="00467AD0">
      <w:pPr>
        <w:rPr>
          <w:sz w:val="20"/>
          <w:szCs w:val="20"/>
          <w:u w:val="single"/>
        </w:rPr>
      </w:pPr>
      <w:r w:rsidRPr="001B157C">
        <w:rPr>
          <w:sz w:val="20"/>
          <w:szCs w:val="20"/>
          <w:u w:val="single"/>
        </w:rPr>
        <w:t>CASE SUMMARY</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305EE6" w:rsidTr="00DB5F86">
        <w:tc>
          <w:tcPr>
            <w:tcW w:w="5000" w:type="pct"/>
            <w:gridSpan w:val="3"/>
          </w:tcPr>
          <w:p w:rsidR="00492785" w:rsidRPr="00305EE6" w:rsidRDefault="00492785" w:rsidP="00DB5F86">
            <w:pPr>
              <w:jc w:val="both"/>
              <w:rPr>
                <w:rFonts w:eastAsia="Calibri"/>
                <w:sz w:val="20"/>
              </w:rPr>
            </w:pPr>
            <w:r w:rsidRPr="00305EE6">
              <w:rPr>
                <w:rFonts w:eastAsia="Calibri"/>
                <w:i/>
                <w:sz w:val="20"/>
              </w:rPr>
              <w:t>Charter of Rights</w:t>
            </w:r>
            <w:r w:rsidRPr="00305EE6">
              <w:rPr>
                <w:rFonts w:eastAsia="Calibri"/>
                <w:sz w:val="20"/>
              </w:rPr>
              <w:t xml:space="preserve"> – Right to equality – Whether “being poor” should be as an analogous ground of discrimination – Whether the Applicant was treated with equality – Whether errors made in the provincial court and in the Court of Appeal should be reviewed by the Court for the sake of all who would like what is correct, fair, just, legal, right and/or true in Canada – </w:t>
            </w:r>
            <w:r w:rsidRPr="00305EE6">
              <w:rPr>
                <w:rFonts w:eastAsia="Calibri"/>
                <w:i/>
                <w:sz w:val="20"/>
              </w:rPr>
              <w:t>Canadian Charter of Rights and Freedoms</w:t>
            </w:r>
            <w:r w:rsidRPr="00305EE6">
              <w:rPr>
                <w:rFonts w:eastAsia="Calibri"/>
                <w:sz w:val="20"/>
              </w:rPr>
              <w:t>, s. 15.</w:t>
            </w:r>
          </w:p>
          <w:p w:rsidR="00492785" w:rsidRPr="00305EE6" w:rsidRDefault="00492785" w:rsidP="00DB5F86">
            <w:pPr>
              <w:jc w:val="both"/>
              <w:rPr>
                <w:rFonts w:eastAsia="Calibri"/>
                <w:sz w:val="20"/>
              </w:rPr>
            </w:pPr>
          </w:p>
        </w:tc>
      </w:tr>
      <w:tr w:rsidR="00492785" w:rsidRPr="00305EE6" w:rsidTr="00DB5F86">
        <w:tc>
          <w:tcPr>
            <w:tcW w:w="5000" w:type="pct"/>
            <w:gridSpan w:val="3"/>
          </w:tcPr>
          <w:p w:rsidR="00492785" w:rsidRPr="00305EE6" w:rsidRDefault="00492785" w:rsidP="00DB5F86">
            <w:pPr>
              <w:jc w:val="both"/>
              <w:rPr>
                <w:rFonts w:eastAsia="Calibri"/>
                <w:sz w:val="20"/>
              </w:rPr>
            </w:pPr>
            <w:r w:rsidRPr="00305EE6">
              <w:rPr>
                <w:rFonts w:eastAsia="Calibri"/>
                <w:sz w:val="20"/>
              </w:rPr>
              <w:t>Ms. Shaw pleaded guilty to six offences arising out of divorce proceedings:  carrying a concealed weapon; disobeying a lawful court order; obstructing justice by falsifying a court order; criminal harassment; uttering a forged document; and fraud.  She signed an Agreed Statement of Facts which supported the pleas.  Ms. Shaw, who was self-represented on appeal sought to vacate her guilty pleas on the basis they were not voluntary and each of the two counsel that represented her in the court below were ineffective or incompetent.  The Court of Appeal declined to grant leave to set aside the guilty pleas and dismissed the conviction appeal.</w:t>
            </w:r>
          </w:p>
          <w:p w:rsidR="00492785" w:rsidRPr="00305EE6" w:rsidRDefault="00492785" w:rsidP="00DB5F86">
            <w:pPr>
              <w:jc w:val="both"/>
              <w:rPr>
                <w:rFonts w:eastAsia="Calibri"/>
                <w:sz w:val="20"/>
              </w:rPr>
            </w:pP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October 3, 2012</w:t>
            </w:r>
          </w:p>
          <w:p w:rsidR="00492785" w:rsidRPr="00305EE6" w:rsidRDefault="00492785" w:rsidP="00DB5F86">
            <w:pPr>
              <w:jc w:val="both"/>
              <w:rPr>
                <w:rFonts w:eastAsia="Calibri"/>
                <w:sz w:val="20"/>
              </w:rPr>
            </w:pPr>
            <w:r w:rsidRPr="00305EE6">
              <w:rPr>
                <w:rFonts w:eastAsia="Calibri"/>
                <w:sz w:val="20"/>
              </w:rPr>
              <w:t>Provincial Court of Alberta</w:t>
            </w:r>
          </w:p>
          <w:p w:rsidR="00492785" w:rsidRPr="00305EE6" w:rsidRDefault="00492785" w:rsidP="00DB5F86">
            <w:pPr>
              <w:jc w:val="both"/>
              <w:rPr>
                <w:rFonts w:eastAsia="Calibri"/>
                <w:sz w:val="20"/>
              </w:rPr>
            </w:pPr>
            <w:r w:rsidRPr="00305EE6">
              <w:rPr>
                <w:rFonts w:eastAsia="Calibri"/>
                <w:sz w:val="20"/>
              </w:rPr>
              <w:t>(Fradsham J.)</w:t>
            </w:r>
          </w:p>
          <w:p w:rsidR="00492785" w:rsidRPr="00305EE6" w:rsidRDefault="00492785" w:rsidP="00DB5F86">
            <w:pPr>
              <w:jc w:val="both"/>
              <w:rPr>
                <w:rFonts w:eastAsia="Calibri"/>
                <w:sz w:val="20"/>
              </w:rPr>
            </w:pPr>
            <w:r w:rsidRPr="00305EE6">
              <w:rPr>
                <w:rFonts w:eastAsia="Calibri"/>
                <w:sz w:val="20"/>
              </w:rPr>
              <w:t>2012 ABPC 273; 120213715P1</w:t>
            </w:r>
          </w:p>
          <w:p w:rsidR="00492785" w:rsidRPr="00305EE6" w:rsidRDefault="00492785" w:rsidP="00DB5F86">
            <w:pPr>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Applicant convicted of six offences</w:t>
            </w:r>
          </w:p>
          <w:p w:rsidR="00492785" w:rsidRPr="00305EE6" w:rsidRDefault="00492785" w:rsidP="00DB5F86">
            <w:pPr>
              <w:jc w:val="both"/>
              <w:rPr>
                <w:rFonts w:eastAsia="Calibri"/>
                <w:sz w:val="20"/>
              </w:rPr>
            </w:pP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January 21, 2015</w:t>
            </w:r>
          </w:p>
          <w:p w:rsidR="00492785" w:rsidRPr="00305EE6" w:rsidRDefault="00492785" w:rsidP="00DB5F86">
            <w:pPr>
              <w:jc w:val="both"/>
              <w:rPr>
                <w:rFonts w:eastAsia="Calibri"/>
                <w:sz w:val="20"/>
              </w:rPr>
            </w:pPr>
            <w:r w:rsidRPr="00305EE6">
              <w:rPr>
                <w:rFonts w:eastAsia="Calibri"/>
                <w:sz w:val="20"/>
              </w:rPr>
              <w:t>Court of Appeal of Alberta (Calgary)</w:t>
            </w:r>
          </w:p>
          <w:p w:rsidR="00492785" w:rsidRPr="00305EE6" w:rsidRDefault="00492785" w:rsidP="00DB5F86">
            <w:pPr>
              <w:jc w:val="both"/>
              <w:rPr>
                <w:rFonts w:eastAsia="Calibri"/>
                <w:sz w:val="20"/>
              </w:rPr>
            </w:pPr>
            <w:r w:rsidRPr="00305EE6">
              <w:rPr>
                <w:rFonts w:eastAsia="Calibri"/>
                <w:sz w:val="20"/>
              </w:rPr>
              <w:t>(Côté, Rowbotham and O'Ferrall JJ.A.)</w:t>
            </w:r>
          </w:p>
          <w:p w:rsidR="00492785" w:rsidRPr="00305EE6" w:rsidRDefault="00492785" w:rsidP="00DB5F86">
            <w:pPr>
              <w:jc w:val="both"/>
              <w:rPr>
                <w:rFonts w:eastAsia="Calibri"/>
                <w:sz w:val="20"/>
              </w:rPr>
            </w:pPr>
            <w:r w:rsidRPr="00305EE6">
              <w:rPr>
                <w:rFonts w:eastAsia="Calibri"/>
                <w:sz w:val="20"/>
              </w:rPr>
              <w:t>2015 ABCA 25; 1201-0265-A</w:t>
            </w:r>
          </w:p>
          <w:p w:rsidR="00492785" w:rsidRPr="00305EE6" w:rsidRDefault="001D3FE1" w:rsidP="00DB5F86">
            <w:pPr>
              <w:jc w:val="both"/>
              <w:rPr>
                <w:rFonts w:eastAsia="Calibri"/>
                <w:sz w:val="20"/>
              </w:rPr>
            </w:pPr>
            <w:hyperlink r:id="rId51" w:history="1">
              <w:r w:rsidR="00492785" w:rsidRPr="00305EE6">
                <w:rPr>
                  <w:rFonts w:eastAsia="Calibri"/>
                  <w:color w:val="0000FF"/>
                  <w:sz w:val="20"/>
                  <w:u w:val="single"/>
                </w:rPr>
                <w:t>http://canlii.ca/t/gg0nh</w:t>
              </w:r>
            </w:hyperlink>
          </w:p>
          <w:p w:rsidR="00492785" w:rsidRPr="00305EE6" w:rsidRDefault="00492785" w:rsidP="00DB5F86">
            <w:pPr>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Leave to appeal to set aside guilty pleas denied; Conviction appeal dismissed</w:t>
            </w:r>
          </w:p>
          <w:p w:rsidR="00492785" w:rsidRPr="00305EE6" w:rsidRDefault="00492785" w:rsidP="00DB5F86">
            <w:pPr>
              <w:jc w:val="both"/>
              <w:rPr>
                <w:rFonts w:eastAsia="Calibri"/>
                <w:sz w:val="20"/>
              </w:rPr>
            </w:pPr>
          </w:p>
        </w:tc>
      </w:tr>
      <w:tr w:rsidR="00492785" w:rsidRPr="00305EE6" w:rsidTr="00DB5F86">
        <w:tc>
          <w:tcPr>
            <w:tcW w:w="2427" w:type="pct"/>
          </w:tcPr>
          <w:p w:rsidR="00492785" w:rsidRPr="00305EE6" w:rsidRDefault="00492785" w:rsidP="00DB5F86">
            <w:pPr>
              <w:jc w:val="both"/>
              <w:rPr>
                <w:rFonts w:eastAsia="Calibri"/>
                <w:sz w:val="20"/>
              </w:rPr>
            </w:pPr>
            <w:r w:rsidRPr="00305EE6">
              <w:rPr>
                <w:rFonts w:eastAsia="Calibri"/>
                <w:sz w:val="20"/>
              </w:rPr>
              <w:t>March 19, 2015</w:t>
            </w:r>
          </w:p>
          <w:p w:rsidR="00492785" w:rsidRPr="00305EE6" w:rsidRDefault="00492785" w:rsidP="00DB5F86">
            <w:pPr>
              <w:jc w:val="both"/>
              <w:rPr>
                <w:rFonts w:eastAsia="Calibri"/>
                <w:sz w:val="20"/>
              </w:rPr>
            </w:pPr>
            <w:r w:rsidRPr="00305EE6">
              <w:rPr>
                <w:rFonts w:eastAsia="Calibri"/>
                <w:sz w:val="20"/>
              </w:rPr>
              <w:t>Supreme Court of Canada</w:t>
            </w: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rPr>
            </w:pPr>
            <w:r w:rsidRPr="00305EE6">
              <w:rPr>
                <w:rFonts w:eastAsia="Calibri"/>
                <w:sz w:val="20"/>
              </w:rPr>
              <w:t>Application for leave to appeal filed</w:t>
            </w:r>
          </w:p>
          <w:p w:rsidR="00492785" w:rsidRPr="00305EE6" w:rsidRDefault="00492785" w:rsidP="00DB5F86">
            <w:pPr>
              <w:jc w:val="both"/>
              <w:rPr>
                <w:rFonts w:eastAsia="Calibri"/>
                <w:sz w:val="20"/>
              </w:rPr>
            </w:pPr>
          </w:p>
        </w:tc>
      </w:tr>
    </w:tbl>
    <w:p w:rsidR="00467AD0" w:rsidRDefault="00467AD0" w:rsidP="00467AD0">
      <w:pPr>
        <w:rPr>
          <w:sz w:val="20"/>
          <w:szCs w:val="20"/>
        </w:rPr>
      </w:pPr>
    </w:p>
    <w:p w:rsidR="00467AD0" w:rsidRPr="00C50A5C" w:rsidRDefault="001D3FE1" w:rsidP="00467AD0">
      <w:pPr>
        <w:rPr>
          <w:sz w:val="20"/>
          <w:szCs w:val="20"/>
        </w:rPr>
      </w:pPr>
      <w:r>
        <w:rPr>
          <w:sz w:val="20"/>
          <w:szCs w:val="20"/>
          <w:lang w:val="fr-CA"/>
        </w:rPr>
        <w:pict>
          <v:rect id="_x0000_i1056" style="width:2in;height:1pt" o:hrpct="0" o:hralign="center" o:hrstd="t" o:hrnoshade="t" o:hr="t" fillcolor="black [3213]" stroked="f"/>
        </w:pict>
      </w:r>
    </w:p>
    <w:p w:rsidR="00467AD0" w:rsidRDefault="00467AD0" w:rsidP="00467AD0">
      <w:pPr>
        <w:rPr>
          <w:sz w:val="20"/>
          <w:szCs w:val="20"/>
        </w:rPr>
      </w:pPr>
    </w:p>
    <w:p w:rsidR="00467AD0" w:rsidRPr="001B157C" w:rsidRDefault="00467AD0" w:rsidP="00467AD0">
      <w:pPr>
        <w:rPr>
          <w:sz w:val="20"/>
          <w:szCs w:val="20"/>
          <w:u w:val="single"/>
          <w:lang w:val="fr-CA"/>
        </w:rPr>
      </w:pPr>
      <w:r w:rsidRPr="001B157C">
        <w:rPr>
          <w:sz w:val="20"/>
          <w:szCs w:val="20"/>
          <w:u w:val="single"/>
          <w:lang w:val="fr-CA"/>
        </w:rPr>
        <w:t>RÉSUMÉ DE L’AFFAIRE</w:t>
      </w:r>
    </w:p>
    <w:p w:rsidR="00467AD0" w:rsidRDefault="00467AD0" w:rsidP="00467A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2785" w:rsidRPr="00C11D3B" w:rsidTr="00DB5F86">
        <w:tc>
          <w:tcPr>
            <w:tcW w:w="5000" w:type="pct"/>
            <w:gridSpan w:val="3"/>
          </w:tcPr>
          <w:p w:rsidR="00492785" w:rsidRPr="00305EE6" w:rsidRDefault="00492785" w:rsidP="00DB5F86">
            <w:pPr>
              <w:jc w:val="both"/>
              <w:rPr>
                <w:rFonts w:eastAsia="Calibri"/>
                <w:sz w:val="20"/>
                <w:lang w:val="fr-CA"/>
              </w:rPr>
            </w:pPr>
            <w:r w:rsidRPr="00305EE6">
              <w:rPr>
                <w:rFonts w:eastAsia="Calibri"/>
                <w:i/>
                <w:sz w:val="20"/>
                <w:lang w:val="fr-CA"/>
              </w:rPr>
              <w:t>Charte des droits</w:t>
            </w:r>
            <w:r w:rsidRPr="00305EE6">
              <w:rPr>
                <w:rFonts w:eastAsia="Calibri"/>
                <w:sz w:val="20"/>
                <w:lang w:val="fr-CA"/>
              </w:rPr>
              <w:t xml:space="preserve"> – Droit à l’égalité – Le fait « d’être pauvre » devrait-il être considéré comme un motif analogue de </w:t>
            </w:r>
            <w:r w:rsidRPr="00305EE6">
              <w:rPr>
                <w:rFonts w:eastAsia="Calibri"/>
                <w:sz w:val="20"/>
                <w:lang w:val="fr-CA"/>
              </w:rPr>
              <w:lastRenderedPageBreak/>
              <w:t xml:space="preserve">discrimination? – La demanderesse a-t-elle été traitée avec égalité? – La Cour devrait-elle examiner les erreurs commises en Cour provinciale et en Cour d’appel pour le compte de tous ceux qui ont à cœur ce qui est juste, légal, bien ou vrai au Canada? – </w:t>
            </w:r>
            <w:r w:rsidRPr="00305EE6">
              <w:rPr>
                <w:rFonts w:eastAsia="Calibri"/>
                <w:i/>
                <w:sz w:val="20"/>
                <w:lang w:val="fr-CA"/>
              </w:rPr>
              <w:t>Charte canadienne des droits et libertés</w:t>
            </w:r>
            <w:r w:rsidRPr="00305EE6">
              <w:rPr>
                <w:rFonts w:eastAsia="Calibri"/>
                <w:sz w:val="20"/>
                <w:lang w:val="fr-CA"/>
              </w:rPr>
              <w:t>, art. 15.</w:t>
            </w:r>
          </w:p>
          <w:p w:rsidR="00492785" w:rsidRPr="00305EE6" w:rsidRDefault="00492785" w:rsidP="00DB5F86">
            <w:pPr>
              <w:jc w:val="both"/>
              <w:rPr>
                <w:rFonts w:eastAsia="Calibri"/>
                <w:sz w:val="20"/>
                <w:lang w:val="fr-CA"/>
              </w:rPr>
            </w:pPr>
          </w:p>
        </w:tc>
      </w:tr>
      <w:tr w:rsidR="00492785" w:rsidRPr="00C11D3B" w:rsidTr="00DB5F86">
        <w:tc>
          <w:tcPr>
            <w:tcW w:w="5000" w:type="pct"/>
            <w:gridSpan w:val="3"/>
          </w:tcPr>
          <w:p w:rsidR="00492785" w:rsidRPr="00305EE6" w:rsidRDefault="00492785" w:rsidP="00DB5F86">
            <w:pPr>
              <w:jc w:val="both"/>
              <w:rPr>
                <w:rFonts w:eastAsia="Calibri"/>
                <w:sz w:val="20"/>
                <w:lang w:val="fr-CA"/>
              </w:rPr>
            </w:pPr>
            <w:r w:rsidRPr="00305EE6">
              <w:rPr>
                <w:rFonts w:eastAsia="Calibri"/>
                <w:sz w:val="20"/>
                <w:lang w:val="fr-CA"/>
              </w:rPr>
              <w:lastRenderedPageBreak/>
              <w:t>Madame Shaw a plaidé coupable de six infractions découlant d’une procédure de divorce : port d’une arme dissimulée, désobéissance à une ordonnance judiciaire légitime, entrave à la justice par la falsification d’une ordonnance judiciaire, harcèlement criminel, usage de faux et fraude.  Elle a signé un exposé conjoint des faits au soutien de ses plaidoyers.  Madame Shaw, qui n’était pas représentée par un avocat en appel, a tenté de faire annuler ses plaidoyers de culpabilité, alléguant qu’ils n’avaient pas été volontaires et que les deux avocats qui l’avaient représentée en première instance avaient été inefficaces ou incompétents.  La Cour d’appel a refusé d’accorder l’autorisation d’annuler les plaidoyers de culpabilité et a rejeté l’appel relatif aux déclarations de culpabilité.</w:t>
            </w:r>
          </w:p>
          <w:p w:rsidR="00492785" w:rsidRPr="00305EE6" w:rsidRDefault="00492785" w:rsidP="00DB5F86">
            <w:pPr>
              <w:jc w:val="both"/>
              <w:rPr>
                <w:rFonts w:eastAsia="Calibri"/>
                <w:sz w:val="20"/>
                <w:lang w:val="fr-CA"/>
              </w:rPr>
            </w:pPr>
          </w:p>
        </w:tc>
      </w:tr>
      <w:tr w:rsidR="00492785" w:rsidRPr="00C11D3B"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t>3 octobre 2012</w:t>
            </w:r>
          </w:p>
          <w:p w:rsidR="00492785" w:rsidRPr="00305EE6" w:rsidRDefault="00492785" w:rsidP="00DB5F86">
            <w:pPr>
              <w:jc w:val="both"/>
              <w:rPr>
                <w:rFonts w:eastAsia="Calibri"/>
                <w:sz w:val="20"/>
                <w:lang w:val="fr-CA"/>
              </w:rPr>
            </w:pPr>
            <w:r w:rsidRPr="00305EE6">
              <w:rPr>
                <w:rFonts w:eastAsia="Calibri"/>
                <w:sz w:val="20"/>
                <w:lang w:val="fr-CA"/>
              </w:rPr>
              <w:t>Cour provinciale de l’Alberta</w:t>
            </w:r>
          </w:p>
          <w:p w:rsidR="00492785" w:rsidRPr="00305EE6" w:rsidRDefault="00492785" w:rsidP="00DB5F86">
            <w:pPr>
              <w:jc w:val="both"/>
              <w:rPr>
                <w:rFonts w:eastAsia="Calibri"/>
                <w:sz w:val="20"/>
                <w:lang w:val="fr-CA"/>
              </w:rPr>
            </w:pPr>
            <w:r w:rsidRPr="00305EE6">
              <w:rPr>
                <w:rFonts w:eastAsia="Calibri"/>
                <w:sz w:val="20"/>
                <w:lang w:val="fr-CA"/>
              </w:rPr>
              <w:t>(Juge Fradsham)</w:t>
            </w:r>
          </w:p>
          <w:p w:rsidR="00492785" w:rsidRPr="00305EE6" w:rsidRDefault="00492785" w:rsidP="00DB5F86">
            <w:pPr>
              <w:jc w:val="both"/>
              <w:rPr>
                <w:rFonts w:eastAsia="Calibri"/>
                <w:sz w:val="20"/>
                <w:lang w:val="fr-CA"/>
              </w:rPr>
            </w:pPr>
            <w:r w:rsidRPr="00305EE6">
              <w:rPr>
                <w:rFonts w:eastAsia="Calibri"/>
                <w:sz w:val="20"/>
                <w:lang w:val="fr-CA"/>
              </w:rPr>
              <w:t>2012 ABPC 273; 120213715P1</w:t>
            </w:r>
          </w:p>
          <w:p w:rsidR="00492785" w:rsidRPr="00305EE6" w:rsidRDefault="00492785" w:rsidP="00DB5F86">
            <w:pPr>
              <w:jc w:val="both"/>
              <w:rPr>
                <w:rFonts w:eastAsia="Calibri"/>
                <w:sz w:val="20"/>
                <w:lang w:val="fr-CA"/>
              </w:rPr>
            </w:pPr>
          </w:p>
        </w:tc>
        <w:tc>
          <w:tcPr>
            <w:tcW w:w="243" w:type="pct"/>
          </w:tcPr>
          <w:p w:rsidR="00492785" w:rsidRPr="00305EE6" w:rsidRDefault="00492785" w:rsidP="00DB5F86">
            <w:pPr>
              <w:jc w:val="both"/>
              <w:rPr>
                <w:rFonts w:eastAsia="Calibri"/>
                <w:sz w:val="20"/>
                <w:lang w:val="fr-CA"/>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Déclarations de culpabilité de la demanderesse de six infractions</w:t>
            </w:r>
          </w:p>
          <w:p w:rsidR="00492785" w:rsidRPr="00305EE6" w:rsidRDefault="00492785" w:rsidP="00DB5F86">
            <w:pPr>
              <w:jc w:val="both"/>
              <w:rPr>
                <w:rFonts w:eastAsia="Calibri"/>
                <w:sz w:val="20"/>
                <w:lang w:val="fr-CA"/>
              </w:rPr>
            </w:pPr>
          </w:p>
        </w:tc>
      </w:tr>
      <w:tr w:rsidR="00492785" w:rsidRPr="00C11D3B"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t>21 janvier 2015</w:t>
            </w:r>
          </w:p>
          <w:p w:rsidR="00492785" w:rsidRPr="00305EE6" w:rsidRDefault="00492785" w:rsidP="00DB5F86">
            <w:pPr>
              <w:jc w:val="both"/>
              <w:rPr>
                <w:rFonts w:eastAsia="Calibri"/>
                <w:sz w:val="20"/>
                <w:lang w:val="fr-CA"/>
              </w:rPr>
            </w:pPr>
            <w:r w:rsidRPr="00305EE6">
              <w:rPr>
                <w:rFonts w:eastAsia="Calibri"/>
                <w:sz w:val="20"/>
                <w:lang w:val="fr-CA"/>
              </w:rPr>
              <w:t>Cour d’appel de l’Alberta (Calgary)</w:t>
            </w:r>
          </w:p>
          <w:p w:rsidR="00492785" w:rsidRPr="00305EE6" w:rsidRDefault="00492785" w:rsidP="00DB5F86">
            <w:pPr>
              <w:jc w:val="both"/>
              <w:rPr>
                <w:rFonts w:eastAsia="Calibri"/>
                <w:sz w:val="20"/>
                <w:lang w:val="fr-CA"/>
              </w:rPr>
            </w:pPr>
            <w:r w:rsidRPr="00305EE6">
              <w:rPr>
                <w:rFonts w:eastAsia="Calibri"/>
                <w:sz w:val="20"/>
                <w:lang w:val="fr-CA"/>
              </w:rPr>
              <w:t>(Juges Côté, Rowbotham et O'Ferrall)</w:t>
            </w:r>
          </w:p>
          <w:p w:rsidR="00492785" w:rsidRPr="00305EE6" w:rsidRDefault="00492785" w:rsidP="00DB5F86">
            <w:pPr>
              <w:jc w:val="both"/>
              <w:rPr>
                <w:rFonts w:eastAsia="Calibri"/>
                <w:sz w:val="20"/>
              </w:rPr>
            </w:pPr>
            <w:r w:rsidRPr="00305EE6">
              <w:rPr>
                <w:rFonts w:eastAsia="Calibri"/>
                <w:sz w:val="20"/>
              </w:rPr>
              <w:t>2015 ABCA 25; 1201-0265-A</w:t>
            </w:r>
          </w:p>
          <w:p w:rsidR="00492785" w:rsidRPr="00305EE6" w:rsidRDefault="001D3FE1" w:rsidP="00DB5F86">
            <w:pPr>
              <w:jc w:val="both"/>
              <w:rPr>
                <w:rFonts w:eastAsia="Calibri"/>
                <w:sz w:val="20"/>
              </w:rPr>
            </w:pPr>
            <w:hyperlink r:id="rId52" w:history="1">
              <w:r w:rsidR="00492785" w:rsidRPr="00305EE6">
                <w:rPr>
                  <w:rFonts w:eastAsia="Calibri"/>
                  <w:color w:val="0000FF"/>
                  <w:sz w:val="20"/>
                  <w:u w:val="single"/>
                </w:rPr>
                <w:t>http://canlii.ca/t/gg0nh</w:t>
              </w:r>
            </w:hyperlink>
          </w:p>
          <w:p w:rsidR="00492785" w:rsidRPr="00305EE6" w:rsidRDefault="00492785" w:rsidP="00DB5F86">
            <w:pPr>
              <w:jc w:val="both"/>
              <w:rPr>
                <w:rFonts w:eastAsia="Calibri"/>
                <w:sz w:val="20"/>
              </w:rPr>
            </w:pPr>
          </w:p>
        </w:tc>
        <w:tc>
          <w:tcPr>
            <w:tcW w:w="243" w:type="pct"/>
          </w:tcPr>
          <w:p w:rsidR="00492785" w:rsidRPr="00305EE6" w:rsidRDefault="00492785" w:rsidP="00DB5F86">
            <w:pPr>
              <w:jc w:val="both"/>
              <w:rPr>
                <w:rFonts w:eastAsia="Calibri"/>
                <w:sz w:val="20"/>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Refus de l’autorisation d’appel en vue d’annuler les plaidoyers de culpabilité; rejet de l’appel relatif aux déclarations de culpabilité</w:t>
            </w:r>
          </w:p>
          <w:p w:rsidR="00492785" w:rsidRPr="00305EE6" w:rsidRDefault="00492785" w:rsidP="00DB5F86">
            <w:pPr>
              <w:jc w:val="both"/>
              <w:rPr>
                <w:rFonts w:eastAsia="Calibri"/>
                <w:sz w:val="20"/>
                <w:lang w:val="fr-CA"/>
              </w:rPr>
            </w:pPr>
          </w:p>
          <w:p w:rsidR="00492785" w:rsidRPr="00305EE6" w:rsidRDefault="00492785" w:rsidP="00DB5F86">
            <w:pPr>
              <w:jc w:val="both"/>
              <w:rPr>
                <w:rFonts w:eastAsia="Calibri"/>
                <w:sz w:val="20"/>
                <w:lang w:val="fr-CA"/>
              </w:rPr>
            </w:pPr>
          </w:p>
        </w:tc>
      </w:tr>
      <w:tr w:rsidR="00492785" w:rsidRPr="00C11D3B" w:rsidTr="00DB5F86">
        <w:tc>
          <w:tcPr>
            <w:tcW w:w="2427" w:type="pct"/>
          </w:tcPr>
          <w:p w:rsidR="00492785" w:rsidRPr="00305EE6" w:rsidRDefault="00492785" w:rsidP="00DB5F86">
            <w:pPr>
              <w:jc w:val="both"/>
              <w:rPr>
                <w:rFonts w:eastAsia="Calibri"/>
                <w:sz w:val="20"/>
                <w:lang w:val="fr-CA"/>
              </w:rPr>
            </w:pPr>
            <w:r w:rsidRPr="00305EE6">
              <w:rPr>
                <w:rFonts w:eastAsia="Calibri"/>
                <w:sz w:val="20"/>
                <w:lang w:val="fr-CA"/>
              </w:rPr>
              <w:t>19 mars 2015</w:t>
            </w:r>
          </w:p>
          <w:p w:rsidR="00492785" w:rsidRPr="00305EE6" w:rsidRDefault="00492785" w:rsidP="00DB5F86">
            <w:pPr>
              <w:jc w:val="both"/>
              <w:rPr>
                <w:rFonts w:eastAsia="Calibri"/>
                <w:sz w:val="20"/>
                <w:lang w:val="fr-CA"/>
              </w:rPr>
            </w:pPr>
            <w:r w:rsidRPr="00305EE6">
              <w:rPr>
                <w:rFonts w:eastAsia="Calibri"/>
                <w:sz w:val="20"/>
                <w:lang w:val="fr-CA"/>
              </w:rPr>
              <w:t>Cour suprême du Canada</w:t>
            </w:r>
          </w:p>
        </w:tc>
        <w:tc>
          <w:tcPr>
            <w:tcW w:w="243" w:type="pct"/>
          </w:tcPr>
          <w:p w:rsidR="00492785" w:rsidRPr="00305EE6" w:rsidRDefault="00492785" w:rsidP="00DB5F86">
            <w:pPr>
              <w:jc w:val="both"/>
              <w:rPr>
                <w:rFonts w:eastAsia="Calibri"/>
                <w:sz w:val="20"/>
                <w:lang w:val="fr-CA"/>
              </w:rPr>
            </w:pPr>
          </w:p>
        </w:tc>
        <w:tc>
          <w:tcPr>
            <w:tcW w:w="2330" w:type="pct"/>
          </w:tcPr>
          <w:p w:rsidR="00492785" w:rsidRPr="00305EE6" w:rsidRDefault="00492785" w:rsidP="00DB5F86">
            <w:pPr>
              <w:jc w:val="both"/>
              <w:rPr>
                <w:rFonts w:eastAsia="Calibri"/>
                <w:sz w:val="20"/>
                <w:lang w:val="fr-CA"/>
              </w:rPr>
            </w:pPr>
            <w:r w:rsidRPr="00305EE6">
              <w:rPr>
                <w:rFonts w:eastAsia="Calibri"/>
                <w:sz w:val="20"/>
                <w:lang w:val="fr-CA"/>
              </w:rPr>
              <w:t>Dépôt de la demande d’autorisation d’appel</w:t>
            </w:r>
          </w:p>
          <w:p w:rsidR="00492785" w:rsidRPr="00305EE6" w:rsidRDefault="00492785" w:rsidP="00DB5F86">
            <w:pPr>
              <w:jc w:val="both"/>
              <w:rPr>
                <w:rFonts w:eastAsia="Calibri"/>
                <w:sz w:val="20"/>
                <w:lang w:val="fr-CA"/>
              </w:rPr>
            </w:pPr>
          </w:p>
        </w:tc>
      </w:tr>
    </w:tbl>
    <w:p w:rsidR="00467AD0" w:rsidRPr="00492785" w:rsidRDefault="00467AD0" w:rsidP="00467AD0">
      <w:pPr>
        <w:rPr>
          <w:sz w:val="20"/>
          <w:szCs w:val="20"/>
          <w:lang w:val="fr-CA"/>
        </w:rPr>
      </w:pPr>
    </w:p>
    <w:p w:rsidR="00467AD0" w:rsidRDefault="001D3FE1" w:rsidP="00467AD0">
      <w:pPr>
        <w:rPr>
          <w:sz w:val="20"/>
          <w:szCs w:val="20"/>
          <w:lang w:val="fr-CA"/>
        </w:rPr>
      </w:pPr>
      <w:r>
        <w:rPr>
          <w:sz w:val="20"/>
          <w:szCs w:val="20"/>
          <w:lang w:val="fr-CA"/>
        </w:rPr>
        <w:pict>
          <v:rect id="_x0000_i1057" style="width:2in;height:1pt" o:hrpct="0" o:hralign="center" o:hrstd="t" o:hrnoshade="t" o:hr="t" fillcolor="black [3213]" stroked="f"/>
        </w:pict>
      </w:r>
    </w:p>
    <w:p w:rsidR="00467AD0" w:rsidRDefault="00467AD0" w:rsidP="00467AD0">
      <w:pPr>
        <w:rPr>
          <w:sz w:val="20"/>
          <w:szCs w:val="20"/>
          <w:lang w:val="fr-CA"/>
        </w:rPr>
      </w:pPr>
    </w:p>
    <w:p w:rsidR="00467AD0" w:rsidRDefault="00467AD0" w:rsidP="000E2959">
      <w:pPr>
        <w:rPr>
          <w:sz w:val="20"/>
          <w:szCs w:val="20"/>
        </w:rPr>
      </w:pPr>
    </w:p>
    <w:p w:rsidR="000E2959" w:rsidRPr="00061E7E"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C616F4" w:rsidRPr="00C616F4" w:rsidRDefault="00C616F4" w:rsidP="00C616F4">
      <w:pPr>
        <w:tabs>
          <w:tab w:val="left" w:pos="-1440"/>
          <w:tab w:val="left" w:pos="-720"/>
        </w:tabs>
        <w:jc w:val="both"/>
        <w:rPr>
          <w:rFonts w:eastAsia="Times New Roman" w:cs="Times New Roman"/>
          <w:sz w:val="20"/>
          <w:szCs w:val="20"/>
          <w:lang w:val="fr-CA" w:eastAsia="en-CA"/>
        </w:rPr>
      </w:pPr>
      <w:r w:rsidRPr="00C616F4">
        <w:rPr>
          <w:rFonts w:eastAsia="Times New Roman" w:cs="Times New Roman"/>
          <w:sz w:val="20"/>
          <w:szCs w:val="20"/>
          <w:lang w:val="fr-CA" w:eastAsia="en-CA"/>
        </w:rPr>
        <w:t>14.05.2015</w:t>
      </w:r>
    </w:p>
    <w:p w:rsidR="00C616F4" w:rsidRPr="00C616F4" w:rsidRDefault="00C616F4" w:rsidP="00C616F4">
      <w:pPr>
        <w:tabs>
          <w:tab w:val="left" w:pos="-1440"/>
          <w:tab w:val="left" w:pos="-720"/>
        </w:tabs>
        <w:jc w:val="both"/>
        <w:rPr>
          <w:rFonts w:eastAsia="Times New Roman" w:cs="Times New Roman"/>
          <w:sz w:val="20"/>
          <w:szCs w:val="20"/>
          <w:lang w:eastAsia="en-CA"/>
        </w:rPr>
      </w:pPr>
    </w:p>
    <w:p w:rsidR="00C616F4" w:rsidRPr="00C616F4" w:rsidRDefault="00C616F4" w:rsidP="00C616F4">
      <w:pPr>
        <w:tabs>
          <w:tab w:val="left" w:pos="-1440"/>
          <w:tab w:val="left" w:pos="-720"/>
        </w:tabs>
        <w:jc w:val="both"/>
        <w:rPr>
          <w:rFonts w:eastAsia="Times New Roman" w:cs="Times New Roman"/>
          <w:sz w:val="20"/>
          <w:szCs w:val="20"/>
          <w:lang w:val="fr-CA" w:eastAsia="en-CA"/>
        </w:rPr>
      </w:pPr>
      <w:r w:rsidRPr="00C616F4">
        <w:rPr>
          <w:rFonts w:eastAsia="Times New Roman" w:cs="Times New Roman"/>
          <w:sz w:val="20"/>
          <w:szCs w:val="20"/>
          <w:lang w:val="fr-CA" w:eastAsia="en-CA"/>
        </w:rPr>
        <w:t>Before / Devant :   CROMWELL J. / LE JUGE CROMWELL</w:t>
      </w:r>
    </w:p>
    <w:p w:rsidR="00C616F4" w:rsidRPr="00C616F4" w:rsidRDefault="00C616F4" w:rsidP="00C616F4">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C616F4" w:rsidRPr="00C616F4" w:rsidTr="00C616F4">
        <w:trPr>
          <w:trHeight w:val="151"/>
        </w:trPr>
        <w:tc>
          <w:tcPr>
            <w:tcW w:w="4338" w:type="dxa"/>
          </w:tcPr>
          <w:p w:rsidR="00C616F4" w:rsidRPr="00C616F4" w:rsidRDefault="00C1696D" w:rsidP="00C616F4">
            <w:pPr>
              <w:tabs>
                <w:tab w:val="left" w:pos="-1440"/>
                <w:tab w:val="left" w:pos="-720"/>
              </w:tabs>
              <w:jc w:val="both"/>
              <w:rPr>
                <w:lang w:val="fr-CA"/>
              </w:rPr>
            </w:pPr>
            <w:r w:rsidRPr="00C616F4">
              <w:rPr>
                <w:lang w:val="en-US"/>
              </w:rPr>
              <w:fldChar w:fldCharType="begin"/>
            </w:r>
            <w:r w:rsidR="00C616F4" w:rsidRPr="00C616F4">
              <w:rPr>
                <w:lang w:val="fr-CA"/>
              </w:rPr>
              <w:instrText xml:space="preserve"> SEQ CHAPTER \h \r 1</w:instrText>
            </w:r>
            <w:r w:rsidRPr="00C616F4">
              <w:rPr>
                <w:lang w:val="en-US"/>
              </w:rPr>
              <w:fldChar w:fldCharType="end"/>
            </w:r>
            <w:r w:rsidR="00C616F4" w:rsidRPr="00C616F4">
              <w:rPr>
                <w:b/>
                <w:bCs/>
                <w:lang w:val="fr-CA"/>
              </w:rPr>
              <w:t>Miscellaneous motion</w:t>
            </w:r>
          </w:p>
          <w:p w:rsidR="00C616F4" w:rsidRPr="00C616F4" w:rsidRDefault="00C1696D" w:rsidP="00C616F4">
            <w:pPr>
              <w:tabs>
                <w:tab w:val="left" w:pos="-1440"/>
                <w:tab w:val="left" w:pos="-720"/>
              </w:tabs>
              <w:jc w:val="both"/>
              <w:rPr>
                <w:lang w:val="fr-CA"/>
              </w:rPr>
            </w:pPr>
            <w:r w:rsidRPr="00C616F4">
              <w:rPr>
                <w:lang w:val="en-US"/>
              </w:rPr>
              <w:fldChar w:fldCharType="begin"/>
            </w:r>
            <w:r w:rsidR="00C616F4" w:rsidRPr="00C616F4">
              <w:rPr>
                <w:lang w:val="fr-CA"/>
              </w:rPr>
              <w:instrText xml:space="preserve"> SEQ CHAPTER \h \r 1</w:instrText>
            </w:r>
            <w:r w:rsidRPr="00C616F4">
              <w:rPr>
                <w:lang w:val="en-US"/>
              </w:rPr>
              <w:fldChar w:fldCharType="end"/>
            </w:r>
          </w:p>
        </w:tc>
        <w:tc>
          <w:tcPr>
            <w:tcW w:w="1170" w:type="dxa"/>
          </w:tcPr>
          <w:p w:rsidR="00C616F4" w:rsidRPr="00C616F4" w:rsidRDefault="00C616F4" w:rsidP="00C616F4">
            <w:pPr>
              <w:jc w:val="both"/>
              <w:rPr>
                <w:lang w:val="fr-CA"/>
              </w:rPr>
            </w:pPr>
          </w:p>
          <w:p w:rsidR="00C616F4" w:rsidRPr="00C616F4" w:rsidRDefault="00C616F4" w:rsidP="00C616F4">
            <w:pPr>
              <w:jc w:val="both"/>
              <w:rPr>
                <w:lang w:val="fr-CA"/>
              </w:rPr>
            </w:pPr>
          </w:p>
        </w:tc>
        <w:tc>
          <w:tcPr>
            <w:tcW w:w="4327" w:type="dxa"/>
          </w:tcPr>
          <w:p w:rsidR="00C616F4" w:rsidRPr="00C616F4" w:rsidRDefault="00C1696D" w:rsidP="00C616F4">
            <w:pPr>
              <w:jc w:val="both"/>
              <w:rPr>
                <w:b/>
                <w:lang w:val="fr-CA"/>
              </w:rPr>
            </w:pPr>
            <w:r w:rsidRPr="00C616F4">
              <w:rPr>
                <w:lang w:val="en-US"/>
              </w:rPr>
              <w:fldChar w:fldCharType="begin"/>
            </w:r>
            <w:r w:rsidR="00C616F4" w:rsidRPr="00C616F4">
              <w:rPr>
                <w:lang w:val="fr-CA"/>
              </w:rPr>
              <w:instrText xml:space="preserve"> SEQ CHAPTER \h \r 1</w:instrText>
            </w:r>
            <w:r w:rsidRPr="00C616F4">
              <w:rPr>
                <w:lang w:val="en-US"/>
              </w:rPr>
              <w:fldChar w:fldCharType="end"/>
            </w:r>
            <w:r w:rsidR="00C616F4" w:rsidRPr="00C616F4">
              <w:rPr>
                <w:b/>
                <w:bCs/>
                <w:lang w:val="fr-CA"/>
              </w:rPr>
              <w:t>Requête diverse</w:t>
            </w:r>
          </w:p>
          <w:p w:rsidR="00C616F4" w:rsidRPr="00C616F4" w:rsidRDefault="00C1696D" w:rsidP="00C616F4">
            <w:pPr>
              <w:jc w:val="both"/>
              <w:rPr>
                <w:b/>
                <w:lang w:val="fr-CA"/>
              </w:rPr>
            </w:pPr>
            <w:r w:rsidRPr="00C616F4">
              <w:rPr>
                <w:b/>
                <w:lang w:val="en-US"/>
              </w:rPr>
              <w:fldChar w:fldCharType="begin"/>
            </w:r>
            <w:r w:rsidR="00C616F4" w:rsidRPr="00C616F4">
              <w:rPr>
                <w:b/>
                <w:lang w:val="fr-CA"/>
              </w:rPr>
              <w:instrText xml:space="preserve"> SEQ CHAPTER \h \r 1</w:instrText>
            </w:r>
            <w:r w:rsidRPr="00C616F4">
              <w:rPr>
                <w:b/>
                <w:lang w:val="en-US"/>
              </w:rPr>
              <w:fldChar w:fldCharType="end"/>
            </w:r>
            <w:r w:rsidRPr="00C616F4">
              <w:rPr>
                <w:b/>
                <w:lang w:val="en-US"/>
              </w:rPr>
              <w:fldChar w:fldCharType="begin"/>
            </w:r>
            <w:r w:rsidR="00C616F4" w:rsidRPr="00C616F4">
              <w:rPr>
                <w:b/>
                <w:lang w:val="fr-CA"/>
              </w:rPr>
              <w:instrText xml:space="preserve"> SEQ CHAPTER \h \r 1</w:instrText>
            </w:r>
            <w:r w:rsidRPr="00C616F4">
              <w:rPr>
                <w:b/>
                <w:lang w:val="en-US"/>
              </w:rPr>
              <w:fldChar w:fldCharType="end"/>
            </w:r>
          </w:p>
        </w:tc>
      </w:tr>
      <w:tr w:rsidR="00C616F4" w:rsidRPr="00C616F4" w:rsidTr="00C616F4">
        <w:trPr>
          <w:trHeight w:val="150"/>
        </w:trPr>
        <w:tc>
          <w:tcPr>
            <w:tcW w:w="4338" w:type="dxa"/>
          </w:tcPr>
          <w:p w:rsidR="00C616F4" w:rsidRPr="00C616F4" w:rsidRDefault="00C616F4" w:rsidP="00C616F4">
            <w:pPr>
              <w:tabs>
                <w:tab w:val="left" w:pos="-1440"/>
                <w:tab w:val="left" w:pos="-720"/>
              </w:tabs>
              <w:jc w:val="both"/>
            </w:pPr>
            <w:r w:rsidRPr="00C616F4">
              <w:t>Attorney General of Canada</w:t>
            </w:r>
          </w:p>
          <w:p w:rsidR="00C616F4" w:rsidRPr="00C616F4" w:rsidRDefault="00C616F4" w:rsidP="00C616F4">
            <w:pPr>
              <w:tabs>
                <w:tab w:val="left" w:pos="-1440"/>
                <w:tab w:val="left" w:pos="-720"/>
              </w:tabs>
              <w:jc w:val="both"/>
            </w:pPr>
          </w:p>
          <w:p w:rsidR="00C616F4" w:rsidRPr="00C616F4" w:rsidRDefault="00C616F4" w:rsidP="00C616F4">
            <w:pPr>
              <w:tabs>
                <w:tab w:val="left" w:pos="-1440"/>
                <w:tab w:val="left" w:pos="-720"/>
              </w:tabs>
              <w:jc w:val="both"/>
            </w:pPr>
            <w:r w:rsidRPr="00C616F4">
              <w:tab/>
              <w:t>v. (35399)</w:t>
            </w:r>
          </w:p>
          <w:p w:rsidR="00C616F4" w:rsidRPr="00C616F4" w:rsidRDefault="00C616F4" w:rsidP="00C616F4">
            <w:pPr>
              <w:tabs>
                <w:tab w:val="left" w:pos="-1440"/>
                <w:tab w:val="left" w:pos="-720"/>
              </w:tabs>
              <w:jc w:val="both"/>
            </w:pPr>
          </w:p>
          <w:p w:rsidR="00C616F4" w:rsidRPr="00C616F4" w:rsidRDefault="00C616F4" w:rsidP="00C616F4">
            <w:pPr>
              <w:tabs>
                <w:tab w:val="left" w:pos="-1440"/>
                <w:tab w:val="left" w:pos="-720"/>
              </w:tabs>
              <w:jc w:val="both"/>
            </w:pPr>
            <w:r w:rsidRPr="00C616F4">
              <w:t>Federation of Law Societies of Canada (B.C.)</w:t>
            </w:r>
          </w:p>
        </w:tc>
        <w:tc>
          <w:tcPr>
            <w:tcW w:w="1170" w:type="dxa"/>
          </w:tcPr>
          <w:p w:rsidR="00C616F4" w:rsidRPr="00C616F4" w:rsidRDefault="00C616F4" w:rsidP="00C616F4">
            <w:pPr>
              <w:jc w:val="both"/>
            </w:pPr>
          </w:p>
        </w:tc>
        <w:tc>
          <w:tcPr>
            <w:tcW w:w="4327" w:type="dxa"/>
          </w:tcPr>
          <w:p w:rsidR="00C616F4" w:rsidRPr="00C616F4" w:rsidRDefault="00C616F4" w:rsidP="00C616F4">
            <w:pPr>
              <w:jc w:val="both"/>
            </w:pPr>
          </w:p>
        </w:tc>
      </w:tr>
    </w:tbl>
    <w:p w:rsidR="00C616F4" w:rsidRPr="00C616F4" w:rsidRDefault="00C616F4" w:rsidP="00C616F4">
      <w:pPr>
        <w:tabs>
          <w:tab w:val="left" w:pos="-1440"/>
          <w:tab w:val="left" w:pos="-720"/>
        </w:tabs>
        <w:jc w:val="both"/>
        <w:rPr>
          <w:rFonts w:eastAsia="Times New Roman" w:cs="Times New Roman"/>
          <w:sz w:val="20"/>
          <w:szCs w:val="20"/>
          <w:lang w:eastAsia="en-CA"/>
        </w:rPr>
      </w:pPr>
    </w:p>
    <w:p w:rsidR="00C616F4" w:rsidRPr="00C616F4" w:rsidRDefault="00C616F4" w:rsidP="00C616F4">
      <w:pPr>
        <w:tabs>
          <w:tab w:val="left" w:pos="-1440"/>
          <w:tab w:val="left" w:pos="-720"/>
        </w:tabs>
        <w:jc w:val="both"/>
        <w:rPr>
          <w:rFonts w:eastAsia="Times New Roman" w:cs="Times New Roman"/>
          <w:sz w:val="20"/>
          <w:szCs w:val="20"/>
          <w:lang w:eastAsia="en-CA"/>
        </w:rPr>
      </w:pPr>
      <w:r w:rsidRPr="00C616F4">
        <w:rPr>
          <w:rFonts w:eastAsia="Times New Roman" w:cs="Times New Roman"/>
          <w:b/>
          <w:sz w:val="20"/>
          <w:szCs w:val="20"/>
          <w:lang w:eastAsia="en-CA"/>
        </w:rPr>
        <w:t>DISMISSED / REJETÉE</w:t>
      </w:r>
    </w:p>
    <w:p w:rsidR="00C616F4" w:rsidRPr="00C616F4" w:rsidRDefault="00C616F4" w:rsidP="00C616F4">
      <w:pPr>
        <w:tabs>
          <w:tab w:val="left" w:pos="-1440"/>
          <w:tab w:val="left" w:pos="-720"/>
        </w:tabs>
        <w:jc w:val="both"/>
        <w:rPr>
          <w:rFonts w:eastAsia="Times New Roman" w:cs="Times New Roman"/>
          <w:sz w:val="20"/>
          <w:szCs w:val="20"/>
          <w:lang w:eastAsia="en-CA"/>
        </w:rPr>
      </w:pPr>
    </w:p>
    <w:p w:rsidR="00C616F4" w:rsidRPr="00C616F4" w:rsidRDefault="00C616F4" w:rsidP="00C616F4">
      <w:pPr>
        <w:autoSpaceDE w:val="0"/>
        <w:autoSpaceDN w:val="0"/>
        <w:adjustRightInd w:val="0"/>
        <w:jc w:val="both"/>
        <w:rPr>
          <w:rFonts w:eastAsia="Times New Roman" w:cs="Times New Roman"/>
          <w:sz w:val="20"/>
          <w:szCs w:val="20"/>
          <w:lang w:val="en-US" w:eastAsia="en-CA"/>
        </w:rPr>
      </w:pPr>
      <w:r w:rsidRPr="00C616F4">
        <w:rPr>
          <w:rFonts w:eastAsia="Times New Roman" w:cs="Times New Roman"/>
          <w:b/>
          <w:sz w:val="20"/>
          <w:szCs w:val="20"/>
          <w:lang w:val="en-US" w:eastAsia="en-CA"/>
        </w:rPr>
        <w:t>UPON APPLICATION</w:t>
      </w:r>
      <w:r w:rsidRPr="00C616F4">
        <w:rPr>
          <w:rFonts w:eastAsia="Times New Roman" w:cs="Times New Roman"/>
          <w:sz w:val="20"/>
          <w:szCs w:val="20"/>
          <w:lang w:val="en-US" w:eastAsia="en-CA"/>
        </w:rPr>
        <w:t xml:space="preserve"> by the respondent for an order to amend the judgment rendered by this Court on February 13, 2015, in the above mentioned appeal;</w:t>
      </w:r>
    </w:p>
    <w:p w:rsidR="00C616F4" w:rsidRPr="00C616F4" w:rsidRDefault="00C616F4" w:rsidP="00C616F4">
      <w:pPr>
        <w:autoSpaceDE w:val="0"/>
        <w:autoSpaceDN w:val="0"/>
        <w:adjustRightInd w:val="0"/>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r w:rsidRPr="00C616F4">
        <w:rPr>
          <w:rFonts w:eastAsia="Times New Roman" w:cs="Times New Roman"/>
          <w:b/>
          <w:sz w:val="20"/>
          <w:szCs w:val="20"/>
          <w:lang w:val="en-US" w:eastAsia="en-CA"/>
        </w:rPr>
        <w:t>AND UPON THE CONSENT</w:t>
      </w:r>
      <w:r w:rsidRPr="00C616F4">
        <w:rPr>
          <w:rFonts w:eastAsia="Times New Roman" w:cs="Times New Roman"/>
          <w:sz w:val="20"/>
          <w:szCs w:val="20"/>
          <w:lang w:val="en-US" w:eastAsia="en-CA"/>
        </w:rPr>
        <w:t xml:space="preserve"> of the appellant;</w:t>
      </w: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r w:rsidRPr="00C616F4">
        <w:rPr>
          <w:rFonts w:eastAsia="Times New Roman" w:cs="Times New Roman"/>
          <w:b/>
          <w:sz w:val="20"/>
          <w:szCs w:val="20"/>
          <w:lang w:val="en-US" w:eastAsia="en-CA"/>
        </w:rPr>
        <w:t>IT IS HEREBY ORDERED THAT</w:t>
      </w:r>
      <w:r w:rsidRPr="00C616F4">
        <w:rPr>
          <w:rFonts w:eastAsia="Times New Roman" w:cs="Times New Roman"/>
          <w:sz w:val="20"/>
          <w:szCs w:val="20"/>
          <w:lang w:val="en-US" w:eastAsia="en-CA"/>
        </w:rPr>
        <w:t>:</w:t>
      </w: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r w:rsidRPr="00C616F4">
        <w:rPr>
          <w:rFonts w:eastAsia="Times New Roman" w:cs="Times New Roman"/>
          <w:sz w:val="20"/>
          <w:szCs w:val="20"/>
          <w:lang w:val="en-US" w:eastAsia="en-CA"/>
        </w:rPr>
        <w:t xml:space="preserve">The motion is dismissed.  </w:t>
      </w: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r w:rsidRPr="00C616F4">
        <w:rPr>
          <w:rFonts w:eastAsia="Times New Roman" w:cs="Times New Roman"/>
          <w:sz w:val="20"/>
          <w:szCs w:val="20"/>
          <w:lang w:val="en-US" w:eastAsia="en-CA"/>
        </w:rPr>
        <w:t xml:space="preserve">An </w:t>
      </w:r>
      <w:r w:rsidRPr="00C616F4">
        <w:rPr>
          <w:rFonts w:eastAsia="Times New Roman" w:cs="Times New Roman"/>
          <w:color w:val="000000" w:themeColor="text1"/>
          <w:sz w:val="20"/>
          <w:szCs w:val="20"/>
          <w:lang w:val="en-US" w:eastAsia="en-CA"/>
        </w:rPr>
        <w:t xml:space="preserve">amendment to the constitutional questions that were stated is not appropriate after the hearing of the appeal. </w:t>
      </w:r>
      <w:r w:rsidRPr="00C616F4">
        <w:rPr>
          <w:rFonts w:eastAsia="Times New Roman" w:cs="Times New Roman"/>
          <w:sz w:val="20"/>
          <w:szCs w:val="20"/>
          <w:lang w:val="en-US" w:eastAsia="en-CA"/>
        </w:rPr>
        <w:t xml:space="preserve">Stated constitutional questions are intended to provide notice only and an order stating constitutional questions does not oblige the Court to answer the questions in the form stated or at all. It is unnecessary to amend the reasons for judgment. Section 33.5 of the </w:t>
      </w:r>
      <w:r w:rsidRPr="00C616F4">
        <w:rPr>
          <w:rFonts w:eastAsia="Times New Roman" w:cs="Times New Roman"/>
          <w:i/>
          <w:sz w:val="20"/>
          <w:szCs w:val="20"/>
          <w:lang w:val="en-US" w:eastAsia="en-CA"/>
        </w:rPr>
        <w:t>Proceeds of Crime (Money Laundering) and Terrorist Financing Regulations</w:t>
      </w:r>
      <w:r w:rsidRPr="00C616F4">
        <w:rPr>
          <w:rFonts w:eastAsia="Times New Roman" w:cs="Times New Roman"/>
          <w:sz w:val="20"/>
          <w:szCs w:val="20"/>
          <w:lang w:val="en-US" w:eastAsia="en-CA"/>
        </w:rPr>
        <w:t xml:space="preserve">, SOR/2002-184, was in issue as a result of the application judge’s amended order and its constitutionality was properly before the Court. Section 33.5 was the subject of submissions by the parties. The judgment of the Court and the reasons affirm the application judge’s decision to sever and strike down s. 33.5. It is the judgment of the Court and the reasons for judgment that determine the scope of the issues decided by the Court. </w:t>
      </w: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en-US" w:eastAsia="en-CA"/>
        </w:rPr>
      </w:pPr>
    </w:p>
    <w:p w:rsidR="00C616F4" w:rsidRPr="00C616F4" w:rsidRDefault="00C616F4" w:rsidP="00C616F4">
      <w:pPr>
        <w:jc w:val="both"/>
        <w:rPr>
          <w:rFonts w:eastAsia="Times New Roman" w:cs="Times New Roman"/>
          <w:sz w:val="20"/>
          <w:szCs w:val="20"/>
          <w:lang w:val="fr-CA" w:eastAsia="en-CA"/>
        </w:rPr>
      </w:pPr>
      <w:r w:rsidRPr="00C616F4">
        <w:rPr>
          <w:rFonts w:eastAsia="Times New Roman" w:cs="Times New Roman"/>
          <w:b/>
          <w:sz w:val="20"/>
          <w:szCs w:val="20"/>
          <w:lang w:val="fr-CA" w:eastAsia="en-CA"/>
        </w:rPr>
        <w:t xml:space="preserve">À LA SUITE DE LA DEMANDE </w:t>
      </w:r>
      <w:r w:rsidRPr="00C616F4">
        <w:rPr>
          <w:rFonts w:eastAsia="Times New Roman" w:cs="Times New Roman"/>
          <w:sz w:val="20"/>
          <w:szCs w:val="20"/>
          <w:lang w:val="fr-CA" w:eastAsia="en-CA"/>
        </w:rPr>
        <w:t>présentée par l’intimée sollicitant la modification du jugement rendu par la Cour le 13 février 2015, dans l’appel dont l’intitulé est énoncé précédemment;</w:t>
      </w:r>
    </w:p>
    <w:p w:rsidR="00C616F4" w:rsidRPr="00C616F4" w:rsidRDefault="00C616F4" w:rsidP="00C616F4">
      <w:pPr>
        <w:jc w:val="both"/>
        <w:rPr>
          <w:rFonts w:eastAsia="Times New Roman" w:cs="Times New Roman"/>
          <w:sz w:val="20"/>
          <w:szCs w:val="20"/>
          <w:lang w:val="fr-CA" w:eastAsia="en-CA"/>
        </w:rPr>
      </w:pPr>
    </w:p>
    <w:p w:rsidR="00C616F4" w:rsidRPr="00C616F4" w:rsidRDefault="00C616F4" w:rsidP="00C616F4">
      <w:pPr>
        <w:jc w:val="both"/>
        <w:rPr>
          <w:rFonts w:eastAsia="Times New Roman" w:cs="Times New Roman"/>
          <w:sz w:val="20"/>
          <w:szCs w:val="20"/>
          <w:lang w:val="fr-CA" w:eastAsia="en-CA"/>
        </w:rPr>
      </w:pPr>
      <w:r w:rsidRPr="00C616F4">
        <w:rPr>
          <w:rFonts w:eastAsia="Times New Roman" w:cs="Times New Roman"/>
          <w:b/>
          <w:sz w:val="20"/>
          <w:szCs w:val="20"/>
          <w:lang w:val="fr-CA" w:eastAsia="en-CA"/>
        </w:rPr>
        <w:t xml:space="preserve">ET VU LE CONSENTEMENT </w:t>
      </w:r>
      <w:r w:rsidRPr="00C616F4">
        <w:rPr>
          <w:rFonts w:eastAsia="Times New Roman" w:cs="Times New Roman"/>
          <w:sz w:val="20"/>
          <w:szCs w:val="20"/>
          <w:lang w:val="fr-CA" w:eastAsia="en-CA"/>
        </w:rPr>
        <w:t xml:space="preserve">de l’appelant; </w:t>
      </w:r>
    </w:p>
    <w:p w:rsidR="00C616F4" w:rsidRPr="00C616F4" w:rsidRDefault="00C616F4" w:rsidP="00C616F4">
      <w:pPr>
        <w:jc w:val="both"/>
        <w:rPr>
          <w:rFonts w:eastAsia="Times New Roman" w:cs="Times New Roman"/>
          <w:sz w:val="20"/>
          <w:szCs w:val="20"/>
          <w:lang w:val="fr-CA" w:eastAsia="en-CA"/>
        </w:rPr>
      </w:pPr>
    </w:p>
    <w:p w:rsidR="00C616F4" w:rsidRPr="00C616F4" w:rsidRDefault="00C616F4" w:rsidP="00C616F4">
      <w:pPr>
        <w:jc w:val="both"/>
        <w:rPr>
          <w:rFonts w:eastAsia="Times New Roman" w:cs="Times New Roman"/>
          <w:b/>
          <w:sz w:val="20"/>
          <w:szCs w:val="20"/>
          <w:lang w:val="fr-CA" w:eastAsia="en-CA"/>
        </w:rPr>
      </w:pPr>
      <w:r w:rsidRPr="00C616F4">
        <w:rPr>
          <w:rFonts w:eastAsia="Times New Roman" w:cs="Times New Roman"/>
          <w:b/>
          <w:sz w:val="20"/>
          <w:szCs w:val="20"/>
          <w:lang w:val="fr-CA" w:eastAsia="en-CA"/>
        </w:rPr>
        <w:t>IL EST ORDONNÉ CE QUI SUIT </w:t>
      </w:r>
      <w:r w:rsidRPr="00C616F4">
        <w:rPr>
          <w:rFonts w:eastAsia="Times New Roman" w:cs="Times New Roman"/>
          <w:sz w:val="20"/>
          <w:szCs w:val="20"/>
          <w:lang w:val="fr-CA" w:eastAsia="en-CA"/>
        </w:rPr>
        <w:t>:</w:t>
      </w:r>
    </w:p>
    <w:p w:rsidR="00C616F4" w:rsidRPr="00C616F4" w:rsidRDefault="00C616F4" w:rsidP="00C616F4">
      <w:pPr>
        <w:jc w:val="both"/>
        <w:rPr>
          <w:rFonts w:eastAsia="Times New Roman" w:cs="Times New Roman"/>
          <w:sz w:val="20"/>
          <w:szCs w:val="20"/>
          <w:lang w:val="fr-CA" w:eastAsia="en-CA"/>
        </w:rPr>
      </w:pPr>
    </w:p>
    <w:p w:rsidR="00C616F4" w:rsidRPr="00C616F4" w:rsidRDefault="00C616F4" w:rsidP="00C616F4">
      <w:pPr>
        <w:jc w:val="both"/>
        <w:rPr>
          <w:rFonts w:eastAsia="Times New Roman" w:cs="Times New Roman"/>
          <w:sz w:val="20"/>
          <w:szCs w:val="20"/>
          <w:lang w:val="fr-CA" w:eastAsia="en-CA"/>
        </w:rPr>
      </w:pPr>
      <w:r w:rsidRPr="00C616F4">
        <w:rPr>
          <w:rFonts w:eastAsia="Times New Roman" w:cs="Times New Roman"/>
          <w:sz w:val="20"/>
          <w:szCs w:val="20"/>
          <w:lang w:val="fr-CA" w:eastAsia="en-CA"/>
        </w:rPr>
        <w:t>La requête est rejetée.</w:t>
      </w:r>
    </w:p>
    <w:p w:rsidR="00C616F4" w:rsidRPr="00C616F4" w:rsidRDefault="00C616F4" w:rsidP="00C616F4">
      <w:pPr>
        <w:jc w:val="both"/>
        <w:rPr>
          <w:rFonts w:eastAsia="Times New Roman" w:cs="Times New Roman"/>
          <w:sz w:val="20"/>
          <w:szCs w:val="20"/>
          <w:lang w:val="fr-CA" w:eastAsia="en-CA"/>
        </w:rPr>
      </w:pPr>
    </w:p>
    <w:p w:rsidR="00C616F4" w:rsidRPr="00C616F4" w:rsidRDefault="00C616F4" w:rsidP="00C616F4">
      <w:pPr>
        <w:jc w:val="both"/>
        <w:rPr>
          <w:rFonts w:eastAsia="Times New Roman" w:cs="Times New Roman"/>
          <w:sz w:val="20"/>
          <w:szCs w:val="20"/>
          <w:lang w:val="fr-CA" w:eastAsia="en-CA"/>
        </w:rPr>
      </w:pPr>
      <w:r w:rsidRPr="00C616F4">
        <w:rPr>
          <w:rFonts w:eastAsia="Times New Roman" w:cs="Times New Roman"/>
          <w:sz w:val="20"/>
          <w:szCs w:val="20"/>
          <w:lang w:val="fr-CA" w:eastAsia="en-CA"/>
        </w:rPr>
        <w:t xml:space="preserve">On ne peut modifier, après l’audition d’un appel, les questions constitutionnelles qui avaient été formulées par la Cour. Les questions de ce type ne visent qu’à annoncer la teneur des débats à venir et une ordonnance les formulant n’oblige pas la Cour à les trancher tel qu’elles ont ainsi été libellées ni même à y répondre. Il n’est pas nécessaire de modifier les motifs de jugement. L’art. 33.5 du </w:t>
      </w:r>
      <w:r w:rsidRPr="00C616F4">
        <w:rPr>
          <w:rFonts w:eastAsia="Times New Roman" w:cs="Times New Roman"/>
          <w:i/>
          <w:sz w:val="20"/>
          <w:szCs w:val="20"/>
          <w:lang w:val="fr-CA" w:eastAsia="en-CA"/>
        </w:rPr>
        <w:t>Règlement sur le recyclage des produits de la criminalité et le financement des activités terroristes</w:t>
      </w:r>
      <w:r w:rsidRPr="00C616F4">
        <w:rPr>
          <w:rFonts w:eastAsia="Times New Roman" w:cs="Times New Roman"/>
          <w:sz w:val="20"/>
          <w:szCs w:val="20"/>
          <w:lang w:val="fr-CA" w:eastAsia="en-CA"/>
        </w:rPr>
        <w:t>, DORS/2002-184, était en cause du fait de l’ordonnance modifiée de la juge de première instance et c’est à bon droit que la Cour a été saisie de la constitutionnalité de cette disposition. L’art. 33.5 a fait l’objet d’observations de la part des parties. Le jugement de la Cour et ses motifs confirment la décision de la juge de première instance de retrancher l’art. 33.5 et de l’invalider. C’est le jugement de la Cour ainsi que les motifs de jugement qui délimitent la portée des questions tranchées par la Cour.</w:t>
      </w: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1D3FE1" w:rsidP="00C616F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C616F4" w:rsidRPr="00C616F4" w:rsidRDefault="00F63C29" w:rsidP="00C616F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w:t>
      </w:r>
      <w:r w:rsidR="00C616F4" w:rsidRPr="00C616F4">
        <w:rPr>
          <w:rFonts w:eastAsia="Times New Roman" w:cs="Times New Roman"/>
          <w:sz w:val="20"/>
          <w:szCs w:val="20"/>
          <w:lang w:val="fr-CA" w:eastAsia="en-CA"/>
        </w:rPr>
        <w:t>1.05.2015</w:t>
      </w: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tabs>
          <w:tab w:val="left" w:pos="-1440"/>
          <w:tab w:val="left" w:pos="-720"/>
        </w:tabs>
        <w:jc w:val="both"/>
        <w:rPr>
          <w:rFonts w:eastAsia="Times New Roman" w:cs="Times New Roman"/>
          <w:sz w:val="20"/>
          <w:szCs w:val="20"/>
          <w:lang w:val="fr-CA" w:eastAsia="en-CA"/>
        </w:rPr>
      </w:pPr>
      <w:r w:rsidRPr="00C616F4">
        <w:rPr>
          <w:rFonts w:eastAsia="Times New Roman" w:cs="Times New Roman"/>
          <w:sz w:val="20"/>
          <w:szCs w:val="20"/>
          <w:lang w:val="fr-CA" w:eastAsia="en-CA"/>
        </w:rPr>
        <w:t>Before / Devant :   GASCON J. / LE JUGE GASCON</w:t>
      </w:r>
    </w:p>
    <w:p w:rsidR="00C616F4" w:rsidRPr="00C616F4" w:rsidRDefault="00C616F4" w:rsidP="00C616F4">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C616F4" w:rsidRPr="00C616F4" w:rsidTr="00C616F4">
        <w:tc>
          <w:tcPr>
            <w:tcW w:w="4338" w:type="dxa"/>
            <w:gridSpan w:val="2"/>
          </w:tcPr>
          <w:p w:rsidR="00C616F4" w:rsidRPr="00C616F4" w:rsidRDefault="00C616F4" w:rsidP="00C616F4">
            <w:pPr>
              <w:rPr>
                <w:b/>
              </w:rPr>
            </w:pPr>
            <w:r w:rsidRPr="00C616F4">
              <w:rPr>
                <w:b/>
              </w:rPr>
              <w:t>Motion for leave to intervene</w:t>
            </w:r>
            <w:r w:rsidRPr="00C616F4">
              <w:rPr>
                <w:lang w:val="en-US"/>
              </w:rPr>
              <w:t xml:space="preserve"> </w:t>
            </w:r>
            <w:r w:rsidR="00C1696D" w:rsidRPr="00C616F4">
              <w:rPr>
                <w:lang w:val="en-US"/>
              </w:rPr>
              <w:fldChar w:fldCharType="begin"/>
            </w:r>
            <w:r w:rsidRPr="00C616F4">
              <w:instrText xml:space="preserve"> SEQ CHAPTER \h \r 1</w:instrText>
            </w:r>
            <w:r w:rsidR="00C1696D" w:rsidRPr="00C616F4">
              <w:rPr>
                <w:lang w:val="en-US"/>
              </w:rPr>
              <w:fldChar w:fldCharType="end"/>
            </w:r>
          </w:p>
        </w:tc>
        <w:tc>
          <w:tcPr>
            <w:tcW w:w="1170" w:type="dxa"/>
          </w:tcPr>
          <w:p w:rsidR="00C616F4" w:rsidRPr="00C616F4" w:rsidRDefault="00C616F4" w:rsidP="00C616F4"/>
          <w:p w:rsidR="00C616F4" w:rsidRPr="00C616F4" w:rsidRDefault="00C616F4" w:rsidP="00C616F4"/>
        </w:tc>
        <w:tc>
          <w:tcPr>
            <w:tcW w:w="4327" w:type="dxa"/>
          </w:tcPr>
          <w:p w:rsidR="00C616F4" w:rsidRPr="00C616F4" w:rsidRDefault="00C616F4" w:rsidP="00C616F4">
            <w:pPr>
              <w:rPr>
                <w:b/>
              </w:rPr>
            </w:pPr>
            <w:r w:rsidRPr="00C616F4">
              <w:rPr>
                <w:b/>
                <w:bCs/>
                <w:lang w:val="fr-CA"/>
              </w:rPr>
              <w:t>Requête en autorisation d’intervenir</w:t>
            </w:r>
            <w:r w:rsidRPr="00C616F4">
              <w:rPr>
                <w:lang w:val="en-US"/>
              </w:rPr>
              <w:t xml:space="preserve"> </w:t>
            </w:r>
            <w:r w:rsidR="00C1696D" w:rsidRPr="00C616F4">
              <w:rPr>
                <w:lang w:val="en-US"/>
              </w:rPr>
              <w:fldChar w:fldCharType="begin"/>
            </w:r>
            <w:r w:rsidRPr="00C616F4">
              <w:instrText xml:space="preserve"> SEQ CHAPTER \h \r 1</w:instrText>
            </w:r>
            <w:r w:rsidR="00C1696D" w:rsidRPr="00C616F4">
              <w:rPr>
                <w:lang w:val="en-US"/>
              </w:rPr>
              <w:fldChar w:fldCharType="end"/>
            </w:r>
          </w:p>
        </w:tc>
      </w:tr>
      <w:tr w:rsidR="00C616F4" w:rsidRPr="00C11D3B" w:rsidTr="00C616F4">
        <w:trPr>
          <w:trHeight w:hRule="exact" w:val="360"/>
        </w:trPr>
        <w:tc>
          <w:tcPr>
            <w:tcW w:w="1368" w:type="dxa"/>
          </w:tcPr>
          <w:p w:rsidR="00C616F4" w:rsidRPr="00C616F4" w:rsidRDefault="00C616F4" w:rsidP="00C616F4">
            <w:r w:rsidRPr="00C616F4">
              <w:t>BY / PAR</w:t>
            </w:r>
          </w:p>
        </w:tc>
        <w:tc>
          <w:tcPr>
            <w:tcW w:w="2970" w:type="dxa"/>
          </w:tcPr>
          <w:p w:rsidR="00C616F4" w:rsidRPr="00C616F4" w:rsidRDefault="00C616F4" w:rsidP="00C616F4">
            <w:pPr>
              <w:rPr>
                <w:lang w:val="fr-CA"/>
              </w:rPr>
            </w:pPr>
            <w:r w:rsidRPr="00C616F4">
              <w:rPr>
                <w:bCs/>
                <w:lang w:val="fr-CA"/>
              </w:rPr>
              <w:t>Centrale des syndicats du Québec</w:t>
            </w:r>
          </w:p>
        </w:tc>
        <w:tc>
          <w:tcPr>
            <w:tcW w:w="1170" w:type="dxa"/>
          </w:tcPr>
          <w:p w:rsidR="00C616F4" w:rsidRPr="00C616F4" w:rsidRDefault="00C616F4" w:rsidP="00C616F4">
            <w:pPr>
              <w:rPr>
                <w:lang w:val="fr-CA"/>
              </w:rPr>
            </w:pPr>
          </w:p>
        </w:tc>
        <w:tc>
          <w:tcPr>
            <w:tcW w:w="4327" w:type="dxa"/>
          </w:tcPr>
          <w:p w:rsidR="00C616F4" w:rsidRPr="00C616F4" w:rsidRDefault="00C616F4" w:rsidP="00C616F4">
            <w:pPr>
              <w:rPr>
                <w:lang w:val="fr-CA"/>
              </w:rPr>
            </w:pPr>
          </w:p>
        </w:tc>
      </w:tr>
      <w:tr w:rsidR="00C616F4" w:rsidRPr="00C11D3B" w:rsidTr="00C616F4">
        <w:tc>
          <w:tcPr>
            <w:tcW w:w="1368" w:type="dxa"/>
          </w:tcPr>
          <w:p w:rsidR="00C616F4" w:rsidRPr="00C616F4" w:rsidRDefault="00C616F4" w:rsidP="00C616F4">
            <w:pPr>
              <w:rPr>
                <w:lang w:val="fr-CA"/>
              </w:rPr>
            </w:pPr>
          </w:p>
        </w:tc>
        <w:tc>
          <w:tcPr>
            <w:tcW w:w="2970" w:type="dxa"/>
          </w:tcPr>
          <w:p w:rsidR="00C616F4" w:rsidRPr="00C616F4" w:rsidRDefault="00C616F4" w:rsidP="00C616F4">
            <w:pPr>
              <w:rPr>
                <w:lang w:val="fr-CA"/>
              </w:rPr>
            </w:pPr>
          </w:p>
        </w:tc>
        <w:tc>
          <w:tcPr>
            <w:tcW w:w="1170" w:type="dxa"/>
          </w:tcPr>
          <w:p w:rsidR="00C616F4" w:rsidRPr="00C616F4" w:rsidRDefault="00C616F4" w:rsidP="00C616F4">
            <w:pPr>
              <w:rPr>
                <w:lang w:val="fr-CA"/>
              </w:rPr>
            </w:pPr>
          </w:p>
        </w:tc>
        <w:tc>
          <w:tcPr>
            <w:tcW w:w="4327" w:type="dxa"/>
          </w:tcPr>
          <w:p w:rsidR="00C616F4" w:rsidRPr="00C616F4" w:rsidRDefault="00C616F4" w:rsidP="00C616F4">
            <w:pPr>
              <w:rPr>
                <w:lang w:val="fr-CA"/>
              </w:rPr>
            </w:pPr>
          </w:p>
        </w:tc>
      </w:tr>
      <w:tr w:rsidR="00C616F4" w:rsidRPr="00C11D3B" w:rsidTr="00C616F4">
        <w:tc>
          <w:tcPr>
            <w:tcW w:w="1368" w:type="dxa"/>
          </w:tcPr>
          <w:p w:rsidR="00C616F4" w:rsidRPr="00C616F4" w:rsidRDefault="00C616F4" w:rsidP="00C616F4">
            <w:r w:rsidRPr="00C616F4">
              <w:t>IN / DANS :</w:t>
            </w:r>
          </w:p>
        </w:tc>
        <w:tc>
          <w:tcPr>
            <w:tcW w:w="2970" w:type="dxa"/>
          </w:tcPr>
          <w:p w:rsidR="00C616F4" w:rsidRPr="00C616F4" w:rsidRDefault="00C616F4" w:rsidP="00C616F4">
            <w:pPr>
              <w:rPr>
                <w:lang w:val="fr-CA"/>
              </w:rPr>
            </w:pPr>
            <w:r w:rsidRPr="00C616F4">
              <w:rPr>
                <w:lang w:val="fr-CA"/>
              </w:rPr>
              <w:t>Commission scolaire de Laval et autre</w:t>
            </w:r>
          </w:p>
          <w:p w:rsidR="00C616F4" w:rsidRPr="00C616F4" w:rsidRDefault="00C616F4" w:rsidP="00C616F4">
            <w:pPr>
              <w:rPr>
                <w:lang w:val="fr-CA"/>
              </w:rPr>
            </w:pPr>
          </w:p>
          <w:p w:rsidR="00C616F4" w:rsidRPr="00C616F4" w:rsidRDefault="00C616F4" w:rsidP="00C616F4">
            <w:pPr>
              <w:rPr>
                <w:lang w:val="fr-CA"/>
              </w:rPr>
            </w:pPr>
            <w:r w:rsidRPr="00C616F4">
              <w:rPr>
                <w:lang w:val="fr-CA"/>
              </w:rPr>
              <w:tab/>
              <w:t>c. (35898)</w:t>
            </w:r>
          </w:p>
          <w:p w:rsidR="00C616F4" w:rsidRPr="00C616F4" w:rsidRDefault="00C616F4" w:rsidP="00C616F4">
            <w:pPr>
              <w:rPr>
                <w:lang w:val="fr-CA"/>
              </w:rPr>
            </w:pPr>
          </w:p>
          <w:p w:rsidR="00C616F4" w:rsidRPr="00C616F4" w:rsidRDefault="00C616F4" w:rsidP="00C616F4">
            <w:pPr>
              <w:rPr>
                <w:lang w:val="fr-CA"/>
              </w:rPr>
            </w:pPr>
            <w:r w:rsidRPr="00C616F4">
              <w:rPr>
                <w:lang w:val="fr-CA"/>
              </w:rPr>
              <w:t>Syndicat de l’enseignement de la région de Laval et autre (Qc)</w:t>
            </w:r>
          </w:p>
        </w:tc>
        <w:tc>
          <w:tcPr>
            <w:tcW w:w="1170" w:type="dxa"/>
          </w:tcPr>
          <w:p w:rsidR="00C616F4" w:rsidRPr="00C616F4" w:rsidRDefault="00C616F4" w:rsidP="00C616F4">
            <w:pPr>
              <w:rPr>
                <w:lang w:val="fr-CA"/>
              </w:rPr>
            </w:pPr>
          </w:p>
        </w:tc>
        <w:tc>
          <w:tcPr>
            <w:tcW w:w="4327" w:type="dxa"/>
          </w:tcPr>
          <w:p w:rsidR="00C616F4" w:rsidRPr="00C616F4" w:rsidRDefault="00C616F4" w:rsidP="00C616F4">
            <w:pPr>
              <w:rPr>
                <w:lang w:val="fr-CA"/>
              </w:rPr>
            </w:pPr>
          </w:p>
        </w:tc>
      </w:tr>
    </w:tbl>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tabs>
          <w:tab w:val="left" w:pos="-1440"/>
          <w:tab w:val="left" w:pos="-720"/>
        </w:tabs>
        <w:jc w:val="both"/>
        <w:rPr>
          <w:rFonts w:eastAsia="Times New Roman" w:cs="Times New Roman"/>
          <w:b/>
          <w:sz w:val="20"/>
          <w:szCs w:val="20"/>
          <w:lang w:val="fr-CA" w:eastAsia="en-CA"/>
        </w:rPr>
      </w:pPr>
      <w:r w:rsidRPr="00C616F4">
        <w:rPr>
          <w:rFonts w:eastAsia="Times New Roman" w:cs="Times New Roman"/>
          <w:b/>
          <w:sz w:val="20"/>
          <w:szCs w:val="20"/>
          <w:lang w:val="fr-CA" w:eastAsia="en-CA"/>
        </w:rPr>
        <w:t>GRANTED / ACCORDÉE</w:t>
      </w: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b/>
          <w:bCs/>
          <w:sz w:val="20"/>
          <w:szCs w:val="20"/>
          <w:lang w:val="fr-CA" w:eastAsia="en-CA"/>
        </w:rPr>
        <w:t xml:space="preserve">À LA SUITE DE LA DEMANDE </w:t>
      </w:r>
      <w:r w:rsidRPr="00C616F4">
        <w:rPr>
          <w:rFonts w:eastAsia="Times New Roman" w:cs="Times New Roman"/>
          <w:bCs/>
          <w:sz w:val="20"/>
          <w:szCs w:val="20"/>
          <w:lang w:val="fr-CA" w:eastAsia="en-CA"/>
        </w:rPr>
        <w:t>présentée par la Centrale des syndicats du Québec en vue d’intervenir dans l’appel</w:t>
      </w:r>
      <w:r w:rsidRPr="00C616F4">
        <w:rPr>
          <w:rFonts w:eastAsia="Times New Roman" w:cs="Times New Roman"/>
          <w:sz w:val="20"/>
          <w:szCs w:val="20"/>
          <w:lang w:val="fr-CA" w:eastAsia="en-CA"/>
        </w:rPr>
        <w:t>;</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b/>
          <w:bCs/>
          <w:sz w:val="20"/>
          <w:szCs w:val="20"/>
          <w:lang w:val="fr-CA" w:eastAsia="en-CA"/>
        </w:rPr>
        <w:t xml:space="preserve">ET APRÈS EXAMEN </w:t>
      </w:r>
      <w:r w:rsidRPr="00C616F4">
        <w:rPr>
          <w:rFonts w:eastAsia="Times New Roman" w:cs="Times New Roman"/>
          <w:bCs/>
          <w:sz w:val="20"/>
          <w:szCs w:val="20"/>
          <w:lang w:val="fr-CA" w:eastAsia="en-CA"/>
        </w:rPr>
        <w:t>des documents déposés</w:t>
      </w:r>
      <w:r w:rsidRPr="00C616F4">
        <w:rPr>
          <w:rFonts w:eastAsia="Times New Roman" w:cs="Times New Roman"/>
          <w:sz w:val="20"/>
          <w:szCs w:val="20"/>
          <w:lang w:val="fr-CA" w:eastAsia="en-CA"/>
        </w:rPr>
        <w:t>;</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b/>
          <w:bCs/>
          <w:sz w:val="20"/>
          <w:szCs w:val="20"/>
          <w:lang w:val="fr-CA" w:eastAsia="en-CA"/>
        </w:rPr>
        <w:t>IL EST ORDONNÉ CE QUI SUIT :</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sz w:val="20"/>
          <w:szCs w:val="20"/>
          <w:lang w:val="fr-CA" w:eastAsia="en-CA"/>
        </w:rPr>
        <w:t>La requête en autorisation d’intervenir de la Centrale des syndicats du Québec est</w:t>
      </w:r>
      <w:r w:rsidRPr="00C616F4">
        <w:rPr>
          <w:rFonts w:eastAsia="Times New Roman" w:cs="Times New Roman"/>
          <w:bCs/>
          <w:sz w:val="20"/>
          <w:szCs w:val="20"/>
          <w:lang w:val="fr-CA" w:eastAsia="en-CA"/>
        </w:rPr>
        <w:t xml:space="preserve"> </w:t>
      </w:r>
      <w:r w:rsidRPr="00C616F4">
        <w:rPr>
          <w:rFonts w:eastAsia="Times New Roman" w:cs="Times New Roman"/>
          <w:sz w:val="20"/>
          <w:szCs w:val="20"/>
          <w:lang w:val="fr-CA" w:eastAsia="en-CA"/>
        </w:rPr>
        <w:t xml:space="preserve">accueillie et cette intervenante pourra signifier et déposer un mémoire d’au plus dix (10) pages au plus tard le 15 juillet 2015. </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l’intervenante.</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sz w:val="20"/>
          <w:szCs w:val="20"/>
          <w:lang w:val="fr-CA" w:eastAsia="en-CA"/>
        </w:rPr>
        <w:t xml:space="preserve">L’intervenante n’a pas le droit de soulever de nouvelles questions, de produire d’autres éléments de preuve ni de compléter de quelque autre façon le dossier des </w:t>
      </w:r>
      <w:r w:rsidR="00C1696D" w:rsidRPr="00C616F4">
        <w:rPr>
          <w:rFonts w:eastAsia="Times New Roman" w:cs="Times New Roman"/>
          <w:sz w:val="20"/>
          <w:szCs w:val="20"/>
          <w:lang w:eastAsia="en-CA"/>
        </w:rPr>
        <w:fldChar w:fldCharType="begin"/>
      </w:r>
      <w:r w:rsidRPr="00C616F4">
        <w:rPr>
          <w:rFonts w:eastAsia="Times New Roman" w:cs="Times New Roman"/>
          <w:sz w:val="20"/>
          <w:szCs w:val="20"/>
          <w:lang w:val="fr-CA" w:eastAsia="en-CA"/>
        </w:rPr>
        <w:instrText xml:space="preserve"> SEQ CHAPTER \h \r 1</w:instrText>
      </w:r>
      <w:r w:rsidR="00C1696D" w:rsidRPr="00C616F4">
        <w:rPr>
          <w:rFonts w:eastAsia="Times New Roman" w:cs="Times New Roman"/>
          <w:sz w:val="20"/>
          <w:szCs w:val="20"/>
          <w:lang w:eastAsia="en-CA"/>
        </w:rPr>
        <w:fldChar w:fldCharType="end"/>
      </w:r>
      <w:r w:rsidRPr="00C616F4">
        <w:rPr>
          <w:rFonts w:eastAsia="Times New Roman" w:cs="Times New Roman"/>
          <w:bCs/>
          <w:sz w:val="20"/>
          <w:szCs w:val="20"/>
          <w:lang w:val="fr-CA" w:eastAsia="en-CA"/>
        </w:rPr>
        <w:t>parties.</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sz w:val="20"/>
          <w:szCs w:val="20"/>
          <w:lang w:val="fr-CA" w:eastAsia="en-CA"/>
        </w:rPr>
        <w:t>Conformément à l’alinéa 59(1)(</w:t>
      </w:r>
      <w:r w:rsidRPr="00C616F4">
        <w:rPr>
          <w:rFonts w:eastAsia="Times New Roman" w:cs="Times New Roman"/>
          <w:i/>
          <w:iCs/>
          <w:sz w:val="20"/>
          <w:szCs w:val="20"/>
          <w:lang w:val="fr-CA" w:eastAsia="en-CA"/>
        </w:rPr>
        <w:t>a</w:t>
      </w:r>
      <w:r w:rsidRPr="00C616F4">
        <w:rPr>
          <w:rFonts w:eastAsia="Times New Roman" w:cs="Times New Roman"/>
          <w:sz w:val="20"/>
          <w:szCs w:val="20"/>
          <w:lang w:val="fr-CA" w:eastAsia="en-CA"/>
        </w:rPr>
        <w:t xml:space="preserve">) des </w:t>
      </w:r>
      <w:r w:rsidRPr="00C616F4">
        <w:rPr>
          <w:rFonts w:eastAsia="Times New Roman" w:cs="Times New Roman"/>
          <w:i/>
          <w:iCs/>
          <w:sz w:val="20"/>
          <w:szCs w:val="20"/>
          <w:lang w:val="fr-CA" w:eastAsia="en-CA"/>
        </w:rPr>
        <w:t>Règles de la Cour suprême du Canada</w:t>
      </w:r>
      <w:r w:rsidRPr="00C616F4">
        <w:rPr>
          <w:rFonts w:eastAsia="Times New Roman" w:cs="Times New Roman"/>
          <w:sz w:val="20"/>
          <w:szCs w:val="20"/>
          <w:lang w:val="fr-CA" w:eastAsia="en-CA"/>
        </w:rPr>
        <w:t>, l’intervenante paiera aux appelantes et aux intimés tous débours supplémentaires résultant de son intervention.</w:t>
      </w:r>
    </w:p>
    <w:p w:rsidR="00C616F4" w:rsidRPr="00C616F4" w:rsidRDefault="00C616F4" w:rsidP="00C616F4">
      <w:pPr>
        <w:spacing w:line="233" w:lineRule="auto"/>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val="fr-CA" w:eastAsia="en-CA"/>
        </w:rPr>
      </w:pPr>
      <w:r w:rsidRPr="00C616F4">
        <w:rPr>
          <w:rFonts w:eastAsia="Times New Roman" w:cs="Times New Roman"/>
          <w:sz w:val="20"/>
          <w:szCs w:val="20"/>
          <w:lang w:val="fr-CA" w:eastAsia="en-CA"/>
        </w:rPr>
        <w:t>Les appelantes sont autorisées à signifier et déposer un mémoire de cinq (5) pages en réplique à l’intervenante au plus tard le 4 août 2015.</w:t>
      </w: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tabs>
          <w:tab w:val="left" w:pos="-1440"/>
          <w:tab w:val="left" w:pos="-720"/>
        </w:tabs>
        <w:jc w:val="both"/>
        <w:rPr>
          <w:rFonts w:eastAsia="Times New Roman" w:cs="Times New Roman"/>
          <w:sz w:val="20"/>
          <w:szCs w:val="20"/>
          <w:lang w:val="fr-CA"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b/>
          <w:bCs/>
          <w:sz w:val="20"/>
          <w:szCs w:val="20"/>
          <w:lang w:eastAsia="en-CA"/>
        </w:rPr>
        <w:t xml:space="preserve">UPON APPLICATION </w:t>
      </w:r>
      <w:r w:rsidRPr="00C616F4">
        <w:rPr>
          <w:rFonts w:eastAsia="Times New Roman" w:cs="Times New Roman"/>
          <w:bCs/>
          <w:sz w:val="20"/>
          <w:szCs w:val="20"/>
          <w:lang w:eastAsia="en-CA"/>
        </w:rPr>
        <w:t>by the Centrale des syndicats du Québec for leave to intervene in the above appeal</w:t>
      </w:r>
      <w:r w:rsidRPr="00C616F4">
        <w:rPr>
          <w:rFonts w:eastAsia="Times New Roman" w:cs="Times New Roman"/>
          <w:sz w:val="20"/>
          <w:szCs w:val="20"/>
          <w:lang w:eastAsia="en-CA"/>
        </w:rPr>
        <w:t>;</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b/>
          <w:bCs/>
          <w:sz w:val="20"/>
          <w:szCs w:val="20"/>
          <w:lang w:eastAsia="en-CA"/>
        </w:rPr>
        <w:t xml:space="preserve">AND THE MATERIAL FILED </w:t>
      </w:r>
      <w:r w:rsidRPr="00C616F4">
        <w:rPr>
          <w:rFonts w:eastAsia="Times New Roman" w:cs="Times New Roman"/>
          <w:bCs/>
          <w:sz w:val="20"/>
          <w:szCs w:val="20"/>
          <w:lang w:eastAsia="en-CA"/>
        </w:rPr>
        <w:t>having been read</w:t>
      </w:r>
      <w:r w:rsidRPr="00C616F4">
        <w:rPr>
          <w:rFonts w:eastAsia="Times New Roman" w:cs="Times New Roman"/>
          <w:sz w:val="20"/>
          <w:szCs w:val="20"/>
          <w:lang w:eastAsia="en-CA"/>
        </w:rPr>
        <w:t>;</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b/>
          <w:bCs/>
          <w:sz w:val="20"/>
          <w:szCs w:val="20"/>
          <w:lang w:eastAsia="en-CA"/>
        </w:rPr>
        <w:t>IT IS HEREBY ORDERED THAT:</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sz w:val="20"/>
          <w:szCs w:val="20"/>
          <w:lang w:eastAsia="en-CA"/>
        </w:rPr>
        <w:t xml:space="preserve">The motion for leave to intervene by </w:t>
      </w:r>
      <w:r w:rsidRPr="00C616F4">
        <w:rPr>
          <w:rFonts w:eastAsia="Times New Roman" w:cs="Times New Roman"/>
          <w:bCs/>
          <w:sz w:val="20"/>
          <w:szCs w:val="20"/>
          <w:lang w:eastAsia="en-CA"/>
        </w:rPr>
        <w:t xml:space="preserve">the Centrale des syndicats du Québec </w:t>
      </w:r>
      <w:r w:rsidRPr="00C616F4">
        <w:rPr>
          <w:rFonts w:eastAsia="Times New Roman" w:cs="Times New Roman"/>
          <w:sz w:val="20"/>
          <w:szCs w:val="20"/>
          <w:lang w:eastAsia="en-CA"/>
        </w:rPr>
        <w:t xml:space="preserve">is granted and the said intervener shall be entitled to serve and file a factum not to exceed ten (10) pages in length on or before July 15, 2015. </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sz w:val="20"/>
          <w:szCs w:val="20"/>
          <w:lang w:eastAsia="en-CA"/>
        </w:rPr>
        <w:t>The request to present oral argument is deferred to a date following receipt and consideration of the written arguments of the parties and the intervener.</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sz w:val="20"/>
          <w:szCs w:val="20"/>
          <w:lang w:eastAsia="en-CA"/>
        </w:rPr>
        <w:t>The intervener shall not be entitled to raise new issues or to adduce further evidence or otherwise to supplement the record of the parties</w:t>
      </w:r>
      <w:r w:rsidRPr="00C616F4">
        <w:rPr>
          <w:rFonts w:eastAsia="Times New Roman" w:cs="Times New Roman"/>
          <w:bCs/>
          <w:sz w:val="20"/>
          <w:szCs w:val="20"/>
          <w:lang w:eastAsia="en-CA"/>
        </w:rPr>
        <w:t>.</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sz w:val="20"/>
          <w:szCs w:val="20"/>
          <w:lang w:eastAsia="en-CA"/>
        </w:rPr>
        <w:lastRenderedPageBreak/>
        <w:t>Pursuant to Rule 59(1)(</w:t>
      </w:r>
      <w:r w:rsidRPr="00C616F4">
        <w:rPr>
          <w:rFonts w:eastAsia="Times New Roman" w:cs="Times New Roman"/>
          <w:i/>
          <w:sz w:val="20"/>
          <w:szCs w:val="20"/>
          <w:lang w:eastAsia="en-CA"/>
        </w:rPr>
        <w:t>a</w:t>
      </w:r>
      <w:r w:rsidRPr="00C616F4">
        <w:rPr>
          <w:rFonts w:eastAsia="Times New Roman" w:cs="Times New Roman"/>
          <w:sz w:val="20"/>
          <w:szCs w:val="20"/>
          <w:lang w:eastAsia="en-CA"/>
        </w:rPr>
        <w:t xml:space="preserve">) of the </w:t>
      </w:r>
      <w:r w:rsidRPr="00C616F4">
        <w:rPr>
          <w:rFonts w:eastAsia="Times New Roman" w:cs="Times New Roman"/>
          <w:i/>
          <w:sz w:val="20"/>
          <w:szCs w:val="20"/>
          <w:lang w:eastAsia="en-CA"/>
        </w:rPr>
        <w:t>Rules of the Supreme Court of Canada</w:t>
      </w:r>
      <w:r w:rsidRPr="00C616F4">
        <w:rPr>
          <w:rFonts w:eastAsia="Times New Roman" w:cs="Times New Roman"/>
          <w:sz w:val="20"/>
          <w:szCs w:val="20"/>
          <w:lang w:eastAsia="en-CA"/>
        </w:rPr>
        <w:t>, the intervener shall pay to the appellants and respondents any additional disbursements occasioned to the appellants and respondents by its intervention.</w:t>
      </w:r>
    </w:p>
    <w:p w:rsidR="00C616F4" w:rsidRPr="00C616F4" w:rsidRDefault="00C616F4" w:rsidP="00C616F4">
      <w:pPr>
        <w:spacing w:line="233" w:lineRule="auto"/>
        <w:jc w:val="both"/>
        <w:rPr>
          <w:rFonts w:eastAsia="Times New Roman" w:cs="Times New Roman"/>
          <w:sz w:val="20"/>
          <w:szCs w:val="20"/>
          <w:lang w:eastAsia="en-CA"/>
        </w:rPr>
      </w:pPr>
    </w:p>
    <w:p w:rsidR="00C616F4" w:rsidRPr="00C616F4" w:rsidRDefault="00C616F4" w:rsidP="00C616F4">
      <w:pPr>
        <w:spacing w:line="233" w:lineRule="auto"/>
        <w:jc w:val="both"/>
        <w:rPr>
          <w:rFonts w:eastAsia="Times New Roman" w:cs="Times New Roman"/>
          <w:sz w:val="20"/>
          <w:szCs w:val="20"/>
          <w:lang w:eastAsia="en-CA"/>
        </w:rPr>
      </w:pPr>
      <w:r w:rsidRPr="00C616F4">
        <w:rPr>
          <w:rFonts w:eastAsia="Times New Roman" w:cs="Times New Roman"/>
          <w:sz w:val="20"/>
          <w:szCs w:val="20"/>
          <w:lang w:eastAsia="en-CA"/>
        </w:rPr>
        <w:t>The appellants are granted permission to serve and file a factum of five (5) pages in reply to the intervener on or before August 4, 2015.</w:t>
      </w:r>
    </w:p>
    <w:p w:rsidR="00C616F4" w:rsidRPr="00C616F4" w:rsidRDefault="00C616F4" w:rsidP="00C616F4">
      <w:pPr>
        <w:tabs>
          <w:tab w:val="left" w:pos="-1440"/>
          <w:tab w:val="left" w:pos="-720"/>
        </w:tabs>
        <w:jc w:val="both"/>
        <w:rPr>
          <w:rFonts w:eastAsia="Times New Roman" w:cs="Times New Roman"/>
          <w:sz w:val="20"/>
          <w:szCs w:val="20"/>
          <w:lang w:eastAsia="en-CA"/>
        </w:rPr>
      </w:pPr>
    </w:p>
    <w:p w:rsidR="00C616F4" w:rsidRPr="00C616F4" w:rsidRDefault="001D3FE1" w:rsidP="00C616F4">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C616F4" w:rsidRPr="00C616F4" w:rsidRDefault="00C616F4" w:rsidP="00C616F4">
      <w:pPr>
        <w:tabs>
          <w:tab w:val="left" w:pos="-1440"/>
          <w:tab w:val="left" w:pos="-720"/>
        </w:tabs>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9"/>
          <w:headerReference w:type="default" r:id="rId60"/>
          <w:footerReference w:type="even" r:id="rId61"/>
          <w:footerReference w:type="default" r:id="rId62"/>
          <w:headerReference w:type="first" r:id="rId63"/>
          <w:footerReference w:type="first" r:id="rId6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C11D3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061E7E" w:rsidRDefault="0086340B" w:rsidP="005F1ED8">
            <w:pPr>
              <w:rPr>
                <w:sz w:val="20"/>
                <w:szCs w:val="20"/>
                <w:lang w:val="fr-CA"/>
              </w:rPr>
            </w:pPr>
            <w:r w:rsidRPr="00061E7E">
              <w:rPr>
                <w:sz w:val="20"/>
                <w:szCs w:val="20"/>
                <w:lang w:val="fr-CA"/>
              </w:rPr>
              <w:t>1</w:t>
            </w:r>
            <w:r w:rsidR="00C5617C" w:rsidRPr="00061E7E">
              <w:rPr>
                <w:sz w:val="20"/>
                <w:szCs w:val="20"/>
                <w:lang w:val="fr-CA"/>
              </w:rPr>
              <w:t>5</w:t>
            </w:r>
            <w:r w:rsidRPr="00061E7E">
              <w:rPr>
                <w:sz w:val="20"/>
                <w:szCs w:val="20"/>
                <w:lang w:val="fr-CA"/>
              </w:rPr>
              <w:t>.</w:t>
            </w:r>
            <w:r w:rsidR="00C5617C" w:rsidRPr="00061E7E">
              <w:rPr>
                <w:sz w:val="20"/>
                <w:szCs w:val="20"/>
                <w:lang w:val="fr-CA"/>
              </w:rPr>
              <w:t>05</w:t>
            </w:r>
            <w:r w:rsidRPr="00061E7E">
              <w:rPr>
                <w:sz w:val="20"/>
                <w:szCs w:val="20"/>
                <w:lang w:val="fr-CA"/>
              </w:rPr>
              <w:t>.201</w:t>
            </w:r>
            <w:r w:rsidR="00C5617C" w:rsidRPr="00061E7E">
              <w:rPr>
                <w:sz w:val="20"/>
                <w:szCs w:val="20"/>
                <w:lang w:val="fr-CA"/>
              </w:rPr>
              <w:t>5</w:t>
            </w:r>
          </w:p>
          <w:p w:rsidR="0086340B" w:rsidRPr="00061E7E" w:rsidRDefault="0086340B" w:rsidP="005F1ED8">
            <w:pPr>
              <w:rPr>
                <w:sz w:val="20"/>
                <w:szCs w:val="20"/>
                <w:lang w:val="fr-CA"/>
              </w:rPr>
            </w:pPr>
          </w:p>
          <w:p w:rsidR="0086340B" w:rsidRPr="00C5617C" w:rsidRDefault="00C5617C" w:rsidP="005F1ED8">
            <w:pPr>
              <w:rPr>
                <w:b/>
                <w:sz w:val="20"/>
                <w:szCs w:val="20"/>
                <w:lang w:val="fr-CA"/>
              </w:rPr>
            </w:pPr>
            <w:r w:rsidRPr="00C5617C">
              <w:rPr>
                <w:b/>
                <w:sz w:val="20"/>
                <w:szCs w:val="20"/>
                <w:lang w:val="fr-CA"/>
              </w:rPr>
              <w:t>Lapo</w:t>
            </w:r>
            <w:r w:rsidR="0086340B" w:rsidRPr="00C5617C">
              <w:rPr>
                <w:b/>
                <w:sz w:val="20"/>
                <w:szCs w:val="20"/>
                <w:lang w:val="fr-CA"/>
              </w:rPr>
              <w:t>i</w:t>
            </w:r>
            <w:r w:rsidRPr="00C5617C">
              <w:rPr>
                <w:b/>
                <w:sz w:val="20"/>
                <w:szCs w:val="20"/>
                <w:lang w:val="fr-CA"/>
              </w:rPr>
              <w:t>n</w:t>
            </w:r>
            <w:r w:rsidR="0086340B" w:rsidRPr="00C5617C">
              <w:rPr>
                <w:b/>
                <w:sz w:val="20"/>
                <w:szCs w:val="20"/>
                <w:lang w:val="fr-CA"/>
              </w:rPr>
              <w:t xml:space="preserve">te </w:t>
            </w:r>
            <w:r w:rsidRPr="00C5617C">
              <w:rPr>
                <w:b/>
                <w:sz w:val="20"/>
                <w:szCs w:val="20"/>
                <w:lang w:val="fr-CA"/>
              </w:rPr>
              <w:t>Ro</w:t>
            </w:r>
            <w:r w:rsidR="0086340B" w:rsidRPr="00C5617C">
              <w:rPr>
                <w:b/>
                <w:sz w:val="20"/>
                <w:szCs w:val="20"/>
                <w:lang w:val="fr-CA"/>
              </w:rPr>
              <w:t>s</w:t>
            </w:r>
            <w:r w:rsidRPr="00C5617C">
              <w:rPr>
                <w:b/>
                <w:sz w:val="20"/>
                <w:szCs w:val="20"/>
                <w:lang w:val="fr-CA"/>
              </w:rPr>
              <w:t>en</w:t>
            </w:r>
            <w:r w:rsidR="0086340B" w:rsidRPr="00C5617C">
              <w:rPr>
                <w:b/>
                <w:sz w:val="20"/>
                <w:szCs w:val="20"/>
                <w:lang w:val="fr-CA"/>
              </w:rPr>
              <w:t>s</w:t>
            </w:r>
            <w:r w:rsidRPr="00C5617C">
              <w:rPr>
                <w:b/>
                <w:sz w:val="20"/>
                <w:szCs w:val="20"/>
                <w:lang w:val="fr-CA"/>
              </w:rPr>
              <w:t>te</w:t>
            </w:r>
            <w:r w:rsidR="0086340B" w:rsidRPr="00C5617C">
              <w:rPr>
                <w:b/>
                <w:sz w:val="20"/>
                <w:szCs w:val="20"/>
                <w:lang w:val="fr-CA"/>
              </w:rPr>
              <w:t>in</w:t>
            </w:r>
            <w:r w:rsidRPr="00C5617C">
              <w:rPr>
                <w:b/>
                <w:sz w:val="20"/>
                <w:szCs w:val="20"/>
                <w:lang w:val="fr-CA"/>
              </w:rPr>
              <w:t xml:space="preserve"> M</w:t>
            </w:r>
            <w:r w:rsidR="0086340B" w:rsidRPr="00C5617C">
              <w:rPr>
                <w:b/>
                <w:sz w:val="20"/>
                <w:szCs w:val="20"/>
                <w:lang w:val="fr-CA"/>
              </w:rPr>
              <w:t>ar</w:t>
            </w:r>
            <w:r w:rsidRPr="00C5617C">
              <w:rPr>
                <w:b/>
                <w:sz w:val="20"/>
                <w:szCs w:val="20"/>
                <w:lang w:val="fr-CA"/>
              </w:rPr>
              <w:t>c</w:t>
            </w:r>
            <w:r w:rsidR="0086340B" w:rsidRPr="00C5617C">
              <w:rPr>
                <w:b/>
                <w:sz w:val="20"/>
                <w:szCs w:val="20"/>
                <w:lang w:val="fr-CA"/>
              </w:rPr>
              <w:t>ha</w:t>
            </w:r>
            <w:r w:rsidRPr="00C5617C">
              <w:rPr>
                <w:b/>
                <w:sz w:val="20"/>
                <w:szCs w:val="20"/>
                <w:lang w:val="fr-CA"/>
              </w:rPr>
              <w:t>n</w:t>
            </w:r>
            <w:r w:rsidR="0086340B" w:rsidRPr="00C5617C">
              <w:rPr>
                <w:b/>
                <w:sz w:val="20"/>
                <w:szCs w:val="20"/>
                <w:lang w:val="fr-CA"/>
              </w:rPr>
              <w:t xml:space="preserve">d </w:t>
            </w:r>
            <w:r w:rsidRPr="00C5617C">
              <w:rPr>
                <w:b/>
                <w:sz w:val="20"/>
                <w:szCs w:val="20"/>
                <w:lang w:val="fr-CA"/>
              </w:rPr>
              <w:t>Mel</w:t>
            </w:r>
            <w:r w:rsidR="0086340B" w:rsidRPr="00C5617C">
              <w:rPr>
                <w:b/>
                <w:sz w:val="20"/>
                <w:szCs w:val="20"/>
                <w:lang w:val="fr-CA"/>
              </w:rPr>
              <w:t>an</w:t>
            </w:r>
            <w:r w:rsidRPr="00C5617C">
              <w:rPr>
                <w:b/>
                <w:sz w:val="20"/>
                <w:szCs w:val="20"/>
                <w:lang w:val="fr-CA"/>
              </w:rPr>
              <w:t>çon S.E.N.C.R.L. et autres</w:t>
            </w:r>
          </w:p>
          <w:p w:rsidR="0086340B" w:rsidRPr="00C5617C" w:rsidRDefault="0086340B" w:rsidP="005F1ED8">
            <w:pPr>
              <w:rPr>
                <w:b/>
                <w:sz w:val="20"/>
                <w:szCs w:val="20"/>
                <w:lang w:val="fr-CA"/>
              </w:rPr>
            </w:pPr>
          </w:p>
          <w:p w:rsidR="0086340B" w:rsidRPr="003B3977" w:rsidRDefault="0086340B" w:rsidP="005F1ED8">
            <w:pPr>
              <w:rPr>
                <w:b/>
                <w:sz w:val="20"/>
                <w:szCs w:val="20"/>
              </w:rPr>
            </w:pPr>
            <w:r w:rsidRPr="00C5617C">
              <w:rPr>
                <w:b/>
                <w:sz w:val="20"/>
                <w:szCs w:val="20"/>
                <w:lang w:val="fr-CA"/>
              </w:rPr>
              <w:tab/>
            </w:r>
            <w:r w:rsidR="00C5617C" w:rsidRPr="00C5617C">
              <w:rPr>
                <w:b/>
                <w:sz w:val="20"/>
                <w:szCs w:val="20"/>
              </w:rPr>
              <w:t>c</w:t>
            </w:r>
            <w:r w:rsidRPr="003B3977">
              <w:rPr>
                <w:b/>
                <w:sz w:val="20"/>
                <w:szCs w:val="20"/>
              </w:rPr>
              <w:t>. (3</w:t>
            </w:r>
            <w:r w:rsidR="00C5617C">
              <w:rPr>
                <w:b/>
                <w:sz w:val="20"/>
                <w:szCs w:val="20"/>
              </w:rPr>
              <w:t>6087</w:t>
            </w:r>
            <w:r w:rsidRPr="003B3977">
              <w:rPr>
                <w:b/>
                <w:sz w:val="20"/>
                <w:szCs w:val="20"/>
              </w:rPr>
              <w:t>)</w:t>
            </w:r>
          </w:p>
          <w:p w:rsidR="0086340B" w:rsidRPr="003B3977" w:rsidRDefault="0086340B" w:rsidP="005F1ED8">
            <w:pPr>
              <w:rPr>
                <w:b/>
                <w:sz w:val="20"/>
                <w:szCs w:val="20"/>
              </w:rPr>
            </w:pPr>
          </w:p>
          <w:p w:rsidR="0086340B" w:rsidRPr="003B3977" w:rsidRDefault="00C5617C" w:rsidP="005F1ED8">
            <w:pPr>
              <w:rPr>
                <w:b/>
                <w:sz w:val="20"/>
                <w:szCs w:val="20"/>
              </w:rPr>
            </w:pPr>
            <w:r>
              <w:rPr>
                <w:b/>
                <w:sz w:val="20"/>
                <w:szCs w:val="20"/>
              </w:rPr>
              <w:t>Casse</w:t>
            </w:r>
            <w:r w:rsidR="0086340B">
              <w:rPr>
                <w:b/>
                <w:sz w:val="20"/>
                <w:szCs w:val="20"/>
              </w:rPr>
              <w:t>l</w:t>
            </w:r>
            <w:r>
              <w:rPr>
                <w:b/>
                <w:sz w:val="20"/>
                <w:szCs w:val="20"/>
              </w:rPr>
              <w:t>s B</w:t>
            </w:r>
            <w:r w:rsidR="0086340B">
              <w:rPr>
                <w:b/>
                <w:sz w:val="20"/>
                <w:szCs w:val="20"/>
              </w:rPr>
              <w:t>ro</w:t>
            </w:r>
            <w:r>
              <w:rPr>
                <w:b/>
                <w:sz w:val="20"/>
                <w:szCs w:val="20"/>
              </w:rPr>
              <w:t>ck &amp; Bl</w:t>
            </w:r>
            <w:r w:rsidR="0086340B">
              <w:rPr>
                <w:b/>
                <w:sz w:val="20"/>
                <w:szCs w:val="20"/>
              </w:rPr>
              <w:t>a</w:t>
            </w:r>
            <w:r>
              <w:rPr>
                <w:b/>
                <w:sz w:val="20"/>
                <w:szCs w:val="20"/>
              </w:rPr>
              <w:t>ckw</w:t>
            </w:r>
            <w:r w:rsidR="0086340B">
              <w:rPr>
                <w:b/>
                <w:sz w:val="20"/>
                <w:szCs w:val="20"/>
              </w:rPr>
              <w:t>e</w:t>
            </w:r>
            <w:r>
              <w:rPr>
                <w:b/>
                <w:sz w:val="20"/>
                <w:szCs w:val="20"/>
              </w:rPr>
              <w:t>ll LLP</w:t>
            </w:r>
            <w:r w:rsidR="0086340B" w:rsidRPr="003B3977">
              <w:rPr>
                <w:b/>
                <w:sz w:val="20"/>
                <w:szCs w:val="20"/>
              </w:rPr>
              <w:t xml:space="preserve"> (</w:t>
            </w:r>
            <w:r>
              <w:rPr>
                <w:b/>
                <w:sz w:val="20"/>
                <w:szCs w:val="20"/>
              </w:rPr>
              <w:t>Ont</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C5617C">
              <w:rPr>
                <w:sz w:val="20"/>
                <w:szCs w:val="20"/>
              </w:rPr>
              <w:t>Autorisation</w:t>
            </w:r>
            <w:r w:rsidRPr="003B3977">
              <w:rPr>
                <w:sz w:val="20"/>
                <w:szCs w:val="20"/>
              </w:rPr>
              <w:t>)</w:t>
            </w:r>
          </w:p>
          <w:p w:rsidR="0086340B" w:rsidRPr="003B3977" w:rsidRDefault="0086340B" w:rsidP="005F1ED8">
            <w:pPr>
              <w:rPr>
                <w:sz w:val="20"/>
                <w:szCs w:val="20"/>
              </w:rPr>
            </w:pPr>
          </w:p>
          <w:p w:rsidR="0086340B" w:rsidRPr="003B3977" w:rsidRDefault="001D3FE1" w:rsidP="005F1ED8">
            <w:pPr>
              <w:rPr>
                <w:sz w:val="20"/>
                <w:szCs w:val="20"/>
                <w:lang w:val="fr-CA"/>
              </w:rPr>
            </w:pPr>
            <w:r>
              <w:rPr>
                <w:sz w:val="20"/>
                <w:szCs w:val="20"/>
                <w:lang w:val="fr-CA"/>
              </w:rPr>
              <w:pict>
                <v:rect id="_x0000_i106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C5617C" w:rsidRDefault="00C5617C" w:rsidP="005F1ED8">
            <w:pPr>
              <w:rPr>
                <w:sz w:val="20"/>
                <w:szCs w:val="20"/>
              </w:rPr>
            </w:pPr>
            <w:r w:rsidRPr="00C5617C">
              <w:rPr>
                <w:sz w:val="20"/>
                <w:szCs w:val="20"/>
              </w:rPr>
              <w:t>20</w:t>
            </w:r>
            <w:r w:rsidR="0086340B" w:rsidRPr="00C5617C">
              <w:rPr>
                <w:sz w:val="20"/>
                <w:szCs w:val="20"/>
              </w:rPr>
              <w:t>.</w:t>
            </w:r>
            <w:r w:rsidRPr="00C5617C">
              <w:rPr>
                <w:sz w:val="20"/>
                <w:szCs w:val="20"/>
              </w:rPr>
              <w:t>05</w:t>
            </w:r>
            <w:r w:rsidR="0086340B" w:rsidRPr="00C5617C">
              <w:rPr>
                <w:sz w:val="20"/>
                <w:szCs w:val="20"/>
              </w:rPr>
              <w:t>.201</w:t>
            </w:r>
            <w:r w:rsidRPr="00C5617C">
              <w:rPr>
                <w:sz w:val="20"/>
                <w:szCs w:val="20"/>
              </w:rPr>
              <w:t>5</w:t>
            </w:r>
          </w:p>
          <w:p w:rsidR="0086340B" w:rsidRPr="00C5617C" w:rsidRDefault="0086340B" w:rsidP="005F1ED8">
            <w:pPr>
              <w:rPr>
                <w:sz w:val="20"/>
                <w:szCs w:val="20"/>
              </w:rPr>
            </w:pPr>
          </w:p>
          <w:p w:rsidR="0086340B" w:rsidRPr="00C5617C" w:rsidRDefault="00C5617C" w:rsidP="005F1ED8">
            <w:pPr>
              <w:rPr>
                <w:b/>
                <w:sz w:val="20"/>
                <w:szCs w:val="20"/>
              </w:rPr>
            </w:pPr>
            <w:r w:rsidRPr="00C5617C">
              <w:rPr>
                <w:b/>
                <w:sz w:val="20"/>
                <w:szCs w:val="20"/>
              </w:rPr>
              <w:t>G</w:t>
            </w:r>
            <w:r w:rsidR="0086340B" w:rsidRPr="00C5617C">
              <w:rPr>
                <w:b/>
                <w:sz w:val="20"/>
                <w:szCs w:val="20"/>
              </w:rPr>
              <w:t>ur</w:t>
            </w:r>
            <w:r w:rsidRPr="00C5617C">
              <w:rPr>
                <w:b/>
                <w:sz w:val="20"/>
                <w:szCs w:val="20"/>
              </w:rPr>
              <w:t>mind</w:t>
            </w:r>
            <w:r w:rsidR="0086340B" w:rsidRPr="00C5617C">
              <w:rPr>
                <w:b/>
                <w:sz w:val="20"/>
                <w:szCs w:val="20"/>
              </w:rPr>
              <w:t xml:space="preserve">er </w:t>
            </w:r>
            <w:r w:rsidRPr="00C5617C">
              <w:rPr>
                <w:b/>
                <w:sz w:val="20"/>
                <w:szCs w:val="20"/>
              </w:rPr>
              <w:t>Si</w:t>
            </w:r>
            <w:r w:rsidR="0086340B" w:rsidRPr="00C5617C">
              <w:rPr>
                <w:b/>
                <w:sz w:val="20"/>
                <w:szCs w:val="20"/>
              </w:rPr>
              <w:t>n</w:t>
            </w:r>
            <w:r w:rsidRPr="00C5617C">
              <w:rPr>
                <w:b/>
                <w:sz w:val="20"/>
                <w:szCs w:val="20"/>
              </w:rPr>
              <w:t>gh Ri</w:t>
            </w:r>
            <w:r w:rsidR="0086340B" w:rsidRPr="00C5617C">
              <w:rPr>
                <w:b/>
                <w:sz w:val="20"/>
                <w:szCs w:val="20"/>
              </w:rPr>
              <w:t>a</w:t>
            </w:r>
            <w:r w:rsidRPr="00C5617C">
              <w:rPr>
                <w:b/>
                <w:sz w:val="20"/>
                <w:szCs w:val="20"/>
              </w:rPr>
              <w:t>r</w:t>
            </w:r>
          </w:p>
          <w:p w:rsidR="0086340B" w:rsidRPr="00C5617C" w:rsidRDefault="0086340B" w:rsidP="005F1ED8">
            <w:pPr>
              <w:rPr>
                <w:b/>
                <w:sz w:val="20"/>
                <w:szCs w:val="20"/>
              </w:rPr>
            </w:pPr>
          </w:p>
          <w:p w:rsidR="0086340B" w:rsidRPr="00C5617C" w:rsidRDefault="0086340B" w:rsidP="005F1ED8">
            <w:pPr>
              <w:rPr>
                <w:b/>
                <w:sz w:val="20"/>
                <w:szCs w:val="20"/>
              </w:rPr>
            </w:pPr>
            <w:r w:rsidRPr="00C5617C">
              <w:rPr>
                <w:b/>
                <w:sz w:val="20"/>
                <w:szCs w:val="20"/>
              </w:rPr>
              <w:tab/>
            </w:r>
            <w:r w:rsidR="00C5617C" w:rsidRPr="00C5617C">
              <w:rPr>
                <w:b/>
                <w:sz w:val="20"/>
                <w:szCs w:val="20"/>
              </w:rPr>
              <w:t>v</w:t>
            </w:r>
            <w:r w:rsidRPr="00C5617C">
              <w:rPr>
                <w:b/>
                <w:sz w:val="20"/>
                <w:szCs w:val="20"/>
              </w:rPr>
              <w:t>. (3</w:t>
            </w:r>
            <w:r w:rsidR="00C5617C" w:rsidRPr="00C5617C">
              <w:rPr>
                <w:b/>
                <w:sz w:val="20"/>
                <w:szCs w:val="20"/>
              </w:rPr>
              <w:t>6</w:t>
            </w:r>
            <w:r w:rsidRPr="00C5617C">
              <w:rPr>
                <w:b/>
                <w:sz w:val="20"/>
                <w:szCs w:val="20"/>
              </w:rPr>
              <w:t>44</w:t>
            </w:r>
            <w:r w:rsidR="00C5617C" w:rsidRPr="00C5617C">
              <w:rPr>
                <w:b/>
                <w:sz w:val="20"/>
                <w:szCs w:val="20"/>
              </w:rPr>
              <w:t>9</w:t>
            </w:r>
            <w:r w:rsidRPr="00C5617C">
              <w:rPr>
                <w:b/>
                <w:sz w:val="20"/>
                <w:szCs w:val="20"/>
              </w:rPr>
              <w:t>)</w:t>
            </w:r>
          </w:p>
          <w:p w:rsidR="0086340B" w:rsidRPr="00C5617C" w:rsidRDefault="0086340B" w:rsidP="005F1ED8">
            <w:pPr>
              <w:rPr>
                <w:b/>
                <w:sz w:val="20"/>
                <w:szCs w:val="20"/>
              </w:rPr>
            </w:pPr>
          </w:p>
          <w:p w:rsidR="0086340B" w:rsidRPr="00C5617C" w:rsidRDefault="00C5617C" w:rsidP="005F1ED8">
            <w:pPr>
              <w:rPr>
                <w:b/>
                <w:sz w:val="20"/>
                <w:szCs w:val="20"/>
              </w:rPr>
            </w:pPr>
            <w:r w:rsidRPr="00C5617C">
              <w:rPr>
                <w:b/>
                <w:sz w:val="20"/>
                <w:szCs w:val="20"/>
              </w:rPr>
              <w:t>H</w:t>
            </w:r>
            <w:r w:rsidR="0086340B" w:rsidRPr="00C5617C">
              <w:rPr>
                <w:b/>
                <w:sz w:val="20"/>
                <w:szCs w:val="20"/>
              </w:rPr>
              <w:t xml:space="preserve">er </w:t>
            </w:r>
            <w:r w:rsidRPr="00C5617C">
              <w:rPr>
                <w:b/>
                <w:sz w:val="20"/>
                <w:szCs w:val="20"/>
              </w:rPr>
              <w:t>M</w:t>
            </w:r>
            <w:r w:rsidR="0086340B" w:rsidRPr="00C5617C">
              <w:rPr>
                <w:b/>
                <w:sz w:val="20"/>
                <w:szCs w:val="20"/>
              </w:rPr>
              <w:t>a</w:t>
            </w:r>
            <w:r w:rsidRPr="00C5617C">
              <w:rPr>
                <w:b/>
                <w:sz w:val="20"/>
                <w:szCs w:val="20"/>
              </w:rPr>
              <w:t>jesty the Queen</w:t>
            </w:r>
            <w:r w:rsidR="0086340B" w:rsidRPr="00C5617C">
              <w:rPr>
                <w:b/>
                <w:sz w:val="20"/>
                <w:szCs w:val="20"/>
              </w:rPr>
              <w:t xml:space="preserve"> (</w:t>
            </w:r>
            <w:r w:rsidRPr="00C5617C">
              <w:rPr>
                <w:b/>
                <w:sz w:val="20"/>
                <w:szCs w:val="20"/>
              </w:rPr>
              <w:t>Ont.</w:t>
            </w:r>
            <w:r w:rsidR="0086340B" w:rsidRPr="00C5617C">
              <w:rPr>
                <w:b/>
                <w:sz w:val="20"/>
                <w:szCs w:val="20"/>
              </w:rPr>
              <w:t>)</w:t>
            </w:r>
          </w:p>
          <w:p w:rsidR="0086340B" w:rsidRPr="00C5617C" w:rsidRDefault="0086340B" w:rsidP="005F1ED8">
            <w:pPr>
              <w:rPr>
                <w:sz w:val="20"/>
                <w:szCs w:val="20"/>
              </w:rPr>
            </w:pPr>
          </w:p>
          <w:p w:rsidR="0086340B" w:rsidRPr="003B3977" w:rsidRDefault="0086340B" w:rsidP="005F1ED8">
            <w:pPr>
              <w:rPr>
                <w:sz w:val="20"/>
                <w:szCs w:val="20"/>
              </w:rPr>
            </w:pPr>
            <w:r w:rsidRPr="003B3977">
              <w:rPr>
                <w:sz w:val="20"/>
                <w:szCs w:val="20"/>
              </w:rPr>
              <w:t>(A</w:t>
            </w:r>
            <w:r w:rsidR="00C5617C">
              <w:rPr>
                <w:sz w:val="20"/>
                <w:szCs w:val="20"/>
              </w:rPr>
              <w:t>s of Right</w:t>
            </w:r>
            <w:r w:rsidRPr="003B3977">
              <w:rPr>
                <w:sz w:val="20"/>
                <w:szCs w:val="20"/>
              </w:rPr>
              <w:t>)</w:t>
            </w:r>
          </w:p>
          <w:p w:rsidR="0086340B" w:rsidRPr="003B3977" w:rsidRDefault="0086340B" w:rsidP="005F1ED8">
            <w:pPr>
              <w:rPr>
                <w:sz w:val="20"/>
                <w:szCs w:val="20"/>
              </w:rPr>
            </w:pPr>
          </w:p>
          <w:p w:rsidR="0086340B" w:rsidRPr="003B3977" w:rsidRDefault="001D3FE1" w:rsidP="005F1ED8">
            <w:pPr>
              <w:rPr>
                <w:sz w:val="20"/>
                <w:szCs w:val="20"/>
              </w:rPr>
            </w:pPr>
            <w:r>
              <w:rPr>
                <w:sz w:val="20"/>
                <w:szCs w:val="20"/>
                <w:lang w:val="fr-CA"/>
              </w:rPr>
              <w:pict>
                <v:rect id="_x0000_i1065" style="width:106.1pt;height:1pt" o:hrpct="500" o:hralign="center" o:hrstd="t" o:hrnoshade="t" o:hr="t" fillcolor="black [3213]" stroked="f"/>
              </w:pict>
            </w:r>
          </w:p>
        </w:tc>
      </w:tr>
      <w:tr w:rsidR="0086340B" w:rsidRPr="00130B0E" w:rsidTr="005F1ED8">
        <w:trPr>
          <w:cantSplit/>
        </w:trPr>
        <w:tc>
          <w:tcPr>
            <w:tcW w:w="2206" w:type="pct"/>
            <w:tcMar>
              <w:left w:w="0" w:type="dxa"/>
              <w:right w:w="0" w:type="dxa"/>
            </w:tcMar>
          </w:tcPr>
          <w:p w:rsidR="0086340B" w:rsidRDefault="0086340B" w:rsidP="005F1ED8">
            <w:pPr>
              <w:rPr>
                <w:sz w:val="20"/>
                <w:szCs w:val="20"/>
              </w:rPr>
            </w:pPr>
          </w:p>
          <w:p w:rsidR="0086340B" w:rsidRPr="00C5617C" w:rsidRDefault="0086340B" w:rsidP="005F1ED8">
            <w:pPr>
              <w:rPr>
                <w:sz w:val="20"/>
                <w:szCs w:val="20"/>
                <w:lang w:val="fr-CA"/>
              </w:rPr>
            </w:pPr>
            <w:r w:rsidRPr="00C5617C">
              <w:rPr>
                <w:sz w:val="20"/>
                <w:szCs w:val="20"/>
                <w:lang w:val="fr-CA"/>
              </w:rPr>
              <w:t>2</w:t>
            </w:r>
            <w:r w:rsidR="00C5617C" w:rsidRPr="00C5617C">
              <w:rPr>
                <w:sz w:val="20"/>
                <w:szCs w:val="20"/>
                <w:lang w:val="fr-CA"/>
              </w:rPr>
              <w:t>1</w:t>
            </w:r>
            <w:r w:rsidRPr="00C5617C">
              <w:rPr>
                <w:sz w:val="20"/>
                <w:szCs w:val="20"/>
                <w:lang w:val="fr-CA"/>
              </w:rPr>
              <w:t>.</w:t>
            </w:r>
            <w:r w:rsidR="00C5617C" w:rsidRPr="00C5617C">
              <w:rPr>
                <w:sz w:val="20"/>
                <w:szCs w:val="20"/>
                <w:lang w:val="fr-CA"/>
              </w:rPr>
              <w:t>05</w:t>
            </w:r>
            <w:r w:rsidRPr="00C5617C">
              <w:rPr>
                <w:sz w:val="20"/>
                <w:szCs w:val="20"/>
                <w:lang w:val="fr-CA"/>
              </w:rPr>
              <w:t>.201</w:t>
            </w:r>
            <w:r w:rsidR="00C5617C" w:rsidRPr="00C5617C">
              <w:rPr>
                <w:sz w:val="20"/>
                <w:szCs w:val="20"/>
                <w:lang w:val="fr-CA"/>
              </w:rPr>
              <w:t>5</w:t>
            </w:r>
          </w:p>
          <w:p w:rsidR="0086340B" w:rsidRPr="00C5617C" w:rsidRDefault="0086340B" w:rsidP="005F1ED8">
            <w:pPr>
              <w:rPr>
                <w:sz w:val="20"/>
                <w:szCs w:val="20"/>
                <w:lang w:val="fr-CA"/>
              </w:rPr>
            </w:pPr>
          </w:p>
          <w:p w:rsidR="0086340B" w:rsidRPr="00C5617C" w:rsidRDefault="00C5617C" w:rsidP="005F1ED8">
            <w:pPr>
              <w:rPr>
                <w:b/>
                <w:sz w:val="20"/>
                <w:szCs w:val="20"/>
                <w:lang w:val="fr-CA"/>
              </w:rPr>
            </w:pPr>
            <w:r w:rsidRPr="00C5617C">
              <w:rPr>
                <w:b/>
                <w:sz w:val="20"/>
                <w:szCs w:val="20"/>
                <w:lang w:val="fr-CA"/>
              </w:rPr>
              <w:t>F</w:t>
            </w:r>
            <w:r w:rsidR="0086340B" w:rsidRPr="00C5617C">
              <w:rPr>
                <w:b/>
                <w:sz w:val="20"/>
                <w:szCs w:val="20"/>
                <w:lang w:val="fr-CA"/>
              </w:rPr>
              <w:t>er</w:t>
            </w:r>
            <w:r w:rsidRPr="00C5617C">
              <w:rPr>
                <w:b/>
                <w:sz w:val="20"/>
                <w:szCs w:val="20"/>
                <w:lang w:val="fr-CA"/>
              </w:rPr>
              <w:t>me Vi-B</w:t>
            </w:r>
            <w:r w:rsidR="0086340B" w:rsidRPr="00C5617C">
              <w:rPr>
                <w:b/>
                <w:sz w:val="20"/>
                <w:szCs w:val="20"/>
                <w:lang w:val="fr-CA"/>
              </w:rPr>
              <w:t>e</w:t>
            </w:r>
            <w:r w:rsidRPr="00C5617C">
              <w:rPr>
                <w:b/>
                <w:sz w:val="20"/>
                <w:szCs w:val="20"/>
                <w:lang w:val="fr-CA"/>
              </w:rPr>
              <w:t>r I</w:t>
            </w:r>
            <w:r w:rsidR="0086340B" w:rsidRPr="00C5617C">
              <w:rPr>
                <w:b/>
                <w:sz w:val="20"/>
                <w:szCs w:val="20"/>
                <w:lang w:val="fr-CA"/>
              </w:rPr>
              <w:t>n</w:t>
            </w:r>
            <w:r w:rsidRPr="00C5617C">
              <w:rPr>
                <w:b/>
                <w:sz w:val="20"/>
                <w:szCs w:val="20"/>
                <w:lang w:val="fr-CA"/>
              </w:rPr>
              <w:t>c.</w:t>
            </w:r>
            <w:r>
              <w:rPr>
                <w:b/>
                <w:sz w:val="20"/>
                <w:szCs w:val="20"/>
                <w:lang w:val="fr-CA"/>
              </w:rPr>
              <w:t xml:space="preserve"> et autre</w:t>
            </w:r>
          </w:p>
          <w:p w:rsidR="0086340B" w:rsidRPr="00C5617C" w:rsidRDefault="0086340B" w:rsidP="005F1ED8">
            <w:pPr>
              <w:rPr>
                <w:b/>
                <w:sz w:val="20"/>
                <w:szCs w:val="20"/>
                <w:lang w:val="fr-CA"/>
              </w:rPr>
            </w:pPr>
          </w:p>
          <w:p w:rsidR="0086340B" w:rsidRPr="00C5617C" w:rsidRDefault="0086340B" w:rsidP="005F1ED8">
            <w:pPr>
              <w:rPr>
                <w:b/>
                <w:sz w:val="20"/>
                <w:szCs w:val="20"/>
                <w:lang w:val="fr-CA"/>
              </w:rPr>
            </w:pPr>
            <w:r w:rsidRPr="00C5617C">
              <w:rPr>
                <w:b/>
                <w:sz w:val="20"/>
                <w:szCs w:val="20"/>
                <w:lang w:val="fr-CA"/>
              </w:rPr>
              <w:tab/>
            </w:r>
            <w:r w:rsidR="00C5617C" w:rsidRPr="00C5617C">
              <w:rPr>
                <w:b/>
                <w:sz w:val="20"/>
                <w:szCs w:val="20"/>
                <w:lang w:val="fr-CA"/>
              </w:rPr>
              <w:t>c</w:t>
            </w:r>
            <w:r w:rsidRPr="00C5617C">
              <w:rPr>
                <w:b/>
                <w:sz w:val="20"/>
                <w:szCs w:val="20"/>
                <w:lang w:val="fr-CA"/>
              </w:rPr>
              <w:t>. (36</w:t>
            </w:r>
            <w:r w:rsidR="00C5617C" w:rsidRPr="00C5617C">
              <w:rPr>
                <w:b/>
                <w:sz w:val="20"/>
                <w:szCs w:val="20"/>
                <w:lang w:val="fr-CA"/>
              </w:rPr>
              <w:t>20</w:t>
            </w:r>
            <w:r w:rsidRPr="00C5617C">
              <w:rPr>
                <w:b/>
                <w:sz w:val="20"/>
                <w:szCs w:val="20"/>
                <w:lang w:val="fr-CA"/>
              </w:rPr>
              <w:t>5)</w:t>
            </w:r>
          </w:p>
          <w:p w:rsidR="0086340B" w:rsidRPr="00C5617C" w:rsidRDefault="0086340B" w:rsidP="005F1ED8">
            <w:pPr>
              <w:rPr>
                <w:b/>
                <w:sz w:val="20"/>
                <w:szCs w:val="20"/>
                <w:lang w:val="fr-CA"/>
              </w:rPr>
            </w:pPr>
          </w:p>
          <w:p w:rsidR="0086340B" w:rsidRPr="00C5617C" w:rsidRDefault="00C5617C" w:rsidP="005F1ED8">
            <w:pPr>
              <w:rPr>
                <w:b/>
                <w:sz w:val="20"/>
                <w:szCs w:val="20"/>
                <w:lang w:val="fr-CA"/>
              </w:rPr>
            </w:pPr>
            <w:r w:rsidRPr="00C5617C">
              <w:rPr>
                <w:b/>
                <w:sz w:val="20"/>
                <w:szCs w:val="20"/>
                <w:lang w:val="fr-CA"/>
              </w:rPr>
              <w:t xml:space="preserve">Financière Agricole du </w:t>
            </w:r>
            <w:r w:rsidR="0086340B" w:rsidRPr="00C5617C">
              <w:rPr>
                <w:b/>
                <w:sz w:val="20"/>
                <w:szCs w:val="20"/>
                <w:lang w:val="fr-CA"/>
              </w:rPr>
              <w:t>Qu</w:t>
            </w:r>
            <w:r w:rsidRPr="00C5617C">
              <w:rPr>
                <w:b/>
                <w:sz w:val="20"/>
                <w:szCs w:val="20"/>
                <w:lang w:val="fr-CA"/>
              </w:rPr>
              <w:t>éb</w:t>
            </w:r>
            <w:r w:rsidR="0086340B" w:rsidRPr="00C5617C">
              <w:rPr>
                <w:b/>
                <w:sz w:val="20"/>
                <w:szCs w:val="20"/>
                <w:lang w:val="fr-CA"/>
              </w:rPr>
              <w:t>e</w:t>
            </w:r>
            <w:r w:rsidRPr="00C5617C">
              <w:rPr>
                <w:b/>
                <w:sz w:val="20"/>
                <w:szCs w:val="20"/>
                <w:lang w:val="fr-CA"/>
              </w:rPr>
              <w:t>c</w:t>
            </w:r>
            <w:r w:rsidR="0086340B" w:rsidRPr="00C5617C">
              <w:rPr>
                <w:b/>
                <w:sz w:val="20"/>
                <w:szCs w:val="20"/>
                <w:lang w:val="fr-CA"/>
              </w:rPr>
              <w:t xml:space="preserve"> (</w:t>
            </w:r>
            <w:r w:rsidRPr="00C5617C">
              <w:rPr>
                <w:b/>
                <w:sz w:val="20"/>
                <w:szCs w:val="20"/>
                <w:lang w:val="fr-CA"/>
              </w:rPr>
              <w:t>Qc</w:t>
            </w:r>
            <w:r w:rsidR="0086340B" w:rsidRPr="00C5617C">
              <w:rPr>
                <w:b/>
                <w:sz w:val="20"/>
                <w:szCs w:val="20"/>
                <w:lang w:val="fr-CA"/>
              </w:rPr>
              <w:t>)</w:t>
            </w:r>
          </w:p>
          <w:p w:rsidR="0086340B" w:rsidRPr="00C5617C" w:rsidRDefault="0086340B" w:rsidP="005F1ED8">
            <w:pPr>
              <w:rPr>
                <w:sz w:val="20"/>
                <w:szCs w:val="20"/>
                <w:lang w:val="fr-CA"/>
              </w:rPr>
            </w:pPr>
          </w:p>
          <w:p w:rsidR="0086340B" w:rsidRPr="003B3977" w:rsidRDefault="0086340B" w:rsidP="005F1ED8">
            <w:pPr>
              <w:rPr>
                <w:sz w:val="20"/>
                <w:szCs w:val="20"/>
              </w:rPr>
            </w:pPr>
            <w:r w:rsidRPr="003B3977">
              <w:rPr>
                <w:sz w:val="20"/>
                <w:szCs w:val="20"/>
              </w:rPr>
              <w:t>(A</w:t>
            </w:r>
            <w:r w:rsidR="00C5617C">
              <w:rPr>
                <w:sz w:val="20"/>
                <w:szCs w:val="20"/>
              </w:rPr>
              <w:t>utori</w:t>
            </w:r>
            <w:r w:rsidRPr="003B3977">
              <w:rPr>
                <w:sz w:val="20"/>
                <w:szCs w:val="20"/>
              </w:rPr>
              <w:t>s</w:t>
            </w:r>
            <w:r w:rsidR="00C5617C">
              <w:rPr>
                <w:sz w:val="20"/>
                <w:szCs w:val="20"/>
              </w:rPr>
              <w:t>at</w:t>
            </w:r>
            <w:r w:rsidRPr="003B3977">
              <w:rPr>
                <w:sz w:val="20"/>
                <w:szCs w:val="20"/>
              </w:rPr>
              <w:t>i</w:t>
            </w:r>
            <w:r w:rsidR="00C5617C">
              <w:rPr>
                <w:sz w:val="20"/>
                <w:szCs w:val="20"/>
              </w:rPr>
              <w:t>on</w:t>
            </w:r>
            <w:r w:rsidRPr="003B3977">
              <w:rPr>
                <w:sz w:val="20"/>
                <w:szCs w:val="20"/>
              </w:rPr>
              <w:t>)</w:t>
            </w:r>
          </w:p>
          <w:p w:rsidR="0086340B" w:rsidRPr="003B3977" w:rsidRDefault="0086340B" w:rsidP="005F1ED8">
            <w:pPr>
              <w:rPr>
                <w:sz w:val="20"/>
                <w:szCs w:val="20"/>
              </w:rPr>
            </w:pPr>
          </w:p>
          <w:p w:rsidR="0086340B" w:rsidRPr="003B3977" w:rsidRDefault="001D3FE1" w:rsidP="005F1ED8">
            <w:pPr>
              <w:rPr>
                <w:sz w:val="20"/>
                <w:szCs w:val="20"/>
              </w:rPr>
            </w:pPr>
            <w:r>
              <w:rPr>
                <w:sz w:val="20"/>
                <w:szCs w:val="20"/>
                <w:lang w:val="fr-CA"/>
              </w:rPr>
              <w:pict>
                <v:rect id="_x0000_i106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C5617C" w:rsidRPr="003B3977" w:rsidRDefault="00C5617C"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C5617C" w:rsidRDefault="0086340B" w:rsidP="005F1ED8">
            <w:pPr>
              <w:rPr>
                <w:sz w:val="20"/>
                <w:szCs w:val="20"/>
                <w:lang w:val="fr-CA"/>
              </w:rPr>
            </w:pPr>
            <w:r w:rsidRPr="00C5617C">
              <w:rPr>
                <w:sz w:val="20"/>
                <w:szCs w:val="20"/>
                <w:lang w:val="fr-CA"/>
              </w:rPr>
              <w:t>2</w:t>
            </w:r>
            <w:r w:rsidR="00C5617C" w:rsidRPr="00C5617C">
              <w:rPr>
                <w:sz w:val="20"/>
                <w:szCs w:val="20"/>
                <w:lang w:val="fr-CA"/>
              </w:rPr>
              <w:t>1</w:t>
            </w:r>
            <w:r w:rsidRPr="00C5617C">
              <w:rPr>
                <w:sz w:val="20"/>
                <w:szCs w:val="20"/>
                <w:lang w:val="fr-CA"/>
              </w:rPr>
              <w:t>.0</w:t>
            </w:r>
            <w:r w:rsidR="00C5617C" w:rsidRPr="00C5617C">
              <w:rPr>
                <w:sz w:val="20"/>
                <w:szCs w:val="20"/>
                <w:lang w:val="fr-CA"/>
              </w:rPr>
              <w:t>5</w:t>
            </w:r>
            <w:r w:rsidRPr="00C5617C">
              <w:rPr>
                <w:sz w:val="20"/>
                <w:szCs w:val="20"/>
                <w:lang w:val="fr-CA"/>
              </w:rPr>
              <w:t>.201</w:t>
            </w:r>
            <w:r w:rsidR="00C5617C" w:rsidRPr="00C5617C">
              <w:rPr>
                <w:sz w:val="20"/>
                <w:szCs w:val="20"/>
                <w:lang w:val="fr-CA"/>
              </w:rPr>
              <w:t>5</w:t>
            </w:r>
          </w:p>
          <w:p w:rsidR="0086340B" w:rsidRPr="00C5617C" w:rsidRDefault="0086340B" w:rsidP="005F1ED8">
            <w:pPr>
              <w:rPr>
                <w:sz w:val="20"/>
                <w:szCs w:val="20"/>
                <w:lang w:val="fr-CA"/>
              </w:rPr>
            </w:pPr>
          </w:p>
          <w:p w:rsidR="0086340B" w:rsidRPr="00C5617C" w:rsidRDefault="00C5617C" w:rsidP="005F1ED8">
            <w:pPr>
              <w:rPr>
                <w:b/>
                <w:sz w:val="20"/>
                <w:szCs w:val="20"/>
                <w:lang w:val="fr-CA"/>
              </w:rPr>
            </w:pPr>
            <w:r w:rsidRPr="00C5617C">
              <w:rPr>
                <w:b/>
                <w:sz w:val="20"/>
                <w:szCs w:val="20"/>
                <w:lang w:val="fr-CA"/>
              </w:rPr>
              <w:t>Mich</w:t>
            </w:r>
            <w:r w:rsidR="0086340B" w:rsidRPr="00C5617C">
              <w:rPr>
                <w:b/>
                <w:sz w:val="20"/>
                <w:szCs w:val="20"/>
                <w:lang w:val="fr-CA"/>
              </w:rPr>
              <w:t>e</w:t>
            </w:r>
            <w:r w:rsidRPr="00C5617C">
              <w:rPr>
                <w:b/>
                <w:sz w:val="20"/>
                <w:szCs w:val="20"/>
                <w:lang w:val="fr-CA"/>
              </w:rPr>
              <w:t>l L</w:t>
            </w:r>
            <w:r w:rsidR="0086340B" w:rsidRPr="00C5617C">
              <w:rPr>
                <w:b/>
                <w:sz w:val="20"/>
                <w:szCs w:val="20"/>
                <w:lang w:val="fr-CA"/>
              </w:rPr>
              <w:t>a</w:t>
            </w:r>
            <w:r w:rsidRPr="00C5617C">
              <w:rPr>
                <w:b/>
                <w:sz w:val="20"/>
                <w:szCs w:val="20"/>
                <w:lang w:val="fr-CA"/>
              </w:rPr>
              <w:t>for</w:t>
            </w:r>
            <w:r w:rsidR="0086340B" w:rsidRPr="00C5617C">
              <w:rPr>
                <w:b/>
                <w:sz w:val="20"/>
                <w:szCs w:val="20"/>
                <w:lang w:val="fr-CA"/>
              </w:rPr>
              <w:t>t</w:t>
            </w:r>
            <w:r w:rsidRPr="00C5617C">
              <w:rPr>
                <w:b/>
                <w:sz w:val="20"/>
                <w:szCs w:val="20"/>
                <w:lang w:val="fr-CA"/>
              </w:rPr>
              <w:t>un</w:t>
            </w:r>
            <w:r w:rsidR="0086340B" w:rsidRPr="00C5617C">
              <w:rPr>
                <w:b/>
                <w:sz w:val="20"/>
                <w:szCs w:val="20"/>
                <w:lang w:val="fr-CA"/>
              </w:rPr>
              <w:t>e e</w:t>
            </w:r>
            <w:r w:rsidRPr="00C5617C">
              <w:rPr>
                <w:b/>
                <w:sz w:val="20"/>
                <w:szCs w:val="20"/>
                <w:lang w:val="fr-CA"/>
              </w:rPr>
              <w:t>t autr</w:t>
            </w:r>
            <w:r w:rsidR="0086340B" w:rsidRPr="00C5617C">
              <w:rPr>
                <w:b/>
                <w:sz w:val="20"/>
                <w:szCs w:val="20"/>
                <w:lang w:val="fr-CA"/>
              </w:rPr>
              <w:t>e</w:t>
            </w:r>
            <w:r w:rsidRPr="00C5617C">
              <w:rPr>
                <w:b/>
                <w:sz w:val="20"/>
                <w:szCs w:val="20"/>
                <w:lang w:val="fr-CA"/>
              </w:rPr>
              <w:t>s</w:t>
            </w:r>
          </w:p>
          <w:p w:rsidR="0086340B" w:rsidRPr="00C5617C" w:rsidRDefault="0086340B" w:rsidP="005F1ED8">
            <w:pPr>
              <w:rPr>
                <w:b/>
                <w:sz w:val="20"/>
                <w:szCs w:val="20"/>
                <w:lang w:val="fr-CA"/>
              </w:rPr>
            </w:pPr>
          </w:p>
          <w:p w:rsidR="0086340B" w:rsidRPr="00C5617C" w:rsidRDefault="0086340B" w:rsidP="005F1ED8">
            <w:pPr>
              <w:rPr>
                <w:b/>
                <w:sz w:val="20"/>
                <w:szCs w:val="20"/>
                <w:lang w:val="fr-CA"/>
              </w:rPr>
            </w:pPr>
            <w:r w:rsidRPr="00C5617C">
              <w:rPr>
                <w:b/>
                <w:sz w:val="20"/>
                <w:szCs w:val="20"/>
                <w:lang w:val="fr-CA"/>
              </w:rPr>
              <w:tab/>
            </w:r>
            <w:r w:rsidR="00C5617C" w:rsidRPr="00C5617C">
              <w:rPr>
                <w:b/>
                <w:sz w:val="20"/>
                <w:szCs w:val="20"/>
                <w:lang w:val="fr-CA"/>
              </w:rPr>
              <w:t>c</w:t>
            </w:r>
            <w:r w:rsidRPr="00C5617C">
              <w:rPr>
                <w:b/>
                <w:sz w:val="20"/>
                <w:szCs w:val="20"/>
                <w:lang w:val="fr-CA"/>
              </w:rPr>
              <w:t>. (36</w:t>
            </w:r>
            <w:r w:rsidR="00C5617C" w:rsidRPr="00C5617C">
              <w:rPr>
                <w:b/>
                <w:sz w:val="20"/>
                <w:szCs w:val="20"/>
                <w:lang w:val="fr-CA"/>
              </w:rPr>
              <w:t>210</w:t>
            </w:r>
            <w:r w:rsidRPr="00C5617C">
              <w:rPr>
                <w:b/>
                <w:sz w:val="20"/>
                <w:szCs w:val="20"/>
                <w:lang w:val="fr-CA"/>
              </w:rPr>
              <w:t>)</w:t>
            </w:r>
          </w:p>
          <w:p w:rsidR="0086340B" w:rsidRPr="00C5617C" w:rsidRDefault="0086340B" w:rsidP="005F1ED8">
            <w:pPr>
              <w:rPr>
                <w:b/>
                <w:sz w:val="20"/>
                <w:szCs w:val="20"/>
                <w:lang w:val="fr-CA"/>
              </w:rPr>
            </w:pPr>
          </w:p>
          <w:p w:rsidR="0086340B" w:rsidRPr="00C5617C" w:rsidRDefault="00C5617C" w:rsidP="005F1ED8">
            <w:pPr>
              <w:rPr>
                <w:b/>
                <w:sz w:val="20"/>
                <w:szCs w:val="20"/>
                <w:lang w:val="fr-CA"/>
              </w:rPr>
            </w:pPr>
            <w:r>
              <w:rPr>
                <w:b/>
                <w:sz w:val="20"/>
                <w:szCs w:val="20"/>
                <w:lang w:val="fr-CA"/>
              </w:rPr>
              <w:t>Fin</w:t>
            </w:r>
            <w:r w:rsidR="0086340B" w:rsidRPr="00C5617C">
              <w:rPr>
                <w:b/>
                <w:sz w:val="20"/>
                <w:szCs w:val="20"/>
                <w:lang w:val="fr-CA"/>
              </w:rPr>
              <w:t>a</w:t>
            </w:r>
            <w:r w:rsidRPr="00C5617C">
              <w:rPr>
                <w:b/>
                <w:sz w:val="20"/>
                <w:szCs w:val="20"/>
                <w:lang w:val="fr-CA"/>
              </w:rPr>
              <w:t>nciè</w:t>
            </w:r>
            <w:r w:rsidR="0086340B" w:rsidRPr="00C5617C">
              <w:rPr>
                <w:b/>
                <w:sz w:val="20"/>
                <w:szCs w:val="20"/>
                <w:lang w:val="fr-CA"/>
              </w:rPr>
              <w:t>r</w:t>
            </w:r>
            <w:r w:rsidRPr="00C5617C">
              <w:rPr>
                <w:b/>
                <w:sz w:val="20"/>
                <w:szCs w:val="20"/>
                <w:lang w:val="fr-CA"/>
              </w:rPr>
              <w:t>e</w:t>
            </w:r>
            <w:r w:rsidR="0086340B" w:rsidRPr="00C5617C">
              <w:rPr>
                <w:b/>
                <w:sz w:val="20"/>
                <w:szCs w:val="20"/>
                <w:lang w:val="fr-CA"/>
              </w:rPr>
              <w:t xml:space="preserve"> A</w:t>
            </w:r>
            <w:r w:rsidRPr="00C5617C">
              <w:rPr>
                <w:b/>
                <w:sz w:val="20"/>
                <w:szCs w:val="20"/>
                <w:lang w:val="fr-CA"/>
              </w:rPr>
              <w:t>g</w:t>
            </w:r>
            <w:r w:rsidR="0086340B" w:rsidRPr="00C5617C">
              <w:rPr>
                <w:b/>
                <w:sz w:val="20"/>
                <w:szCs w:val="20"/>
                <w:lang w:val="fr-CA"/>
              </w:rPr>
              <w:t>r</w:t>
            </w:r>
            <w:r w:rsidRPr="00C5617C">
              <w:rPr>
                <w:b/>
                <w:sz w:val="20"/>
                <w:szCs w:val="20"/>
                <w:lang w:val="fr-CA"/>
              </w:rPr>
              <w:t>icole du Québec</w:t>
            </w:r>
            <w:r w:rsidR="0086340B" w:rsidRPr="00C5617C">
              <w:rPr>
                <w:b/>
                <w:sz w:val="20"/>
                <w:szCs w:val="20"/>
                <w:lang w:val="fr-CA"/>
              </w:rPr>
              <w:t xml:space="preserve"> (Qc)</w:t>
            </w:r>
          </w:p>
          <w:p w:rsidR="0086340B" w:rsidRPr="00C5617C" w:rsidRDefault="0086340B" w:rsidP="005F1ED8">
            <w:pPr>
              <w:rPr>
                <w:sz w:val="20"/>
                <w:szCs w:val="20"/>
                <w:lang w:val="fr-CA"/>
              </w:rPr>
            </w:pPr>
          </w:p>
          <w:p w:rsidR="0086340B" w:rsidRPr="0085756D" w:rsidRDefault="0086340B" w:rsidP="005F1ED8">
            <w:pPr>
              <w:rPr>
                <w:sz w:val="20"/>
                <w:szCs w:val="20"/>
              </w:rPr>
            </w:pPr>
            <w:r w:rsidRPr="0085756D">
              <w:rPr>
                <w:sz w:val="20"/>
                <w:szCs w:val="20"/>
              </w:rPr>
              <w:t>(A</w:t>
            </w:r>
            <w:r w:rsidR="00C5617C">
              <w:rPr>
                <w:sz w:val="20"/>
                <w:szCs w:val="20"/>
              </w:rPr>
              <w:t>utori</w:t>
            </w:r>
            <w:r w:rsidRPr="0085756D">
              <w:rPr>
                <w:sz w:val="20"/>
                <w:szCs w:val="20"/>
              </w:rPr>
              <w:t>s</w:t>
            </w:r>
            <w:r w:rsidR="00C5617C">
              <w:rPr>
                <w:sz w:val="20"/>
                <w:szCs w:val="20"/>
              </w:rPr>
              <w:t>a</w:t>
            </w:r>
            <w:r w:rsidRPr="0085756D">
              <w:rPr>
                <w:sz w:val="20"/>
                <w:szCs w:val="20"/>
              </w:rPr>
              <w:t>t</w:t>
            </w:r>
            <w:r w:rsidR="00C5617C">
              <w:rPr>
                <w:sz w:val="20"/>
                <w:szCs w:val="20"/>
              </w:rPr>
              <w:t>ion</w:t>
            </w:r>
            <w:r w:rsidRPr="0085756D">
              <w:rPr>
                <w:sz w:val="20"/>
                <w:szCs w:val="20"/>
              </w:rPr>
              <w:t>)</w:t>
            </w:r>
          </w:p>
          <w:p w:rsidR="0086340B" w:rsidRPr="0085756D" w:rsidRDefault="0086340B" w:rsidP="005F1ED8">
            <w:pPr>
              <w:rPr>
                <w:sz w:val="20"/>
                <w:szCs w:val="20"/>
              </w:rPr>
            </w:pPr>
          </w:p>
          <w:p w:rsidR="0086340B" w:rsidRPr="00130B0E" w:rsidRDefault="001D3FE1" w:rsidP="005F1ED8">
            <w:pPr>
              <w:rPr>
                <w:sz w:val="20"/>
                <w:szCs w:val="20"/>
                <w:lang w:val="fr-CA"/>
              </w:rPr>
            </w:pPr>
            <w:r>
              <w:rPr>
                <w:sz w:val="20"/>
                <w:szCs w:val="20"/>
                <w:lang w:val="fr-CA"/>
              </w:rPr>
              <w:pict>
                <v:rect id="_x0000_i1067" style="width:106.1pt;height:1pt" o:hrpct="500" o:hralign="center" o:hrstd="t" o:hrnoshade="t" o:hr="t" fillcolor="black [3213]" stroked="f"/>
              </w:pict>
            </w:r>
          </w:p>
        </w:tc>
      </w:tr>
      <w:tr w:rsidR="00C5617C" w:rsidRPr="00130B0E" w:rsidTr="005F1ED8">
        <w:trPr>
          <w:cantSplit/>
        </w:trPr>
        <w:tc>
          <w:tcPr>
            <w:tcW w:w="2206" w:type="pct"/>
            <w:tcMar>
              <w:left w:w="0" w:type="dxa"/>
              <w:right w:w="0" w:type="dxa"/>
            </w:tcMar>
          </w:tcPr>
          <w:p w:rsidR="00C5617C" w:rsidRPr="00061E7E" w:rsidRDefault="00C5617C" w:rsidP="00C5617C">
            <w:pPr>
              <w:rPr>
                <w:sz w:val="20"/>
                <w:szCs w:val="20"/>
              </w:rPr>
            </w:pPr>
            <w:r w:rsidRPr="00061E7E">
              <w:rPr>
                <w:sz w:val="20"/>
                <w:szCs w:val="20"/>
              </w:rPr>
              <w:t>21.05.2015</w:t>
            </w:r>
          </w:p>
          <w:p w:rsidR="00C5617C" w:rsidRPr="00061E7E" w:rsidRDefault="00C5617C" w:rsidP="00C5617C">
            <w:pPr>
              <w:rPr>
                <w:sz w:val="20"/>
                <w:szCs w:val="20"/>
              </w:rPr>
            </w:pPr>
          </w:p>
          <w:p w:rsidR="00C5617C" w:rsidRPr="00061E7E" w:rsidRDefault="00C5617C" w:rsidP="00C5617C">
            <w:pPr>
              <w:rPr>
                <w:b/>
                <w:sz w:val="20"/>
                <w:szCs w:val="20"/>
              </w:rPr>
            </w:pPr>
            <w:r w:rsidRPr="00061E7E">
              <w:rPr>
                <w:b/>
                <w:sz w:val="20"/>
                <w:szCs w:val="20"/>
              </w:rPr>
              <w:t>Jonathan David Meer</w:t>
            </w:r>
          </w:p>
          <w:p w:rsidR="00C5617C" w:rsidRPr="00061E7E" w:rsidRDefault="00C5617C" w:rsidP="00C5617C">
            <w:pPr>
              <w:rPr>
                <w:b/>
                <w:sz w:val="20"/>
                <w:szCs w:val="20"/>
              </w:rPr>
            </w:pPr>
          </w:p>
          <w:p w:rsidR="00C5617C" w:rsidRPr="003B3977" w:rsidRDefault="00C5617C" w:rsidP="00C5617C">
            <w:pPr>
              <w:rPr>
                <w:b/>
                <w:sz w:val="20"/>
                <w:szCs w:val="20"/>
              </w:rPr>
            </w:pPr>
            <w:r w:rsidRPr="00061E7E">
              <w:rPr>
                <w:b/>
                <w:sz w:val="20"/>
                <w:szCs w:val="20"/>
              </w:rPr>
              <w:tab/>
              <w:t>v</w:t>
            </w:r>
            <w:r w:rsidRPr="003B3977">
              <w:rPr>
                <w:b/>
                <w:sz w:val="20"/>
                <w:szCs w:val="20"/>
              </w:rPr>
              <w:t>. (3</w:t>
            </w:r>
            <w:r>
              <w:rPr>
                <w:b/>
                <w:sz w:val="20"/>
                <w:szCs w:val="20"/>
              </w:rPr>
              <w:t>6</w:t>
            </w:r>
            <w:r w:rsidR="00A73842">
              <w:rPr>
                <w:b/>
                <w:sz w:val="20"/>
                <w:szCs w:val="20"/>
              </w:rPr>
              <w:t>44</w:t>
            </w:r>
            <w:r>
              <w:rPr>
                <w:b/>
                <w:sz w:val="20"/>
                <w:szCs w:val="20"/>
              </w:rPr>
              <w:t>8</w:t>
            </w:r>
            <w:r w:rsidRPr="003B3977">
              <w:rPr>
                <w:b/>
                <w:sz w:val="20"/>
                <w:szCs w:val="20"/>
              </w:rPr>
              <w:t>)</w:t>
            </w:r>
          </w:p>
          <w:p w:rsidR="00C5617C" w:rsidRPr="003B3977" w:rsidRDefault="00C5617C" w:rsidP="00C5617C">
            <w:pPr>
              <w:rPr>
                <w:b/>
                <w:sz w:val="20"/>
                <w:szCs w:val="20"/>
              </w:rPr>
            </w:pPr>
          </w:p>
          <w:p w:rsidR="00C5617C" w:rsidRPr="003B3977" w:rsidRDefault="00C5617C" w:rsidP="00C5617C">
            <w:pPr>
              <w:rPr>
                <w:b/>
                <w:sz w:val="20"/>
                <w:szCs w:val="20"/>
              </w:rPr>
            </w:pPr>
            <w:r>
              <w:rPr>
                <w:b/>
                <w:sz w:val="20"/>
                <w:szCs w:val="20"/>
              </w:rPr>
              <w:t>Her Majesty the Queen</w:t>
            </w:r>
            <w:r w:rsidRPr="003B3977">
              <w:rPr>
                <w:b/>
                <w:sz w:val="20"/>
                <w:szCs w:val="20"/>
              </w:rPr>
              <w:t xml:space="preserve"> (</w:t>
            </w:r>
            <w:r>
              <w:rPr>
                <w:b/>
                <w:sz w:val="20"/>
                <w:szCs w:val="20"/>
              </w:rPr>
              <w:t>Alta</w:t>
            </w:r>
            <w:r w:rsidRPr="003B3977">
              <w:rPr>
                <w:b/>
                <w:sz w:val="20"/>
                <w:szCs w:val="20"/>
              </w:rPr>
              <w:t>.)</w:t>
            </w:r>
          </w:p>
          <w:p w:rsidR="00C5617C" w:rsidRPr="003B3977" w:rsidRDefault="00C5617C" w:rsidP="00C5617C">
            <w:pPr>
              <w:rPr>
                <w:sz w:val="20"/>
                <w:szCs w:val="20"/>
              </w:rPr>
            </w:pPr>
          </w:p>
          <w:p w:rsidR="00C5617C" w:rsidRPr="003B3977" w:rsidRDefault="00C5617C" w:rsidP="00C5617C">
            <w:pPr>
              <w:rPr>
                <w:sz w:val="20"/>
                <w:szCs w:val="20"/>
              </w:rPr>
            </w:pPr>
            <w:r w:rsidRPr="003B3977">
              <w:rPr>
                <w:sz w:val="20"/>
                <w:szCs w:val="20"/>
              </w:rPr>
              <w:t>(</w:t>
            </w:r>
            <w:r>
              <w:rPr>
                <w:sz w:val="20"/>
                <w:szCs w:val="20"/>
              </w:rPr>
              <w:t>As of Right</w:t>
            </w:r>
            <w:r w:rsidRPr="003B3977">
              <w:rPr>
                <w:sz w:val="20"/>
                <w:szCs w:val="20"/>
              </w:rPr>
              <w:t>)</w:t>
            </w:r>
          </w:p>
          <w:p w:rsidR="00C5617C" w:rsidRPr="003B3977" w:rsidRDefault="00C5617C" w:rsidP="00C5617C">
            <w:pPr>
              <w:rPr>
                <w:sz w:val="20"/>
                <w:szCs w:val="20"/>
              </w:rPr>
            </w:pPr>
          </w:p>
          <w:p w:rsidR="00C5617C" w:rsidRDefault="001D3FE1" w:rsidP="00C5617C">
            <w:pPr>
              <w:rPr>
                <w:sz w:val="20"/>
                <w:szCs w:val="20"/>
              </w:rPr>
            </w:pPr>
            <w:r>
              <w:rPr>
                <w:sz w:val="20"/>
                <w:szCs w:val="20"/>
                <w:lang w:val="fr-CA"/>
              </w:rPr>
              <w:pict>
                <v:rect id="_x0000_i1068" style="width:106.1pt;height:1pt" o:hrpct="500" o:hralign="center" o:hrstd="t" o:hrnoshade="t" o:hr="t" fillcolor="black [3213]" stroked="f"/>
              </w:pict>
            </w:r>
          </w:p>
        </w:tc>
        <w:tc>
          <w:tcPr>
            <w:tcW w:w="588" w:type="pct"/>
          </w:tcPr>
          <w:p w:rsidR="00C5617C" w:rsidRPr="003B3977" w:rsidRDefault="00C5617C" w:rsidP="005F1ED8">
            <w:pPr>
              <w:jc w:val="center"/>
              <w:rPr>
                <w:sz w:val="20"/>
                <w:szCs w:val="20"/>
              </w:rPr>
            </w:pPr>
          </w:p>
        </w:tc>
        <w:tc>
          <w:tcPr>
            <w:tcW w:w="2206" w:type="pct"/>
          </w:tcPr>
          <w:p w:rsidR="00C5617C" w:rsidRPr="00C5617C" w:rsidRDefault="00C5617C"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11D3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BF4673" w:rsidRDefault="008163C7" w:rsidP="0052229C">
      <w:pPr>
        <w:rPr>
          <w:b/>
          <w:sz w:val="20"/>
          <w:szCs w:val="20"/>
        </w:rPr>
      </w:pPr>
      <w:r w:rsidRPr="00BF4673">
        <w:rPr>
          <w:b/>
          <w:sz w:val="20"/>
          <w:szCs w:val="20"/>
        </w:rPr>
        <w:t>M</w:t>
      </w:r>
      <w:r w:rsidR="0052229C" w:rsidRPr="00BF4673">
        <w:rPr>
          <w:b/>
          <w:sz w:val="20"/>
          <w:szCs w:val="20"/>
        </w:rPr>
        <w:t xml:space="preserve">AY </w:t>
      </w:r>
      <w:r w:rsidRPr="00BF4673">
        <w:rPr>
          <w:b/>
          <w:sz w:val="20"/>
          <w:szCs w:val="20"/>
        </w:rPr>
        <w:t>28</w:t>
      </w:r>
      <w:r w:rsidR="0052229C" w:rsidRPr="00BF4673">
        <w:rPr>
          <w:b/>
          <w:sz w:val="20"/>
          <w:szCs w:val="20"/>
        </w:rPr>
        <w:t>, 201</w:t>
      </w:r>
      <w:r w:rsidRPr="00BF4673">
        <w:rPr>
          <w:b/>
          <w:sz w:val="20"/>
          <w:szCs w:val="20"/>
        </w:rPr>
        <w:t>5</w:t>
      </w:r>
      <w:r w:rsidR="0052229C" w:rsidRPr="00BF4673">
        <w:rPr>
          <w:b/>
          <w:sz w:val="20"/>
          <w:szCs w:val="20"/>
        </w:rPr>
        <w:t xml:space="preserve"> / LE </w:t>
      </w:r>
      <w:r w:rsidRPr="00BF4673">
        <w:rPr>
          <w:b/>
          <w:sz w:val="20"/>
          <w:szCs w:val="20"/>
        </w:rPr>
        <w:t>28</w:t>
      </w:r>
      <w:r w:rsidR="0052229C" w:rsidRPr="00BF4673">
        <w:rPr>
          <w:b/>
          <w:sz w:val="20"/>
          <w:szCs w:val="20"/>
        </w:rPr>
        <w:t xml:space="preserve"> </w:t>
      </w:r>
      <w:r w:rsidRPr="00BF4673">
        <w:rPr>
          <w:b/>
          <w:sz w:val="20"/>
          <w:szCs w:val="20"/>
        </w:rPr>
        <w:t>M</w:t>
      </w:r>
      <w:r w:rsidR="0052229C" w:rsidRPr="00BF4673">
        <w:rPr>
          <w:b/>
          <w:sz w:val="20"/>
          <w:szCs w:val="20"/>
        </w:rPr>
        <w:t>AI 201</w:t>
      </w:r>
      <w:r w:rsidRPr="00BF4673">
        <w:rPr>
          <w:b/>
          <w:sz w:val="20"/>
          <w:szCs w:val="20"/>
        </w:rPr>
        <w:t>5</w:t>
      </w:r>
    </w:p>
    <w:p w:rsidR="0052229C" w:rsidRPr="00BF4673" w:rsidRDefault="0052229C" w:rsidP="0052229C">
      <w:pPr>
        <w:rPr>
          <w:sz w:val="20"/>
          <w:szCs w:val="20"/>
        </w:rPr>
      </w:pPr>
    </w:p>
    <w:p w:rsidR="00DA6D04" w:rsidRPr="00686391" w:rsidRDefault="00C1696D" w:rsidP="00DA6D04">
      <w:pPr>
        <w:ind w:left="1440" w:hanging="1440"/>
        <w:jc w:val="both"/>
        <w:rPr>
          <w:rFonts w:eastAsia="Calibri"/>
          <w:sz w:val="20"/>
          <w:szCs w:val="20"/>
        </w:rPr>
      </w:pPr>
      <w:r w:rsidRPr="00686391">
        <w:rPr>
          <w:rFonts w:eastAsia="Calibri"/>
          <w:b/>
          <w:sz w:val="20"/>
          <w:szCs w:val="20"/>
        </w:rPr>
        <w:fldChar w:fldCharType="begin"/>
      </w:r>
      <w:r w:rsidR="00DA6D04" w:rsidRPr="00686391">
        <w:rPr>
          <w:rFonts w:eastAsia="Calibri"/>
          <w:b/>
          <w:sz w:val="20"/>
          <w:szCs w:val="20"/>
        </w:rPr>
        <w:instrText xml:space="preserve"> SEQ CHAPTER \h \r 1</w:instrText>
      </w:r>
      <w:r w:rsidRPr="00686391">
        <w:rPr>
          <w:rFonts w:eastAsia="Calibri"/>
          <w:b/>
          <w:sz w:val="20"/>
          <w:szCs w:val="20"/>
        </w:rPr>
        <w:fldChar w:fldCharType="end"/>
      </w:r>
      <w:r w:rsidR="00DA6D04" w:rsidRPr="00686391">
        <w:rPr>
          <w:rFonts w:eastAsia="Calibri"/>
          <w:b/>
          <w:sz w:val="20"/>
          <w:szCs w:val="20"/>
        </w:rPr>
        <w:t>35518</w:t>
      </w:r>
      <w:r w:rsidR="00DA6D04" w:rsidRPr="00686391">
        <w:rPr>
          <w:rFonts w:eastAsia="Calibri"/>
          <w:sz w:val="20"/>
          <w:szCs w:val="20"/>
        </w:rPr>
        <w:tab/>
      </w:r>
      <w:r w:rsidR="00DA6D04" w:rsidRPr="00686391">
        <w:rPr>
          <w:rFonts w:eastAsia="Calibri"/>
          <w:b/>
          <w:sz w:val="20"/>
          <w:szCs w:val="20"/>
          <w:u w:val="single"/>
        </w:rPr>
        <w:t>Chief Sheldon Taypotat, Michael Bob, Janice McKay, Iris Taypotat and Vera Wasacase as Chief and Council Representatives of the Kahkewistahaw First Nation v. Louis Taypotat</w:t>
      </w:r>
      <w:r w:rsidR="00DA6D04" w:rsidRPr="00686391">
        <w:rPr>
          <w:rFonts w:eastAsia="Calibri"/>
          <w:b/>
          <w:sz w:val="20"/>
          <w:szCs w:val="20"/>
        </w:rPr>
        <w:t xml:space="preserve"> </w:t>
      </w:r>
      <w:r w:rsidR="00DA6D04" w:rsidRPr="00686391">
        <w:rPr>
          <w:rFonts w:eastAsia="Calibri"/>
          <w:iCs/>
          <w:sz w:val="20"/>
          <w:szCs w:val="20"/>
        </w:rPr>
        <w:t>(F.C.)</w:t>
      </w:r>
    </w:p>
    <w:p w:rsidR="00DA6D04" w:rsidRPr="00686391" w:rsidRDefault="00DA6D04" w:rsidP="00DA6D04">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686391">
        <w:rPr>
          <w:rFonts w:eastAsia="Calibri"/>
          <w:b/>
          <w:sz w:val="20"/>
          <w:szCs w:val="20"/>
        </w:rPr>
        <w:t>2015 SCC 30 / 2015 CSC 30</w:t>
      </w:r>
    </w:p>
    <w:p w:rsidR="00DA6D04" w:rsidRPr="00686391" w:rsidRDefault="00DA6D04" w:rsidP="00DA6D0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DA6D04" w:rsidRPr="00686391" w:rsidRDefault="00DA6D04" w:rsidP="00DA6D04">
      <w:pPr>
        <w:ind w:left="1440" w:hanging="1440"/>
        <w:jc w:val="both"/>
        <w:rPr>
          <w:rFonts w:eastAsia="Calibri"/>
          <w:sz w:val="20"/>
          <w:szCs w:val="20"/>
          <w:u w:val="single"/>
        </w:rPr>
      </w:pPr>
      <w:r w:rsidRPr="00686391">
        <w:rPr>
          <w:rFonts w:eastAsia="Calibri"/>
          <w:sz w:val="20"/>
          <w:szCs w:val="20"/>
        </w:rPr>
        <w:t>Coram:</w:t>
      </w:r>
      <w:r w:rsidRPr="00686391">
        <w:rPr>
          <w:rFonts w:eastAsia="Calibri"/>
          <w:sz w:val="20"/>
          <w:szCs w:val="20"/>
        </w:rPr>
        <w:tab/>
      </w:r>
      <w:r w:rsidRPr="00686391">
        <w:rPr>
          <w:rFonts w:eastAsia="Calibri"/>
          <w:sz w:val="20"/>
          <w:szCs w:val="20"/>
          <w:u w:val="single"/>
        </w:rPr>
        <w:t>McLachlin C.J. and Abella, Cromwell, Moldaver, Karakatsanis, Wagner and Gascon JJ.</w:t>
      </w:r>
    </w:p>
    <w:p w:rsidR="00DA6D04" w:rsidRPr="00686391" w:rsidRDefault="00DA6D04" w:rsidP="00DA6D04">
      <w:pPr>
        <w:ind w:left="1440" w:hanging="1440"/>
        <w:jc w:val="both"/>
        <w:rPr>
          <w:rFonts w:eastAsia="Calibri"/>
          <w:sz w:val="20"/>
          <w:szCs w:val="20"/>
          <w:u w:val="single"/>
        </w:rPr>
      </w:pPr>
    </w:p>
    <w:p w:rsidR="00DA6D04" w:rsidRPr="00686391" w:rsidRDefault="00DA6D04" w:rsidP="00DA6D04">
      <w:pPr>
        <w:jc w:val="both"/>
        <w:rPr>
          <w:rFonts w:eastAsia="Calibri"/>
          <w:sz w:val="20"/>
          <w:szCs w:val="20"/>
        </w:rPr>
      </w:pPr>
      <w:r w:rsidRPr="00686391">
        <w:rPr>
          <w:rFonts w:eastAsia="Calibri"/>
          <w:sz w:val="20"/>
          <w:szCs w:val="20"/>
        </w:rPr>
        <w:t xml:space="preserve">The appeal from the judgment </w:t>
      </w:r>
      <w:bookmarkStart w:id="2" w:name="BM_1_"/>
      <w:bookmarkEnd w:id="2"/>
      <w:r w:rsidRPr="00686391">
        <w:rPr>
          <w:rFonts w:eastAsia="Calibri"/>
          <w:sz w:val="20"/>
          <w:szCs w:val="20"/>
        </w:rPr>
        <w:t>of the Federal Court of Appeal, Number A-427-12, 2013 FCA 192, dated August 13, 2013, heard on October 9, 2014, is allowed with costs and the decision of de Montigny J. is restored.</w:t>
      </w:r>
    </w:p>
    <w:p w:rsidR="00DA6D04" w:rsidRPr="00686391" w:rsidRDefault="00DA6D04" w:rsidP="00DA6D04">
      <w:pPr>
        <w:jc w:val="both"/>
        <w:rPr>
          <w:rFonts w:eastAsia="Calibri"/>
          <w:sz w:val="20"/>
          <w:szCs w:val="20"/>
        </w:rPr>
      </w:pPr>
    </w:p>
    <w:p w:rsidR="00DA6D04" w:rsidRPr="00686391" w:rsidRDefault="00DA6D04" w:rsidP="00DA6D04">
      <w:pPr>
        <w:jc w:val="both"/>
        <w:rPr>
          <w:rFonts w:eastAsia="Calibri"/>
          <w:sz w:val="20"/>
          <w:szCs w:val="20"/>
          <w:lang w:val="fr-CA"/>
        </w:rPr>
      </w:pPr>
      <w:r w:rsidRPr="00686391">
        <w:rPr>
          <w:rFonts w:eastAsia="Calibri"/>
          <w:sz w:val="20"/>
          <w:szCs w:val="20"/>
          <w:lang w:val="fr-CA"/>
        </w:rPr>
        <w:t>L’appel interjeté contre l’arrêt de la Cour d’appel fédérale, numéro A-427-12, 2013 CAF 192, en date du 13 août 2013, entendu le 9 octobre 2014, est accueilli avec dépens et la décision du juge de Montigny est rétablie.</w:t>
      </w:r>
    </w:p>
    <w:p w:rsidR="00DA6D04" w:rsidRDefault="00DA6D04" w:rsidP="0052229C">
      <w:pPr>
        <w:rPr>
          <w:sz w:val="20"/>
          <w:szCs w:val="20"/>
          <w:lang w:val="fr-CA"/>
        </w:rPr>
      </w:pPr>
    </w:p>
    <w:p w:rsidR="0052229C" w:rsidRPr="003B3977" w:rsidRDefault="001D3FE1" w:rsidP="0052229C">
      <w:pPr>
        <w:spacing w:line="0" w:lineRule="atLeast"/>
        <w:rPr>
          <w:sz w:val="20"/>
          <w:szCs w:val="20"/>
        </w:rPr>
      </w:pPr>
      <w:r>
        <w:rPr>
          <w:b/>
          <w:sz w:val="20"/>
          <w:szCs w:val="20"/>
        </w:rPr>
        <w:pict>
          <v:rect id="_x0000_i107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8163C7" w:rsidRPr="00C42C54" w:rsidRDefault="008163C7" w:rsidP="008163C7">
      <w:pPr>
        <w:rPr>
          <w:b/>
          <w:sz w:val="20"/>
          <w:szCs w:val="20"/>
          <w:lang w:val="fr-CA"/>
        </w:rPr>
      </w:pPr>
      <w:r>
        <w:rPr>
          <w:b/>
          <w:sz w:val="20"/>
          <w:szCs w:val="20"/>
          <w:lang w:val="fr-CA"/>
        </w:rPr>
        <w:t>M</w:t>
      </w:r>
      <w:r w:rsidRPr="00C42C54">
        <w:rPr>
          <w:b/>
          <w:sz w:val="20"/>
          <w:szCs w:val="20"/>
          <w:lang w:val="fr-CA"/>
        </w:rPr>
        <w:t xml:space="preserve">AY </w:t>
      </w:r>
      <w:r>
        <w:rPr>
          <w:b/>
          <w:sz w:val="20"/>
          <w:szCs w:val="20"/>
          <w:lang w:val="fr-CA"/>
        </w:rPr>
        <w:t>29</w:t>
      </w:r>
      <w:r w:rsidRPr="00C42C54">
        <w:rPr>
          <w:b/>
          <w:sz w:val="20"/>
          <w:szCs w:val="20"/>
          <w:lang w:val="fr-CA"/>
        </w:rPr>
        <w:t>, 201</w:t>
      </w:r>
      <w:r>
        <w:rPr>
          <w:b/>
          <w:sz w:val="20"/>
          <w:szCs w:val="20"/>
          <w:lang w:val="fr-CA"/>
        </w:rPr>
        <w:t>5</w:t>
      </w:r>
      <w:r w:rsidRPr="00C42C54">
        <w:rPr>
          <w:b/>
          <w:sz w:val="20"/>
          <w:szCs w:val="20"/>
          <w:lang w:val="fr-CA"/>
        </w:rPr>
        <w:t xml:space="preserve"> / LE </w:t>
      </w:r>
      <w:r>
        <w:rPr>
          <w:b/>
          <w:sz w:val="20"/>
          <w:szCs w:val="20"/>
          <w:lang w:val="fr-CA"/>
        </w:rPr>
        <w:t>29</w:t>
      </w:r>
      <w:r w:rsidRPr="00C42C54">
        <w:rPr>
          <w:b/>
          <w:sz w:val="20"/>
          <w:szCs w:val="20"/>
          <w:lang w:val="fr-CA"/>
        </w:rPr>
        <w:t xml:space="preserve"> </w:t>
      </w:r>
      <w:r>
        <w:rPr>
          <w:b/>
          <w:sz w:val="20"/>
          <w:szCs w:val="20"/>
          <w:lang w:val="fr-CA"/>
        </w:rPr>
        <w:t>M</w:t>
      </w:r>
      <w:r w:rsidRPr="00C42C54">
        <w:rPr>
          <w:b/>
          <w:sz w:val="20"/>
          <w:szCs w:val="20"/>
          <w:lang w:val="fr-CA"/>
        </w:rPr>
        <w:t>AI 201</w:t>
      </w:r>
      <w:r>
        <w:rPr>
          <w:b/>
          <w:sz w:val="20"/>
          <w:szCs w:val="20"/>
          <w:lang w:val="fr-CA"/>
        </w:rPr>
        <w:t>5</w:t>
      </w:r>
    </w:p>
    <w:p w:rsidR="0052229C" w:rsidRPr="00802E38" w:rsidRDefault="0052229C" w:rsidP="0052229C">
      <w:pPr>
        <w:spacing w:line="0" w:lineRule="atLeast"/>
        <w:rPr>
          <w:rFonts w:cs="Times New Roman"/>
          <w:sz w:val="20"/>
          <w:szCs w:val="20"/>
          <w:lang w:val="fr-CA"/>
        </w:rPr>
      </w:pPr>
    </w:p>
    <w:p w:rsidR="00802E38" w:rsidRPr="0065170F" w:rsidRDefault="00802E38" w:rsidP="00802E38">
      <w:pPr>
        <w:ind w:left="1440" w:hanging="1440"/>
        <w:jc w:val="both"/>
        <w:rPr>
          <w:sz w:val="20"/>
          <w:szCs w:val="20"/>
          <w:lang w:val="fr-CA"/>
        </w:rPr>
      </w:pPr>
      <w:r w:rsidRPr="0065170F">
        <w:rPr>
          <w:b/>
          <w:sz w:val="20"/>
          <w:szCs w:val="20"/>
        </w:rPr>
        <w:fldChar w:fldCharType="begin"/>
      </w:r>
      <w:r w:rsidRPr="0065170F">
        <w:rPr>
          <w:b/>
          <w:sz w:val="20"/>
          <w:szCs w:val="20"/>
          <w:lang w:val="fr-CA"/>
        </w:rPr>
        <w:instrText xml:space="preserve"> SEQ CHAPTER \h \r 1</w:instrText>
      </w:r>
      <w:r w:rsidRPr="0065170F">
        <w:rPr>
          <w:b/>
          <w:sz w:val="20"/>
          <w:szCs w:val="20"/>
        </w:rPr>
        <w:fldChar w:fldCharType="end"/>
      </w:r>
      <w:r w:rsidRPr="0065170F">
        <w:rPr>
          <w:b/>
          <w:sz w:val="20"/>
          <w:szCs w:val="20"/>
          <w:lang w:val="fr-CA"/>
        </w:rPr>
        <w:t>35548</w:t>
      </w:r>
      <w:r w:rsidRPr="0065170F">
        <w:rPr>
          <w:sz w:val="20"/>
          <w:szCs w:val="20"/>
          <w:lang w:val="fr-CA"/>
        </w:rPr>
        <w:tab/>
      </w:r>
      <w:r w:rsidRPr="0065170F">
        <w:rPr>
          <w:b/>
          <w:sz w:val="20"/>
          <w:szCs w:val="20"/>
          <w:u w:val="single"/>
          <w:lang w:val="fr-CA"/>
        </w:rPr>
        <w:t>Procureur général du Canada c. Anthony Barnaby</w:t>
      </w:r>
      <w:r w:rsidRPr="0065170F">
        <w:rPr>
          <w:b/>
          <w:sz w:val="20"/>
          <w:szCs w:val="20"/>
          <w:lang w:val="fr-CA"/>
        </w:rPr>
        <w:t xml:space="preserve"> </w:t>
      </w:r>
      <w:r w:rsidRPr="0065170F">
        <w:rPr>
          <w:sz w:val="20"/>
          <w:szCs w:val="20"/>
          <w:lang w:val="fr-CA"/>
        </w:rPr>
        <w:t>(Qc)</w:t>
      </w:r>
    </w:p>
    <w:p w:rsidR="00802E38" w:rsidRPr="0065170F" w:rsidRDefault="00802E38" w:rsidP="00802E38">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65170F">
        <w:rPr>
          <w:b/>
          <w:sz w:val="20"/>
          <w:szCs w:val="20"/>
          <w:lang w:val="fr-CA"/>
        </w:rPr>
        <w:t>2015 SCC 31 / 2015 CSC 31</w:t>
      </w:r>
    </w:p>
    <w:p w:rsidR="00802E38" w:rsidRPr="0065170F" w:rsidRDefault="00802E38" w:rsidP="00802E38">
      <w:pPr>
        <w:ind w:left="1440" w:hanging="1440"/>
        <w:rPr>
          <w:sz w:val="20"/>
          <w:szCs w:val="20"/>
          <w:lang w:val="fr-CA"/>
        </w:rPr>
      </w:pPr>
    </w:p>
    <w:p w:rsidR="00802E38" w:rsidRPr="0065170F" w:rsidRDefault="00802E38" w:rsidP="00802E38">
      <w:pPr>
        <w:ind w:left="1440" w:hanging="1440"/>
        <w:rPr>
          <w:sz w:val="20"/>
          <w:szCs w:val="20"/>
          <w:u w:val="single"/>
          <w:lang w:val="fr-CA"/>
        </w:rPr>
      </w:pPr>
      <w:r w:rsidRPr="0065170F">
        <w:rPr>
          <w:sz w:val="20"/>
          <w:szCs w:val="20"/>
          <w:lang w:val="fr-CA"/>
        </w:rPr>
        <w:t>Coram:</w:t>
      </w:r>
      <w:r w:rsidRPr="0065170F">
        <w:rPr>
          <w:sz w:val="20"/>
          <w:szCs w:val="20"/>
          <w:lang w:val="fr-CA"/>
        </w:rPr>
        <w:tab/>
      </w:r>
      <w:r w:rsidRPr="0065170F">
        <w:rPr>
          <w:sz w:val="20"/>
          <w:szCs w:val="20"/>
          <w:u w:val="single"/>
          <w:lang w:val="fr-CA"/>
        </w:rPr>
        <w:t>La juge en chef McLachlin et les juges Abella, Rothstein, Cromwell, Moldaver, Karakatsanis, Wagner, Gascon et Côté</w:t>
      </w:r>
    </w:p>
    <w:p w:rsidR="00802E38" w:rsidRPr="0065170F" w:rsidRDefault="00802E38" w:rsidP="00802E38">
      <w:pPr>
        <w:jc w:val="both"/>
        <w:rPr>
          <w:sz w:val="20"/>
          <w:szCs w:val="20"/>
          <w:lang w:val="fr-CA"/>
        </w:rPr>
      </w:pPr>
    </w:p>
    <w:p w:rsidR="00802E38" w:rsidRPr="0065170F" w:rsidRDefault="00802E38" w:rsidP="00802E38">
      <w:pPr>
        <w:widowControl w:val="0"/>
        <w:jc w:val="both"/>
        <w:outlineLvl w:val="0"/>
        <w:rPr>
          <w:b/>
          <w:sz w:val="20"/>
          <w:szCs w:val="20"/>
          <w:lang w:val="fr-CA"/>
        </w:rPr>
      </w:pPr>
      <w:r w:rsidRPr="0065170F">
        <w:rPr>
          <w:rFonts w:eastAsia="Calibri"/>
          <w:b/>
          <w:sz w:val="20"/>
          <w:szCs w:val="20"/>
        </w:rPr>
        <w:t>REASONS RELEASED / MOTIFS DÉPOSÉS</w:t>
      </w:r>
    </w:p>
    <w:p w:rsidR="00D004FC" w:rsidRPr="0052229C" w:rsidRDefault="00D004FC" w:rsidP="00D004FC">
      <w:pPr>
        <w:spacing w:line="0" w:lineRule="atLeast"/>
        <w:rPr>
          <w:rFonts w:cs="Times New Roman"/>
          <w:sz w:val="20"/>
          <w:szCs w:val="20"/>
          <w:lang w:val="fr-CA"/>
        </w:rPr>
      </w:pPr>
    </w:p>
    <w:p w:rsidR="00D004FC" w:rsidRDefault="001D3FE1" w:rsidP="00D004FC">
      <w:pPr>
        <w:jc w:val="both"/>
        <w:rPr>
          <w:rFonts w:cs="Times New Roman"/>
          <w:b/>
          <w:sz w:val="20"/>
          <w:szCs w:val="20"/>
        </w:rPr>
      </w:pPr>
      <w:r>
        <w:rPr>
          <w:rFonts w:cs="Times New Roman"/>
          <w:b/>
          <w:sz w:val="20"/>
          <w:szCs w:val="20"/>
        </w:rPr>
        <w:pict>
          <v:rect id="_x0000_i1072" style="width:144.3pt;height:1pt" o:hrpct="300" o:hralign="center" o:hrstd="t" o:hrnoshade="t" o:hr="t" fillcolor="black [3213]" stroked="f"/>
        </w:pict>
      </w:r>
    </w:p>
    <w:p w:rsidR="00D004FC" w:rsidRDefault="00D004FC" w:rsidP="00D004FC">
      <w:pPr>
        <w:jc w:val="both"/>
        <w:rPr>
          <w:rFonts w:cs="Times New Roman"/>
          <w:sz w:val="20"/>
          <w:szCs w:val="20"/>
        </w:rPr>
      </w:pPr>
    </w:p>
    <w:p w:rsidR="00802E38" w:rsidRPr="0065170F" w:rsidRDefault="00802E38" w:rsidP="00802E38">
      <w:pPr>
        <w:ind w:left="1440" w:hanging="1440"/>
        <w:jc w:val="both"/>
        <w:rPr>
          <w:sz w:val="20"/>
          <w:szCs w:val="20"/>
          <w:lang w:val="fr-CA"/>
        </w:rPr>
      </w:pPr>
      <w:r w:rsidRPr="0065170F">
        <w:rPr>
          <w:b/>
          <w:sz w:val="20"/>
          <w:szCs w:val="20"/>
        </w:rPr>
        <w:fldChar w:fldCharType="begin"/>
      </w:r>
      <w:r w:rsidRPr="0065170F">
        <w:rPr>
          <w:b/>
          <w:sz w:val="20"/>
          <w:szCs w:val="20"/>
          <w:lang w:val="fr-CA"/>
        </w:rPr>
        <w:instrText xml:space="preserve"> SEQ CHAPTER \h \r 1</w:instrText>
      </w:r>
      <w:r w:rsidRPr="0065170F">
        <w:rPr>
          <w:b/>
          <w:sz w:val="20"/>
          <w:szCs w:val="20"/>
        </w:rPr>
        <w:fldChar w:fldCharType="end"/>
      </w:r>
      <w:r w:rsidRPr="0065170F">
        <w:rPr>
          <w:b/>
          <w:sz w:val="20"/>
          <w:szCs w:val="20"/>
          <w:lang w:val="fr-CA"/>
        </w:rPr>
        <w:t>35527</w:t>
      </w:r>
      <w:r w:rsidRPr="0065170F">
        <w:rPr>
          <w:sz w:val="20"/>
          <w:szCs w:val="20"/>
          <w:lang w:val="fr-CA"/>
        </w:rPr>
        <w:tab/>
      </w:r>
      <w:r w:rsidRPr="0065170F">
        <w:rPr>
          <w:b/>
          <w:sz w:val="20"/>
          <w:szCs w:val="20"/>
          <w:u w:val="single"/>
          <w:lang w:val="fr-CA"/>
        </w:rPr>
        <w:t>David Caplin c. Ministre de la Justice du Canada</w:t>
      </w:r>
      <w:r w:rsidRPr="0065170F">
        <w:rPr>
          <w:sz w:val="20"/>
          <w:szCs w:val="20"/>
          <w:lang w:val="fr-CA"/>
        </w:rPr>
        <w:t xml:space="preserve"> (Qc)</w:t>
      </w:r>
    </w:p>
    <w:p w:rsidR="00802E38" w:rsidRPr="0065170F" w:rsidRDefault="00802E38" w:rsidP="00802E38">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lang w:val="fr-CA"/>
        </w:rPr>
      </w:pPr>
      <w:r w:rsidRPr="0065170F">
        <w:rPr>
          <w:b/>
          <w:sz w:val="20"/>
          <w:szCs w:val="20"/>
          <w:lang w:val="fr-CA"/>
        </w:rPr>
        <w:t>2015 SCC 32 / 2015 CSC 32</w:t>
      </w:r>
    </w:p>
    <w:p w:rsidR="00802E38" w:rsidRPr="0065170F" w:rsidRDefault="00802E38" w:rsidP="00802E38">
      <w:pPr>
        <w:ind w:left="1440" w:hanging="1440"/>
        <w:rPr>
          <w:sz w:val="20"/>
          <w:szCs w:val="20"/>
          <w:lang w:val="fr-CA"/>
        </w:rPr>
      </w:pPr>
    </w:p>
    <w:p w:rsidR="00802E38" w:rsidRPr="0065170F" w:rsidRDefault="00802E38" w:rsidP="00802E38">
      <w:pPr>
        <w:ind w:left="1440" w:hanging="1440"/>
        <w:rPr>
          <w:sz w:val="20"/>
          <w:szCs w:val="20"/>
          <w:u w:val="single"/>
          <w:lang w:val="fr-CA"/>
        </w:rPr>
      </w:pPr>
      <w:r w:rsidRPr="0065170F">
        <w:rPr>
          <w:sz w:val="20"/>
          <w:szCs w:val="20"/>
          <w:lang w:val="fr-CA"/>
        </w:rPr>
        <w:t>Coram:</w:t>
      </w:r>
      <w:r w:rsidRPr="0065170F">
        <w:rPr>
          <w:sz w:val="20"/>
          <w:szCs w:val="20"/>
          <w:lang w:val="fr-CA"/>
        </w:rPr>
        <w:tab/>
      </w:r>
      <w:r w:rsidRPr="0065170F">
        <w:rPr>
          <w:sz w:val="20"/>
          <w:szCs w:val="20"/>
          <w:u w:val="single"/>
          <w:lang w:val="fr-CA"/>
        </w:rPr>
        <w:t>La juge en chef McLachlin et les juges Abella, Rothstein, Cromwell, Moldaver, Karakatsanis, Wagner, Gascon et Côté</w:t>
      </w:r>
    </w:p>
    <w:p w:rsidR="00802E38" w:rsidRPr="0065170F" w:rsidRDefault="00802E38" w:rsidP="00802E38">
      <w:pPr>
        <w:jc w:val="both"/>
        <w:rPr>
          <w:sz w:val="20"/>
          <w:szCs w:val="20"/>
          <w:lang w:val="fr-CA"/>
        </w:rPr>
      </w:pPr>
    </w:p>
    <w:p w:rsidR="00802E38" w:rsidRPr="0065170F" w:rsidRDefault="00802E38" w:rsidP="00802E38">
      <w:pPr>
        <w:widowControl w:val="0"/>
        <w:jc w:val="both"/>
        <w:outlineLvl w:val="0"/>
        <w:rPr>
          <w:b/>
          <w:sz w:val="20"/>
          <w:szCs w:val="20"/>
          <w:lang w:val="fr-CA"/>
        </w:rPr>
      </w:pPr>
      <w:r w:rsidRPr="0065170F">
        <w:rPr>
          <w:rFonts w:eastAsia="Calibri"/>
          <w:b/>
          <w:sz w:val="20"/>
          <w:szCs w:val="20"/>
        </w:rPr>
        <w:t>REASONS RELEASED / MOTIFS DÉPOSÉS</w:t>
      </w:r>
    </w:p>
    <w:p w:rsidR="008163C7" w:rsidRDefault="008163C7" w:rsidP="008163C7">
      <w:pPr>
        <w:spacing w:line="0" w:lineRule="atLeast"/>
        <w:rPr>
          <w:rFonts w:cs="Times New Roman"/>
          <w:sz w:val="20"/>
          <w:szCs w:val="20"/>
          <w:lang w:val="fr-CA"/>
        </w:rPr>
      </w:pPr>
    </w:p>
    <w:p w:rsidR="008163C7" w:rsidRDefault="001D3FE1" w:rsidP="008163C7">
      <w:pPr>
        <w:jc w:val="both"/>
        <w:rPr>
          <w:rFonts w:cs="Times New Roman"/>
          <w:b/>
          <w:sz w:val="20"/>
          <w:szCs w:val="20"/>
        </w:rPr>
      </w:pPr>
      <w:r>
        <w:rPr>
          <w:rFonts w:cs="Times New Roman"/>
          <w:b/>
          <w:sz w:val="20"/>
          <w:szCs w:val="20"/>
        </w:rPr>
        <w:pict>
          <v:rect id="_x0000_i1073" style="width:144.3pt;height:1pt" o:hrpct="300" o:hralign="center" o:hrstd="t" o:hrnoshade="t" o:hr="t" fillcolor="black [3213]" stroked="f"/>
        </w:pict>
      </w:r>
    </w:p>
    <w:p w:rsidR="008163C7" w:rsidRPr="00C00175" w:rsidRDefault="008163C7" w:rsidP="008163C7">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0F392A" w:rsidRPr="00737F48" w:rsidRDefault="000F392A" w:rsidP="000F392A">
      <w:pPr>
        <w:ind w:left="720" w:hanging="720"/>
        <w:jc w:val="both"/>
        <w:rPr>
          <w:sz w:val="20"/>
          <w:szCs w:val="20"/>
        </w:rPr>
      </w:pPr>
      <w:r w:rsidRPr="00737F48">
        <w:rPr>
          <w:i/>
          <w:sz w:val="20"/>
          <w:szCs w:val="20"/>
        </w:rPr>
        <w:t>Chief Sheldon Taypotat et al. v. Louis Taypotat</w:t>
      </w:r>
      <w:r w:rsidRPr="00737F48">
        <w:rPr>
          <w:sz w:val="20"/>
          <w:szCs w:val="20"/>
        </w:rPr>
        <w:t xml:space="preserve"> (F.C.) (</w:t>
      </w:r>
      <w:hyperlink r:id="rId77" w:history="1">
        <w:r w:rsidRPr="00737F48">
          <w:rPr>
            <w:rStyle w:val="Hyperlink"/>
            <w:sz w:val="20"/>
            <w:szCs w:val="20"/>
            <w:lang w:val="en-GB"/>
          </w:rPr>
          <w:t>35518</w:t>
        </w:r>
      </w:hyperlink>
      <w:r w:rsidRPr="00737F48">
        <w:rPr>
          <w:sz w:val="20"/>
          <w:szCs w:val="20"/>
          <w:lang w:val="en-GB"/>
        </w:rPr>
        <w:t>)</w:t>
      </w:r>
    </w:p>
    <w:p w:rsidR="00CD4176" w:rsidRDefault="00CD4176" w:rsidP="00CD4176">
      <w:pPr>
        <w:jc w:val="both"/>
        <w:rPr>
          <w:rStyle w:val="SCCRespondentForIndexChar"/>
          <w:rFonts w:eastAsiaTheme="minorHAnsi"/>
          <w:sz w:val="20"/>
        </w:rPr>
      </w:pPr>
      <w:r w:rsidRPr="00266677">
        <w:rPr>
          <w:b/>
          <w:sz w:val="20"/>
          <w:szCs w:val="20"/>
        </w:rPr>
        <w:t xml:space="preserve">Indexed as: Kahkewistahaw First Nation </w:t>
      </w:r>
      <w:r w:rsidRPr="00266677">
        <w:rPr>
          <w:b/>
          <w:i/>
          <w:sz w:val="20"/>
          <w:szCs w:val="20"/>
        </w:rPr>
        <w:t>v.</w:t>
      </w:r>
      <w:r w:rsidRPr="00266677">
        <w:rPr>
          <w:b/>
          <w:sz w:val="20"/>
          <w:szCs w:val="20"/>
        </w:rPr>
        <w:t xml:space="preserve"> </w:t>
      </w:r>
      <w:r w:rsidRPr="00266677">
        <w:rPr>
          <w:rStyle w:val="SCCRespondentForIndexChar"/>
          <w:rFonts w:eastAsiaTheme="minorHAnsi"/>
          <w:sz w:val="20"/>
        </w:rPr>
        <w:t>Taypotat</w:t>
      </w:r>
      <w:r>
        <w:rPr>
          <w:rStyle w:val="SCCRespondentForIndexChar"/>
          <w:rFonts w:eastAsiaTheme="minorHAnsi"/>
          <w:sz w:val="20"/>
        </w:rPr>
        <w:t xml:space="preserve"> / </w:t>
      </w:r>
    </w:p>
    <w:p w:rsidR="00CD4176" w:rsidRPr="00AD1944" w:rsidRDefault="00CD4176" w:rsidP="00CD4176">
      <w:pPr>
        <w:jc w:val="both"/>
        <w:rPr>
          <w:b/>
          <w:sz w:val="20"/>
          <w:szCs w:val="20"/>
          <w:lang w:val="fr-CA"/>
        </w:rPr>
      </w:pPr>
      <w:r w:rsidRPr="00AD1944">
        <w:rPr>
          <w:b/>
          <w:sz w:val="20"/>
          <w:szCs w:val="20"/>
          <w:lang w:val="fr-CA"/>
        </w:rPr>
        <w:t>Répertorié : </w:t>
      </w:r>
      <w:r w:rsidRPr="00AD1944">
        <w:rPr>
          <w:rStyle w:val="SCCAppellantForIndexChar"/>
          <w:rFonts w:eastAsiaTheme="minorHAnsi"/>
          <w:sz w:val="20"/>
        </w:rPr>
        <w:t xml:space="preserve">Première Nation de Kahkewistahaw </w:t>
      </w:r>
      <w:r w:rsidRPr="00AD1944">
        <w:rPr>
          <w:b/>
          <w:i/>
          <w:sz w:val="20"/>
          <w:szCs w:val="20"/>
          <w:lang w:val="fr-CA"/>
        </w:rPr>
        <w:t>c.</w:t>
      </w:r>
      <w:r w:rsidRPr="00AD1944">
        <w:rPr>
          <w:b/>
          <w:sz w:val="20"/>
          <w:szCs w:val="20"/>
          <w:lang w:val="fr-CA"/>
        </w:rPr>
        <w:t xml:space="preserve"> </w:t>
      </w:r>
      <w:r w:rsidRPr="00AD1944">
        <w:rPr>
          <w:rStyle w:val="SCCRespondentForIndexChar"/>
          <w:rFonts w:eastAsiaTheme="minorHAnsi"/>
          <w:sz w:val="20"/>
          <w:lang w:val="fr-CA"/>
        </w:rPr>
        <w:t>Taypotat</w:t>
      </w:r>
    </w:p>
    <w:p w:rsidR="0052229C" w:rsidRPr="000F392A" w:rsidRDefault="0052229C" w:rsidP="0052229C">
      <w:pPr>
        <w:pStyle w:val="SCCSystemYear"/>
        <w:jc w:val="both"/>
        <w:rPr>
          <w:sz w:val="20"/>
        </w:rPr>
      </w:pPr>
      <w:r w:rsidRPr="000F392A">
        <w:rPr>
          <w:sz w:val="20"/>
        </w:rPr>
        <w:t>Neutral citation:  201</w:t>
      </w:r>
      <w:r w:rsidR="00020DC3" w:rsidRPr="000F392A">
        <w:rPr>
          <w:sz w:val="20"/>
        </w:rPr>
        <w:t>5</w:t>
      </w:r>
      <w:r w:rsidRPr="000F392A">
        <w:rPr>
          <w:sz w:val="20"/>
        </w:rPr>
        <w:t xml:space="preserve"> SCC </w:t>
      </w:r>
      <w:r w:rsidR="000F392A" w:rsidRPr="000F392A">
        <w:rPr>
          <w:sz w:val="20"/>
        </w:rPr>
        <w:t>30</w:t>
      </w:r>
      <w:r w:rsidRPr="000F392A">
        <w:rPr>
          <w:sz w:val="20"/>
        </w:rPr>
        <w:t xml:space="preserve"> / Référence neutre : 201</w:t>
      </w:r>
      <w:r w:rsidR="00020DC3" w:rsidRPr="000F392A">
        <w:rPr>
          <w:sz w:val="20"/>
        </w:rPr>
        <w:t>5</w:t>
      </w:r>
      <w:r w:rsidRPr="000F392A">
        <w:rPr>
          <w:sz w:val="20"/>
        </w:rPr>
        <w:t xml:space="preserve"> CSC </w:t>
      </w:r>
      <w:r w:rsidR="000F392A" w:rsidRPr="000F392A">
        <w:rPr>
          <w:sz w:val="20"/>
        </w:rPr>
        <w:t>30</w:t>
      </w:r>
    </w:p>
    <w:p w:rsidR="0052229C" w:rsidRPr="00006321" w:rsidRDefault="0052229C" w:rsidP="0052229C">
      <w:pPr>
        <w:rPr>
          <w:rFonts w:cs="Times New Roman"/>
          <w:sz w:val="20"/>
          <w:szCs w:val="20"/>
          <w:lang w:val="fr-CA"/>
        </w:rPr>
      </w:pPr>
      <w:r w:rsidRPr="00006321">
        <w:rPr>
          <w:rFonts w:cs="Times New Roman"/>
          <w:sz w:val="20"/>
          <w:szCs w:val="20"/>
          <w:lang w:val="fr-CA"/>
        </w:rPr>
        <w:t xml:space="preserve">Hearing:  </w:t>
      </w:r>
      <w:r w:rsidR="00B42CEF">
        <w:rPr>
          <w:rFonts w:cs="Times New Roman"/>
          <w:sz w:val="20"/>
          <w:szCs w:val="20"/>
          <w:lang w:val="fr-CA"/>
        </w:rPr>
        <w:t>October</w:t>
      </w:r>
      <w:r w:rsidRPr="00006321">
        <w:rPr>
          <w:rFonts w:cs="Times New Roman"/>
          <w:sz w:val="20"/>
          <w:szCs w:val="20"/>
          <w:lang w:val="fr-CA"/>
        </w:rPr>
        <w:t xml:space="preserve"> </w:t>
      </w:r>
      <w:r w:rsidR="00B42CEF">
        <w:rPr>
          <w:rFonts w:cs="Times New Roman"/>
          <w:sz w:val="20"/>
          <w:szCs w:val="20"/>
          <w:lang w:val="fr-CA"/>
        </w:rPr>
        <w:t>9</w:t>
      </w:r>
      <w:r w:rsidRPr="00006321">
        <w:rPr>
          <w:rFonts w:cs="Times New Roman"/>
          <w:sz w:val="20"/>
          <w:szCs w:val="20"/>
          <w:lang w:val="fr-CA"/>
        </w:rPr>
        <w:t>, 201</w:t>
      </w:r>
      <w:r w:rsidR="00020DC3" w:rsidRPr="00006321">
        <w:rPr>
          <w:rFonts w:cs="Times New Roman"/>
          <w:sz w:val="20"/>
          <w:szCs w:val="20"/>
          <w:lang w:val="fr-CA"/>
        </w:rPr>
        <w:t>4</w:t>
      </w:r>
      <w:r w:rsidRPr="00006321">
        <w:rPr>
          <w:rFonts w:cs="Times New Roman"/>
          <w:sz w:val="20"/>
          <w:szCs w:val="20"/>
          <w:lang w:val="fr-CA"/>
        </w:rPr>
        <w:t xml:space="preserve"> / Judgment:  </w:t>
      </w:r>
      <w:r w:rsidR="000F392A" w:rsidRPr="00006321">
        <w:rPr>
          <w:rFonts w:cs="Times New Roman"/>
          <w:sz w:val="20"/>
          <w:szCs w:val="20"/>
          <w:lang w:val="fr-CA"/>
        </w:rPr>
        <w:t>M</w:t>
      </w:r>
      <w:r w:rsidRPr="00006321">
        <w:rPr>
          <w:rFonts w:cs="Times New Roman"/>
          <w:sz w:val="20"/>
          <w:szCs w:val="20"/>
          <w:lang w:val="fr-CA"/>
        </w:rPr>
        <w:t xml:space="preserve">ay </w:t>
      </w:r>
      <w:r w:rsidR="000F392A" w:rsidRPr="00006321">
        <w:rPr>
          <w:rFonts w:cs="Times New Roman"/>
          <w:sz w:val="20"/>
          <w:szCs w:val="20"/>
          <w:lang w:val="fr-CA"/>
        </w:rPr>
        <w:t>28</w:t>
      </w:r>
      <w:r w:rsidRPr="00006321">
        <w:rPr>
          <w:rFonts w:cs="Times New Roman"/>
          <w:sz w:val="20"/>
          <w:szCs w:val="20"/>
          <w:lang w:val="fr-CA"/>
        </w:rPr>
        <w:t>, 201</w:t>
      </w:r>
      <w:r w:rsidR="00020DC3" w:rsidRPr="00006321">
        <w:rPr>
          <w:rFonts w:cs="Times New Roman"/>
          <w:sz w:val="20"/>
          <w:szCs w:val="20"/>
          <w:lang w:val="fr-CA"/>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B42CEF">
        <w:rPr>
          <w:rFonts w:cs="Times New Roman"/>
          <w:sz w:val="20"/>
          <w:szCs w:val="20"/>
          <w:lang w:val="fr-CA"/>
        </w:rPr>
        <w:t>9 octobre</w:t>
      </w:r>
      <w:r w:rsidRPr="003B3977">
        <w:rPr>
          <w:rFonts w:cs="Times New Roman"/>
          <w:sz w:val="20"/>
          <w:szCs w:val="20"/>
          <w:lang w:val="fr-CA"/>
        </w:rPr>
        <w:t xml:space="preserve"> 201</w:t>
      </w:r>
      <w:r w:rsidR="00020DC3">
        <w:rPr>
          <w:rFonts w:cs="Times New Roman"/>
          <w:sz w:val="20"/>
          <w:szCs w:val="20"/>
          <w:lang w:val="fr-CA"/>
        </w:rPr>
        <w:t>4</w:t>
      </w:r>
      <w:r w:rsidRPr="003B3977">
        <w:rPr>
          <w:rFonts w:cs="Times New Roman"/>
          <w:sz w:val="20"/>
          <w:szCs w:val="20"/>
          <w:lang w:val="fr-CA"/>
        </w:rPr>
        <w:t xml:space="preserve"> / Jugement : Le </w:t>
      </w:r>
      <w:r w:rsidR="000F392A">
        <w:rPr>
          <w:rFonts w:cs="Times New Roman"/>
          <w:sz w:val="20"/>
          <w:szCs w:val="20"/>
          <w:lang w:val="fr-CA"/>
        </w:rPr>
        <w:t>28 m</w:t>
      </w:r>
      <w:r>
        <w:rPr>
          <w:rFonts w:cs="Times New Roman"/>
          <w:sz w:val="20"/>
          <w:szCs w:val="20"/>
          <w:lang w:val="fr-CA"/>
        </w:rPr>
        <w:t>ai</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1D3FE1" w:rsidP="005C6840">
      <w:pPr>
        <w:rPr>
          <w:rFonts w:cs="Times New Roman"/>
          <w:sz w:val="20"/>
          <w:szCs w:val="20"/>
          <w:lang w:val="fr-CA"/>
        </w:rPr>
      </w:pPr>
      <w:r>
        <w:rPr>
          <w:rFonts w:cs="Times New Roman"/>
          <w:i/>
          <w:sz w:val="20"/>
          <w:szCs w:val="20"/>
        </w:rPr>
        <w:pict>
          <v:rect id="_x0000_i1076"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CD4176" w:rsidRPr="00266677" w:rsidRDefault="00CD4176" w:rsidP="00CD4176">
      <w:pPr>
        <w:jc w:val="both"/>
        <w:rPr>
          <w:sz w:val="20"/>
          <w:szCs w:val="20"/>
        </w:rPr>
      </w:pPr>
      <w:r w:rsidRPr="00266677">
        <w:rPr>
          <w:sz w:val="20"/>
          <w:szCs w:val="20"/>
        </w:rPr>
        <w:t>Present: McLachlin C.J. and Abella, Cromwell, Moldaver, Karakatsanis, Wagner and Gascon JJ.</w:t>
      </w:r>
    </w:p>
    <w:p w:rsidR="00CD4176" w:rsidRDefault="00CD4176" w:rsidP="00CD4176">
      <w:pPr>
        <w:pStyle w:val="SCCNormalDoubleSpacing"/>
        <w:spacing w:line="240" w:lineRule="auto"/>
        <w:rPr>
          <w:i/>
          <w:sz w:val="20"/>
        </w:rPr>
      </w:pPr>
    </w:p>
    <w:p w:rsidR="00CD4176" w:rsidRPr="00266677" w:rsidRDefault="00CD4176" w:rsidP="00CD4176">
      <w:pPr>
        <w:pStyle w:val="SCCNormalDoubleSpacing"/>
        <w:spacing w:line="240" w:lineRule="auto"/>
        <w:rPr>
          <w:i/>
          <w:sz w:val="20"/>
        </w:rPr>
      </w:pPr>
      <w:r w:rsidRPr="00266677">
        <w:rPr>
          <w:i/>
          <w:sz w:val="20"/>
        </w:rPr>
        <w:tab/>
        <w:t>Constitutional law — Charter of Rights — Right to equality — Elections — Eligibility requirements — Kahkewistahaw Election Act requires that candidates for Chief or Band Councillor have Grade 12 education — Whether education requirement violates s. 15(1) of Canadian Charter of Rights and Freedoms — Kahkewistahaw Election Act, s. 9.03(c).</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sz w:val="20"/>
        </w:rPr>
      </w:pPr>
      <w:r w:rsidRPr="00266677">
        <w:rPr>
          <w:sz w:val="20"/>
        </w:rPr>
        <w:tab/>
        <w:t>In the 1996 Report of the Royal Commission on Aboriginal Peoples, education was identified as a top priority for promoting collective and individual well</w:t>
      </w:r>
      <w:r w:rsidRPr="00266677">
        <w:rPr>
          <w:sz w:val="20"/>
        </w:rPr>
        <w:noBreakHyphen/>
        <w:t>being in Aboriginal communities, and for helping those communities prepare to assume the complete range of responsibilities associated with self</w:t>
      </w:r>
      <w:r w:rsidRPr="00266677">
        <w:rPr>
          <w:sz w:val="20"/>
        </w:rPr>
        <w:noBreakHyphen/>
        <w:t>government. In response to these goals — promoting good governance and encouraging education — the Kahkewistahaw First Nation in Saskatchewan spent 13 years developing an Election Code which included a Grade 12 education</w:t>
      </w:r>
      <w:r w:rsidRPr="00266677">
        <w:rPr>
          <w:b/>
          <w:sz w:val="20"/>
        </w:rPr>
        <w:t xml:space="preserve"> </w:t>
      </w:r>
      <w:r w:rsidRPr="00266677">
        <w:rPr>
          <w:sz w:val="20"/>
        </w:rPr>
        <w:t xml:space="preserve">requirement for candidates who wished to be Chief or a Band Councillor. Louis Taypotat, who had been Chief for most of the previous three decades, was 76 years old and had a Grade 10 education. Despite the fact that he was Chief for much of the consultation process that led to the development of the new Election Code, he challenged the process, his disqualification and the constitutionality of the Grade 12 requirement. Only the constitutional issue is before this Court. His argument was that the Grade 12 educational requirement violated s. 15(1) of the </w:t>
      </w:r>
      <w:r w:rsidRPr="00266677">
        <w:rPr>
          <w:i/>
          <w:sz w:val="20"/>
        </w:rPr>
        <w:t>Canadian Charter of Rights and Freedoms</w:t>
      </w:r>
      <w:r w:rsidRPr="00266677">
        <w:rPr>
          <w:sz w:val="20"/>
        </w:rPr>
        <w:t xml:space="preserve"> because “educational attainment is analogous to race and age” for the purposes of s. 15(1). In the Federal Court, de Montigny J. dismissed the application. The Federal Court of Appeal allowed the appeal. The grounds on which it based its decision, age and residence on a reserve, were not pleaded.</w:t>
      </w:r>
    </w:p>
    <w:p w:rsidR="00CD4176" w:rsidRDefault="00CD4176" w:rsidP="00CD4176">
      <w:pPr>
        <w:pStyle w:val="SCCNormalDoubleSpacing"/>
        <w:spacing w:line="240" w:lineRule="auto"/>
        <w:rPr>
          <w:i/>
          <w:sz w:val="20"/>
        </w:rPr>
      </w:pPr>
    </w:p>
    <w:p w:rsidR="00CD4176" w:rsidRPr="00266677" w:rsidRDefault="00CD4176" w:rsidP="00CD4176">
      <w:pPr>
        <w:pStyle w:val="SCCNormalDoubleSpacing"/>
        <w:spacing w:line="240" w:lineRule="auto"/>
        <w:rPr>
          <w:sz w:val="20"/>
        </w:rPr>
      </w:pPr>
      <w:r w:rsidRPr="00266677">
        <w:rPr>
          <w:i/>
          <w:sz w:val="20"/>
        </w:rPr>
        <w:tab/>
        <w:t>Held</w:t>
      </w:r>
      <w:r w:rsidRPr="00266677">
        <w:rPr>
          <w:sz w:val="20"/>
        </w:rPr>
        <w:t xml:space="preserve">: The appeal should be allowed and the decision of de Montigny J. restored. </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sz w:val="20"/>
        </w:rPr>
      </w:pPr>
      <w:r w:rsidRPr="00266677">
        <w:rPr>
          <w:sz w:val="20"/>
        </w:rPr>
        <w:tab/>
        <w:t xml:space="preserve">The approach to s. 15 was most recently set out in </w:t>
      </w:r>
      <w:r w:rsidRPr="00266677">
        <w:rPr>
          <w:i/>
          <w:sz w:val="20"/>
        </w:rPr>
        <w:t>Quebec (Attorney General) v. A</w:t>
      </w:r>
      <w:r w:rsidRPr="00266677">
        <w:rPr>
          <w:sz w:val="20"/>
        </w:rPr>
        <w:t>, [2013] 1 S.C.R. 61, at paras. 319</w:t>
      </w:r>
      <w:r w:rsidRPr="00266677">
        <w:rPr>
          <w:sz w:val="20"/>
        </w:rPr>
        <w:noBreakHyphen/>
        <w:t>47. It</w:t>
      </w:r>
      <w:r w:rsidRPr="00266677">
        <w:rPr>
          <w:i/>
          <w:sz w:val="20"/>
        </w:rPr>
        <w:t xml:space="preserve"> </w:t>
      </w:r>
      <w:r w:rsidRPr="00266677">
        <w:rPr>
          <w:sz w:val="20"/>
        </w:rPr>
        <w:t xml:space="preserve">requires a flexible and contextual inquiry into whether a distinction has the effect of perpetuating arbitrary disadvantage on the claimant because of his or her membership in an enumerated or analogous group. It is an approach which recognizes that persistent systemic disadvantages have operated to limit the opportunities available to members of certain groups in society and seeks to prevent conduct that perpetuates those disadvantages. The focus of s. 15 is on laws that draw </w:t>
      </w:r>
      <w:r w:rsidRPr="00266677">
        <w:rPr>
          <w:i/>
          <w:sz w:val="20"/>
        </w:rPr>
        <w:t>discriminatory</w:t>
      </w:r>
      <w:r w:rsidRPr="00266677">
        <w:rPr>
          <w:sz w:val="20"/>
        </w:rPr>
        <w:t xml:space="preserve"> distinctions — that is, distinctions that have the effect of perpetuating arbitrary disadvantage based on an individual’s membership in an enumerated or analogous group. The s. 15(1) analysis is accordingly concerned with substantive equality.</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b/>
          <w:sz w:val="20"/>
        </w:rPr>
      </w:pPr>
      <w:r w:rsidRPr="00266677">
        <w:rPr>
          <w:sz w:val="20"/>
        </w:rPr>
        <w:tab/>
        <w:t>The first part of the s. 15 analysis asks whether a law creates a distinction</w:t>
      </w:r>
      <w:r w:rsidRPr="00266677">
        <w:rPr>
          <w:i/>
          <w:sz w:val="20"/>
        </w:rPr>
        <w:t xml:space="preserve"> </w:t>
      </w:r>
      <w:r w:rsidRPr="00266677">
        <w:rPr>
          <w:sz w:val="20"/>
        </w:rPr>
        <w:t>on the basis of an enumerated or analogous ground. The second part of the analysis focuses on arbitrary — or discriminatory — disadvantage, that is, whether the impugned law fails to respond to the actual capacities and needs of the members of the group and instead imposes burdens or denies a benefit in a manner that has the effect of reinforcing, perpetuating or exacerbating their disadvantage.</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sz w:val="20"/>
        </w:rPr>
      </w:pPr>
      <w:r w:rsidRPr="00266677">
        <w:rPr>
          <w:sz w:val="20"/>
        </w:rPr>
        <w:tab/>
        <w:t xml:space="preserve">To establish a </w:t>
      </w:r>
      <w:r w:rsidRPr="00266677">
        <w:rPr>
          <w:i/>
          <w:sz w:val="20"/>
        </w:rPr>
        <w:t>prima facie</w:t>
      </w:r>
      <w:r w:rsidRPr="00266677">
        <w:rPr>
          <w:sz w:val="20"/>
        </w:rPr>
        <w:t xml:space="preserve"> violation of s. 15(1), the claimant must therefore demonstrate that the law at issue has a disproportionate effect on the claimant based on his or her membership in an enumerated or analogous group. At the second stage of the analysis, the specific evidence required will vary depending on the context of the claim.</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sz w:val="20"/>
        </w:rPr>
      </w:pPr>
      <w:r w:rsidRPr="00266677">
        <w:rPr>
          <w:sz w:val="20"/>
        </w:rPr>
        <w:tab/>
        <w:t xml:space="preserve">While facially neutral qualifications like education requirements may well be a proxy for, or mask, a discriminatory impact, this case falls on the absence of any evidence linking the requirement to a disparate impact on members of an enumerated or analogous group. There is virtually no evidence about the relationship between age, </w:t>
      </w:r>
      <w:r w:rsidRPr="00266677">
        <w:rPr>
          <w:sz w:val="20"/>
        </w:rPr>
        <w:lastRenderedPageBreak/>
        <w:t>residency on a reserve, and education levels in the Kahkewistahaw First Nation. Nor is there any evidence about the effect of the education provisions on older community members, on community members who live on a reserve, or on individuals who belong to both of these groups. Most significantly, the record is silent about the education levels of members of the Kahkewistahaw First Nation who live on a reserve.</w:t>
      </w:r>
    </w:p>
    <w:p w:rsidR="00CD4176" w:rsidRDefault="00CD4176" w:rsidP="00CD4176">
      <w:pPr>
        <w:pStyle w:val="SCCNormalDoubleSpacing"/>
        <w:spacing w:line="240" w:lineRule="auto"/>
        <w:rPr>
          <w:sz w:val="20"/>
        </w:rPr>
      </w:pPr>
    </w:p>
    <w:p w:rsidR="00CD4176" w:rsidRDefault="00CD4176" w:rsidP="00CD4176">
      <w:pPr>
        <w:pStyle w:val="SCCNormalDoubleSpacing"/>
        <w:spacing w:line="240" w:lineRule="auto"/>
        <w:rPr>
          <w:sz w:val="20"/>
        </w:rPr>
      </w:pPr>
      <w:r w:rsidRPr="00266677">
        <w:rPr>
          <w:sz w:val="20"/>
        </w:rPr>
        <w:tab/>
        <w:t xml:space="preserve">Statistical evidence is not always required to establish that a facially neutral law infringes s. 15. In some cases, the disparate impact on an enumerated or analogous group will be apparent and immediate. The evidence in this case, however, does not point to any such link between the education requirement and a disparate impact on the basis of an enumerated or analogous ground. While the evidentiary burden need not be onerous, the evidence must amount to more than a web of instinct. Accordingly, the education provisions in the </w:t>
      </w:r>
      <w:r w:rsidRPr="00266677">
        <w:rPr>
          <w:i/>
          <w:sz w:val="20"/>
        </w:rPr>
        <w:t xml:space="preserve">Kahkewistahaw Election Act </w:t>
      </w:r>
      <w:r w:rsidRPr="00266677">
        <w:rPr>
          <w:sz w:val="20"/>
        </w:rPr>
        <w:t>do not</w:t>
      </w:r>
      <w:r w:rsidRPr="00266677">
        <w:rPr>
          <w:i/>
          <w:sz w:val="20"/>
        </w:rPr>
        <w:t xml:space="preserve"> </w:t>
      </w:r>
      <w:r w:rsidRPr="00266677">
        <w:rPr>
          <w:sz w:val="20"/>
        </w:rPr>
        <w:t xml:space="preserve">represent a </w:t>
      </w:r>
      <w:r w:rsidRPr="00266677">
        <w:rPr>
          <w:i/>
          <w:sz w:val="20"/>
        </w:rPr>
        <w:t>prima facie</w:t>
      </w:r>
      <w:r w:rsidRPr="00266677">
        <w:rPr>
          <w:sz w:val="20"/>
        </w:rPr>
        <w:t xml:space="preserve"> violation of s. 15.</w:t>
      </w:r>
    </w:p>
    <w:p w:rsidR="00CD4176" w:rsidRDefault="00CD4176" w:rsidP="00CD4176">
      <w:pPr>
        <w:pStyle w:val="SCCNormalDoubleSpacing"/>
        <w:spacing w:line="240" w:lineRule="auto"/>
        <w:rPr>
          <w:sz w:val="20"/>
        </w:rPr>
      </w:pPr>
    </w:p>
    <w:p w:rsidR="00CD4176" w:rsidRPr="00266677" w:rsidRDefault="00CD4176" w:rsidP="00CD4176">
      <w:pPr>
        <w:pStyle w:val="SCCNormalDoubleSpacing"/>
        <w:spacing w:line="240" w:lineRule="auto"/>
        <w:rPr>
          <w:sz w:val="20"/>
        </w:rPr>
      </w:pPr>
      <w:r w:rsidRPr="00266677">
        <w:rPr>
          <w:sz w:val="20"/>
        </w:rPr>
        <w:tab/>
        <w:t>APPEAL from a judgment of the Federal Court of Appeal (Blais C.J. and Mainville and Near JJ.A.), 2013 FCA 192, 447 N.R. 352, 365 D.L.R. (4th) 485, [2014] 1 C.N.L.R. 375, [2013] F.C.J. No. 938 (QL), 2013 CarswellNat 3091 (WL Can.), setting aside a decision of de Montigny J., 2012 FC 1036, 417 F.T.R. 160, 268 C.R.R. (2d) 77, [2013] 1 C.N.L.R. 349, [2012] F.C.J. No. 1125 (QL), 2012 CarswellNat 3389 (WL Can.). Appeal allowed.</w:t>
      </w:r>
    </w:p>
    <w:p w:rsidR="00CD4176" w:rsidRDefault="00CD4176" w:rsidP="00CD4176">
      <w:pPr>
        <w:pStyle w:val="SCCNormalDoubleSpacing"/>
        <w:spacing w:line="240" w:lineRule="auto"/>
        <w:rPr>
          <w:rStyle w:val="SCCCounselNameChar"/>
          <w:sz w:val="20"/>
        </w:rPr>
      </w:pPr>
    </w:p>
    <w:p w:rsidR="00CD4176" w:rsidRPr="00266677" w:rsidRDefault="00CD4176" w:rsidP="00CD4176">
      <w:pPr>
        <w:pStyle w:val="SCCNormalDoubleSpacing"/>
        <w:spacing w:line="240" w:lineRule="auto"/>
        <w:rPr>
          <w:sz w:val="20"/>
        </w:rPr>
      </w:pPr>
      <w:r w:rsidRPr="00266677">
        <w:rPr>
          <w:rStyle w:val="SCCCounselNameChar"/>
          <w:sz w:val="20"/>
        </w:rPr>
        <w:tab/>
        <w:t>Eugene Meehan, Q.C.</w:t>
      </w:r>
      <w:r w:rsidRPr="00266677">
        <w:rPr>
          <w:rStyle w:val="SCCCounselPartyRoleChar"/>
          <w:sz w:val="20"/>
        </w:rPr>
        <w:t xml:space="preserve">, </w:t>
      </w:r>
      <w:r w:rsidRPr="00266677">
        <w:rPr>
          <w:rStyle w:val="SCCCounselPartyRoleChar"/>
          <w:i/>
          <w:sz w:val="20"/>
        </w:rPr>
        <w:t>Marie</w:t>
      </w:r>
      <w:r w:rsidRPr="00266677">
        <w:rPr>
          <w:rStyle w:val="SCCCounselPartyRoleChar"/>
          <w:i/>
          <w:sz w:val="20"/>
        </w:rPr>
        <w:noBreakHyphen/>
        <w:t>France Major</w:t>
      </w:r>
      <w:r w:rsidRPr="00266677">
        <w:rPr>
          <w:rStyle w:val="SCCCounselPartyRoleChar"/>
          <w:sz w:val="20"/>
        </w:rPr>
        <w:t xml:space="preserve">, </w:t>
      </w:r>
      <w:r w:rsidRPr="00266677">
        <w:rPr>
          <w:rStyle w:val="SCCCounselNameChar"/>
          <w:sz w:val="20"/>
        </w:rPr>
        <w:t>James D. Jodouin and</w:t>
      </w:r>
      <w:r w:rsidRPr="00CD4176">
        <w:rPr>
          <w:rStyle w:val="SCCCounselSeparatorChar"/>
          <w:sz w:val="20"/>
          <w:lang w:val="en-CA"/>
        </w:rPr>
        <w:t xml:space="preserve"> </w:t>
      </w:r>
      <w:r w:rsidRPr="00266677">
        <w:rPr>
          <w:rStyle w:val="SCCCounselNameChar"/>
          <w:sz w:val="20"/>
        </w:rPr>
        <w:t>Marcus R. Davies</w:t>
      </w:r>
      <w:r w:rsidRPr="00CD4176">
        <w:rPr>
          <w:rStyle w:val="SCCCounselSeparatorChar"/>
          <w:sz w:val="20"/>
          <w:lang w:val="en-CA"/>
        </w:rPr>
        <w:t xml:space="preserve">, </w:t>
      </w:r>
      <w:r w:rsidRPr="00266677">
        <w:rPr>
          <w:rStyle w:val="SCCCounselPartyRoleChar"/>
          <w:sz w:val="20"/>
        </w:rPr>
        <w:t>for the appellants.</w:t>
      </w:r>
    </w:p>
    <w:p w:rsidR="00CD4176" w:rsidRDefault="00CD4176" w:rsidP="00CD4176">
      <w:pPr>
        <w:pStyle w:val="SCCNormalDoubleSpacing"/>
        <w:spacing w:line="240" w:lineRule="auto"/>
        <w:rPr>
          <w:rStyle w:val="SCCCounselNameChar"/>
          <w:sz w:val="20"/>
        </w:rPr>
      </w:pPr>
    </w:p>
    <w:p w:rsidR="00CD4176" w:rsidRPr="00266677" w:rsidRDefault="00CD4176" w:rsidP="00CD4176">
      <w:pPr>
        <w:pStyle w:val="SCCNormalDoubleSpacing"/>
        <w:spacing w:line="240" w:lineRule="auto"/>
        <w:rPr>
          <w:sz w:val="20"/>
        </w:rPr>
      </w:pPr>
      <w:r w:rsidRPr="00266677">
        <w:rPr>
          <w:rStyle w:val="SCCCounselNameChar"/>
          <w:sz w:val="20"/>
        </w:rPr>
        <w:tab/>
        <w:t>Mervin C. Phillips</w:t>
      </w:r>
      <w:r w:rsidRPr="00CD4176">
        <w:rPr>
          <w:rStyle w:val="SCCCounselSeparatorChar"/>
          <w:sz w:val="20"/>
          <w:lang w:val="en-CA"/>
        </w:rPr>
        <w:t xml:space="preserve"> and </w:t>
      </w:r>
      <w:r w:rsidRPr="00266677">
        <w:rPr>
          <w:rStyle w:val="SCCCounselNameChar"/>
          <w:sz w:val="20"/>
        </w:rPr>
        <w:t>Leane Phillips</w:t>
      </w:r>
      <w:r w:rsidRPr="00266677">
        <w:rPr>
          <w:rStyle w:val="SCCCounselPartyRoleChar"/>
          <w:sz w:val="20"/>
        </w:rPr>
        <w:t>, for the respondent.</w:t>
      </w:r>
    </w:p>
    <w:p w:rsidR="00CD4176" w:rsidRDefault="00CD4176" w:rsidP="00CD4176">
      <w:pPr>
        <w:pStyle w:val="SCCLawFirm"/>
        <w:spacing w:line="240" w:lineRule="auto"/>
        <w:rPr>
          <w:sz w:val="20"/>
        </w:rPr>
      </w:pPr>
    </w:p>
    <w:p w:rsidR="00CD4176" w:rsidRPr="00266677" w:rsidRDefault="00CD4176" w:rsidP="00CD4176">
      <w:pPr>
        <w:pStyle w:val="SCCLawFirm"/>
        <w:spacing w:line="240" w:lineRule="auto"/>
        <w:rPr>
          <w:sz w:val="20"/>
        </w:rPr>
      </w:pPr>
      <w:r w:rsidRPr="00266677">
        <w:rPr>
          <w:sz w:val="20"/>
        </w:rPr>
        <w:tab/>
        <w:t>Solicitors for the appellants: Supreme Advocacy, Ottawa; Bainbridge Jodouin Cheecham, Saskatoon.</w:t>
      </w:r>
    </w:p>
    <w:p w:rsidR="00CD4176" w:rsidRDefault="00CD4176" w:rsidP="00CD4176">
      <w:pPr>
        <w:pStyle w:val="SCCLawFirm"/>
        <w:spacing w:line="240" w:lineRule="auto"/>
        <w:rPr>
          <w:sz w:val="20"/>
        </w:rPr>
      </w:pPr>
    </w:p>
    <w:p w:rsidR="00CD4176" w:rsidRDefault="00CD4176" w:rsidP="00CD4176">
      <w:pPr>
        <w:pStyle w:val="SCCLawFirm"/>
        <w:spacing w:line="240" w:lineRule="auto"/>
        <w:rPr>
          <w:sz w:val="20"/>
        </w:rPr>
      </w:pPr>
      <w:r w:rsidRPr="00266677">
        <w:rPr>
          <w:sz w:val="20"/>
        </w:rPr>
        <w:tab/>
        <w:t>Solicitors for the respondent: Phillips &amp; Co., Regina.</w:t>
      </w:r>
    </w:p>
    <w:p w:rsidR="0052229C" w:rsidRPr="00CD4176" w:rsidRDefault="0052229C" w:rsidP="0052229C">
      <w:pPr>
        <w:rPr>
          <w:rFonts w:cs="Times New Roman"/>
          <w:sz w:val="20"/>
          <w:szCs w:val="20"/>
          <w:lang w:val="fr-CA"/>
        </w:rPr>
      </w:pPr>
      <w:r w:rsidRPr="00CD4176">
        <w:rPr>
          <w:rFonts w:cs="Times New Roman"/>
          <w:sz w:val="20"/>
          <w:szCs w:val="20"/>
          <w:lang w:val="fr-CA"/>
        </w:rPr>
        <w:t>________________________</w:t>
      </w:r>
    </w:p>
    <w:p w:rsidR="0052229C" w:rsidRPr="00CD4176" w:rsidRDefault="0052229C" w:rsidP="0052229C">
      <w:pPr>
        <w:rPr>
          <w:rFonts w:cs="Times New Roman"/>
          <w:sz w:val="20"/>
          <w:szCs w:val="20"/>
          <w:lang w:val="fr-CA"/>
        </w:rPr>
      </w:pPr>
    </w:p>
    <w:p w:rsidR="00CD4176" w:rsidRPr="00AD1944" w:rsidRDefault="00CD4176" w:rsidP="00CD4176">
      <w:pPr>
        <w:jc w:val="both"/>
        <w:rPr>
          <w:sz w:val="20"/>
          <w:szCs w:val="20"/>
          <w:lang w:val="fr-CA"/>
        </w:rPr>
      </w:pPr>
      <w:r w:rsidRPr="00AD1944">
        <w:rPr>
          <w:sz w:val="20"/>
          <w:szCs w:val="20"/>
          <w:lang w:val="fr-CA"/>
        </w:rPr>
        <w:t>Présents : La juge en chef McLachlin et les juges Abella, Cromwell, Moldaver, Karakatsanis, Wagner et Gascon.</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i/>
          <w:sz w:val="20"/>
          <w:lang w:val="fr-CA"/>
        </w:rPr>
      </w:pPr>
      <w:r w:rsidRPr="00AD1944">
        <w:rPr>
          <w:sz w:val="20"/>
          <w:lang w:val="fr-CA"/>
        </w:rPr>
        <w:tab/>
      </w:r>
      <w:r w:rsidRPr="00AD1944">
        <w:rPr>
          <w:i/>
          <w:sz w:val="20"/>
          <w:lang w:val="fr-CA"/>
        </w:rPr>
        <w:t>Droit constitutionnel — Charte des droits — Droit à l’égalité — Élections — Conditions d’éligibilité — Exigence de la Kahkewistahaw Election Act selon laquelle les candidats au poste de chef et à un poste de conseiller de la bande aient un niveau de scolarité minimum de 12</w:t>
      </w:r>
      <w:r w:rsidRPr="00AD1944">
        <w:rPr>
          <w:i/>
          <w:sz w:val="20"/>
          <w:vertAlign w:val="superscript"/>
          <w:lang w:val="fr-CA"/>
        </w:rPr>
        <w:t>e </w:t>
      </w:r>
      <w:r w:rsidRPr="00AD1944">
        <w:rPr>
          <w:i/>
          <w:sz w:val="20"/>
          <w:lang w:val="fr-CA"/>
        </w:rPr>
        <w:t>année — L’exigence en matière d’éducation viole</w:t>
      </w:r>
      <w:r w:rsidRPr="00AD1944">
        <w:rPr>
          <w:i/>
          <w:sz w:val="20"/>
          <w:lang w:val="fr-CA"/>
        </w:rPr>
        <w:noBreakHyphen/>
        <w:t>t</w:t>
      </w:r>
      <w:r w:rsidRPr="00AD1944">
        <w:rPr>
          <w:i/>
          <w:sz w:val="20"/>
          <w:lang w:val="fr-CA"/>
        </w:rPr>
        <w:noBreakHyphen/>
        <w:t>elle l’art. 15(1) de la Charte canadienne des droits et libertés — Kahkewistahaw Election Act, art. 9.03c).</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sz w:val="20"/>
          <w:lang w:val="fr-CA"/>
        </w:rPr>
      </w:pPr>
      <w:r w:rsidRPr="00AD1944">
        <w:rPr>
          <w:sz w:val="20"/>
          <w:lang w:val="fr-CA"/>
        </w:rPr>
        <w:tab/>
        <w:t>Le Rapport de la Commission royale sur les peuples autochtones publié en 1996 qualifiait de priorité absolue le rôle que l’éducation est appelée à jouer pour promouvoir le bien</w:t>
      </w:r>
      <w:r w:rsidRPr="00AD1944">
        <w:rPr>
          <w:sz w:val="20"/>
          <w:lang w:val="fr-CA"/>
        </w:rPr>
        <w:noBreakHyphen/>
        <w:t>être tant individuel que collectif des communautés autochtones et pour les préparer à assumer l’éventail complet des responsabilités liées à l’autonomie gouvernementale. En réponse à ces objectifs — promouvoir la bonne gouvernance et encourager l’éducation —, la Première Nation de Kahkewistahaw de la Saskatchewan a consacré 13 années à élaborer un code électoral qui prévoit notamment comme conditions d’éligibilité que les candidats au poste de chef ou à un poste de conseiller de la bande doivent avoir un niveau de scolarité minimum de 12</w:t>
      </w:r>
      <w:r w:rsidRPr="00AD1944">
        <w:rPr>
          <w:sz w:val="20"/>
          <w:vertAlign w:val="superscript"/>
          <w:lang w:val="fr-CA"/>
        </w:rPr>
        <w:t>e </w:t>
      </w:r>
      <w:r w:rsidRPr="00AD1944">
        <w:rPr>
          <w:sz w:val="20"/>
          <w:lang w:val="fr-CA"/>
        </w:rPr>
        <w:t>année. Louis Taypotat, qui avait été chef pendant près de trois décennies, était âgé de 76 ans et possédait une 10</w:t>
      </w:r>
      <w:r w:rsidRPr="00AD1944">
        <w:rPr>
          <w:sz w:val="20"/>
          <w:vertAlign w:val="superscript"/>
          <w:lang w:val="fr-CA"/>
        </w:rPr>
        <w:t>e</w:t>
      </w:r>
      <w:r w:rsidRPr="00AD1944">
        <w:rPr>
          <w:sz w:val="20"/>
          <w:lang w:val="fr-CA"/>
        </w:rPr>
        <w:t> année. Malgré le fait qu’il avait été chef pendant une grande partie des consultations ayant mené à l’élaboration du nouveau code électoral, M. Taypotat a contesté le processus de consultation, son inéligibilité, ainsi que la constitutionnalité de l’exigence relative au niveau de scolarité minimum de 12</w:t>
      </w:r>
      <w:r w:rsidRPr="00AD1944">
        <w:rPr>
          <w:sz w:val="20"/>
          <w:vertAlign w:val="superscript"/>
          <w:lang w:val="fr-CA"/>
        </w:rPr>
        <w:t>e</w:t>
      </w:r>
      <w:r w:rsidRPr="00AD1944">
        <w:rPr>
          <w:sz w:val="20"/>
          <w:lang w:val="fr-CA"/>
        </w:rPr>
        <w:t xml:space="preserve"> année. Seule la question constitutionnelle reste à trancher par la Cour. Selon les prétentions de M. Taypotat, le fait d’exiger un niveau de scolarité de 12</w:t>
      </w:r>
      <w:r w:rsidRPr="00AD1944">
        <w:rPr>
          <w:sz w:val="20"/>
          <w:vertAlign w:val="superscript"/>
          <w:lang w:val="fr-CA"/>
        </w:rPr>
        <w:t>e</w:t>
      </w:r>
      <w:r w:rsidRPr="00AD1944">
        <w:rPr>
          <w:sz w:val="20"/>
          <w:lang w:val="fr-CA"/>
        </w:rPr>
        <w:t xml:space="preserve"> année violait le par. 15(1) de la </w:t>
      </w:r>
      <w:r w:rsidRPr="00AD1944">
        <w:rPr>
          <w:i/>
          <w:iCs/>
          <w:sz w:val="20"/>
          <w:lang w:val="fr-CA"/>
        </w:rPr>
        <w:t>Charte canadienne des droits et libertés</w:t>
      </w:r>
      <w:r w:rsidRPr="00AD1944">
        <w:rPr>
          <w:sz w:val="20"/>
          <w:lang w:val="fr-CA"/>
        </w:rPr>
        <w:t>, parce que « le niveau de scolarité est un motif analogue à la race et à l’âge » pour l’application du par. 15(1). En Cour fédérale, le juge de Montigny a rejeté la demande. La Cour d’appel fédérale a accueilli l’appel. Les motifs sur lesquels cette dernière a fondé sa décision, soit l’âge et le fait de résider dans une réserve, n’ont pas été plaidés.</w:t>
      </w:r>
    </w:p>
    <w:p w:rsidR="00CD4176" w:rsidRDefault="00CD4176" w:rsidP="00CD4176">
      <w:pPr>
        <w:pStyle w:val="SCCNormalDoubleSpacing"/>
        <w:spacing w:line="240" w:lineRule="auto"/>
        <w:rPr>
          <w:i/>
          <w:sz w:val="20"/>
          <w:lang w:val="fr-CA"/>
        </w:rPr>
      </w:pPr>
    </w:p>
    <w:p w:rsidR="00CD4176" w:rsidRPr="00AD1944" w:rsidRDefault="00CD4176" w:rsidP="00CD4176">
      <w:pPr>
        <w:pStyle w:val="SCCNormalDoubleSpacing"/>
        <w:spacing w:line="240" w:lineRule="auto"/>
        <w:rPr>
          <w:sz w:val="20"/>
          <w:lang w:val="fr-CA"/>
        </w:rPr>
      </w:pPr>
      <w:r w:rsidRPr="00AD1944">
        <w:rPr>
          <w:i/>
          <w:sz w:val="20"/>
          <w:lang w:val="fr-CA"/>
        </w:rPr>
        <w:tab/>
        <w:t>Arrêt</w:t>
      </w:r>
      <w:r w:rsidRPr="00AD1944">
        <w:rPr>
          <w:sz w:val="20"/>
          <w:lang w:val="fr-CA"/>
        </w:rPr>
        <w:t xml:space="preserve"> : L’appel est accueilli et la décision du juge de Montigny est rétablie. </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sz w:val="20"/>
          <w:lang w:val="fr-CA"/>
        </w:rPr>
      </w:pPr>
      <w:r w:rsidRPr="00AD1944">
        <w:rPr>
          <w:sz w:val="20"/>
          <w:lang w:val="fr-CA"/>
        </w:rPr>
        <w:tab/>
        <w:t xml:space="preserve">L’approche relative à l’art. 15 a été énoncée le plus récemment dans </w:t>
      </w:r>
      <w:r w:rsidRPr="00AD1944">
        <w:rPr>
          <w:i/>
          <w:sz w:val="20"/>
          <w:lang w:val="fr-CA"/>
        </w:rPr>
        <w:t>Québec (Procureur général) c. A</w:t>
      </w:r>
      <w:r w:rsidRPr="00AD1944">
        <w:rPr>
          <w:sz w:val="20"/>
          <w:lang w:val="fr-CA"/>
        </w:rPr>
        <w:t>, [2013] 1 R.C.S. 61, par. 319</w:t>
      </w:r>
      <w:r w:rsidRPr="00AD1944">
        <w:rPr>
          <w:sz w:val="20"/>
          <w:lang w:val="fr-CA"/>
        </w:rPr>
        <w:noBreakHyphen/>
        <w:t>347. Elle</w:t>
      </w:r>
      <w:r w:rsidRPr="00AD1944">
        <w:rPr>
          <w:i/>
          <w:iCs/>
          <w:sz w:val="20"/>
          <w:lang w:val="fr-CA"/>
        </w:rPr>
        <w:t xml:space="preserve"> </w:t>
      </w:r>
      <w:r w:rsidRPr="00AD1944">
        <w:rPr>
          <w:sz w:val="20"/>
          <w:lang w:val="fr-CA"/>
        </w:rPr>
        <w:t xml:space="preserve">exige une analyse souple et contextuelle visant à déterminer si la distinction a pour effet de perpétuer un désavantage arbitraire à l’égard du demandeur, </w:t>
      </w:r>
      <w:r w:rsidRPr="00AD1944">
        <w:rPr>
          <w:iCs/>
          <w:sz w:val="20"/>
          <w:lang w:val="fr-CA"/>
        </w:rPr>
        <w:t>du fait de son appartenance à un groupe énuméré ou analogue</w:t>
      </w:r>
      <w:r w:rsidRPr="00AD1944">
        <w:rPr>
          <w:sz w:val="20"/>
          <w:lang w:val="fr-CA"/>
        </w:rPr>
        <w:t xml:space="preserve">. Cette démarche reconnaît que des désavantages systémiques persistants ont eu pour effet de </w:t>
      </w:r>
      <w:r w:rsidRPr="00AD1944">
        <w:rPr>
          <w:sz w:val="20"/>
          <w:lang w:val="fr-CA"/>
        </w:rPr>
        <w:lastRenderedPageBreak/>
        <w:t xml:space="preserve">restreindre les possibilités offertes aux membres de certains groupes de la société et elle vise à empêcher tout acte qui contribue à perpétuer ces désavantages. L’article 15 vise les lois qui établissent des distinctions </w:t>
      </w:r>
      <w:r w:rsidRPr="00AD1944">
        <w:rPr>
          <w:i/>
          <w:iCs/>
          <w:sz w:val="20"/>
          <w:lang w:val="fr-CA"/>
        </w:rPr>
        <w:t>discriminatoires</w:t>
      </w:r>
      <w:r w:rsidRPr="00AD1944">
        <w:rPr>
          <w:sz w:val="20"/>
          <w:lang w:val="fr-CA"/>
        </w:rPr>
        <w:t>, c’est</w:t>
      </w:r>
      <w:r w:rsidRPr="00AD1944">
        <w:rPr>
          <w:sz w:val="20"/>
          <w:lang w:val="fr-CA"/>
        </w:rPr>
        <w:noBreakHyphen/>
        <w:t>à</w:t>
      </w:r>
      <w:r w:rsidRPr="00AD1944">
        <w:rPr>
          <w:sz w:val="20"/>
          <w:lang w:val="fr-CA"/>
        </w:rPr>
        <w:noBreakHyphen/>
        <w:t>dire des distinctions qui ont pour effet de perpétuer un désavantage arbitraire à l’égard d’une personne du fait de son appartenance à un groupe énuméré ou analogue. L’analyse fondée sur le par. 15(1) porte donc sur l’égalité réelle.</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sz w:val="20"/>
          <w:lang w:val="fr-CA"/>
        </w:rPr>
      </w:pPr>
      <w:r w:rsidRPr="00AD1944">
        <w:rPr>
          <w:sz w:val="20"/>
          <w:lang w:val="fr-CA"/>
        </w:rPr>
        <w:tab/>
        <w:t>Le premier volet de l’analyse fondée sur l’art. 15 consiste donc à se demander si une loi crée une distinction fondée sur un motif énuméré ou analogue. Le second volet de l’analyse est axé sur les désavantages arbitraires — ou discriminatoires —, c’est</w:t>
      </w:r>
      <w:r w:rsidRPr="00AD1944">
        <w:rPr>
          <w:sz w:val="20"/>
          <w:lang w:val="fr-CA"/>
        </w:rPr>
        <w:noBreakHyphen/>
        <w:t>à</w:t>
      </w:r>
      <w:r w:rsidRPr="00AD1944">
        <w:rPr>
          <w:sz w:val="20"/>
          <w:lang w:val="fr-CA"/>
        </w:rPr>
        <w:noBreakHyphen/>
        <w:t>dire sur la question de savoir si la loi contestée ne répond pas aux capacités et aux besoins concrets des membres du groupe et leur impose plutôt un fardeau ou leur nie un avantage d’une manière qui a pour effet de renforcer, de perpétuer ou d’accentuer le désavantage dont ils sont victimes.</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b/>
          <w:sz w:val="20"/>
          <w:lang w:val="fr-CA"/>
        </w:rPr>
      </w:pPr>
      <w:r w:rsidRPr="00AD1944">
        <w:rPr>
          <w:sz w:val="20"/>
          <w:lang w:val="fr-CA"/>
        </w:rPr>
        <w:tab/>
        <w:t>Pour établir qu’il y a eu à première vue violation du par. 15(1), le demandeur doit par conséquent démontrer que la loi en cause a un effet disproportionné à son égard du fait de son appartenance à un groupe énuméré ou analogue. À la seconde étape de l’analyse, la preuve précise requise variera selon le contexte de la demande.</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sz w:val="20"/>
          <w:lang w:val="fr-CA"/>
        </w:rPr>
      </w:pPr>
      <w:r w:rsidRPr="00AD1944">
        <w:rPr>
          <w:sz w:val="20"/>
          <w:lang w:val="fr-CA"/>
        </w:rPr>
        <w:tab/>
        <w:t>Bien que des exigences à première vue neutres, comme celles relatives au niveau de scolarité, puissent fort bien occulter ou masquer un effet discriminatoire, le sort de la présente affaire dépend du fait qu’il n’existe pas le moindre élément de preuve établissant un lien entre cette exigence et les effets distincts qu’elle aurait sur les membres d’un groupe énuméré ou analogue. Nous ne disposons pratiquement d’aucun élément de preuve quant aux rapports entre l’âge, le fait de résider dans une réserve et le niveau de scolarité des habitants de la Première Nation de Kahkewistahaw. Nous ne disposons non plus d’aucun élément de preuve au sujet de l’effet des dispositions relatives au niveau de scolarité sur les membres plus âgés de la collectivité, sur ceux qui vivent dans une réserve ou encore sur ceux qui appartiennent à ces deux groupes. Mais surtout, le dossier est muet quant au niveau de scolarité des membres de la Première Nation de Kahkewistahaw qui vivent dans une réserve.</w:t>
      </w:r>
    </w:p>
    <w:p w:rsidR="00CD4176" w:rsidRDefault="00CD4176" w:rsidP="00CD4176">
      <w:pPr>
        <w:pStyle w:val="SCCNormalDoubleSpacing"/>
        <w:spacing w:line="240" w:lineRule="auto"/>
        <w:rPr>
          <w:sz w:val="20"/>
          <w:lang w:val="fr-CA"/>
        </w:rPr>
      </w:pPr>
    </w:p>
    <w:p w:rsidR="00CD4176" w:rsidRDefault="00CD4176" w:rsidP="00CD4176">
      <w:pPr>
        <w:pStyle w:val="SCCNormalDoubleSpacing"/>
        <w:spacing w:line="240" w:lineRule="auto"/>
        <w:rPr>
          <w:sz w:val="20"/>
          <w:lang w:val="fr-CA"/>
        </w:rPr>
      </w:pPr>
      <w:r w:rsidRPr="00AD1944">
        <w:rPr>
          <w:sz w:val="20"/>
          <w:lang w:val="fr-CA"/>
        </w:rPr>
        <w:tab/>
        <w:t xml:space="preserve">Il n’est pas toujours nécessaire de présenter une preuve statistique pour établir qu’une loi, neutre à première vue, contrevient à l’art. 15. Dans certains cas, l’impact distinct d’une loi sur un groupe énuméré ou analogue sera visible et immédiat. Or, en l’espèce, la preuve ne met en lumière aucun lien de ce type entre l’exigence en matière d’éducation et un impact distinct sur la base d’un motif énuméré ou analogue. Bien qu’il ne soit pas nécessaire de s’acquitter d’un lourd fardeau de présentation, la preuve doit comprendre davantage qu’une accumulation d’intuitions. En conséquence, les dispositions de la </w:t>
      </w:r>
      <w:r w:rsidRPr="00AD1944">
        <w:rPr>
          <w:i/>
          <w:sz w:val="20"/>
          <w:lang w:val="fr-CA"/>
        </w:rPr>
        <w:t>Kahkewistahaw Election Act</w:t>
      </w:r>
      <w:r w:rsidRPr="00AD1944">
        <w:rPr>
          <w:sz w:val="20"/>
          <w:lang w:val="fr-CA"/>
        </w:rPr>
        <w:t xml:space="preserve"> relatives au niveau de scolarité ne constituent pas à première vue une violation des droits garantis par l’art. 15.</w:t>
      </w:r>
    </w:p>
    <w:p w:rsidR="00CD4176" w:rsidRDefault="00CD4176" w:rsidP="00CD4176">
      <w:pPr>
        <w:pStyle w:val="SCCNormalDoubleSpacing"/>
        <w:spacing w:line="240" w:lineRule="auto"/>
        <w:rPr>
          <w:sz w:val="20"/>
          <w:lang w:val="fr-CA"/>
        </w:rPr>
      </w:pPr>
    </w:p>
    <w:p w:rsidR="00CD4176" w:rsidRPr="00AD1944" w:rsidRDefault="00CD4176" w:rsidP="00CD4176">
      <w:pPr>
        <w:pStyle w:val="SCCNormalDoubleSpacing"/>
        <w:spacing w:line="240" w:lineRule="auto"/>
        <w:rPr>
          <w:sz w:val="20"/>
          <w:lang w:val="fr-CA"/>
        </w:rPr>
      </w:pPr>
      <w:r w:rsidRPr="00CD4176">
        <w:rPr>
          <w:sz w:val="20"/>
          <w:lang w:val="fr-CA"/>
        </w:rPr>
        <w:tab/>
      </w:r>
      <w:r w:rsidRPr="00AD1944">
        <w:rPr>
          <w:sz w:val="20"/>
          <w:lang w:val="fr-CA"/>
        </w:rPr>
        <w:t>POURVOI contre un arrêt de la Cour d’appel fédérale (le juge en chef Blais et les juges Mainville et Near), 2013 CAF 192, 447 N.R. 352, 365 D.L.R. (4th) 485, [2014] 1 C.N.L.R. 375, [2013] F.C.J. No. 938 (QL), 2013 CarswellNat 3091 (WL Can.), qui a infirmé une décision du juge de Montigny, 2012 CF 1036, 417 F.T.R. 160, 268 C.R.R. (2d) 77, [2013] 1 C.N.L.R. 349, [2012] A.C.F. n</w:t>
      </w:r>
      <w:r w:rsidRPr="00AD1944">
        <w:rPr>
          <w:sz w:val="20"/>
          <w:vertAlign w:val="superscript"/>
          <w:lang w:val="fr-CA"/>
        </w:rPr>
        <w:t>o</w:t>
      </w:r>
      <w:r w:rsidRPr="00AD1944">
        <w:rPr>
          <w:sz w:val="20"/>
          <w:lang w:val="fr-CA"/>
        </w:rPr>
        <w:t> 1125 (QL), 2012 CarswellNat 4918 (WL Can.). Pourvoi accueilli.</w:t>
      </w:r>
    </w:p>
    <w:p w:rsidR="00CD4176" w:rsidRDefault="00CD4176" w:rsidP="00CD4176">
      <w:pPr>
        <w:pStyle w:val="SCCNormalDoubleSpacing"/>
        <w:spacing w:line="240" w:lineRule="auto"/>
        <w:rPr>
          <w:rStyle w:val="SCCCounselNameChar"/>
          <w:sz w:val="20"/>
          <w:lang w:val="fr-CA"/>
        </w:rPr>
      </w:pPr>
    </w:p>
    <w:p w:rsidR="00CD4176" w:rsidRPr="00AD1944" w:rsidRDefault="00CD4176" w:rsidP="00CD4176">
      <w:pPr>
        <w:pStyle w:val="SCCNormalDoubleSpacing"/>
        <w:spacing w:line="240" w:lineRule="auto"/>
        <w:rPr>
          <w:sz w:val="20"/>
          <w:lang w:val="fr-CA"/>
        </w:rPr>
      </w:pPr>
      <w:r w:rsidRPr="00AD1944">
        <w:rPr>
          <w:rStyle w:val="SCCCounselNameChar"/>
          <w:sz w:val="20"/>
          <w:lang w:val="fr-CA"/>
        </w:rPr>
        <w:tab/>
        <w:t>Eugene Meehan, c.r.</w:t>
      </w:r>
      <w:r w:rsidRPr="00AD1944">
        <w:rPr>
          <w:rStyle w:val="SCCCounselPartyRoleChar"/>
          <w:sz w:val="20"/>
          <w:lang w:val="fr-CA"/>
        </w:rPr>
        <w:t xml:space="preserve">, </w:t>
      </w:r>
      <w:r w:rsidRPr="00AD1944">
        <w:rPr>
          <w:rStyle w:val="SCCCounselPartyRoleChar"/>
          <w:i/>
          <w:sz w:val="20"/>
          <w:lang w:val="fr-CA"/>
        </w:rPr>
        <w:t>Marie</w:t>
      </w:r>
      <w:r w:rsidRPr="00AD1944">
        <w:rPr>
          <w:rStyle w:val="SCCCounselPartyRoleChar"/>
          <w:i/>
          <w:sz w:val="20"/>
          <w:lang w:val="fr-CA"/>
        </w:rPr>
        <w:noBreakHyphen/>
        <w:t>France Major</w:t>
      </w:r>
      <w:r w:rsidRPr="00AD1944">
        <w:rPr>
          <w:rStyle w:val="SCCCounselPartyRoleChar"/>
          <w:sz w:val="20"/>
          <w:lang w:val="fr-CA"/>
        </w:rPr>
        <w:t xml:space="preserve">, </w:t>
      </w:r>
      <w:r w:rsidRPr="00AD1944">
        <w:rPr>
          <w:rStyle w:val="SCCCounselNameChar"/>
          <w:sz w:val="20"/>
          <w:lang w:val="fr-CA"/>
        </w:rPr>
        <w:t>James D. Jodouin et</w:t>
      </w:r>
      <w:r w:rsidRPr="00AD1944">
        <w:rPr>
          <w:rStyle w:val="SCCCounselSeparatorChar"/>
          <w:sz w:val="20"/>
        </w:rPr>
        <w:t xml:space="preserve"> </w:t>
      </w:r>
      <w:r w:rsidRPr="00AD1944">
        <w:rPr>
          <w:rStyle w:val="SCCCounselNameChar"/>
          <w:sz w:val="20"/>
          <w:lang w:val="fr-CA"/>
        </w:rPr>
        <w:t>Marcus R. Davies</w:t>
      </w:r>
      <w:r w:rsidRPr="00AD1944">
        <w:rPr>
          <w:rStyle w:val="SCCCounselSeparatorChar"/>
          <w:sz w:val="20"/>
        </w:rPr>
        <w:t xml:space="preserve">, </w:t>
      </w:r>
      <w:r w:rsidRPr="00AD1944">
        <w:rPr>
          <w:rStyle w:val="SCCCounselPartyRoleChar"/>
          <w:sz w:val="20"/>
          <w:lang w:val="fr-CA"/>
        </w:rPr>
        <w:t>pour les appelants.</w:t>
      </w:r>
    </w:p>
    <w:p w:rsidR="00CD4176" w:rsidRDefault="00CD4176" w:rsidP="00CD4176">
      <w:pPr>
        <w:pStyle w:val="SCCNormalDoubleSpacing"/>
        <w:spacing w:line="240" w:lineRule="auto"/>
        <w:rPr>
          <w:rStyle w:val="SCCCounselNameChar"/>
          <w:sz w:val="20"/>
          <w:lang w:val="fr-CA"/>
        </w:rPr>
      </w:pPr>
    </w:p>
    <w:p w:rsidR="00CD4176" w:rsidRPr="00AD1944" w:rsidRDefault="00CD4176" w:rsidP="00CD4176">
      <w:pPr>
        <w:pStyle w:val="SCCNormalDoubleSpacing"/>
        <w:spacing w:line="240" w:lineRule="auto"/>
        <w:rPr>
          <w:sz w:val="20"/>
          <w:lang w:val="fr-CA"/>
        </w:rPr>
      </w:pPr>
      <w:r w:rsidRPr="00AD1944">
        <w:rPr>
          <w:rStyle w:val="SCCCounselNameChar"/>
          <w:sz w:val="20"/>
          <w:lang w:val="fr-CA"/>
        </w:rPr>
        <w:tab/>
        <w:t>Mervin C. Phillips</w:t>
      </w:r>
      <w:r w:rsidRPr="00AD1944">
        <w:rPr>
          <w:rStyle w:val="SCCCounselSeparatorChar"/>
          <w:sz w:val="20"/>
        </w:rPr>
        <w:t xml:space="preserve"> et </w:t>
      </w:r>
      <w:r w:rsidRPr="00AD1944">
        <w:rPr>
          <w:rStyle w:val="SCCCounselNameChar"/>
          <w:sz w:val="20"/>
          <w:lang w:val="fr-CA"/>
        </w:rPr>
        <w:t>Leane Phillips</w:t>
      </w:r>
      <w:r w:rsidRPr="00AD1944">
        <w:rPr>
          <w:rStyle w:val="SCCCounselPartyRoleChar"/>
          <w:sz w:val="20"/>
          <w:lang w:val="fr-CA"/>
        </w:rPr>
        <w:t>, pour l’intimé.</w:t>
      </w:r>
    </w:p>
    <w:p w:rsidR="00CD4176" w:rsidRDefault="00CD4176" w:rsidP="00CD4176">
      <w:pPr>
        <w:pStyle w:val="SCCLawFirm"/>
        <w:spacing w:line="240" w:lineRule="auto"/>
        <w:rPr>
          <w:sz w:val="20"/>
          <w:lang w:val="fr-CA"/>
        </w:rPr>
      </w:pPr>
    </w:p>
    <w:p w:rsidR="00CD4176" w:rsidRPr="00AD1944" w:rsidRDefault="00CD4176" w:rsidP="00CD4176">
      <w:pPr>
        <w:pStyle w:val="SCCLawFirm"/>
        <w:spacing w:line="240" w:lineRule="auto"/>
        <w:rPr>
          <w:sz w:val="20"/>
          <w:lang w:val="fr-CA"/>
        </w:rPr>
      </w:pPr>
      <w:r w:rsidRPr="00AD1944">
        <w:rPr>
          <w:sz w:val="20"/>
          <w:lang w:val="fr-CA"/>
        </w:rPr>
        <w:tab/>
        <w:t>Procureurs des appelants : Supreme Advocacy, Ottawa; Bainbridge Jodouin Cheecham, Saskatoon.</w:t>
      </w:r>
    </w:p>
    <w:p w:rsidR="00CD4176" w:rsidRDefault="00CD4176" w:rsidP="00CD4176">
      <w:pPr>
        <w:pStyle w:val="SCCLawFirm"/>
        <w:spacing w:line="240" w:lineRule="auto"/>
        <w:rPr>
          <w:sz w:val="20"/>
          <w:lang w:val="fr-CA"/>
        </w:rPr>
      </w:pPr>
    </w:p>
    <w:p w:rsidR="00CD4176" w:rsidRDefault="00CD4176" w:rsidP="00CD4176">
      <w:pPr>
        <w:pStyle w:val="SCCLawFirm"/>
        <w:spacing w:line="240" w:lineRule="auto"/>
        <w:rPr>
          <w:sz w:val="20"/>
          <w:lang w:val="fr-CA"/>
        </w:rPr>
      </w:pPr>
      <w:r w:rsidRPr="00AD1944">
        <w:rPr>
          <w:sz w:val="20"/>
          <w:lang w:val="fr-CA"/>
        </w:rPr>
        <w:tab/>
        <w:t>Procureurs de l’intimé : Phillips &amp; Co., Regina.</w:t>
      </w:r>
    </w:p>
    <w:p w:rsidR="003B3977" w:rsidRPr="0052229C" w:rsidRDefault="003B3977" w:rsidP="005C6840">
      <w:pPr>
        <w:rPr>
          <w:rFonts w:cs="Times New Roman"/>
          <w:sz w:val="20"/>
          <w:szCs w:val="20"/>
        </w:rPr>
      </w:pPr>
    </w:p>
    <w:p w:rsidR="00CD4176" w:rsidRDefault="001D3FE1" w:rsidP="005C6840">
      <w:pPr>
        <w:rPr>
          <w:rFonts w:cs="Times New Roman"/>
          <w:sz w:val="20"/>
          <w:szCs w:val="20"/>
          <w:lang w:val="fr-CA"/>
        </w:rPr>
      </w:pPr>
      <w:r>
        <w:rPr>
          <w:rFonts w:cs="Times New Roman"/>
          <w:sz w:val="20"/>
          <w:szCs w:val="20"/>
          <w:lang w:val="fr-CA"/>
        </w:rPr>
        <w:pict>
          <v:rect id="_x0000_i1077" style="width:144.3pt;height:1pt" o:hrpct="300" o:hralign="center" o:hrstd="t" o:hrnoshade="t" o:hr="t" fillcolor="black [3213]" stroked="f"/>
        </w:pict>
      </w:r>
    </w:p>
    <w:p w:rsidR="005C6840" w:rsidRDefault="005C6840" w:rsidP="005C6840">
      <w:pPr>
        <w:rPr>
          <w:lang w:val="fr-CA"/>
        </w:rPr>
      </w:pPr>
      <w:r>
        <w:rPr>
          <w:lang w:val="fr-CA"/>
        </w:rPr>
        <w:br w:type="page"/>
      </w:r>
    </w:p>
    <w:p w:rsidR="00B42CEF" w:rsidRPr="00737F48" w:rsidRDefault="00B42CEF" w:rsidP="00B42CEF">
      <w:pPr>
        <w:ind w:left="720" w:hanging="720"/>
        <w:jc w:val="both"/>
        <w:rPr>
          <w:sz w:val="20"/>
          <w:szCs w:val="20"/>
        </w:rPr>
      </w:pPr>
      <w:r w:rsidRPr="00737F48">
        <w:rPr>
          <w:i/>
          <w:sz w:val="20"/>
          <w:szCs w:val="20"/>
          <w:lang w:val="en-GB"/>
        </w:rPr>
        <w:lastRenderedPageBreak/>
        <w:t>Attorney General of Canada v. Anthony Barnaby</w:t>
      </w:r>
      <w:r w:rsidRPr="00737F48">
        <w:rPr>
          <w:sz w:val="20"/>
          <w:szCs w:val="20"/>
          <w:lang w:val="en-GB"/>
        </w:rPr>
        <w:t xml:space="preserve"> (Que.) (</w:t>
      </w:r>
      <w:hyperlink r:id="rId78" w:history="1">
        <w:r w:rsidRPr="00737F48">
          <w:rPr>
            <w:rStyle w:val="Hyperlink"/>
            <w:sz w:val="20"/>
            <w:szCs w:val="20"/>
            <w:lang w:val="en-GB"/>
          </w:rPr>
          <w:t>35548</w:t>
        </w:r>
      </w:hyperlink>
      <w:r w:rsidRPr="00737F48">
        <w:rPr>
          <w:sz w:val="20"/>
          <w:szCs w:val="20"/>
          <w:lang w:val="en-GB"/>
        </w:rPr>
        <w:t>)</w:t>
      </w:r>
    </w:p>
    <w:p w:rsidR="00C11D3B" w:rsidRPr="00C11D3B" w:rsidRDefault="00C11D3B" w:rsidP="00C11D3B">
      <w:pPr>
        <w:jc w:val="both"/>
        <w:rPr>
          <w:b/>
          <w:sz w:val="20"/>
          <w:szCs w:val="20"/>
        </w:rPr>
      </w:pPr>
      <w:r w:rsidRPr="00E734C3">
        <w:rPr>
          <w:b/>
          <w:sz w:val="20"/>
          <w:szCs w:val="20"/>
        </w:rPr>
        <w:t>Indexed as: Canada (</w:t>
      </w:r>
      <w:r w:rsidRPr="00C11D3B">
        <w:rPr>
          <w:rStyle w:val="SCCAppellantForIndexChar"/>
          <w:rFonts w:eastAsiaTheme="minorHAnsi"/>
          <w:sz w:val="20"/>
          <w:lang w:val="en-CA"/>
        </w:rPr>
        <w:t>Attorney General)</w:t>
      </w:r>
      <w:r w:rsidRPr="00E734C3">
        <w:rPr>
          <w:b/>
          <w:sz w:val="20"/>
          <w:szCs w:val="20"/>
        </w:rPr>
        <w:t xml:space="preserve"> </w:t>
      </w:r>
      <w:r w:rsidRPr="00E734C3">
        <w:rPr>
          <w:b/>
          <w:i/>
          <w:sz w:val="20"/>
          <w:szCs w:val="20"/>
        </w:rPr>
        <w:t>v.</w:t>
      </w:r>
      <w:r w:rsidRPr="00E734C3">
        <w:rPr>
          <w:b/>
          <w:sz w:val="20"/>
          <w:szCs w:val="20"/>
        </w:rPr>
        <w:t xml:space="preserve"> </w:t>
      </w:r>
      <w:r w:rsidRPr="00E734C3">
        <w:rPr>
          <w:rStyle w:val="SCCRespondentForIndexChar"/>
          <w:rFonts w:eastAsiaTheme="minorHAnsi"/>
          <w:sz w:val="20"/>
        </w:rPr>
        <w:t>Barnaby</w:t>
      </w:r>
      <w:r>
        <w:rPr>
          <w:rStyle w:val="SCCRespondentForIndexChar"/>
          <w:rFonts w:eastAsiaTheme="minorHAnsi"/>
          <w:sz w:val="20"/>
        </w:rPr>
        <w:t xml:space="preserve"> / </w:t>
      </w:r>
      <w:r w:rsidRPr="00C11D3B">
        <w:rPr>
          <w:b/>
          <w:sz w:val="20"/>
          <w:szCs w:val="20"/>
        </w:rPr>
        <w:t>Répertorié : Canada (</w:t>
      </w:r>
      <w:r w:rsidRPr="00C11D3B">
        <w:rPr>
          <w:rStyle w:val="SCCAppellantForIndexChar"/>
          <w:rFonts w:eastAsiaTheme="minorHAnsi"/>
          <w:sz w:val="20"/>
          <w:lang w:val="en-CA"/>
        </w:rPr>
        <w:t>Procureur général)</w:t>
      </w:r>
      <w:r w:rsidRPr="00C11D3B">
        <w:rPr>
          <w:b/>
          <w:sz w:val="20"/>
          <w:szCs w:val="20"/>
        </w:rPr>
        <w:t xml:space="preserve"> </w:t>
      </w:r>
      <w:r w:rsidRPr="00C11D3B">
        <w:rPr>
          <w:b/>
          <w:i/>
          <w:sz w:val="20"/>
          <w:szCs w:val="20"/>
        </w:rPr>
        <w:t>c.</w:t>
      </w:r>
      <w:r w:rsidRPr="00C11D3B">
        <w:rPr>
          <w:b/>
          <w:sz w:val="20"/>
          <w:szCs w:val="20"/>
        </w:rPr>
        <w:t xml:space="preserve"> </w:t>
      </w:r>
      <w:r w:rsidRPr="00C11D3B">
        <w:rPr>
          <w:rStyle w:val="SCCRespondentForIndexChar"/>
          <w:rFonts w:eastAsiaTheme="minorHAnsi"/>
          <w:sz w:val="20"/>
        </w:rPr>
        <w:t>Barnaby</w:t>
      </w:r>
    </w:p>
    <w:p w:rsidR="0052229C" w:rsidRPr="00352A49" w:rsidRDefault="0052229C" w:rsidP="0052229C">
      <w:pPr>
        <w:pStyle w:val="SCCSystemYear"/>
        <w:jc w:val="both"/>
        <w:rPr>
          <w:sz w:val="20"/>
        </w:rPr>
      </w:pPr>
      <w:r w:rsidRPr="00352A49">
        <w:rPr>
          <w:sz w:val="20"/>
        </w:rPr>
        <w:t>Neutral citation:  201</w:t>
      </w:r>
      <w:r w:rsidR="00020DC3">
        <w:rPr>
          <w:sz w:val="20"/>
        </w:rPr>
        <w:t>5</w:t>
      </w:r>
      <w:r w:rsidRPr="00352A49">
        <w:rPr>
          <w:sz w:val="20"/>
        </w:rPr>
        <w:t xml:space="preserve"> SCC </w:t>
      </w:r>
      <w:r>
        <w:rPr>
          <w:sz w:val="20"/>
        </w:rPr>
        <w:t>3</w:t>
      </w:r>
      <w:r w:rsidR="00B42CEF">
        <w:rPr>
          <w:sz w:val="20"/>
        </w:rPr>
        <w:t>1</w:t>
      </w:r>
      <w:r w:rsidRPr="00352A49">
        <w:rPr>
          <w:sz w:val="20"/>
        </w:rPr>
        <w:t xml:space="preserve"> / Référence neutre : 201</w:t>
      </w:r>
      <w:r w:rsidR="00020DC3">
        <w:rPr>
          <w:sz w:val="20"/>
        </w:rPr>
        <w:t>5</w:t>
      </w:r>
      <w:r w:rsidRPr="00352A49">
        <w:rPr>
          <w:sz w:val="20"/>
        </w:rPr>
        <w:t xml:space="preserve"> CSC </w:t>
      </w:r>
      <w:r>
        <w:rPr>
          <w:sz w:val="20"/>
        </w:rPr>
        <w:t>3</w:t>
      </w:r>
      <w:r w:rsidR="00B42CEF">
        <w:rPr>
          <w:sz w:val="20"/>
        </w:rPr>
        <w:t>1</w:t>
      </w:r>
    </w:p>
    <w:p w:rsidR="00B42CEF" w:rsidRPr="001C1B48" w:rsidRDefault="00B42CEF" w:rsidP="00B42CEF">
      <w:pPr>
        <w:rPr>
          <w:rFonts w:cs="Times New Roman"/>
          <w:sz w:val="20"/>
          <w:szCs w:val="20"/>
          <w:lang w:val="fr-CA"/>
        </w:rPr>
      </w:pPr>
      <w:r w:rsidRPr="001C1B48">
        <w:rPr>
          <w:rFonts w:cs="Times New Roman"/>
          <w:sz w:val="20"/>
          <w:szCs w:val="20"/>
          <w:lang w:val="fr-CA"/>
        </w:rPr>
        <w:t xml:space="preserve">Hearing:  </w:t>
      </w:r>
      <w:r w:rsidR="00DB5F86" w:rsidRPr="001C1B48">
        <w:rPr>
          <w:rFonts w:cs="Times New Roman"/>
          <w:sz w:val="20"/>
          <w:szCs w:val="20"/>
          <w:lang w:val="fr-CA"/>
        </w:rPr>
        <w:t xml:space="preserve">April </w:t>
      </w:r>
      <w:r w:rsidR="00FC0357" w:rsidRPr="001C1B48">
        <w:rPr>
          <w:rFonts w:cs="Times New Roman"/>
          <w:sz w:val="20"/>
          <w:szCs w:val="20"/>
          <w:lang w:val="fr-CA"/>
        </w:rPr>
        <w:t>23</w:t>
      </w:r>
      <w:r w:rsidRPr="001C1B48">
        <w:rPr>
          <w:rFonts w:cs="Times New Roman"/>
          <w:sz w:val="20"/>
          <w:szCs w:val="20"/>
          <w:lang w:val="fr-CA"/>
        </w:rPr>
        <w:t>, 201</w:t>
      </w:r>
      <w:r w:rsidR="00FC0357" w:rsidRPr="001C1B48">
        <w:rPr>
          <w:rFonts w:cs="Times New Roman"/>
          <w:sz w:val="20"/>
          <w:szCs w:val="20"/>
          <w:lang w:val="fr-CA"/>
        </w:rPr>
        <w:t>5</w:t>
      </w:r>
      <w:r w:rsidRPr="001C1B48">
        <w:rPr>
          <w:rFonts w:cs="Times New Roman"/>
          <w:sz w:val="20"/>
          <w:szCs w:val="20"/>
          <w:lang w:val="fr-CA"/>
        </w:rPr>
        <w:t xml:space="preserve"> / Judgment:  May 29, 2015</w:t>
      </w:r>
    </w:p>
    <w:p w:rsidR="00B42CEF" w:rsidRPr="003B3977" w:rsidRDefault="00B42CEF" w:rsidP="00B42CEF">
      <w:pPr>
        <w:rPr>
          <w:rFonts w:cs="Times New Roman"/>
          <w:sz w:val="20"/>
          <w:szCs w:val="20"/>
          <w:lang w:val="fr-CA"/>
        </w:rPr>
      </w:pPr>
      <w:r w:rsidRPr="003B3977">
        <w:rPr>
          <w:rFonts w:cs="Times New Roman"/>
          <w:sz w:val="20"/>
          <w:szCs w:val="20"/>
          <w:lang w:val="fr-CA"/>
        </w:rPr>
        <w:t xml:space="preserve">Audition : Le </w:t>
      </w:r>
      <w:r w:rsidR="00FC0357">
        <w:rPr>
          <w:rFonts w:cs="Times New Roman"/>
          <w:sz w:val="20"/>
          <w:szCs w:val="20"/>
          <w:lang w:val="fr-CA"/>
        </w:rPr>
        <w:t>23 av</w:t>
      </w:r>
      <w:r>
        <w:rPr>
          <w:rFonts w:cs="Times New Roman"/>
          <w:sz w:val="20"/>
          <w:szCs w:val="20"/>
          <w:lang w:val="fr-CA"/>
        </w:rPr>
        <w:t>r</w:t>
      </w:r>
      <w:r w:rsidR="00FC0357">
        <w:rPr>
          <w:rFonts w:cs="Times New Roman"/>
          <w:sz w:val="20"/>
          <w:szCs w:val="20"/>
          <w:lang w:val="fr-CA"/>
        </w:rPr>
        <w:t xml:space="preserve">il </w:t>
      </w:r>
      <w:r w:rsidRPr="003B3977">
        <w:rPr>
          <w:rFonts w:cs="Times New Roman"/>
          <w:sz w:val="20"/>
          <w:szCs w:val="20"/>
          <w:lang w:val="fr-CA"/>
        </w:rPr>
        <w:t>201</w:t>
      </w:r>
      <w:r w:rsidR="00FC0357">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29 mai</w:t>
      </w:r>
      <w:r w:rsidRPr="003B3977">
        <w:rPr>
          <w:rFonts w:cs="Times New Roman"/>
          <w:sz w:val="20"/>
          <w:szCs w:val="20"/>
          <w:lang w:val="fr-CA"/>
        </w:rPr>
        <w:t xml:space="preserve"> 201</w:t>
      </w:r>
      <w:r>
        <w:rPr>
          <w:rFonts w:cs="Times New Roman"/>
          <w:sz w:val="20"/>
          <w:szCs w:val="20"/>
          <w:lang w:val="fr-CA"/>
        </w:rPr>
        <w:t>5</w:t>
      </w:r>
    </w:p>
    <w:p w:rsidR="005C6840" w:rsidRPr="003B3977" w:rsidRDefault="001D3FE1" w:rsidP="005C6840">
      <w:pPr>
        <w:rPr>
          <w:sz w:val="20"/>
          <w:szCs w:val="20"/>
          <w:lang w:val="fr-CA"/>
        </w:rPr>
      </w:pPr>
      <w:r>
        <w:rPr>
          <w:i/>
          <w:sz w:val="20"/>
          <w:szCs w:val="20"/>
        </w:rPr>
        <w:pict>
          <v:rect id="_x0000_i1078" style="width:480.95pt;height:1pt" o:hralign="center" o:hrstd="t" o:hrnoshade="t" o:hr="t" fillcolor="black [3213]" stroked="f"/>
        </w:pict>
      </w:r>
    </w:p>
    <w:p w:rsidR="005C6840" w:rsidRDefault="005C6840" w:rsidP="005C6840">
      <w:pPr>
        <w:spacing w:line="0" w:lineRule="atLeast"/>
        <w:rPr>
          <w:sz w:val="20"/>
          <w:szCs w:val="20"/>
          <w:lang w:val="fr-CA"/>
        </w:rPr>
      </w:pPr>
    </w:p>
    <w:p w:rsidR="001762E7" w:rsidRPr="00A05099" w:rsidRDefault="001762E7" w:rsidP="001762E7">
      <w:pPr>
        <w:jc w:val="both"/>
        <w:rPr>
          <w:sz w:val="20"/>
          <w:szCs w:val="20"/>
          <w:lang w:val="fr-CA"/>
        </w:rPr>
      </w:pPr>
      <w:r w:rsidRPr="00A05099">
        <w:rPr>
          <w:sz w:val="20"/>
          <w:szCs w:val="20"/>
          <w:lang w:val="fr-CA"/>
        </w:rPr>
        <w:t>Présents : La juge en chef McLachlin et les juges Abella, Rothstein, Cromwell, Moldaver, Karakatsanis, Wagner, Gascon et Côté.</w:t>
      </w:r>
    </w:p>
    <w:p w:rsidR="001762E7" w:rsidRDefault="001762E7" w:rsidP="001762E7">
      <w:pPr>
        <w:pStyle w:val="SCCNormalDoubleSpacing"/>
        <w:spacing w:line="240" w:lineRule="auto"/>
        <w:rPr>
          <w:sz w:val="20"/>
          <w:lang w:val="fr-CA"/>
        </w:rPr>
      </w:pPr>
    </w:p>
    <w:p w:rsidR="001762E7" w:rsidRPr="00A05099" w:rsidRDefault="001762E7" w:rsidP="001762E7">
      <w:pPr>
        <w:pStyle w:val="SCCNormalDoubleSpacing"/>
        <w:spacing w:line="240" w:lineRule="auto"/>
        <w:rPr>
          <w:i/>
          <w:sz w:val="20"/>
          <w:lang w:val="fr-CA"/>
        </w:rPr>
      </w:pPr>
      <w:r w:rsidRPr="00A05099">
        <w:rPr>
          <w:sz w:val="20"/>
          <w:lang w:val="fr-CA"/>
        </w:rPr>
        <w:tab/>
      </w:r>
      <w:r w:rsidRPr="00A05099">
        <w:rPr>
          <w:i/>
          <w:sz w:val="20"/>
          <w:lang w:val="fr-CA"/>
        </w:rPr>
        <w:t>Extradition — Arrêté d’extradition — Contrôle judiciaire — Extradition de l’accusé vers les États</w:t>
      </w:r>
      <w:r w:rsidRPr="00A05099">
        <w:rPr>
          <w:i/>
          <w:sz w:val="20"/>
          <w:lang w:val="fr-CA"/>
        </w:rPr>
        <w:noBreakHyphen/>
        <w:t>Unis ordonnée par le ministre de la Justice par suite d’accusations de meurtres — La décision du ministre était</w:t>
      </w:r>
      <w:r w:rsidRPr="00A05099">
        <w:rPr>
          <w:i/>
          <w:sz w:val="20"/>
          <w:lang w:val="fr-CA"/>
        </w:rPr>
        <w:noBreakHyphen/>
        <w:t>elle raisonnable?</w:t>
      </w:r>
      <w:r w:rsidRPr="00A05099">
        <w:rPr>
          <w:sz w:val="20"/>
          <w:lang w:val="fr-CA"/>
        </w:rPr>
        <w:t xml:space="preserve"> </w:t>
      </w:r>
      <w:r w:rsidRPr="00A05099">
        <w:rPr>
          <w:i/>
          <w:sz w:val="20"/>
          <w:lang w:val="fr-CA"/>
        </w:rPr>
        <w:t>— Extrader l’accusé de manière à l’exposer à la possibilité d’un quatrième procès contrevient</w:t>
      </w:r>
      <w:r w:rsidRPr="00A05099">
        <w:rPr>
          <w:i/>
          <w:sz w:val="20"/>
          <w:lang w:val="fr-CA"/>
        </w:rPr>
        <w:noBreakHyphen/>
        <w:t>il aux principes de justice fondamentale?</w:t>
      </w:r>
    </w:p>
    <w:p w:rsidR="001762E7" w:rsidRDefault="001762E7" w:rsidP="001762E7">
      <w:pPr>
        <w:pStyle w:val="SCCNormalDoubleSpacing"/>
        <w:spacing w:line="240" w:lineRule="auto"/>
        <w:rPr>
          <w:sz w:val="20"/>
          <w:lang w:val="fr-CA"/>
        </w:rPr>
      </w:pPr>
    </w:p>
    <w:p w:rsidR="001762E7" w:rsidRPr="00A05099" w:rsidRDefault="001762E7" w:rsidP="001762E7">
      <w:pPr>
        <w:pStyle w:val="SCCNormalDoubleSpacing"/>
        <w:spacing w:line="240" w:lineRule="auto"/>
        <w:rPr>
          <w:sz w:val="20"/>
          <w:lang w:val="fr-CA"/>
        </w:rPr>
      </w:pPr>
      <w:r w:rsidRPr="00A05099">
        <w:rPr>
          <w:sz w:val="20"/>
          <w:lang w:val="fr-CA"/>
        </w:rPr>
        <w:tab/>
        <w:t>Le ministre de la Justice a ordonné l’extradition de B et d’un coaccusé, C, vers les États</w:t>
      </w:r>
      <w:r w:rsidRPr="00A05099">
        <w:rPr>
          <w:sz w:val="20"/>
          <w:lang w:val="fr-CA"/>
        </w:rPr>
        <w:noBreakHyphen/>
        <w:t xml:space="preserve">Unis, où ils étaient accusés de meurtres aux premier et deuxième degrés. B a fait l’objet de trois procès pour ces accusations, en 1989 et en 1990. Chaque fois, le jury s’est retrouvé dans l’impasse. En 2010, les autorités de l’État du New Hampshire ont rouvert l’enquête sur les crimes allégués et, en 2011, des éléments de preuve recueillis sur la scène de crime ont été soumis à une analyse génétique à l’aide de techniques qui n’existaient pas lors de l’enquête initiale. Le profil génétique alors établi a permis d’identifier C, mais pas de relier directement B aux crimes. Saisie d’une demande de contrôle judiciaire, la Cour d’appel du Québec a conclu qu’il n’y avait pas de preuve nouvelle contre B et qu’un quatrième procès serait contraire à la protection accordée par la </w:t>
      </w:r>
      <w:r w:rsidRPr="00A05099">
        <w:rPr>
          <w:i/>
          <w:sz w:val="20"/>
          <w:lang w:val="fr-CA"/>
        </w:rPr>
        <w:t>Charte canadienne des droits et libertés</w:t>
      </w:r>
      <w:r w:rsidRPr="00A05099">
        <w:rPr>
          <w:sz w:val="20"/>
          <w:lang w:val="fr-CA"/>
        </w:rPr>
        <w:t>. La décision du ministre de la Justice d’ordonner l’extradition de B n’était donc pas raisonnable dans les circonstances. La demande de contrôle judiciaire de B a été accueillie, et l’arrêté d’extradition a été annulé.</w:t>
      </w:r>
    </w:p>
    <w:p w:rsidR="001762E7" w:rsidRDefault="001762E7" w:rsidP="001762E7">
      <w:pPr>
        <w:pStyle w:val="SCCNormalDoubleSpacing"/>
        <w:spacing w:line="240" w:lineRule="auto"/>
        <w:rPr>
          <w:sz w:val="20"/>
          <w:lang w:val="fr-CA"/>
        </w:rPr>
      </w:pPr>
    </w:p>
    <w:p w:rsidR="001762E7" w:rsidRPr="00A05099" w:rsidRDefault="001762E7" w:rsidP="001762E7">
      <w:pPr>
        <w:pStyle w:val="SCCNormalDoubleSpacing"/>
        <w:spacing w:line="240" w:lineRule="auto"/>
        <w:rPr>
          <w:sz w:val="20"/>
          <w:lang w:val="fr-CA"/>
        </w:rPr>
      </w:pPr>
      <w:r w:rsidRPr="00A05099">
        <w:rPr>
          <w:sz w:val="20"/>
          <w:lang w:val="fr-CA"/>
        </w:rPr>
        <w:tab/>
      </w:r>
      <w:r w:rsidRPr="00A05099">
        <w:rPr>
          <w:i/>
          <w:sz w:val="20"/>
          <w:lang w:val="fr-CA"/>
        </w:rPr>
        <w:t>Arrêt</w:t>
      </w:r>
      <w:r w:rsidRPr="00A05099">
        <w:rPr>
          <w:sz w:val="20"/>
          <w:lang w:val="fr-CA"/>
        </w:rPr>
        <w:t> : Le pourvoi est accueilli, et la décision du ministre de la Justice est rétablie.</w:t>
      </w:r>
    </w:p>
    <w:p w:rsidR="001762E7" w:rsidRDefault="001762E7" w:rsidP="001762E7">
      <w:pPr>
        <w:pStyle w:val="SCCNormalDoubleSpacing"/>
        <w:spacing w:line="240" w:lineRule="auto"/>
        <w:rPr>
          <w:sz w:val="20"/>
          <w:lang w:val="fr-CA"/>
        </w:rPr>
      </w:pPr>
    </w:p>
    <w:p w:rsidR="001762E7" w:rsidRDefault="001762E7" w:rsidP="001762E7">
      <w:pPr>
        <w:pStyle w:val="SCCNormalDoubleSpacing"/>
        <w:spacing w:line="240" w:lineRule="auto"/>
        <w:rPr>
          <w:sz w:val="20"/>
          <w:lang w:val="fr-CA"/>
        </w:rPr>
      </w:pPr>
      <w:r w:rsidRPr="00A05099">
        <w:rPr>
          <w:sz w:val="20"/>
          <w:lang w:val="fr-CA"/>
        </w:rPr>
        <w:tab/>
        <w:t xml:space="preserve">La décision du ministre de la Justice d’extrader B était raisonnable, et la Cour d’appel a eu tort de conclure le contraire. La Cour d’appel devait se demander si extrader B de manière à l’exposer à la possibilité d’un quatrième procès contrevenait aux principes de justice fondamentale garantis par l’art. 7 de la </w:t>
      </w:r>
      <w:r w:rsidRPr="00A05099">
        <w:rPr>
          <w:i/>
          <w:sz w:val="20"/>
          <w:lang w:val="fr-CA"/>
        </w:rPr>
        <w:t>Charte</w:t>
      </w:r>
      <w:r w:rsidRPr="00A05099">
        <w:rPr>
          <w:sz w:val="20"/>
          <w:lang w:val="fr-CA"/>
        </w:rPr>
        <w:t xml:space="preserve">, de sorte que la mesure « choqu[e] la conscience » ou soit par ailleurs « injuste ou tyrannique » au sens du par. 44(1) de la </w:t>
      </w:r>
      <w:r w:rsidRPr="00A05099">
        <w:rPr>
          <w:i/>
          <w:sz w:val="20"/>
          <w:lang w:val="fr-CA"/>
        </w:rPr>
        <w:t>Loi sur l’extradition</w:t>
      </w:r>
      <w:r w:rsidRPr="00A05099">
        <w:rPr>
          <w:sz w:val="20"/>
          <w:lang w:val="fr-CA"/>
        </w:rPr>
        <w:t>. La possibilité d’un quatrième procès si longtemps après la perpétration du crime allégué ne porte pas suffisamment atteinte à notre conception de la justice fondamentale pour que la balance penche contre l’extradition. Les tribunaux canadiens ont statué qu’un quatrième procès pouvait être envisagé dans certains cas, et les tribunaux américains ont grosso modo opiné dans le même sens. B pourra faire valoir tous ses arguments relatifs au caractère inéquitable d’un quatrième procès et ses motifs d’opposition à la preuve dite nouvelle devant le tribunal du New Hampshire. On ne peut raisonnablement considérer que le traitement donné qui attend B au New Hampshire heurte notre conception de la justice fondamentale au point de justifier le refus de l’extradition. Qui plus est, un refus d’extradition est foncièrement incompatible avec les principes de la collaboration internationale qui constituent le fondement d’un traité d’extradition. Le Canada est censé s’en remettre au tribunal étranger pour ce qui touche à l’application régulière de la loi. L’intervention judiciaire n’est pas justifiée en l’espèce.</w:t>
      </w:r>
    </w:p>
    <w:p w:rsidR="001762E7" w:rsidRDefault="001762E7" w:rsidP="001762E7">
      <w:pPr>
        <w:pStyle w:val="SCCNormalDoubleSpacing"/>
        <w:spacing w:line="240" w:lineRule="auto"/>
        <w:rPr>
          <w:sz w:val="20"/>
          <w:lang w:val="fr-CA"/>
        </w:rPr>
      </w:pPr>
    </w:p>
    <w:p w:rsidR="001762E7" w:rsidRPr="00A05099" w:rsidRDefault="001762E7" w:rsidP="001762E7">
      <w:pPr>
        <w:pStyle w:val="SCCNormalDoubleSpacing"/>
        <w:spacing w:line="240" w:lineRule="auto"/>
        <w:rPr>
          <w:sz w:val="20"/>
          <w:lang w:val="fr-CA"/>
        </w:rPr>
      </w:pPr>
      <w:r w:rsidRPr="00A05099">
        <w:rPr>
          <w:sz w:val="20"/>
          <w:lang w:val="fr-CA"/>
        </w:rPr>
        <w:tab/>
        <w:t>POURVOI contre un arrêt de la Cour d’appel du Québec (la juge en chef Duval Hesler et les juges Levesque et Savard), 2013 QCCA 1305, [2013] AZ</w:t>
      </w:r>
      <w:r w:rsidRPr="00A05099">
        <w:rPr>
          <w:sz w:val="20"/>
          <w:lang w:val="fr-CA"/>
        </w:rPr>
        <w:noBreakHyphen/>
        <w:t>50991418, [2013] Q.J. No. 8752 (QL), 2013 CarswellQue 7615 (WL Can.), qui a accueilli la demande de contrôle judiciaire visant l’arrêté d’extradition pris par le ministre de la Justice. Pourvoi accueilli.</w:t>
      </w:r>
    </w:p>
    <w:p w:rsidR="001762E7" w:rsidRDefault="001762E7" w:rsidP="001762E7">
      <w:pPr>
        <w:pStyle w:val="SCCNormalDoubleSpacing"/>
        <w:spacing w:line="240" w:lineRule="auto"/>
        <w:rPr>
          <w:rStyle w:val="SCCCounselNameChar"/>
          <w:i w:val="0"/>
          <w:sz w:val="20"/>
          <w:lang w:val="fr-CA"/>
        </w:rPr>
      </w:pPr>
    </w:p>
    <w:p w:rsidR="001762E7" w:rsidRPr="00A05099" w:rsidRDefault="001762E7" w:rsidP="001762E7">
      <w:pPr>
        <w:pStyle w:val="SCCNormalDoubleSpacing"/>
        <w:spacing w:line="240" w:lineRule="auto"/>
        <w:rPr>
          <w:sz w:val="20"/>
          <w:lang w:val="fr-CA"/>
        </w:rPr>
      </w:pPr>
      <w:r w:rsidRPr="00A05099">
        <w:rPr>
          <w:rStyle w:val="SCCCounselNameChar"/>
          <w:sz w:val="20"/>
          <w:lang w:val="fr-CA"/>
        </w:rPr>
        <w:tab/>
        <w:t xml:space="preserve">Marc Ribeiro </w:t>
      </w:r>
      <w:r w:rsidRPr="00A05099">
        <w:rPr>
          <w:rStyle w:val="SCCCounselSeparatorChar"/>
          <w:sz w:val="20"/>
        </w:rPr>
        <w:t>et</w:t>
      </w:r>
      <w:r w:rsidRPr="00A05099">
        <w:rPr>
          <w:rStyle w:val="SCCCounselNameChar"/>
          <w:sz w:val="20"/>
          <w:lang w:val="fr-CA"/>
        </w:rPr>
        <w:t xml:space="preserve"> Ginette Gobeil</w:t>
      </w:r>
      <w:r w:rsidRPr="00A05099">
        <w:rPr>
          <w:rStyle w:val="SCCCounselPartyRoleChar"/>
          <w:sz w:val="20"/>
          <w:lang w:val="fr-CA"/>
        </w:rPr>
        <w:t>, pour l’appelant.</w:t>
      </w:r>
    </w:p>
    <w:p w:rsidR="001762E7" w:rsidRDefault="001762E7" w:rsidP="001762E7">
      <w:pPr>
        <w:pStyle w:val="SCCNormalDoubleSpacing"/>
        <w:spacing w:line="240" w:lineRule="auto"/>
        <w:rPr>
          <w:rStyle w:val="SCCCounselNameChar"/>
          <w:sz w:val="20"/>
          <w:lang w:val="fr-CA"/>
        </w:rPr>
      </w:pPr>
    </w:p>
    <w:p w:rsidR="001762E7" w:rsidRPr="00A05099" w:rsidRDefault="001762E7" w:rsidP="001762E7">
      <w:pPr>
        <w:pStyle w:val="SCCNormalDoubleSpacing"/>
        <w:spacing w:line="240" w:lineRule="auto"/>
        <w:rPr>
          <w:sz w:val="20"/>
          <w:lang w:val="fr-CA"/>
        </w:rPr>
      </w:pPr>
      <w:r w:rsidRPr="00A05099">
        <w:rPr>
          <w:rStyle w:val="SCCCounselNameChar"/>
          <w:sz w:val="20"/>
          <w:lang w:val="fr-CA"/>
        </w:rPr>
        <w:tab/>
        <w:t>Clemente Monterosso</w:t>
      </w:r>
      <w:r w:rsidRPr="00A05099">
        <w:rPr>
          <w:rStyle w:val="SCCCounselSeparatorChar"/>
          <w:sz w:val="20"/>
        </w:rPr>
        <w:t xml:space="preserve"> et </w:t>
      </w:r>
      <w:r w:rsidRPr="00A05099">
        <w:rPr>
          <w:rStyle w:val="SCCCounselNameChar"/>
          <w:sz w:val="20"/>
          <w:lang w:val="fr-CA"/>
        </w:rPr>
        <w:t>Marie</w:t>
      </w:r>
      <w:r w:rsidRPr="00A05099">
        <w:rPr>
          <w:rStyle w:val="SCCCounselNameChar"/>
          <w:sz w:val="20"/>
          <w:lang w:val="fr-CA"/>
        </w:rPr>
        <w:noBreakHyphen/>
        <w:t>Philippe Tanguay</w:t>
      </w:r>
      <w:r w:rsidRPr="00A05099">
        <w:rPr>
          <w:rStyle w:val="SCCCounselPartyRoleChar"/>
          <w:sz w:val="20"/>
          <w:lang w:val="fr-CA"/>
        </w:rPr>
        <w:t>, pour l’intimé.</w:t>
      </w:r>
    </w:p>
    <w:p w:rsidR="001762E7" w:rsidRDefault="001762E7" w:rsidP="001762E7">
      <w:pPr>
        <w:pStyle w:val="SCCLawFirm"/>
        <w:spacing w:line="240" w:lineRule="auto"/>
        <w:rPr>
          <w:sz w:val="20"/>
          <w:lang w:val="fr-CA"/>
        </w:rPr>
      </w:pPr>
    </w:p>
    <w:p w:rsidR="001762E7" w:rsidRPr="00A05099" w:rsidRDefault="001762E7" w:rsidP="001762E7">
      <w:pPr>
        <w:pStyle w:val="SCCLawFirm"/>
        <w:spacing w:line="240" w:lineRule="auto"/>
        <w:rPr>
          <w:sz w:val="20"/>
          <w:lang w:val="fr-CA"/>
        </w:rPr>
      </w:pPr>
      <w:r w:rsidRPr="00A05099">
        <w:rPr>
          <w:sz w:val="20"/>
          <w:lang w:val="fr-CA"/>
        </w:rPr>
        <w:tab/>
        <w:t>Procureur de l’appelant : Procureur général du Canada, Montréal.</w:t>
      </w:r>
    </w:p>
    <w:p w:rsidR="001762E7" w:rsidRDefault="001762E7">
      <w:pPr>
        <w:rPr>
          <w:sz w:val="20"/>
          <w:lang w:val="fr-CA"/>
        </w:rPr>
      </w:pPr>
    </w:p>
    <w:p w:rsidR="001762E7" w:rsidRDefault="001762E7">
      <w:pPr>
        <w:rPr>
          <w:rFonts w:eastAsia="Times New Roman" w:cs="Times New Roman"/>
          <w:i/>
          <w:sz w:val="20"/>
          <w:szCs w:val="20"/>
          <w:lang w:val="fr-CA" w:eastAsia="en-CA"/>
        </w:rPr>
      </w:pPr>
      <w:r>
        <w:rPr>
          <w:sz w:val="20"/>
          <w:lang w:val="fr-CA"/>
        </w:rPr>
        <w:br w:type="page"/>
      </w:r>
    </w:p>
    <w:p w:rsidR="001762E7" w:rsidRDefault="001762E7" w:rsidP="001762E7">
      <w:pPr>
        <w:pStyle w:val="SCCLawFirm"/>
        <w:spacing w:line="240" w:lineRule="auto"/>
        <w:rPr>
          <w:sz w:val="20"/>
          <w:lang w:val="fr-CA"/>
        </w:rPr>
      </w:pPr>
      <w:r w:rsidRPr="00A05099">
        <w:rPr>
          <w:sz w:val="20"/>
          <w:lang w:val="fr-CA"/>
        </w:rPr>
        <w:lastRenderedPageBreak/>
        <w:tab/>
        <w:t>Procureurs de l’intimé : Clemente Monterosso, Montréal; Marie</w:t>
      </w:r>
      <w:r w:rsidRPr="00A05099">
        <w:rPr>
          <w:sz w:val="20"/>
          <w:lang w:val="fr-CA"/>
        </w:rPr>
        <w:noBreakHyphen/>
        <w:t>Philippe Tanguay, Montréal.</w:t>
      </w:r>
    </w:p>
    <w:p w:rsidR="0052229C" w:rsidRPr="00C42C54" w:rsidRDefault="0052229C" w:rsidP="0052229C">
      <w:pPr>
        <w:rPr>
          <w:sz w:val="20"/>
          <w:szCs w:val="20"/>
          <w:lang w:val="fr-CA"/>
        </w:rPr>
      </w:pPr>
      <w:r w:rsidRPr="00C42C54">
        <w:rPr>
          <w:sz w:val="20"/>
          <w:szCs w:val="20"/>
          <w:lang w:val="fr-CA"/>
        </w:rPr>
        <w:t>________________________</w:t>
      </w:r>
    </w:p>
    <w:p w:rsidR="0052229C" w:rsidRDefault="0052229C" w:rsidP="0052229C">
      <w:pPr>
        <w:rPr>
          <w:sz w:val="20"/>
          <w:szCs w:val="20"/>
          <w:lang w:val="fr-CA"/>
        </w:rPr>
      </w:pPr>
    </w:p>
    <w:p w:rsidR="001762E7" w:rsidRPr="00E734C3" w:rsidRDefault="001762E7" w:rsidP="001762E7">
      <w:pPr>
        <w:jc w:val="both"/>
        <w:rPr>
          <w:sz w:val="20"/>
          <w:szCs w:val="20"/>
        </w:rPr>
      </w:pPr>
      <w:r w:rsidRPr="00E734C3">
        <w:rPr>
          <w:sz w:val="20"/>
          <w:szCs w:val="20"/>
        </w:rPr>
        <w:t>Present: McLachlin C.J. and Abella, Rothstein, Cromwell, Moldaver, Karakatsanis, Wagner, Gascon and Côté JJ.</w:t>
      </w:r>
    </w:p>
    <w:p w:rsidR="001762E7" w:rsidRDefault="001762E7" w:rsidP="001762E7">
      <w:pPr>
        <w:pStyle w:val="SCCNormalDoubleSpacing"/>
        <w:spacing w:line="240" w:lineRule="auto"/>
        <w:rPr>
          <w:sz w:val="20"/>
        </w:rPr>
      </w:pPr>
    </w:p>
    <w:p w:rsidR="001762E7" w:rsidRPr="00E734C3" w:rsidRDefault="001762E7" w:rsidP="001762E7">
      <w:pPr>
        <w:pStyle w:val="SCCNormalDoubleSpacing"/>
        <w:spacing w:line="240" w:lineRule="auto"/>
        <w:rPr>
          <w:i/>
          <w:sz w:val="20"/>
          <w:lang w:val="en-US"/>
        </w:rPr>
      </w:pPr>
      <w:r w:rsidRPr="00E734C3">
        <w:rPr>
          <w:sz w:val="20"/>
        </w:rPr>
        <w:tab/>
      </w:r>
      <w:r w:rsidRPr="00E734C3">
        <w:rPr>
          <w:i/>
          <w:sz w:val="20"/>
          <w:lang w:val="en-US"/>
        </w:rPr>
        <w:t>Extradition — Surrender order — Judicial review — Minister of Justice surrendering accused to U.S. on charges of murder — Whether Minister’s decision to order surrender was reasonable — Whether extraditing accused to possibly be subjected to a fourth trial would be contrary to principles of fundamental justice.</w:t>
      </w:r>
    </w:p>
    <w:p w:rsidR="001762E7" w:rsidRDefault="001762E7" w:rsidP="001762E7">
      <w:pPr>
        <w:pStyle w:val="SCCNormalDoubleSpacing"/>
        <w:spacing w:line="240" w:lineRule="auto"/>
        <w:rPr>
          <w:sz w:val="20"/>
          <w:lang w:val="en-US"/>
        </w:rPr>
      </w:pPr>
    </w:p>
    <w:p w:rsidR="001762E7" w:rsidRPr="00E734C3" w:rsidRDefault="001762E7" w:rsidP="001762E7">
      <w:pPr>
        <w:pStyle w:val="SCCNormalDoubleSpacing"/>
        <w:spacing w:line="240" w:lineRule="auto"/>
        <w:rPr>
          <w:sz w:val="20"/>
        </w:rPr>
      </w:pPr>
      <w:r w:rsidRPr="00E734C3">
        <w:rPr>
          <w:sz w:val="20"/>
        </w:rPr>
        <w:tab/>
        <w:t>The Minister of Justice ordered the surrender of B and a co</w:t>
      </w:r>
      <w:r w:rsidRPr="00E734C3">
        <w:rPr>
          <w:sz w:val="20"/>
        </w:rPr>
        <w:noBreakHyphen/>
        <w:t xml:space="preserve">accused, C, to the U.S. on charges of first and second degree murder. B proceeded to trial on those charges on three occasions, in 1989 and 1990. Each trial ended in a hung jury. In 2010, the New Hampshire State authorities reopened the investigation into the alleged crimes and in 2011, evidence seized from the crime scene was submitted for DNA testing using techniques that were not available at the time of the initial investigation. C’s profile was identified but the new DNA evidence did not directly link B to the crimes. On judicial review, the Court of Appeal of Quebec concluded that there was no new evidence against B and that a fourth trial would be contrary to the protection afforded by the </w:t>
      </w:r>
      <w:r w:rsidRPr="00E734C3">
        <w:rPr>
          <w:i/>
          <w:sz w:val="20"/>
        </w:rPr>
        <w:t>Canadian Charter of Rights and Freedoms</w:t>
      </w:r>
      <w:r w:rsidRPr="00E734C3">
        <w:rPr>
          <w:sz w:val="20"/>
        </w:rPr>
        <w:t>. Hence, the Minister of Justice’s decision to surrender B was unreasonable in the circumstances. B’s application for judicial review was granted and the Minister’s surrender order was quashed.</w:t>
      </w:r>
    </w:p>
    <w:p w:rsidR="001762E7" w:rsidRDefault="001762E7" w:rsidP="001762E7">
      <w:pPr>
        <w:pStyle w:val="SCCNormalDoubleSpacing"/>
        <w:spacing w:line="240" w:lineRule="auto"/>
        <w:rPr>
          <w:sz w:val="20"/>
        </w:rPr>
      </w:pPr>
    </w:p>
    <w:p w:rsidR="001762E7" w:rsidRPr="00E734C3" w:rsidRDefault="001762E7" w:rsidP="001762E7">
      <w:pPr>
        <w:pStyle w:val="SCCNormalDoubleSpacing"/>
        <w:spacing w:line="240" w:lineRule="auto"/>
        <w:rPr>
          <w:sz w:val="20"/>
        </w:rPr>
      </w:pPr>
      <w:r w:rsidRPr="00E734C3">
        <w:rPr>
          <w:sz w:val="20"/>
        </w:rPr>
        <w:tab/>
      </w:r>
      <w:r w:rsidRPr="00E734C3">
        <w:rPr>
          <w:i/>
          <w:sz w:val="20"/>
        </w:rPr>
        <w:t>Held</w:t>
      </w:r>
      <w:r w:rsidRPr="00E734C3">
        <w:rPr>
          <w:sz w:val="20"/>
        </w:rPr>
        <w:t>: The appeal should be allowed and the decision of the Minister of Justice reinstated.</w:t>
      </w:r>
    </w:p>
    <w:p w:rsidR="001762E7" w:rsidRDefault="001762E7" w:rsidP="001762E7">
      <w:pPr>
        <w:pStyle w:val="SCCNormalDoubleSpacing"/>
        <w:spacing w:line="240" w:lineRule="auto"/>
        <w:rPr>
          <w:sz w:val="20"/>
        </w:rPr>
      </w:pPr>
    </w:p>
    <w:p w:rsidR="001762E7" w:rsidRDefault="001762E7" w:rsidP="001762E7">
      <w:pPr>
        <w:pStyle w:val="SCCNormalDoubleSpacing"/>
        <w:spacing w:line="240" w:lineRule="auto"/>
        <w:rPr>
          <w:sz w:val="20"/>
        </w:rPr>
      </w:pPr>
      <w:r w:rsidRPr="00E734C3">
        <w:rPr>
          <w:sz w:val="20"/>
        </w:rPr>
        <w:tab/>
        <w:t xml:space="preserve">The Minister’s decision to surrender B was reasonable and the Court of Appeal erred in finding otherwise. The issue before the Court of Appeal was whether extraditing B to face a situation in which he may be subjected to a fourth trial would be contrary to the principles of fundamental justice guaranteed by s. 7 of the </w:t>
      </w:r>
      <w:r w:rsidRPr="00E734C3">
        <w:rPr>
          <w:i/>
          <w:sz w:val="20"/>
        </w:rPr>
        <w:t xml:space="preserve">Charter </w:t>
      </w:r>
      <w:r w:rsidRPr="00E734C3">
        <w:rPr>
          <w:sz w:val="20"/>
        </w:rPr>
        <w:t xml:space="preserve">so as to “shock the conscience” or otherwise be “unjust or oppressive” under s. 44(1) of the </w:t>
      </w:r>
      <w:r w:rsidRPr="00E734C3">
        <w:rPr>
          <w:i/>
          <w:sz w:val="20"/>
        </w:rPr>
        <w:t>Extradition Act</w:t>
      </w:r>
      <w:r w:rsidRPr="00E734C3">
        <w:rPr>
          <w:sz w:val="20"/>
        </w:rPr>
        <w:t>. The possibility of holding a fourth trial so many years after the alleged crime does not sufficiently violate our sense of fundamental justice to tilt the balance against extradition. Canadian case law suggests that fourth trials are permissible in some circumstances, and the United States case law takes a broadly similar approach. B will be able to raise all of his arguments about the unfairness of a fourth trial and his objections to the purported new evidence before the court in New Hampshire. The particular treatment awaiting B in New Hampshire cannot reasonably be seen as violating our sense of fundamental justice so as to justify refusal of surrender. Further, a refusal of surrender is deeply inconsistent with the principles of international cooperation that are the foundation of an extradition treaty. Canada is expected to defer to the foreign courts on matters of due process. This is not a case in which intervention is warranted.</w:t>
      </w:r>
    </w:p>
    <w:p w:rsidR="001762E7" w:rsidRDefault="001762E7" w:rsidP="001762E7">
      <w:pPr>
        <w:pStyle w:val="SCCNormalDoubleSpacing"/>
        <w:spacing w:line="240" w:lineRule="auto"/>
        <w:rPr>
          <w:sz w:val="20"/>
        </w:rPr>
      </w:pPr>
    </w:p>
    <w:p w:rsidR="001762E7" w:rsidRPr="00E734C3" w:rsidRDefault="001762E7" w:rsidP="001762E7">
      <w:pPr>
        <w:pStyle w:val="SCCNormalDoubleSpacing"/>
        <w:spacing w:line="240" w:lineRule="auto"/>
        <w:rPr>
          <w:sz w:val="20"/>
        </w:rPr>
      </w:pPr>
      <w:r w:rsidRPr="00E734C3">
        <w:rPr>
          <w:sz w:val="20"/>
        </w:rPr>
        <w:tab/>
        <w:t>APPEAL from a judgment of the Quebec Court of Appeal (Duval Hesler C.J. and Levesque and Savard JJ.A.), 2013 QCCA 1305, [2013] AZ</w:t>
      </w:r>
      <w:r w:rsidRPr="00E734C3">
        <w:rPr>
          <w:sz w:val="20"/>
        </w:rPr>
        <w:noBreakHyphen/>
        <w:t>50991418, [2013] Q.J. No. 8752 (QL), 2013 CarswellQue 7615 (WL Can.), allowing an application for judicial review from a surrender order made by the Minister of Justice. Appeal allowed.</w:t>
      </w:r>
    </w:p>
    <w:p w:rsidR="001762E7" w:rsidRDefault="001762E7" w:rsidP="001762E7">
      <w:pPr>
        <w:pStyle w:val="SCCNormalDoubleSpacing"/>
        <w:spacing w:line="240" w:lineRule="auto"/>
        <w:rPr>
          <w:rStyle w:val="SCCCounselNameChar"/>
          <w:i w:val="0"/>
          <w:sz w:val="20"/>
        </w:rPr>
      </w:pPr>
    </w:p>
    <w:p w:rsidR="001762E7" w:rsidRPr="00E734C3" w:rsidRDefault="001762E7" w:rsidP="001762E7">
      <w:pPr>
        <w:pStyle w:val="SCCNormalDoubleSpacing"/>
        <w:spacing w:line="240" w:lineRule="auto"/>
        <w:rPr>
          <w:sz w:val="20"/>
        </w:rPr>
      </w:pPr>
      <w:r w:rsidRPr="00E734C3">
        <w:rPr>
          <w:rStyle w:val="SCCCounselNameChar"/>
          <w:sz w:val="20"/>
        </w:rPr>
        <w:tab/>
        <w:t xml:space="preserve">Marc Ribeiro </w:t>
      </w:r>
      <w:r w:rsidRPr="00C11D3B">
        <w:rPr>
          <w:rStyle w:val="SCCCounselSeparatorChar"/>
          <w:sz w:val="20"/>
          <w:lang w:val="en-CA"/>
        </w:rPr>
        <w:t>and</w:t>
      </w:r>
      <w:r w:rsidRPr="00E734C3">
        <w:rPr>
          <w:rStyle w:val="SCCCounselNameChar"/>
          <w:sz w:val="20"/>
        </w:rPr>
        <w:t xml:space="preserve"> Ginette Gobeil</w:t>
      </w:r>
      <w:r w:rsidRPr="00E734C3">
        <w:rPr>
          <w:rStyle w:val="SCCCounselPartyRoleChar"/>
          <w:sz w:val="20"/>
        </w:rPr>
        <w:t>, for the appellant.</w:t>
      </w:r>
    </w:p>
    <w:p w:rsidR="001762E7" w:rsidRDefault="001762E7" w:rsidP="001762E7">
      <w:pPr>
        <w:pStyle w:val="SCCNormalDoubleSpacing"/>
        <w:spacing w:line="240" w:lineRule="auto"/>
        <w:rPr>
          <w:rStyle w:val="SCCCounselNameChar"/>
          <w:sz w:val="20"/>
        </w:rPr>
      </w:pPr>
    </w:p>
    <w:p w:rsidR="001762E7" w:rsidRPr="00E734C3" w:rsidRDefault="001762E7" w:rsidP="001762E7">
      <w:pPr>
        <w:pStyle w:val="SCCNormalDoubleSpacing"/>
        <w:spacing w:line="240" w:lineRule="auto"/>
        <w:rPr>
          <w:sz w:val="20"/>
        </w:rPr>
      </w:pPr>
      <w:r w:rsidRPr="00E734C3">
        <w:rPr>
          <w:rStyle w:val="SCCCounselNameChar"/>
          <w:sz w:val="20"/>
        </w:rPr>
        <w:tab/>
        <w:t>Clemente Monterosso</w:t>
      </w:r>
      <w:r w:rsidRPr="00C11D3B">
        <w:rPr>
          <w:rStyle w:val="SCCCounselSeparatorChar"/>
          <w:sz w:val="20"/>
          <w:lang w:val="en-CA"/>
        </w:rPr>
        <w:t xml:space="preserve"> and </w:t>
      </w:r>
      <w:r w:rsidRPr="00E734C3">
        <w:rPr>
          <w:rStyle w:val="SCCCounselNameChar"/>
          <w:sz w:val="20"/>
        </w:rPr>
        <w:t>Marie</w:t>
      </w:r>
      <w:r w:rsidRPr="00E734C3">
        <w:rPr>
          <w:rStyle w:val="SCCCounselNameChar"/>
          <w:sz w:val="20"/>
        </w:rPr>
        <w:noBreakHyphen/>
        <w:t>Philippe Tanguay</w:t>
      </w:r>
      <w:r w:rsidRPr="00E734C3">
        <w:rPr>
          <w:rStyle w:val="SCCCounselPartyRoleChar"/>
          <w:sz w:val="20"/>
        </w:rPr>
        <w:t>, for the respondent.</w:t>
      </w:r>
    </w:p>
    <w:p w:rsidR="001762E7" w:rsidRDefault="001762E7" w:rsidP="001762E7">
      <w:pPr>
        <w:pStyle w:val="SCCLawFirm"/>
        <w:spacing w:line="240" w:lineRule="auto"/>
        <w:rPr>
          <w:sz w:val="20"/>
        </w:rPr>
      </w:pPr>
    </w:p>
    <w:p w:rsidR="001762E7" w:rsidRPr="00E734C3" w:rsidRDefault="001762E7" w:rsidP="001762E7">
      <w:pPr>
        <w:pStyle w:val="SCCLawFirm"/>
        <w:spacing w:line="240" w:lineRule="auto"/>
        <w:rPr>
          <w:sz w:val="20"/>
        </w:rPr>
      </w:pPr>
      <w:r w:rsidRPr="00E734C3">
        <w:rPr>
          <w:sz w:val="20"/>
        </w:rPr>
        <w:tab/>
        <w:t>Solicitor for the appellant: Attorney General of Canada, Montréal.</w:t>
      </w:r>
    </w:p>
    <w:p w:rsidR="001762E7" w:rsidRDefault="001762E7" w:rsidP="001762E7">
      <w:pPr>
        <w:pStyle w:val="SCCLawFirm"/>
        <w:spacing w:line="240" w:lineRule="auto"/>
        <w:rPr>
          <w:sz w:val="20"/>
        </w:rPr>
      </w:pPr>
    </w:p>
    <w:p w:rsidR="001762E7" w:rsidRPr="00C11D3B" w:rsidRDefault="001762E7" w:rsidP="001762E7">
      <w:pPr>
        <w:pStyle w:val="SCCLawFirm"/>
        <w:spacing w:line="240" w:lineRule="auto"/>
        <w:rPr>
          <w:sz w:val="20"/>
          <w:lang w:val="fr-CA"/>
        </w:rPr>
      </w:pPr>
      <w:r w:rsidRPr="00E734C3">
        <w:rPr>
          <w:sz w:val="20"/>
        </w:rPr>
        <w:tab/>
      </w:r>
      <w:r w:rsidRPr="00C11D3B">
        <w:rPr>
          <w:sz w:val="20"/>
          <w:lang w:val="fr-CA"/>
        </w:rPr>
        <w:t>Solicitors for the respondent: Clemente Monterosso, Montréal; Marie</w:t>
      </w:r>
      <w:r w:rsidRPr="00C11D3B">
        <w:rPr>
          <w:sz w:val="20"/>
          <w:lang w:val="fr-CA"/>
        </w:rPr>
        <w:noBreakHyphen/>
        <w:t>Philippe Tanguay, Montréal.</w:t>
      </w:r>
    </w:p>
    <w:p w:rsidR="001762E7" w:rsidRPr="00C42C54" w:rsidRDefault="001762E7" w:rsidP="0052229C">
      <w:pPr>
        <w:rPr>
          <w:sz w:val="20"/>
          <w:szCs w:val="20"/>
          <w:lang w:val="fr-CA"/>
        </w:rPr>
      </w:pPr>
    </w:p>
    <w:p w:rsidR="00902E51" w:rsidRDefault="001D3FE1" w:rsidP="00902E51">
      <w:pPr>
        <w:rPr>
          <w:rFonts w:cs="Times New Roman"/>
          <w:sz w:val="20"/>
          <w:szCs w:val="20"/>
          <w:lang w:val="fr-CA"/>
        </w:rPr>
      </w:pPr>
      <w:r>
        <w:rPr>
          <w:rFonts w:cs="Times New Roman"/>
          <w:sz w:val="20"/>
          <w:szCs w:val="20"/>
          <w:lang w:val="fr-CA"/>
        </w:rPr>
        <w:pict>
          <v:rect id="_x0000_i1079" style="width:144.3pt;height:1pt" o:hrpct="300" o:hralign="center" o:hrstd="t" o:hrnoshade="t" o:hr="t" fillcolor="black [3213]" stroked="f"/>
        </w:pict>
      </w:r>
    </w:p>
    <w:p w:rsidR="00B42CEF" w:rsidRDefault="00B42CEF" w:rsidP="00902E51">
      <w:pPr>
        <w:rPr>
          <w:rFonts w:cs="Times New Roman"/>
          <w:sz w:val="20"/>
          <w:szCs w:val="20"/>
          <w:lang w:val="fr-CA"/>
        </w:rPr>
      </w:pPr>
    </w:p>
    <w:p w:rsidR="00B42CEF" w:rsidRDefault="00B42CEF">
      <w:pPr>
        <w:rPr>
          <w:rFonts w:cs="Times New Roman"/>
          <w:sz w:val="20"/>
          <w:szCs w:val="20"/>
          <w:lang w:val="fr-CA"/>
        </w:rPr>
      </w:pPr>
      <w:r>
        <w:rPr>
          <w:rFonts w:cs="Times New Roman"/>
          <w:sz w:val="20"/>
          <w:szCs w:val="20"/>
          <w:lang w:val="fr-CA"/>
        </w:rPr>
        <w:br w:type="page"/>
      </w:r>
    </w:p>
    <w:p w:rsidR="00B42CEF" w:rsidRPr="00737F48" w:rsidRDefault="00B42CEF" w:rsidP="00B42CEF">
      <w:pPr>
        <w:ind w:left="720" w:hanging="720"/>
        <w:jc w:val="both"/>
        <w:rPr>
          <w:sz w:val="20"/>
          <w:szCs w:val="20"/>
          <w:lang w:val="fr-CA"/>
        </w:rPr>
      </w:pPr>
      <w:r w:rsidRPr="00737F48">
        <w:rPr>
          <w:i/>
          <w:sz w:val="20"/>
          <w:szCs w:val="20"/>
          <w:lang w:val="fr-CA"/>
        </w:rPr>
        <w:lastRenderedPageBreak/>
        <w:t>David Caplin c. Ministre de la justice du Canada</w:t>
      </w:r>
      <w:r w:rsidRPr="00737F48">
        <w:rPr>
          <w:sz w:val="20"/>
          <w:szCs w:val="20"/>
          <w:lang w:val="fr-CA"/>
        </w:rPr>
        <w:t xml:space="preserve"> (Qc) (</w:t>
      </w:r>
      <w:hyperlink r:id="rId79" w:history="1">
        <w:r w:rsidRPr="00737F48">
          <w:rPr>
            <w:rStyle w:val="Hyperlink"/>
            <w:sz w:val="20"/>
            <w:szCs w:val="20"/>
            <w:lang w:val="fr-CA"/>
          </w:rPr>
          <w:t>35527</w:t>
        </w:r>
      </w:hyperlink>
      <w:r w:rsidRPr="00737F48">
        <w:rPr>
          <w:sz w:val="20"/>
          <w:szCs w:val="20"/>
          <w:lang w:val="fr-CA"/>
        </w:rPr>
        <w:t>)</w:t>
      </w:r>
    </w:p>
    <w:p w:rsidR="00330A54" w:rsidRPr="00B01467" w:rsidRDefault="00330A54" w:rsidP="00330A54">
      <w:pPr>
        <w:jc w:val="both"/>
        <w:rPr>
          <w:b/>
          <w:sz w:val="20"/>
          <w:szCs w:val="20"/>
          <w:lang w:val="fr-CA"/>
        </w:rPr>
      </w:pPr>
      <w:r w:rsidRPr="007D7D5B">
        <w:rPr>
          <w:b/>
          <w:sz w:val="20"/>
          <w:szCs w:val="20"/>
        </w:rPr>
        <w:t xml:space="preserve">Indexed as: </w:t>
      </w:r>
      <w:r w:rsidRPr="00330A54">
        <w:rPr>
          <w:rStyle w:val="SCCAppellantForIndexChar"/>
          <w:rFonts w:eastAsiaTheme="minorHAnsi"/>
          <w:sz w:val="20"/>
          <w:lang w:val="en-CA"/>
        </w:rPr>
        <w:t>Caplin</w:t>
      </w:r>
      <w:r w:rsidRPr="007D7D5B">
        <w:rPr>
          <w:b/>
          <w:sz w:val="20"/>
          <w:szCs w:val="20"/>
        </w:rPr>
        <w:t xml:space="preserve"> </w:t>
      </w:r>
      <w:r w:rsidRPr="007D7D5B">
        <w:rPr>
          <w:b/>
          <w:i/>
          <w:sz w:val="20"/>
          <w:szCs w:val="20"/>
        </w:rPr>
        <w:t>v.</w:t>
      </w:r>
      <w:r w:rsidRPr="007D7D5B">
        <w:rPr>
          <w:b/>
          <w:sz w:val="20"/>
          <w:szCs w:val="20"/>
        </w:rPr>
        <w:t xml:space="preserve"> Canada (</w:t>
      </w:r>
      <w:r w:rsidRPr="007D7D5B">
        <w:rPr>
          <w:rStyle w:val="SCCRespondentForIndexChar"/>
          <w:rFonts w:eastAsiaTheme="minorHAnsi"/>
          <w:sz w:val="20"/>
        </w:rPr>
        <w:t>Justice)</w:t>
      </w:r>
      <w:r>
        <w:rPr>
          <w:rStyle w:val="SCCRespondentForIndexChar"/>
          <w:rFonts w:eastAsiaTheme="minorHAnsi"/>
          <w:sz w:val="20"/>
        </w:rPr>
        <w:t xml:space="preserve"> / </w:t>
      </w:r>
      <w:r w:rsidRPr="00B01467">
        <w:rPr>
          <w:b/>
          <w:sz w:val="20"/>
          <w:szCs w:val="20"/>
          <w:lang w:val="fr-CA"/>
        </w:rPr>
        <w:t>Répertorié : </w:t>
      </w:r>
      <w:r w:rsidRPr="00B01467">
        <w:rPr>
          <w:rStyle w:val="SCCAppellantForIndexChar"/>
          <w:rFonts w:eastAsiaTheme="minorHAnsi"/>
          <w:sz w:val="20"/>
        </w:rPr>
        <w:t>Caplin</w:t>
      </w:r>
      <w:r w:rsidRPr="00B01467">
        <w:rPr>
          <w:b/>
          <w:sz w:val="20"/>
          <w:szCs w:val="20"/>
          <w:lang w:val="fr-CA"/>
        </w:rPr>
        <w:t xml:space="preserve"> </w:t>
      </w:r>
      <w:r w:rsidRPr="00B01467">
        <w:rPr>
          <w:b/>
          <w:i/>
          <w:sz w:val="20"/>
          <w:szCs w:val="20"/>
          <w:lang w:val="fr-CA"/>
        </w:rPr>
        <w:t>c.</w:t>
      </w:r>
      <w:r w:rsidRPr="00B01467">
        <w:rPr>
          <w:b/>
          <w:sz w:val="20"/>
          <w:szCs w:val="20"/>
          <w:lang w:val="fr-CA"/>
        </w:rPr>
        <w:t xml:space="preserve"> Canada (J</w:t>
      </w:r>
      <w:r w:rsidRPr="00B01467">
        <w:rPr>
          <w:rStyle w:val="SCCRespondentForIndexChar"/>
          <w:rFonts w:eastAsiaTheme="minorHAnsi"/>
          <w:sz w:val="20"/>
          <w:lang w:val="fr-CA"/>
        </w:rPr>
        <w:t>ustice)</w:t>
      </w:r>
    </w:p>
    <w:p w:rsidR="00B42CEF" w:rsidRPr="00352A49" w:rsidRDefault="00B42CEF" w:rsidP="00B42CEF">
      <w:pPr>
        <w:pStyle w:val="SCCSystemYear"/>
        <w:jc w:val="both"/>
        <w:rPr>
          <w:sz w:val="20"/>
        </w:rPr>
      </w:pPr>
      <w:r w:rsidRPr="00352A49">
        <w:rPr>
          <w:sz w:val="20"/>
        </w:rPr>
        <w:t>Neutral citation:  201</w:t>
      </w:r>
      <w:r>
        <w:rPr>
          <w:sz w:val="20"/>
        </w:rPr>
        <w:t>5</w:t>
      </w:r>
      <w:r w:rsidRPr="00352A49">
        <w:rPr>
          <w:sz w:val="20"/>
        </w:rPr>
        <w:t xml:space="preserve"> SCC </w:t>
      </w:r>
      <w:r>
        <w:rPr>
          <w:sz w:val="20"/>
        </w:rPr>
        <w:t>32</w:t>
      </w:r>
      <w:r w:rsidRPr="00352A49">
        <w:rPr>
          <w:sz w:val="20"/>
        </w:rPr>
        <w:t xml:space="preserve"> / Référence neutre : 201</w:t>
      </w:r>
      <w:r>
        <w:rPr>
          <w:sz w:val="20"/>
        </w:rPr>
        <w:t>5</w:t>
      </w:r>
      <w:r w:rsidRPr="00352A49">
        <w:rPr>
          <w:sz w:val="20"/>
        </w:rPr>
        <w:t xml:space="preserve"> CSC </w:t>
      </w:r>
      <w:r>
        <w:rPr>
          <w:sz w:val="20"/>
        </w:rPr>
        <w:t>32</w:t>
      </w:r>
    </w:p>
    <w:p w:rsidR="00B42CEF" w:rsidRPr="00006321" w:rsidRDefault="00B42CEF" w:rsidP="00B42CEF">
      <w:pPr>
        <w:rPr>
          <w:rFonts w:cs="Times New Roman"/>
          <w:sz w:val="20"/>
          <w:szCs w:val="20"/>
          <w:lang w:val="fr-CA"/>
        </w:rPr>
      </w:pPr>
      <w:r w:rsidRPr="00006321">
        <w:rPr>
          <w:rFonts w:cs="Times New Roman"/>
          <w:sz w:val="20"/>
          <w:szCs w:val="20"/>
          <w:lang w:val="fr-CA"/>
        </w:rPr>
        <w:t xml:space="preserve">Hearing:  </w:t>
      </w:r>
      <w:r>
        <w:rPr>
          <w:rFonts w:cs="Times New Roman"/>
          <w:sz w:val="20"/>
          <w:szCs w:val="20"/>
          <w:lang w:val="fr-CA"/>
        </w:rPr>
        <w:t>April 23</w:t>
      </w:r>
      <w:r w:rsidRPr="00006321">
        <w:rPr>
          <w:rFonts w:cs="Times New Roman"/>
          <w:sz w:val="20"/>
          <w:szCs w:val="20"/>
          <w:lang w:val="fr-CA"/>
        </w:rPr>
        <w:t>, 201</w:t>
      </w:r>
      <w:r>
        <w:rPr>
          <w:rFonts w:cs="Times New Roman"/>
          <w:sz w:val="20"/>
          <w:szCs w:val="20"/>
          <w:lang w:val="fr-CA"/>
        </w:rPr>
        <w:t>5</w:t>
      </w:r>
      <w:r w:rsidRPr="00006321">
        <w:rPr>
          <w:rFonts w:cs="Times New Roman"/>
          <w:sz w:val="20"/>
          <w:szCs w:val="20"/>
          <w:lang w:val="fr-CA"/>
        </w:rPr>
        <w:t xml:space="preserve"> / Judgment:  May 2</w:t>
      </w:r>
      <w:r>
        <w:rPr>
          <w:rFonts w:cs="Times New Roman"/>
          <w:sz w:val="20"/>
          <w:szCs w:val="20"/>
          <w:lang w:val="fr-CA"/>
        </w:rPr>
        <w:t>9</w:t>
      </w:r>
      <w:r w:rsidRPr="00006321">
        <w:rPr>
          <w:rFonts w:cs="Times New Roman"/>
          <w:sz w:val="20"/>
          <w:szCs w:val="20"/>
          <w:lang w:val="fr-CA"/>
        </w:rPr>
        <w:t>, 2015</w:t>
      </w:r>
    </w:p>
    <w:p w:rsidR="00B42CEF" w:rsidRPr="003B3977" w:rsidRDefault="00B42CEF" w:rsidP="00B42CEF">
      <w:pPr>
        <w:rPr>
          <w:rFonts w:cs="Times New Roman"/>
          <w:sz w:val="20"/>
          <w:szCs w:val="20"/>
          <w:lang w:val="fr-CA"/>
        </w:rPr>
      </w:pPr>
      <w:r w:rsidRPr="003B3977">
        <w:rPr>
          <w:rFonts w:cs="Times New Roman"/>
          <w:sz w:val="20"/>
          <w:szCs w:val="20"/>
          <w:lang w:val="fr-CA"/>
        </w:rPr>
        <w:t>Audition : Le</w:t>
      </w:r>
      <w:r>
        <w:rPr>
          <w:rFonts w:cs="Times New Roman"/>
          <w:sz w:val="20"/>
          <w:szCs w:val="20"/>
          <w:lang w:val="fr-CA"/>
        </w:rPr>
        <w:t xml:space="preserve"> 23 avril</w:t>
      </w:r>
      <w:r w:rsidRPr="003B3977">
        <w:rPr>
          <w:rFonts w:cs="Times New Roman"/>
          <w:sz w:val="20"/>
          <w:szCs w:val="20"/>
          <w:lang w:val="fr-CA"/>
        </w:rPr>
        <w:t xml:space="preserve"> 201</w:t>
      </w:r>
      <w:r>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29 mai</w:t>
      </w:r>
      <w:r w:rsidRPr="003B3977">
        <w:rPr>
          <w:rFonts w:cs="Times New Roman"/>
          <w:sz w:val="20"/>
          <w:szCs w:val="20"/>
          <w:lang w:val="fr-CA"/>
        </w:rPr>
        <w:t xml:space="preserve"> 201</w:t>
      </w:r>
      <w:r>
        <w:rPr>
          <w:rFonts w:cs="Times New Roman"/>
          <w:sz w:val="20"/>
          <w:szCs w:val="20"/>
          <w:lang w:val="fr-CA"/>
        </w:rPr>
        <w:t>5</w:t>
      </w:r>
    </w:p>
    <w:p w:rsidR="00B42CEF" w:rsidRPr="003B3977" w:rsidRDefault="001D3FE1" w:rsidP="00B42CEF">
      <w:pPr>
        <w:rPr>
          <w:sz w:val="20"/>
          <w:szCs w:val="20"/>
          <w:lang w:val="fr-CA"/>
        </w:rPr>
      </w:pPr>
      <w:r>
        <w:rPr>
          <w:i/>
          <w:sz w:val="20"/>
          <w:szCs w:val="20"/>
        </w:rPr>
        <w:pict>
          <v:rect id="_x0000_i1080" style="width:480.95pt;height:1pt" o:hralign="center" o:hrstd="t" o:hrnoshade="t" o:hr="t" fillcolor="black [3213]" stroked="f"/>
        </w:pict>
      </w:r>
    </w:p>
    <w:p w:rsidR="00B42CEF" w:rsidRDefault="00B42CEF" w:rsidP="00B42CEF">
      <w:pPr>
        <w:spacing w:line="0" w:lineRule="atLeast"/>
        <w:rPr>
          <w:sz w:val="20"/>
          <w:szCs w:val="20"/>
          <w:lang w:val="fr-CA"/>
        </w:rPr>
      </w:pPr>
    </w:p>
    <w:p w:rsidR="001762E7" w:rsidRPr="00B01467" w:rsidRDefault="001762E7" w:rsidP="001762E7">
      <w:pPr>
        <w:jc w:val="both"/>
        <w:rPr>
          <w:sz w:val="20"/>
          <w:szCs w:val="20"/>
          <w:lang w:val="fr-CA"/>
        </w:rPr>
      </w:pPr>
      <w:r w:rsidRPr="00B01467">
        <w:rPr>
          <w:sz w:val="20"/>
          <w:szCs w:val="20"/>
          <w:lang w:val="fr-CA"/>
        </w:rPr>
        <w:t>Présents : La juge en chef McLachlin et les juges Abella, Rothstein, Cromwell, Moldaver, Karakatsanis, Wagner, Gascon et Côté.</w:t>
      </w:r>
    </w:p>
    <w:p w:rsidR="001762E7" w:rsidRDefault="001762E7" w:rsidP="001762E7">
      <w:pPr>
        <w:pStyle w:val="SCCNormalDoubleSpacing"/>
        <w:spacing w:line="240" w:lineRule="auto"/>
        <w:rPr>
          <w:sz w:val="20"/>
          <w:lang w:val="fr-CA"/>
        </w:rPr>
      </w:pPr>
    </w:p>
    <w:p w:rsidR="001762E7" w:rsidRPr="00B01467" w:rsidRDefault="001762E7" w:rsidP="001762E7">
      <w:pPr>
        <w:pStyle w:val="SCCNormalDoubleSpacing"/>
        <w:spacing w:line="240" w:lineRule="auto"/>
        <w:rPr>
          <w:i/>
          <w:sz w:val="20"/>
          <w:lang w:val="fr-CA"/>
        </w:rPr>
      </w:pPr>
      <w:r w:rsidRPr="00B01467">
        <w:rPr>
          <w:sz w:val="20"/>
          <w:lang w:val="fr-CA"/>
        </w:rPr>
        <w:tab/>
      </w:r>
      <w:r w:rsidRPr="00B01467">
        <w:rPr>
          <w:i/>
          <w:sz w:val="20"/>
          <w:lang w:val="fr-CA"/>
        </w:rPr>
        <w:t>Extradition — Arrêté d’extradition — Contrôle judiciaire — Extradition de l’accusé vers les États</w:t>
      </w:r>
      <w:r w:rsidRPr="00B01467">
        <w:rPr>
          <w:i/>
          <w:sz w:val="20"/>
          <w:lang w:val="fr-CA"/>
        </w:rPr>
        <w:noBreakHyphen/>
        <w:t>Unis ordonnée par le ministre de la Justice par suite d’accusations de meurtres — La décision du ministre était</w:t>
      </w:r>
      <w:r w:rsidRPr="00B01467">
        <w:rPr>
          <w:i/>
          <w:sz w:val="20"/>
          <w:lang w:val="fr-CA"/>
        </w:rPr>
        <w:noBreakHyphen/>
        <w:t>elle raisonnable?</w:t>
      </w:r>
    </w:p>
    <w:p w:rsidR="001762E7" w:rsidRDefault="001762E7" w:rsidP="001762E7">
      <w:pPr>
        <w:pStyle w:val="SCCNormalDoubleSpacing"/>
        <w:spacing w:line="240" w:lineRule="auto"/>
        <w:rPr>
          <w:sz w:val="20"/>
          <w:lang w:val="fr-CA"/>
        </w:rPr>
      </w:pPr>
    </w:p>
    <w:p w:rsidR="001762E7" w:rsidRPr="00B01467" w:rsidRDefault="001762E7" w:rsidP="001762E7">
      <w:pPr>
        <w:pStyle w:val="SCCNormalDoubleSpacing"/>
        <w:spacing w:line="240" w:lineRule="auto"/>
        <w:rPr>
          <w:sz w:val="20"/>
          <w:lang w:val="fr-CA"/>
        </w:rPr>
      </w:pPr>
      <w:r w:rsidRPr="00B01467">
        <w:rPr>
          <w:sz w:val="20"/>
          <w:lang w:val="fr-CA"/>
        </w:rPr>
        <w:tab/>
        <w:t>Le ministre de la Justice a ordonné l’extradition de C et d’un coaccusé, B, vers les États-Unis, où ils étaient accusés de meurtres aux premier et deuxième degrés. C a fait l’objet de ces accusations en 1990, mais il n’a jamais subi de procès. En 2010, les autorités de l’État du New Hampshire ont rouvert l’enquête sur les crimes allégués puis, en 2011, des éléments de preuve recueillis sur la scène de crime ont été soumis à une analyse génétique à l’aide de techniques qui n’existaient pas lors de l’enquête initiale. Le profil génétique alors établi a permis d’identifier C. Saisie d’une demande de contrôle judiciaire, la Cour d’appel du Québec a conclu qu’aucun motif ne la justifiait de revenir sur la décision du ministre d’ordonner l’extradition de C vers les États-Unis.</w:t>
      </w:r>
    </w:p>
    <w:p w:rsidR="001762E7" w:rsidRDefault="001762E7" w:rsidP="001762E7">
      <w:pPr>
        <w:pStyle w:val="SCCNormalDoubleSpacing"/>
        <w:spacing w:line="240" w:lineRule="auto"/>
        <w:rPr>
          <w:sz w:val="20"/>
          <w:lang w:val="fr-CA"/>
        </w:rPr>
      </w:pPr>
    </w:p>
    <w:p w:rsidR="001762E7" w:rsidRPr="00B01467" w:rsidRDefault="001762E7" w:rsidP="001762E7">
      <w:pPr>
        <w:pStyle w:val="SCCNormalDoubleSpacing"/>
        <w:spacing w:line="240" w:lineRule="auto"/>
        <w:rPr>
          <w:sz w:val="20"/>
          <w:lang w:val="fr-CA"/>
        </w:rPr>
      </w:pPr>
      <w:r w:rsidRPr="00B01467">
        <w:rPr>
          <w:sz w:val="20"/>
          <w:lang w:val="fr-CA"/>
        </w:rPr>
        <w:tab/>
      </w:r>
      <w:r w:rsidRPr="00B01467">
        <w:rPr>
          <w:i/>
          <w:sz w:val="20"/>
          <w:lang w:val="fr-CA"/>
        </w:rPr>
        <w:t>Arrêt</w:t>
      </w:r>
      <w:r w:rsidRPr="00B01467">
        <w:rPr>
          <w:sz w:val="20"/>
          <w:lang w:val="fr-CA"/>
        </w:rPr>
        <w:t> : Le pourvoi est rejeté.</w:t>
      </w:r>
    </w:p>
    <w:p w:rsidR="001762E7" w:rsidRDefault="001762E7" w:rsidP="001762E7">
      <w:pPr>
        <w:pStyle w:val="SCCNormalDoubleSpacing"/>
        <w:spacing w:line="240" w:lineRule="auto"/>
        <w:rPr>
          <w:sz w:val="20"/>
          <w:lang w:val="fr-CA"/>
        </w:rPr>
      </w:pPr>
      <w:r w:rsidRPr="00B01467">
        <w:rPr>
          <w:sz w:val="20"/>
          <w:lang w:val="fr-CA"/>
        </w:rPr>
        <w:t xml:space="preserve"> </w:t>
      </w:r>
    </w:p>
    <w:p w:rsidR="001762E7" w:rsidRDefault="001762E7" w:rsidP="001762E7">
      <w:pPr>
        <w:pStyle w:val="SCCNormalDoubleSpacing"/>
        <w:spacing w:line="240" w:lineRule="auto"/>
        <w:rPr>
          <w:sz w:val="20"/>
          <w:lang w:val="fr-CA"/>
        </w:rPr>
      </w:pPr>
      <w:r w:rsidRPr="00B01467">
        <w:rPr>
          <w:sz w:val="20"/>
          <w:lang w:val="fr-CA"/>
        </w:rPr>
        <w:tab/>
        <w:t>La Cour d’appel n’a pas eu tort de conclure que le ministre de la Justice pouvait raisonnablement ordonner l’extradition. Le ministre devait essentiellement se demander si le « traitement donné » qui attendait C s’il était extradé au New Hampshire contrevenait aux principes canadiens de justice fondamentale. Il a examiné toutes les circonstances pertinentes, dont l’importance de la collaboration internationale en matière d’extradition. Au vu de toutes ces considérations, il pouvait raisonnablement conclure qu’il n’était ni contraire aux principes canadiens de justice fondamentale, ni par ailleurs injuste ou tyrannique de laisser aux tribunaux du New Hampshire le soin de décider de tenir ou non un procès.</w:t>
      </w:r>
    </w:p>
    <w:p w:rsidR="001762E7" w:rsidRDefault="001762E7" w:rsidP="001762E7">
      <w:pPr>
        <w:pStyle w:val="SCCNormalDoubleSpacing"/>
        <w:spacing w:line="240" w:lineRule="auto"/>
        <w:rPr>
          <w:sz w:val="20"/>
          <w:lang w:val="fr-CA"/>
        </w:rPr>
      </w:pPr>
    </w:p>
    <w:p w:rsidR="001762E7" w:rsidRPr="00B01467" w:rsidRDefault="001762E7" w:rsidP="001762E7">
      <w:pPr>
        <w:pStyle w:val="SCCNormalDoubleSpacing"/>
        <w:spacing w:line="240" w:lineRule="auto"/>
        <w:rPr>
          <w:sz w:val="20"/>
          <w:lang w:val="fr-CA"/>
        </w:rPr>
      </w:pPr>
      <w:r w:rsidRPr="00B01467">
        <w:rPr>
          <w:sz w:val="20"/>
          <w:lang w:val="fr-CA"/>
        </w:rPr>
        <w:tab/>
        <w:t>POURVOI contre un arrêt de la Cour d’appel du Québec (la juge en chef Duval Hesler et les juges Levesque et Savard), 2013 QCCA 1305, [2013] AZ</w:t>
      </w:r>
      <w:r w:rsidRPr="00B01467">
        <w:rPr>
          <w:sz w:val="20"/>
          <w:lang w:val="fr-CA"/>
        </w:rPr>
        <w:noBreakHyphen/>
        <w:t>50991418, [2013] Q.J. No. 8752 (QL), 2013 CarswellQue 7615 (WL Can.), qui a rejeté la demande de contrôle judiciaire visant l’arrêté d’extradition pris par le ministre de la Justice. Pourvoi rejeté.</w:t>
      </w:r>
    </w:p>
    <w:p w:rsidR="001762E7" w:rsidRDefault="001762E7" w:rsidP="001762E7">
      <w:pPr>
        <w:pStyle w:val="SCCNormalDoubleSpacing"/>
        <w:spacing w:line="240" w:lineRule="auto"/>
        <w:rPr>
          <w:rStyle w:val="SCCCounselNameChar"/>
          <w:i w:val="0"/>
          <w:sz w:val="20"/>
          <w:lang w:val="fr-CA"/>
        </w:rPr>
      </w:pPr>
    </w:p>
    <w:p w:rsidR="001762E7" w:rsidRPr="00B01467" w:rsidRDefault="001762E7" w:rsidP="001762E7">
      <w:pPr>
        <w:pStyle w:val="SCCNormalDoubleSpacing"/>
        <w:spacing w:line="240" w:lineRule="auto"/>
        <w:rPr>
          <w:sz w:val="20"/>
          <w:lang w:val="fr-CA"/>
        </w:rPr>
      </w:pPr>
      <w:r w:rsidRPr="00B01467">
        <w:rPr>
          <w:rStyle w:val="SCCCounselNameChar"/>
          <w:sz w:val="20"/>
          <w:lang w:val="fr-CA"/>
        </w:rPr>
        <w:tab/>
        <w:t>Véronique Courtecuisse</w:t>
      </w:r>
      <w:r w:rsidRPr="00B01467">
        <w:rPr>
          <w:rStyle w:val="SCCCounselSeparatorChar"/>
          <w:sz w:val="20"/>
        </w:rPr>
        <w:t xml:space="preserve"> et </w:t>
      </w:r>
      <w:r w:rsidRPr="00B01467">
        <w:rPr>
          <w:rStyle w:val="SCCCounselNameChar"/>
          <w:sz w:val="20"/>
          <w:lang w:val="fr-CA"/>
        </w:rPr>
        <w:t>Patrick Cozannet</w:t>
      </w:r>
      <w:r w:rsidRPr="00B01467">
        <w:rPr>
          <w:rStyle w:val="SCCCounselPartyRoleChar"/>
          <w:sz w:val="20"/>
          <w:lang w:val="fr-CA"/>
        </w:rPr>
        <w:t>, pour l’appelant.</w:t>
      </w:r>
    </w:p>
    <w:p w:rsidR="001762E7" w:rsidRDefault="001762E7" w:rsidP="001762E7">
      <w:pPr>
        <w:pStyle w:val="SCCNormalDoubleSpacing"/>
        <w:spacing w:line="240" w:lineRule="auto"/>
        <w:rPr>
          <w:rStyle w:val="SCCCounselNameChar"/>
          <w:i w:val="0"/>
          <w:sz w:val="20"/>
          <w:lang w:val="fr-CA"/>
        </w:rPr>
      </w:pPr>
    </w:p>
    <w:p w:rsidR="001762E7" w:rsidRPr="00B01467" w:rsidRDefault="001762E7" w:rsidP="001762E7">
      <w:pPr>
        <w:pStyle w:val="SCCNormalDoubleSpacing"/>
        <w:spacing w:line="240" w:lineRule="auto"/>
        <w:rPr>
          <w:sz w:val="20"/>
          <w:lang w:val="fr-CA"/>
        </w:rPr>
      </w:pPr>
      <w:r w:rsidRPr="00B01467">
        <w:rPr>
          <w:rStyle w:val="SCCCounselNameChar"/>
          <w:sz w:val="20"/>
          <w:lang w:val="fr-CA"/>
        </w:rPr>
        <w:tab/>
        <w:t xml:space="preserve">Marc Ribeiro </w:t>
      </w:r>
      <w:r w:rsidRPr="00B01467">
        <w:rPr>
          <w:rStyle w:val="SCCCounselSeparatorChar"/>
          <w:sz w:val="20"/>
        </w:rPr>
        <w:t>et</w:t>
      </w:r>
      <w:r w:rsidRPr="00B01467">
        <w:rPr>
          <w:rStyle w:val="SCCCounselNameChar"/>
          <w:sz w:val="20"/>
          <w:lang w:val="fr-CA"/>
        </w:rPr>
        <w:t xml:space="preserve"> Ginette Gobeil</w:t>
      </w:r>
      <w:r w:rsidRPr="00B01467">
        <w:rPr>
          <w:rStyle w:val="SCCCounselPartyRoleChar"/>
          <w:sz w:val="20"/>
          <w:lang w:val="fr-CA"/>
        </w:rPr>
        <w:t>, pour l’intimé.</w:t>
      </w:r>
    </w:p>
    <w:p w:rsidR="001762E7" w:rsidRDefault="001762E7" w:rsidP="001762E7">
      <w:pPr>
        <w:pStyle w:val="SCCLawFirm"/>
        <w:spacing w:line="240" w:lineRule="auto"/>
        <w:rPr>
          <w:sz w:val="20"/>
          <w:lang w:val="fr-CA"/>
        </w:rPr>
      </w:pPr>
    </w:p>
    <w:p w:rsidR="001762E7" w:rsidRPr="00B01467" w:rsidRDefault="001762E7" w:rsidP="001762E7">
      <w:pPr>
        <w:pStyle w:val="SCCLawFirm"/>
        <w:spacing w:line="240" w:lineRule="auto"/>
        <w:rPr>
          <w:sz w:val="20"/>
          <w:lang w:val="fr-CA"/>
        </w:rPr>
      </w:pPr>
      <w:r w:rsidRPr="00B01467">
        <w:rPr>
          <w:sz w:val="20"/>
          <w:lang w:val="fr-CA"/>
        </w:rPr>
        <w:tab/>
        <w:t>Procureurs de l’appelant : Véronique Courtecuisse, Montréal; Patrick Cozannet, Longueuil.</w:t>
      </w:r>
    </w:p>
    <w:p w:rsidR="001762E7" w:rsidRDefault="001762E7" w:rsidP="001762E7">
      <w:pPr>
        <w:pStyle w:val="SCCLawFirm"/>
        <w:spacing w:line="240" w:lineRule="auto"/>
        <w:rPr>
          <w:sz w:val="20"/>
          <w:lang w:val="fr-CA"/>
        </w:rPr>
      </w:pPr>
    </w:p>
    <w:p w:rsidR="001762E7" w:rsidRDefault="001762E7" w:rsidP="001762E7">
      <w:pPr>
        <w:pStyle w:val="SCCLawFirm"/>
        <w:spacing w:line="240" w:lineRule="auto"/>
        <w:rPr>
          <w:sz w:val="20"/>
          <w:lang w:val="fr-CA"/>
        </w:rPr>
      </w:pPr>
      <w:r w:rsidRPr="00B01467">
        <w:rPr>
          <w:sz w:val="20"/>
          <w:lang w:val="fr-CA"/>
        </w:rPr>
        <w:tab/>
        <w:t>Procureur de l’intimé : Procureur général du Canada, Montréal.</w:t>
      </w:r>
    </w:p>
    <w:p w:rsidR="00B42CEF" w:rsidRPr="001762E7" w:rsidRDefault="00B42CEF" w:rsidP="00B42CEF">
      <w:pPr>
        <w:rPr>
          <w:sz w:val="20"/>
          <w:szCs w:val="20"/>
        </w:rPr>
      </w:pPr>
      <w:r w:rsidRPr="001762E7">
        <w:rPr>
          <w:sz w:val="20"/>
          <w:szCs w:val="20"/>
        </w:rPr>
        <w:t>________________________</w:t>
      </w:r>
    </w:p>
    <w:p w:rsidR="00B42CEF" w:rsidRPr="001762E7" w:rsidRDefault="00B42CEF" w:rsidP="00B42CEF">
      <w:pPr>
        <w:rPr>
          <w:sz w:val="20"/>
          <w:szCs w:val="20"/>
        </w:rPr>
      </w:pPr>
    </w:p>
    <w:p w:rsidR="001762E7" w:rsidRPr="007D7D5B" w:rsidRDefault="001762E7" w:rsidP="001762E7">
      <w:pPr>
        <w:jc w:val="both"/>
        <w:rPr>
          <w:sz w:val="20"/>
          <w:szCs w:val="20"/>
        </w:rPr>
      </w:pPr>
      <w:r w:rsidRPr="007D7D5B">
        <w:rPr>
          <w:sz w:val="20"/>
          <w:szCs w:val="20"/>
        </w:rPr>
        <w:t>Present: McLachlin C.J. and Abella, Rothstein, Cromwell, Moldaver, Karakatsanis, Wagner, Gascon and Côté JJ.</w:t>
      </w:r>
    </w:p>
    <w:p w:rsidR="001762E7" w:rsidRDefault="001762E7" w:rsidP="001762E7">
      <w:pPr>
        <w:pStyle w:val="SCCNormalDoubleSpacing"/>
        <w:spacing w:line="240" w:lineRule="auto"/>
        <w:rPr>
          <w:sz w:val="20"/>
        </w:rPr>
      </w:pPr>
    </w:p>
    <w:p w:rsidR="001762E7" w:rsidRPr="007D7D5B" w:rsidRDefault="001762E7" w:rsidP="001762E7">
      <w:pPr>
        <w:pStyle w:val="SCCNormalDoubleSpacing"/>
        <w:spacing w:line="240" w:lineRule="auto"/>
        <w:rPr>
          <w:i/>
          <w:sz w:val="20"/>
        </w:rPr>
      </w:pPr>
      <w:r w:rsidRPr="007D7D5B">
        <w:rPr>
          <w:sz w:val="20"/>
        </w:rPr>
        <w:tab/>
      </w:r>
      <w:r w:rsidRPr="007D7D5B">
        <w:rPr>
          <w:i/>
          <w:sz w:val="20"/>
        </w:rPr>
        <w:t xml:space="preserve">Extradition — Surrender order — Judicial review — </w:t>
      </w:r>
      <w:r w:rsidRPr="007D7D5B">
        <w:rPr>
          <w:i/>
          <w:sz w:val="20"/>
          <w:lang w:val="en-US"/>
        </w:rPr>
        <w:t xml:space="preserve">Minister of Justice surrendering accused to U.S. on charges of murder </w:t>
      </w:r>
      <w:r w:rsidRPr="007D7D5B">
        <w:rPr>
          <w:i/>
          <w:sz w:val="20"/>
        </w:rPr>
        <w:t xml:space="preserve">— </w:t>
      </w:r>
      <w:r w:rsidRPr="007D7D5B">
        <w:rPr>
          <w:i/>
          <w:sz w:val="20"/>
          <w:lang w:val="en-US"/>
        </w:rPr>
        <w:t>Whether Minister’s decision to order surrender was reasonable</w:t>
      </w:r>
      <w:r w:rsidRPr="007D7D5B">
        <w:rPr>
          <w:i/>
          <w:sz w:val="20"/>
        </w:rPr>
        <w:t>.</w:t>
      </w:r>
    </w:p>
    <w:p w:rsidR="001762E7" w:rsidRDefault="001762E7" w:rsidP="001762E7">
      <w:pPr>
        <w:pStyle w:val="SCCNormalDoubleSpacing"/>
        <w:spacing w:line="240" w:lineRule="auto"/>
        <w:rPr>
          <w:sz w:val="20"/>
        </w:rPr>
      </w:pPr>
    </w:p>
    <w:p w:rsidR="001762E7" w:rsidRPr="007D7D5B" w:rsidRDefault="001762E7" w:rsidP="001762E7">
      <w:pPr>
        <w:pStyle w:val="SCCNormalDoubleSpacing"/>
        <w:spacing w:line="240" w:lineRule="auto"/>
        <w:rPr>
          <w:sz w:val="20"/>
        </w:rPr>
      </w:pPr>
      <w:r w:rsidRPr="007D7D5B">
        <w:rPr>
          <w:sz w:val="20"/>
        </w:rPr>
        <w:tab/>
        <w:t>The Minister of Justice ordered the surrender of C and a co</w:t>
      </w:r>
      <w:r w:rsidRPr="007D7D5B">
        <w:rPr>
          <w:sz w:val="20"/>
        </w:rPr>
        <w:noBreakHyphen/>
        <w:t xml:space="preserve">accused, B, to the U.S. on charges of first and second degree murder. C was charged on those offences in 1990, but has never been tried. In 2010, the New Hampshire State authorities reopened the investigation into the alleged crimes and in 2011, evidence seized from the crime scene was submitted for DNA testing using techniques that were not available at the time of the initial investigation. C’s </w:t>
      </w:r>
      <w:r w:rsidRPr="007D7D5B">
        <w:rPr>
          <w:sz w:val="20"/>
        </w:rPr>
        <w:lastRenderedPageBreak/>
        <w:t>profile was identified. On judicial review, the Court of Appeal of Quebec concluded that there were no grounds for interfering in the Minister’s decision to extradite C to the United States.</w:t>
      </w:r>
    </w:p>
    <w:p w:rsidR="001762E7" w:rsidRDefault="001762E7" w:rsidP="001762E7">
      <w:pPr>
        <w:pStyle w:val="SCCNormalDoubleSpacing"/>
        <w:spacing w:line="240" w:lineRule="auto"/>
        <w:rPr>
          <w:sz w:val="20"/>
        </w:rPr>
      </w:pPr>
    </w:p>
    <w:p w:rsidR="001762E7" w:rsidRPr="007D7D5B" w:rsidRDefault="001762E7" w:rsidP="001762E7">
      <w:pPr>
        <w:pStyle w:val="SCCNormalDoubleSpacing"/>
        <w:spacing w:line="240" w:lineRule="auto"/>
        <w:rPr>
          <w:sz w:val="20"/>
        </w:rPr>
      </w:pPr>
      <w:r w:rsidRPr="007D7D5B">
        <w:rPr>
          <w:sz w:val="20"/>
        </w:rPr>
        <w:tab/>
      </w:r>
      <w:r w:rsidRPr="007D7D5B">
        <w:rPr>
          <w:i/>
          <w:sz w:val="20"/>
        </w:rPr>
        <w:t>Held</w:t>
      </w:r>
      <w:r w:rsidRPr="007D7D5B">
        <w:rPr>
          <w:sz w:val="20"/>
        </w:rPr>
        <w:t>: The appeal should be dismissed.</w:t>
      </w:r>
    </w:p>
    <w:p w:rsidR="001762E7" w:rsidRDefault="001762E7" w:rsidP="001762E7">
      <w:pPr>
        <w:pStyle w:val="SCCNormalDoubleSpacing"/>
        <w:spacing w:line="240" w:lineRule="auto"/>
        <w:rPr>
          <w:sz w:val="20"/>
        </w:rPr>
      </w:pPr>
    </w:p>
    <w:p w:rsidR="001762E7" w:rsidRDefault="001762E7" w:rsidP="001762E7">
      <w:pPr>
        <w:pStyle w:val="SCCNormalDoubleSpacing"/>
        <w:spacing w:line="240" w:lineRule="auto"/>
        <w:rPr>
          <w:sz w:val="20"/>
        </w:rPr>
      </w:pPr>
      <w:r w:rsidRPr="007D7D5B">
        <w:rPr>
          <w:sz w:val="20"/>
        </w:rPr>
        <w:tab/>
        <w:t>The Court of Appeal did not err in concluding that it was reasonable for the Minister of Justice to order surrender. The fundamental issue for the Minister was whether surrendering C to the “particular treatment” that awaits him in New Hampshire would be contrary to Canadian principles of fundamental justice. The Minister examined all of the relevant circumstances, including the importance of international cooperation in the extradition context. In light of all of these considerations, it was reasonable for him to conclude that it would not offend Canadian principles of fundamental justice or be otherwise unjust or oppressive to leave the decision about whether there should be a trial to the New Hampshire court.</w:t>
      </w:r>
    </w:p>
    <w:p w:rsidR="001762E7" w:rsidRDefault="001762E7" w:rsidP="001762E7">
      <w:pPr>
        <w:pStyle w:val="SCCNormalDoubleSpacing"/>
        <w:spacing w:line="240" w:lineRule="auto"/>
        <w:rPr>
          <w:sz w:val="20"/>
        </w:rPr>
      </w:pPr>
    </w:p>
    <w:p w:rsidR="001762E7" w:rsidRPr="007D7D5B" w:rsidRDefault="001762E7" w:rsidP="001762E7">
      <w:pPr>
        <w:pStyle w:val="SCCNormalDoubleSpacing"/>
        <w:spacing w:line="240" w:lineRule="auto"/>
        <w:rPr>
          <w:rStyle w:val="SCCCounselNameChar"/>
          <w:i w:val="0"/>
          <w:sz w:val="20"/>
        </w:rPr>
      </w:pPr>
      <w:r w:rsidRPr="007D7D5B">
        <w:rPr>
          <w:sz w:val="20"/>
        </w:rPr>
        <w:tab/>
        <w:t>APPEAL from a judgment of the Quebec Court of Appeal (Duval Hesler C.J. and Levesque and Savard JJ.A.), 2013 QCCA 1305, [2013] AZ</w:t>
      </w:r>
      <w:r w:rsidRPr="007D7D5B">
        <w:rPr>
          <w:sz w:val="20"/>
        </w:rPr>
        <w:noBreakHyphen/>
        <w:t>50991418, [2013] Q.J. No. 8752 (QL), 2013 CarswellQue 7615 (WL Can.), dismissing an application for judicial review from a surrender order made by the Minister of Justice. Appeal dismissed.</w:t>
      </w:r>
    </w:p>
    <w:p w:rsidR="001762E7" w:rsidRDefault="001762E7" w:rsidP="001762E7">
      <w:pPr>
        <w:pStyle w:val="SCCNormalDoubleSpacing"/>
        <w:spacing w:line="240" w:lineRule="auto"/>
        <w:rPr>
          <w:rStyle w:val="SCCCounselNameChar"/>
          <w:i w:val="0"/>
          <w:sz w:val="20"/>
        </w:rPr>
      </w:pPr>
    </w:p>
    <w:p w:rsidR="001762E7" w:rsidRPr="007D7D5B" w:rsidRDefault="001762E7" w:rsidP="001762E7">
      <w:pPr>
        <w:pStyle w:val="SCCNormalDoubleSpacing"/>
        <w:spacing w:line="240" w:lineRule="auto"/>
        <w:rPr>
          <w:sz w:val="20"/>
        </w:rPr>
      </w:pPr>
      <w:r w:rsidRPr="007D7D5B">
        <w:rPr>
          <w:rStyle w:val="SCCCounselNameChar"/>
          <w:sz w:val="20"/>
        </w:rPr>
        <w:tab/>
        <w:t>Véronique Courtecuisse</w:t>
      </w:r>
      <w:r w:rsidRPr="00330A54">
        <w:rPr>
          <w:rStyle w:val="SCCCounselSeparatorChar"/>
          <w:sz w:val="20"/>
          <w:lang w:val="en-CA"/>
        </w:rPr>
        <w:t xml:space="preserve"> and </w:t>
      </w:r>
      <w:r w:rsidRPr="007D7D5B">
        <w:rPr>
          <w:rStyle w:val="SCCCounselNameChar"/>
          <w:sz w:val="20"/>
        </w:rPr>
        <w:t>Patrick Cozannet</w:t>
      </w:r>
      <w:r w:rsidRPr="007D7D5B">
        <w:rPr>
          <w:rStyle w:val="SCCCounselPartyRoleChar"/>
          <w:sz w:val="20"/>
        </w:rPr>
        <w:t>, for the appellant.</w:t>
      </w:r>
    </w:p>
    <w:p w:rsidR="001762E7" w:rsidRDefault="001762E7" w:rsidP="001762E7">
      <w:pPr>
        <w:pStyle w:val="SCCNormalDoubleSpacing"/>
        <w:spacing w:line="240" w:lineRule="auto"/>
        <w:rPr>
          <w:rStyle w:val="SCCCounselNameChar"/>
          <w:i w:val="0"/>
          <w:sz w:val="20"/>
        </w:rPr>
      </w:pPr>
    </w:p>
    <w:p w:rsidR="001762E7" w:rsidRPr="007D7D5B" w:rsidRDefault="001762E7" w:rsidP="001762E7">
      <w:pPr>
        <w:pStyle w:val="SCCNormalDoubleSpacing"/>
        <w:spacing w:line="240" w:lineRule="auto"/>
        <w:rPr>
          <w:sz w:val="20"/>
        </w:rPr>
      </w:pPr>
      <w:r w:rsidRPr="007D7D5B">
        <w:rPr>
          <w:rStyle w:val="SCCCounselNameChar"/>
          <w:sz w:val="20"/>
        </w:rPr>
        <w:tab/>
        <w:t xml:space="preserve">Marc Ribeiro </w:t>
      </w:r>
      <w:r w:rsidRPr="00330A54">
        <w:rPr>
          <w:rStyle w:val="SCCCounselSeparatorChar"/>
          <w:sz w:val="20"/>
          <w:lang w:val="en-CA"/>
        </w:rPr>
        <w:t>and</w:t>
      </w:r>
      <w:r w:rsidRPr="007D7D5B">
        <w:rPr>
          <w:rStyle w:val="SCCCounselNameChar"/>
          <w:sz w:val="20"/>
        </w:rPr>
        <w:t xml:space="preserve"> Ginette Gobeil</w:t>
      </w:r>
      <w:r w:rsidRPr="007D7D5B">
        <w:rPr>
          <w:rStyle w:val="SCCCounselPartyRoleChar"/>
          <w:sz w:val="20"/>
        </w:rPr>
        <w:t>, for the respondent.</w:t>
      </w:r>
    </w:p>
    <w:p w:rsidR="001762E7" w:rsidRDefault="001762E7" w:rsidP="001762E7">
      <w:pPr>
        <w:pStyle w:val="SCCLawFirm"/>
        <w:spacing w:line="240" w:lineRule="auto"/>
        <w:rPr>
          <w:sz w:val="20"/>
        </w:rPr>
      </w:pPr>
    </w:p>
    <w:p w:rsidR="001762E7" w:rsidRPr="007D7D5B" w:rsidRDefault="001762E7" w:rsidP="001762E7">
      <w:pPr>
        <w:pStyle w:val="SCCLawFirm"/>
        <w:spacing w:line="240" w:lineRule="auto"/>
        <w:rPr>
          <w:sz w:val="20"/>
          <w:lang w:val="fr-CA"/>
        </w:rPr>
      </w:pPr>
      <w:r w:rsidRPr="007D7D5B">
        <w:rPr>
          <w:sz w:val="20"/>
        </w:rPr>
        <w:tab/>
      </w:r>
      <w:r w:rsidRPr="007D7D5B">
        <w:rPr>
          <w:sz w:val="20"/>
          <w:lang w:val="fr-CA"/>
        </w:rPr>
        <w:t>Solicitors for the appellant: Véronique Courtecuisse, Montréal; Patrick Cozannet, Longueuil.</w:t>
      </w:r>
    </w:p>
    <w:p w:rsidR="001762E7" w:rsidRDefault="001762E7" w:rsidP="001762E7">
      <w:pPr>
        <w:pStyle w:val="SCCLawFirm"/>
        <w:spacing w:line="240" w:lineRule="auto"/>
        <w:rPr>
          <w:sz w:val="20"/>
          <w:lang w:val="fr-CA"/>
        </w:rPr>
      </w:pPr>
    </w:p>
    <w:p w:rsidR="001762E7" w:rsidRDefault="001762E7" w:rsidP="001762E7">
      <w:pPr>
        <w:pStyle w:val="SCCLawFirm"/>
        <w:spacing w:line="240" w:lineRule="auto"/>
        <w:rPr>
          <w:sz w:val="20"/>
        </w:rPr>
      </w:pPr>
      <w:r w:rsidRPr="007D7D5B">
        <w:rPr>
          <w:sz w:val="20"/>
          <w:lang w:val="fr-CA"/>
        </w:rPr>
        <w:tab/>
      </w:r>
      <w:r w:rsidRPr="007D7D5B">
        <w:rPr>
          <w:sz w:val="20"/>
        </w:rPr>
        <w:t>Solicitor for the respondent: Attorney General of Canada, Montréal.</w:t>
      </w:r>
    </w:p>
    <w:p w:rsidR="00B42CEF" w:rsidRPr="001762E7" w:rsidRDefault="00B42CEF" w:rsidP="00B42CEF">
      <w:pPr>
        <w:rPr>
          <w:sz w:val="20"/>
          <w:szCs w:val="20"/>
        </w:rPr>
      </w:pPr>
    </w:p>
    <w:p w:rsidR="00B42CEF" w:rsidRDefault="001D3FE1" w:rsidP="00B42CEF">
      <w:pPr>
        <w:rPr>
          <w:rFonts w:cs="Times New Roman"/>
          <w:sz w:val="20"/>
          <w:szCs w:val="20"/>
          <w:lang w:val="fr-CA"/>
        </w:rPr>
      </w:pPr>
      <w:r>
        <w:rPr>
          <w:rFonts w:cs="Times New Roman"/>
          <w:sz w:val="20"/>
          <w:szCs w:val="20"/>
          <w:lang w:val="fr-CA"/>
        </w:rPr>
        <w:pict>
          <v:rect id="_x0000_i1081" style="width:144.3pt;height:1pt" o:hrpct="300" o:hralign="center" o:hrstd="t" o:hrnoshade="t" o:hr="t" fillcolor="black [3213]" stroked="f"/>
        </w:pict>
      </w:r>
    </w:p>
    <w:p w:rsidR="00B42CEF" w:rsidRDefault="00B42CEF" w:rsidP="00902E51">
      <w:pPr>
        <w:rPr>
          <w:rFonts w:cs="Times New Roman"/>
          <w:sz w:val="20"/>
          <w:szCs w:val="20"/>
          <w:lang w:val="fr-CA"/>
        </w:rPr>
      </w:pPr>
    </w:p>
    <w:p w:rsidR="00B42CEF" w:rsidRDefault="00B42CEF" w:rsidP="00902E51">
      <w:pPr>
        <w:rPr>
          <w:rFonts w:cs="Times New Roman"/>
          <w:sz w:val="20"/>
          <w:szCs w:val="20"/>
          <w:lang w:val="fr-CA"/>
        </w:rPr>
      </w:pPr>
    </w:p>
    <w:p w:rsidR="00B42CEF" w:rsidRDefault="00B42CEF"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576" w:footer="960" w:gutter="0"/>
          <w:cols w:space="720"/>
          <w:titlePg/>
          <w:docGrid w:linePitch="272"/>
        </w:sectPr>
      </w:pPr>
    </w:p>
    <w:p w:rsidR="008112A9" w:rsidRPr="002E0C7E" w:rsidRDefault="00C1696D"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CC3FC5">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DECEMBER - DÉCEMBRE</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M</w:t>
            </w: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13</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CC3FC5">
            <w:pPr>
              <w:widowControl w:val="0"/>
              <w:jc w:val="center"/>
              <w:rPr>
                <w:rFonts w:ascii="Arial" w:hAnsi="Arial"/>
                <w:b/>
                <w:sz w:val="14"/>
              </w:rPr>
            </w:pPr>
            <w:r w:rsidRPr="004F066E">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20</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C3FC5">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CC3FC5">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CC3FC5">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MARCH - MARS</w:t>
            </w:r>
          </w:p>
        </w:tc>
      </w:tr>
      <w:tr w:rsidR="008112A9" w:rsidRPr="002E0C7E" w:rsidTr="00CC3FC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CC3FC5">
            <w:pPr>
              <w:widowControl w:val="0"/>
              <w:jc w:val="center"/>
              <w:rPr>
                <w:rFonts w:ascii="Arial" w:hAnsi="Arial"/>
                <w:b/>
                <w:sz w:val="14"/>
              </w:rPr>
            </w:pPr>
            <w:r w:rsidRPr="004F066E">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14</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CC3FC5">
            <w:pPr>
              <w:widowControl w:val="0"/>
              <w:jc w:val="center"/>
              <w:rPr>
                <w:rFonts w:ascii="Arial" w:hAnsi="Arial"/>
                <w:b/>
                <w:sz w:val="14"/>
              </w:rPr>
            </w:pPr>
            <w:r w:rsidRPr="009900C5">
              <w:rPr>
                <w:rFonts w:ascii="Arial" w:hAnsi="Arial"/>
                <w:b/>
                <w:sz w:val="14"/>
              </w:rPr>
              <w:t>M</w:t>
            </w: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CC3FC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CC3FC5">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C3FC5">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C3FC5">
            <w:pPr>
              <w:widowControl w:val="0"/>
              <w:jc w:val="center"/>
              <w:rPr>
                <w:rFonts w:ascii="Arial" w:hAnsi="Arial"/>
                <w:sz w:val="14"/>
              </w:rPr>
            </w:pPr>
            <w:r w:rsidRPr="002E0C7E">
              <w:rPr>
                <w:rFonts w:ascii="Arial" w:hAnsi="Arial"/>
                <w:b/>
                <w:sz w:val="14"/>
              </w:rPr>
              <w:t>JUNE - JUIN</w:t>
            </w:r>
          </w:p>
        </w:tc>
      </w:tr>
      <w:tr w:rsidR="008112A9" w:rsidRPr="002E0C7E" w:rsidTr="00CC3FC5">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S</w:t>
            </w:r>
          </w:p>
          <w:p w:rsidR="008112A9" w:rsidRPr="002E0C7E" w:rsidRDefault="008112A9" w:rsidP="00CC3FC5">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M</w:t>
            </w:r>
          </w:p>
          <w:p w:rsidR="008112A9" w:rsidRPr="002E0C7E" w:rsidRDefault="008112A9" w:rsidP="00CC3FC5">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W</w:t>
            </w:r>
          </w:p>
          <w:p w:rsidR="008112A9" w:rsidRPr="002E0C7E" w:rsidRDefault="008112A9" w:rsidP="00CC3FC5">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T</w:t>
            </w:r>
          </w:p>
          <w:p w:rsidR="008112A9" w:rsidRPr="002E0C7E" w:rsidRDefault="008112A9" w:rsidP="00CC3FC5">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sidRPr="002E0C7E">
              <w:rPr>
                <w:rFonts w:ascii="Arial" w:hAnsi="Arial"/>
                <w:sz w:val="14"/>
              </w:rPr>
              <w:t>F</w:t>
            </w:r>
          </w:p>
          <w:p w:rsidR="008112A9" w:rsidRPr="002E0C7E" w:rsidRDefault="008112A9" w:rsidP="00CC3FC5">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r>
              <w:rPr>
                <w:rFonts w:ascii="Arial" w:hAnsi="Arial"/>
                <w:sz w:val="14"/>
              </w:rPr>
              <w:t>S</w:t>
            </w:r>
          </w:p>
          <w:p w:rsidR="008112A9" w:rsidRPr="002E0C7E" w:rsidRDefault="008112A9" w:rsidP="00CC3FC5">
            <w:pPr>
              <w:widowControl w:val="0"/>
              <w:jc w:val="center"/>
              <w:rPr>
                <w:rFonts w:ascii="Arial" w:hAnsi="Arial"/>
                <w:sz w:val="14"/>
              </w:rPr>
            </w:pPr>
            <w:r>
              <w:rPr>
                <w:rFonts w:ascii="Arial" w:hAnsi="Arial"/>
                <w:sz w:val="14"/>
              </w:rPr>
              <w:t>S</w:t>
            </w:r>
          </w:p>
        </w:tc>
      </w:tr>
      <w:tr w:rsidR="008112A9" w:rsidRPr="002E0C7E" w:rsidTr="00CC3FC5">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13</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CC3FC5">
            <w:pPr>
              <w:widowControl w:val="0"/>
              <w:jc w:val="center"/>
              <w:rPr>
                <w:rFonts w:ascii="Arial" w:hAnsi="Arial"/>
                <w:b/>
                <w:sz w:val="14"/>
              </w:rPr>
            </w:pPr>
            <w:r>
              <w:rPr>
                <w:rFonts w:ascii="Arial" w:hAnsi="Arial"/>
                <w:b/>
                <w:sz w:val="14"/>
              </w:rPr>
              <w:t>M</w:t>
            </w: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CC3FC5">
            <w:pPr>
              <w:widowControl w:val="0"/>
              <w:jc w:val="center"/>
              <w:rPr>
                <w:rFonts w:ascii="Arial" w:hAnsi="Arial"/>
                <w:b/>
                <w:sz w:val="14"/>
              </w:rPr>
            </w:pPr>
            <w:r w:rsidRPr="002453E3">
              <w:rPr>
                <w:rFonts w:ascii="Arial" w:hAnsi="Arial"/>
                <w:b/>
                <w:sz w:val="14"/>
              </w:rPr>
              <w:t>M</w:t>
            </w: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20</w:t>
            </w:r>
          </w:p>
        </w:tc>
      </w:tr>
      <w:tr w:rsidR="008112A9" w:rsidRPr="002E0C7E" w:rsidTr="00CC3FC5">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CC3FC5">
            <w:pPr>
              <w:widowControl w:val="0"/>
              <w:jc w:val="center"/>
              <w:rPr>
                <w:rFonts w:ascii="Arial" w:hAnsi="Arial"/>
                <w:b/>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CC3FC5">
            <w:pPr>
              <w:widowControl w:val="0"/>
              <w:jc w:val="center"/>
              <w:rPr>
                <w:rFonts w:ascii="Arial" w:hAnsi="Arial"/>
                <w:b/>
                <w:sz w:val="14"/>
              </w:rPr>
            </w:pPr>
            <w:r>
              <w:rPr>
                <w:rFonts w:ascii="Arial" w:hAnsi="Arial"/>
                <w:b/>
                <w:sz w:val="14"/>
              </w:rPr>
              <w:t>H</w:t>
            </w:r>
          </w:p>
          <w:p w:rsidR="008112A9" w:rsidRPr="002E0C7E" w:rsidRDefault="008112A9" w:rsidP="00CC3FC5">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C3FC5">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C3FC5">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CC3FC5">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C3FC5">
            <w:pPr>
              <w:widowControl w:val="0"/>
              <w:jc w:val="center"/>
              <w:rPr>
                <w:rFonts w:ascii="Arial" w:hAnsi="Arial"/>
                <w:sz w:val="14"/>
              </w:rPr>
            </w:pPr>
          </w:p>
          <w:p w:rsidR="008112A9" w:rsidRPr="002E0C7E" w:rsidRDefault="008112A9" w:rsidP="00CC3FC5">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CC3FC5">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CC3FC5">
            <w:pPr>
              <w:widowControl w:val="0"/>
              <w:rPr>
                <w:rFonts w:ascii="Arial" w:hAnsi="Arial"/>
                <w:sz w:val="16"/>
              </w:rPr>
            </w:pPr>
            <w:r w:rsidRPr="002E0C7E">
              <w:rPr>
                <w:rFonts w:ascii="Arial" w:hAnsi="Arial"/>
                <w:sz w:val="16"/>
              </w:rPr>
              <w:t>Sittings of the court:</w:t>
            </w:r>
          </w:p>
          <w:p w:rsidR="008112A9" w:rsidRPr="002E0C7E" w:rsidRDefault="008112A9" w:rsidP="00CC3FC5">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CC3FC5">
            <w:pPr>
              <w:widowControl w:val="0"/>
              <w:rPr>
                <w:rFonts w:ascii="Arial" w:hAnsi="Arial"/>
                <w:sz w:val="16"/>
              </w:rPr>
            </w:pPr>
          </w:p>
          <w:p w:rsidR="008112A9" w:rsidRPr="002E0C7E" w:rsidRDefault="008112A9" w:rsidP="00CC3FC5">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C3F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C3FC5">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CC3FC5">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C3FC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6"/>
      <w:footerReference w:type="default" r:id="rId8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E7" w:rsidRDefault="001762E7" w:rsidP="00A87207">
      <w:r>
        <w:separator/>
      </w:r>
    </w:p>
  </w:endnote>
  <w:endnote w:type="continuationSeparator" w:id="0">
    <w:p w:rsidR="001762E7" w:rsidRDefault="001762E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pPr>
      <w:pStyle w:val="Footer"/>
      <w:rPr>
        <w:lang w:val="fr-CA"/>
      </w:rPr>
    </w:pPr>
    <w:r>
      <w:rPr>
        <w:lang w:val="fr-CA"/>
      </w:rPr>
      <w:pict>
        <v:rect id="_x0000_i1059" style="width:480.95pt;height:1pt" o:hralign="center" o:hrstd="t" o:hrnoshade="t" o:hr="t" fillcolor="black [3213]" stroked="f"/>
      </w:pict>
    </w:r>
  </w:p>
  <w:p w:rsidR="001762E7" w:rsidRDefault="001762E7" w:rsidP="00245129">
    <w:pPr>
      <w:tabs>
        <w:tab w:val="center" w:pos="4680"/>
      </w:tabs>
    </w:pPr>
    <w:r>
      <w:tab/>
    </w:r>
    <w:r w:rsidRPr="0009648D">
      <w:t xml:space="preserve">- </w:t>
    </w:r>
    <w:r w:rsidR="00C7284F">
      <w:fldChar w:fldCharType="begin"/>
    </w:r>
    <w:r w:rsidR="00C7284F">
      <w:instrText xml:space="preserve"> PAGE   \* MERGEFORMAT </w:instrText>
    </w:r>
    <w:r w:rsidR="00C7284F">
      <w:fldChar w:fldCharType="separate"/>
    </w:r>
    <w:r w:rsidR="001D3FE1">
      <w:rPr>
        <w:noProof/>
      </w:rPr>
      <w:t>941</w:t>
    </w:r>
    <w:r w:rsidR="00C7284F">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62E7" w:rsidRDefault="001762E7">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755F22">
    <w:pPr>
      <w:tabs>
        <w:tab w:val="left" w:pos="-1440"/>
        <w:tab w:val="left" w:pos="-720"/>
      </w:tabs>
    </w:pPr>
    <w:r>
      <w:pict>
        <v:rect id="_x0000_i1062" style="width:480.95pt;height:1pt" o:hralign="center" o:hrstd="t" o:hrnoshade="t" o:hr="t" fillcolor="black [3213]" stroked="f"/>
      </w:pict>
    </w:r>
  </w:p>
  <w:p w:rsidR="001762E7" w:rsidRDefault="001762E7" w:rsidP="00EB2B90">
    <w:pPr>
      <w:tabs>
        <w:tab w:val="center" w:pos="4680"/>
      </w:tabs>
    </w:pPr>
    <w:r>
      <w:tab/>
      <w:t xml:space="preserve">- </w:t>
    </w:r>
    <w:r w:rsidR="00C7284F">
      <w:fldChar w:fldCharType="begin"/>
    </w:r>
    <w:r w:rsidR="00C7284F">
      <w:instrText xml:space="preserve"> PAGE   \* MERGEFORMAT </w:instrText>
    </w:r>
    <w:r w:rsidR="00C7284F">
      <w:fldChar w:fldCharType="separate"/>
    </w:r>
    <w:r w:rsidR="001D3FE1">
      <w:rPr>
        <w:noProof/>
      </w:rPr>
      <w:t>961</w:t>
    </w:r>
    <w:r w:rsidR="00C7284F">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EB2B90">
    <w:pPr>
      <w:tabs>
        <w:tab w:val="center" w:pos="4680"/>
      </w:tabs>
    </w:pPr>
    <w:r>
      <w:pict>
        <v:rect id="_x0000_i1063" style="width:480.95pt;height:1pt" o:hralign="center" o:hrstd="t" o:hrnoshade="t" o:hr="t" fillcolor="black [3213]" stroked="f"/>
      </w:pict>
    </w:r>
  </w:p>
  <w:p w:rsidR="001762E7" w:rsidRPr="0031432F" w:rsidRDefault="001762E7" w:rsidP="00EB2B90">
    <w:pPr>
      <w:tabs>
        <w:tab w:val="center" w:pos="4680"/>
      </w:tabs>
    </w:pPr>
    <w:r>
      <w:tab/>
      <w:t xml:space="preserve">- </w:t>
    </w:r>
    <w:r w:rsidR="00C7284F">
      <w:fldChar w:fldCharType="begin"/>
    </w:r>
    <w:r w:rsidR="00C7284F">
      <w:instrText xml:space="preserve"> PAGE   \* MERGEFORMAT </w:instrText>
    </w:r>
    <w:r w:rsidR="00C7284F">
      <w:fldChar w:fldCharType="separate"/>
    </w:r>
    <w:r w:rsidR="001D3FE1">
      <w:rPr>
        <w:noProof/>
      </w:rPr>
      <w:t>959</w:t>
    </w:r>
    <w:r w:rsidR="00C7284F">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62E7" w:rsidRDefault="001762E7">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1762E7" w:rsidRDefault="001762E7" w:rsidP="00EB2B90">
    <w:pPr>
      <w:tabs>
        <w:tab w:val="center" w:pos="4680"/>
      </w:tabs>
    </w:pPr>
    <w:r>
      <w:tab/>
      <w:t xml:space="preserve">- </w:t>
    </w:r>
    <w:r w:rsidR="00C7284F">
      <w:fldChar w:fldCharType="begin"/>
    </w:r>
    <w:r w:rsidR="00C7284F">
      <w:instrText xml:space="preserve"> PAGE   \* MERGEFORMAT </w:instrText>
    </w:r>
    <w:r w:rsidR="00C7284F">
      <w:fldChar w:fldCharType="separate"/>
    </w:r>
    <w:r>
      <w:rPr>
        <w:noProof/>
      </w:rPr>
      <w:t>524</w:t>
    </w:r>
    <w:r w:rsidR="00C7284F">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pPr>
      <w:pStyle w:val="Footer"/>
      <w:rPr>
        <w:lang w:val="fr-CA"/>
      </w:rPr>
    </w:pPr>
    <w:r>
      <w:rPr>
        <w:lang w:val="fr-CA"/>
      </w:rPr>
      <w:pict>
        <v:rect id="_x0000_i1070" style="width:480.95pt;height:1pt" o:hralign="center" o:hrstd="t" o:hrnoshade="t" o:hr="t" fillcolor="black [3213]" stroked="f"/>
      </w:pict>
    </w:r>
  </w:p>
  <w:p w:rsidR="001762E7" w:rsidRDefault="001762E7" w:rsidP="00EB2B90">
    <w:pPr>
      <w:tabs>
        <w:tab w:val="center" w:pos="4680"/>
      </w:tabs>
    </w:pPr>
    <w:r>
      <w:tab/>
      <w:t xml:space="preserve">- </w:t>
    </w:r>
    <w:r w:rsidR="00C7284F">
      <w:fldChar w:fldCharType="begin"/>
    </w:r>
    <w:r w:rsidR="00C7284F">
      <w:instrText xml:space="preserve"> PAGE   \* MERGEFORMAT </w:instrText>
    </w:r>
    <w:r w:rsidR="00C7284F">
      <w:fldChar w:fldCharType="separate"/>
    </w:r>
    <w:r w:rsidR="001D3FE1">
      <w:rPr>
        <w:noProof/>
      </w:rPr>
      <w:t>962</w:t>
    </w:r>
    <w:r w:rsidR="00C7284F">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62E7" w:rsidRDefault="001762E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732DB7">
    <w:r>
      <w:pict>
        <v:rect id="_x0000_i1074" style="width:480.95pt;height:1pt" o:hralign="center" o:hrstd="t" o:hrnoshade="t" o:hr="t" fillcolor="black" stroked="f"/>
      </w:pict>
    </w:r>
  </w:p>
  <w:p w:rsidR="001762E7" w:rsidRDefault="001762E7">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pPr>
      <w:pStyle w:val="Footer"/>
    </w:pPr>
    <w:r>
      <w:pict>
        <v:rect id="_x0000_i1075" style="width:480.95pt;height:1pt" o:hralign="center" o:hrstd="t" o:hrnoshade="t" o:hr="t" fillcolor="black [3213]" stroked="f"/>
      </w:pict>
    </w:r>
  </w:p>
  <w:p w:rsidR="001762E7" w:rsidRPr="003C2C0F" w:rsidRDefault="001762E7" w:rsidP="00697C62">
    <w:pPr>
      <w:tabs>
        <w:tab w:val="center" w:pos="4680"/>
      </w:tabs>
    </w:pPr>
    <w:r>
      <w:tab/>
      <w:t xml:space="preserve">- </w:t>
    </w:r>
    <w:r w:rsidR="00C7284F">
      <w:fldChar w:fldCharType="begin"/>
    </w:r>
    <w:r w:rsidR="00C7284F">
      <w:instrText xml:space="preserve"> PAGE   \* MERGEFORMAT </w:instrText>
    </w:r>
    <w:r w:rsidR="00C7284F">
      <w:fldChar w:fldCharType="separate"/>
    </w:r>
    <w:r w:rsidR="001D3FE1">
      <w:rPr>
        <w:noProof/>
      </w:rPr>
      <w:t>963</w:t>
    </w:r>
    <w:r w:rsidR="00C7284F">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62E7" w:rsidRDefault="001762E7">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762E7" w:rsidRDefault="001D3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1762E7" w:rsidRDefault="001762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D3FE1">
      <w:rPr>
        <w:noProof/>
        <w:szCs w:val="24"/>
      </w:rPr>
      <w:t>970</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782AE4">
    <w:pPr>
      <w:tabs>
        <w:tab w:val="center" w:pos="4680"/>
      </w:tabs>
    </w:pPr>
    <w:r>
      <w:pict>
        <v:rect id="_x0000_i1083" style="width:480.95pt;height:1pt" o:hralign="center" o:hrstd="t" o:hrnoshade="t" o:hr="t" fillcolor="black [3213]" stroked="f"/>
      </w:pict>
    </w:r>
  </w:p>
  <w:p w:rsidR="001762E7" w:rsidRDefault="001762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D3FE1">
      <w:rPr>
        <w:noProof/>
        <w:szCs w:val="24"/>
      </w:rPr>
      <w:t>964</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Pr="00924065" w:rsidRDefault="001762E7"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A87207">
    <w:pPr>
      <w:pStyle w:val="Footer"/>
    </w:pPr>
    <w:r>
      <w:pict>
        <v:rect id="_x0000_i1033" style="width:480.95pt;height:1pt" o:hralign="center" o:hrstd="t" o:hrnoshade="t" o:hr="t" fillcolor="black [3213]" stroked="f"/>
      </w:pict>
    </w:r>
  </w:p>
  <w:p w:rsidR="001762E7" w:rsidRPr="00B7374B" w:rsidRDefault="001762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939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755F22">
    <w:pPr>
      <w:tabs>
        <w:tab w:val="left" w:pos="-1440"/>
        <w:tab w:val="left" w:pos="-720"/>
      </w:tabs>
    </w:pPr>
    <w:r>
      <w:pict>
        <v:rect id="_x0000_i1034" style="width:480.95pt;height:1pt" o:hralign="center" o:hrstd="t" o:hrnoshade="t" o:hr="t" fillcolor="black [3213]" stroked="f"/>
      </w:pict>
    </w:r>
  </w:p>
  <w:p w:rsidR="001762E7" w:rsidRPr="00954D22" w:rsidRDefault="001762E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D3FE1">
      <w:rPr>
        <w:noProof/>
        <w:szCs w:val="24"/>
      </w:rPr>
      <w:t>939</w:t>
    </w:r>
    <w:r>
      <w:rPr>
        <w:szCs w:val="24"/>
      </w:rPr>
      <w:fldChar w:fldCharType="end"/>
    </w:r>
    <w:r w:rsidRPr="00954D22">
      <w:rPr>
        <w:szCs w:val="24"/>
      </w:rPr>
      <w:t xml:space="preserve"> -</w:t>
    </w:r>
  </w:p>
  <w:p w:rsidR="001762E7" w:rsidRDefault="001762E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A87207">
    <w:pPr>
      <w:pStyle w:val="Footer"/>
    </w:pPr>
    <w:r>
      <w:pict>
        <v:rect id="_x0000_i1036" style="width:480.95pt;height:1pt" o:hralign="center" o:hrstd="t" o:hrnoshade="t" o:hr="t" fillcolor="black [3213]" stroked="f"/>
      </w:pict>
    </w:r>
  </w:p>
  <w:p w:rsidR="001762E7" w:rsidRPr="00B7374B" w:rsidRDefault="001762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1762E7" w:rsidRPr="00954D22" w:rsidRDefault="001762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D3FE1">
      <w:rPr>
        <w:noProof/>
        <w:szCs w:val="24"/>
      </w:rPr>
      <w:t>940</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762E7" w:rsidRDefault="001762E7">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D3F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1762E7" w:rsidRPr="0009648D" w:rsidRDefault="001762E7" w:rsidP="00ED7E83">
    <w:pPr>
      <w:tabs>
        <w:tab w:val="center" w:pos="4680"/>
      </w:tabs>
    </w:pPr>
    <w:r>
      <w:tab/>
    </w:r>
    <w:r w:rsidRPr="0009648D">
      <w:t xml:space="preserve">- </w:t>
    </w:r>
    <w:r w:rsidR="00C7284F">
      <w:fldChar w:fldCharType="begin"/>
    </w:r>
    <w:r w:rsidR="00C7284F">
      <w:instrText xml:space="preserve"> PAGE   \* MERGEFORMAT </w:instrText>
    </w:r>
    <w:r w:rsidR="00C7284F">
      <w:fldChar w:fldCharType="separate"/>
    </w:r>
    <w:r w:rsidR="001D3FE1">
      <w:rPr>
        <w:noProof/>
      </w:rPr>
      <w:t>951</w:t>
    </w:r>
    <w:r w:rsidR="00C7284F">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E7" w:rsidRDefault="001762E7" w:rsidP="00A87207">
      <w:r>
        <w:separator/>
      </w:r>
    </w:p>
  </w:footnote>
  <w:footnote w:type="continuationSeparator" w:id="0">
    <w:p w:rsidR="001762E7" w:rsidRDefault="001762E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62E7">
      <w:tc>
        <w:tcPr>
          <w:tcW w:w="423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762E7"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62E7"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762E7">
      <w:trPr>
        <w:gridAfter w:val="2"/>
        <w:wAfter w:w="5250" w:type="dxa"/>
      </w:trPr>
      <w:tc>
        <w:tcPr>
          <w:tcW w:w="4230" w:type="dxa"/>
          <w:tcMar>
            <w:left w:w="0" w:type="dxa"/>
            <w:right w:w="0" w:type="dxa"/>
          </w:tcMar>
        </w:tcPr>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62E7" w:rsidRPr="00755F22" w:rsidTr="00245129">
      <w:tc>
        <w:tcPr>
          <w:tcW w:w="4230" w:type="dxa"/>
          <w:tcMar>
            <w:left w:w="0" w:type="dxa"/>
            <w:right w:w="0" w:type="dxa"/>
          </w:tcMar>
        </w:tcPr>
        <w:p w:rsidR="001762E7" w:rsidRPr="00755F22" w:rsidRDefault="001762E7" w:rsidP="00831CA9">
          <w:pPr>
            <w:keepNext/>
            <w:keepLines/>
            <w:rPr>
              <w:sz w:val="20"/>
              <w:szCs w:val="20"/>
            </w:rPr>
          </w:pPr>
          <w:r w:rsidRPr="00755F22">
            <w:rPr>
              <w:sz w:val="20"/>
              <w:szCs w:val="20"/>
            </w:rPr>
            <w:t>MOTIONS</w:t>
          </w:r>
        </w:p>
      </w:tc>
      <w:tc>
        <w:tcPr>
          <w:tcW w:w="1170" w:type="dxa"/>
          <w:tcMar>
            <w:left w:w="0" w:type="dxa"/>
            <w:right w:w="0" w:type="dxa"/>
          </w:tcMar>
        </w:tcPr>
        <w:p w:rsidR="001762E7" w:rsidRPr="00755F22" w:rsidRDefault="001762E7" w:rsidP="00831CA9">
          <w:pPr>
            <w:keepLines/>
            <w:jc w:val="center"/>
            <w:rPr>
              <w:sz w:val="20"/>
              <w:szCs w:val="20"/>
            </w:rPr>
          </w:pPr>
        </w:p>
        <w:p w:rsidR="001762E7" w:rsidRPr="00755F22" w:rsidRDefault="001762E7" w:rsidP="00831CA9">
          <w:pPr>
            <w:keepLines/>
            <w:tabs>
              <w:tab w:val="left" w:pos="-1440"/>
              <w:tab w:val="left" w:pos="-720"/>
            </w:tabs>
            <w:jc w:val="center"/>
            <w:rPr>
              <w:sz w:val="20"/>
              <w:szCs w:val="20"/>
            </w:rPr>
          </w:pPr>
        </w:p>
      </w:tc>
      <w:tc>
        <w:tcPr>
          <w:tcW w:w="4080" w:type="dxa"/>
          <w:tcMar>
            <w:left w:w="0" w:type="dxa"/>
            <w:right w:w="0" w:type="dxa"/>
          </w:tcMar>
        </w:tcPr>
        <w:p w:rsidR="001762E7" w:rsidRPr="00BA6468" w:rsidRDefault="001762E7" w:rsidP="00BA6468">
          <w:pPr>
            <w:keepLines/>
            <w:rPr>
              <w:sz w:val="20"/>
              <w:szCs w:val="20"/>
              <w:lang w:val="fr-CA"/>
            </w:rPr>
          </w:pPr>
          <w:r w:rsidRPr="00BA6468">
            <w:rPr>
              <w:sz w:val="20"/>
              <w:szCs w:val="20"/>
              <w:lang w:val="fr-CA"/>
            </w:rPr>
            <w:t>REQUÊTES</w:t>
          </w:r>
        </w:p>
      </w:tc>
    </w:tr>
  </w:tbl>
  <w:p w:rsidR="001762E7" w:rsidRDefault="001762E7"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tc>
        <w:tcPr>
          <w:tcW w:w="420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62E7" w:rsidRPr="00B01A03"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1762E7" w:rsidRPr="00B01A03"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1762E7" w:rsidRPr="00B01A03"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1762E7" w:rsidRPr="00C11D3B" w:rsidTr="00245129">
      <w:tc>
        <w:tcPr>
          <w:tcW w:w="4200" w:type="dxa"/>
          <w:tcMar>
            <w:left w:w="0" w:type="dxa"/>
            <w:right w:w="0" w:type="dxa"/>
          </w:tcMar>
        </w:tcPr>
        <w:p w:rsidR="001762E7" w:rsidRPr="00F40249" w:rsidRDefault="001762E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1762E7" w:rsidRDefault="001762E7" w:rsidP="00102926">
          <w:pPr>
            <w:keepNext/>
            <w:keepLines/>
            <w:tabs>
              <w:tab w:val="left" w:pos="-1440"/>
              <w:tab w:val="left" w:pos="-720"/>
            </w:tabs>
            <w:jc w:val="center"/>
            <w:rPr>
              <w:sz w:val="20"/>
              <w:szCs w:val="20"/>
            </w:rPr>
          </w:pPr>
        </w:p>
        <w:p w:rsidR="001762E7" w:rsidRDefault="001762E7" w:rsidP="00102926">
          <w:pPr>
            <w:keepNext/>
            <w:keepLines/>
            <w:tabs>
              <w:tab w:val="left" w:pos="-1440"/>
              <w:tab w:val="left" w:pos="-720"/>
            </w:tabs>
            <w:jc w:val="center"/>
            <w:rPr>
              <w:sz w:val="20"/>
              <w:szCs w:val="20"/>
            </w:rPr>
          </w:pPr>
        </w:p>
        <w:p w:rsidR="001762E7" w:rsidRPr="00F40249" w:rsidRDefault="001762E7" w:rsidP="00102926">
          <w:pPr>
            <w:keepNext/>
            <w:keepLines/>
            <w:tabs>
              <w:tab w:val="left" w:pos="-1440"/>
              <w:tab w:val="left" w:pos="-720"/>
            </w:tabs>
            <w:jc w:val="center"/>
            <w:rPr>
              <w:sz w:val="20"/>
              <w:szCs w:val="20"/>
            </w:rPr>
          </w:pPr>
        </w:p>
      </w:tc>
      <w:tc>
        <w:tcPr>
          <w:tcW w:w="4230" w:type="dxa"/>
          <w:tcMar>
            <w:left w:w="0" w:type="dxa"/>
            <w:right w:w="0" w:type="dxa"/>
          </w:tcMar>
        </w:tcPr>
        <w:p w:rsidR="001762E7" w:rsidRPr="00F40249" w:rsidRDefault="001762E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1762E7" w:rsidRPr="00B01A03" w:rsidRDefault="001762E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tc>
        <w:tcPr>
          <w:tcW w:w="420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762E7" w:rsidRPr="003C2C0F"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762E7" w:rsidRPr="003C2C0F"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762E7" w:rsidRPr="003C2C0F"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rsidTr="00245129">
      <w:tc>
        <w:tcPr>
          <w:tcW w:w="4200" w:type="dxa"/>
          <w:tcMar>
            <w:left w:w="0" w:type="dxa"/>
            <w:right w:w="0" w:type="dxa"/>
          </w:tcMar>
        </w:tcPr>
        <w:p w:rsidR="001762E7" w:rsidRPr="00FF6EEC" w:rsidRDefault="001762E7" w:rsidP="00FF6EEC">
          <w:pPr>
            <w:rPr>
              <w:sz w:val="20"/>
              <w:szCs w:val="20"/>
            </w:rPr>
          </w:pPr>
          <w:r w:rsidRPr="00FF6EEC">
            <w:rPr>
              <w:sz w:val="20"/>
              <w:szCs w:val="20"/>
            </w:rPr>
            <w:t>PRONOUNCEMENTS OF APPEALS RESERVED</w:t>
          </w:r>
        </w:p>
      </w:tc>
      <w:tc>
        <w:tcPr>
          <w:tcW w:w="1200" w:type="dxa"/>
          <w:tcMar>
            <w:left w:w="0" w:type="dxa"/>
            <w:right w:w="0" w:type="dxa"/>
          </w:tcMar>
        </w:tcPr>
        <w:p w:rsidR="001762E7" w:rsidRPr="00FF6EEC" w:rsidRDefault="001762E7" w:rsidP="00FF6EEC">
          <w:pPr>
            <w:jc w:val="center"/>
            <w:rPr>
              <w:sz w:val="20"/>
              <w:szCs w:val="20"/>
            </w:rPr>
          </w:pPr>
        </w:p>
        <w:p w:rsidR="001762E7" w:rsidRPr="00FF6EEC" w:rsidRDefault="001762E7" w:rsidP="00FF6EEC">
          <w:pPr>
            <w:jc w:val="center"/>
            <w:rPr>
              <w:sz w:val="20"/>
              <w:szCs w:val="20"/>
            </w:rPr>
          </w:pPr>
        </w:p>
        <w:p w:rsidR="001762E7" w:rsidRPr="00FF6EEC" w:rsidRDefault="001762E7" w:rsidP="00FF6EEC">
          <w:pPr>
            <w:jc w:val="center"/>
            <w:rPr>
              <w:sz w:val="20"/>
              <w:szCs w:val="20"/>
            </w:rPr>
          </w:pPr>
        </w:p>
      </w:tc>
      <w:tc>
        <w:tcPr>
          <w:tcW w:w="4080" w:type="dxa"/>
          <w:tcMar>
            <w:left w:w="0" w:type="dxa"/>
            <w:right w:w="0" w:type="dxa"/>
          </w:tcMar>
        </w:tcPr>
        <w:p w:rsidR="001762E7" w:rsidRPr="00FF6EEC" w:rsidRDefault="001762E7" w:rsidP="00FF6EEC">
          <w:pPr>
            <w:rPr>
              <w:sz w:val="20"/>
              <w:szCs w:val="20"/>
              <w:lang w:val="fr-CA"/>
            </w:rPr>
          </w:pPr>
          <w:r w:rsidRPr="00FF6EEC">
            <w:rPr>
              <w:sz w:val="20"/>
              <w:szCs w:val="20"/>
              <w:lang w:val="fr-CA"/>
            </w:rPr>
            <w:t>JUGEMENTS RENDUS SUR LES APPELS EN DÉLIBÉRÉ</w:t>
          </w:r>
        </w:p>
      </w:tc>
    </w:tr>
  </w:tbl>
  <w:p w:rsidR="001762E7" w:rsidRPr="003C2C0F" w:rsidRDefault="001762E7"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762E7">
      <w:tc>
        <w:tcPr>
          <w:tcW w:w="423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762E7"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762E7"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762E7" w:rsidRPr="00782AE4" w:rsidTr="00245129">
      <w:tc>
        <w:tcPr>
          <w:tcW w:w="4230" w:type="dxa"/>
          <w:tcMar>
            <w:left w:w="0" w:type="dxa"/>
            <w:right w:w="0" w:type="dxa"/>
          </w:tcMar>
        </w:tcPr>
        <w:p w:rsidR="001762E7" w:rsidRPr="00782AE4" w:rsidRDefault="001762E7" w:rsidP="00102926">
          <w:pPr>
            <w:keepNext/>
            <w:keepLines/>
            <w:tabs>
              <w:tab w:val="left" w:pos="-1440"/>
              <w:tab w:val="left" w:pos="-720"/>
            </w:tabs>
            <w:rPr>
              <w:sz w:val="20"/>
              <w:szCs w:val="20"/>
            </w:rPr>
          </w:pPr>
          <w:r w:rsidRPr="00782AE4">
            <w:rPr>
              <w:sz w:val="20"/>
              <w:szCs w:val="20"/>
            </w:rPr>
            <w:t xml:space="preserve">HEADNOTES OF RECENT </w:t>
          </w:r>
        </w:p>
        <w:p w:rsidR="001762E7" w:rsidRPr="00782AE4"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762E7" w:rsidRDefault="001762E7" w:rsidP="00102926">
          <w:pPr>
            <w:keepNext/>
            <w:keepLines/>
            <w:tabs>
              <w:tab w:val="left" w:pos="-1440"/>
              <w:tab w:val="left" w:pos="-720"/>
            </w:tabs>
            <w:jc w:val="center"/>
            <w:rPr>
              <w:sz w:val="20"/>
              <w:szCs w:val="20"/>
            </w:rPr>
          </w:pPr>
        </w:p>
        <w:p w:rsidR="001762E7" w:rsidRDefault="001762E7" w:rsidP="00102926">
          <w:pPr>
            <w:keepNext/>
            <w:keepLines/>
            <w:tabs>
              <w:tab w:val="left" w:pos="-1440"/>
              <w:tab w:val="left" w:pos="-720"/>
            </w:tabs>
            <w:jc w:val="center"/>
            <w:rPr>
              <w:sz w:val="20"/>
              <w:szCs w:val="20"/>
            </w:rPr>
          </w:pPr>
        </w:p>
        <w:p w:rsidR="001762E7" w:rsidRPr="00782AE4" w:rsidRDefault="001762E7" w:rsidP="00102926">
          <w:pPr>
            <w:keepNext/>
            <w:keepLines/>
            <w:tabs>
              <w:tab w:val="left" w:pos="-1440"/>
              <w:tab w:val="left" w:pos="-720"/>
            </w:tabs>
            <w:jc w:val="center"/>
            <w:rPr>
              <w:sz w:val="20"/>
              <w:szCs w:val="20"/>
            </w:rPr>
          </w:pPr>
        </w:p>
      </w:tc>
      <w:tc>
        <w:tcPr>
          <w:tcW w:w="4080" w:type="dxa"/>
          <w:tcMar>
            <w:left w:w="0" w:type="dxa"/>
            <w:right w:w="0" w:type="dxa"/>
          </w:tcMar>
        </w:tcPr>
        <w:p w:rsidR="001762E7" w:rsidRPr="00102926"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762E7" w:rsidRPr="00782AE4" w:rsidRDefault="001762E7" w:rsidP="00102926">
          <w:pPr>
            <w:keepLines/>
            <w:tabs>
              <w:tab w:val="left" w:pos="-1440"/>
              <w:tab w:val="left" w:pos="-720"/>
            </w:tabs>
            <w:rPr>
              <w:sz w:val="20"/>
              <w:szCs w:val="20"/>
            </w:rPr>
          </w:pPr>
          <w:r w:rsidRPr="00102926">
            <w:rPr>
              <w:sz w:val="20"/>
              <w:szCs w:val="20"/>
              <w:lang w:val="fr-CA"/>
            </w:rPr>
            <w:t>RÉCENTS</w:t>
          </w:r>
        </w:p>
      </w:tc>
    </w:tr>
  </w:tbl>
  <w:p w:rsidR="001762E7" w:rsidRDefault="001762E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762E7" w:rsidRPr="0044776A" w:rsidTr="00245129">
      <w:tc>
        <w:tcPr>
          <w:tcW w:w="4290" w:type="dxa"/>
          <w:tcMar>
            <w:left w:w="0" w:type="dxa"/>
            <w:right w:w="0" w:type="dxa"/>
          </w:tcMar>
        </w:tcPr>
        <w:p w:rsidR="001762E7" w:rsidRPr="0044776A" w:rsidRDefault="001762E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762E7" w:rsidRPr="0044776A" w:rsidRDefault="001762E7" w:rsidP="002E2327">
          <w:pPr>
            <w:keepNext/>
            <w:keepLines/>
            <w:tabs>
              <w:tab w:val="left" w:pos="-1440"/>
              <w:tab w:val="left" w:pos="-720"/>
            </w:tabs>
            <w:jc w:val="center"/>
            <w:rPr>
              <w:sz w:val="20"/>
              <w:szCs w:val="20"/>
            </w:rPr>
          </w:pPr>
        </w:p>
        <w:p w:rsidR="001762E7" w:rsidRPr="0044776A" w:rsidRDefault="001762E7" w:rsidP="002E2327">
          <w:pPr>
            <w:keepNext/>
            <w:keepLines/>
            <w:tabs>
              <w:tab w:val="left" w:pos="-1440"/>
              <w:tab w:val="left" w:pos="-720"/>
            </w:tabs>
            <w:jc w:val="center"/>
            <w:rPr>
              <w:sz w:val="20"/>
              <w:szCs w:val="20"/>
            </w:rPr>
          </w:pPr>
        </w:p>
        <w:p w:rsidR="001762E7" w:rsidRPr="0044776A" w:rsidRDefault="001762E7" w:rsidP="002E2327">
          <w:pPr>
            <w:keepNext/>
            <w:keepLines/>
            <w:tabs>
              <w:tab w:val="left" w:pos="-1440"/>
              <w:tab w:val="left" w:pos="-720"/>
            </w:tabs>
            <w:jc w:val="center"/>
            <w:rPr>
              <w:sz w:val="20"/>
              <w:szCs w:val="20"/>
            </w:rPr>
          </w:pPr>
        </w:p>
      </w:tc>
      <w:tc>
        <w:tcPr>
          <w:tcW w:w="4320" w:type="dxa"/>
          <w:tcMar>
            <w:left w:w="0" w:type="dxa"/>
            <w:right w:w="0" w:type="dxa"/>
          </w:tcMar>
        </w:tcPr>
        <w:p w:rsidR="001762E7" w:rsidRPr="0044776A" w:rsidRDefault="001762E7" w:rsidP="002E2327">
          <w:pPr>
            <w:keepLines/>
            <w:rPr>
              <w:sz w:val="20"/>
              <w:szCs w:val="20"/>
              <w:lang w:val="fr-CA"/>
            </w:rPr>
          </w:pPr>
          <w:r w:rsidRPr="0044776A">
            <w:rPr>
              <w:sz w:val="20"/>
              <w:szCs w:val="20"/>
              <w:lang w:val="fr-CA"/>
            </w:rPr>
            <w:t>DEMANDES D'AUTORISATION D'APPEL DÉPOSÉES</w:t>
          </w:r>
        </w:p>
      </w:tc>
    </w:tr>
  </w:tbl>
  <w:p w:rsidR="001762E7" w:rsidRDefault="001762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rsidTr="00245129">
      <w:tc>
        <w:tcPr>
          <w:tcW w:w="4200" w:type="dxa"/>
          <w:tcMar>
            <w:left w:w="0" w:type="dxa"/>
            <w:right w:w="0" w:type="dxa"/>
          </w:tcMar>
        </w:tcPr>
        <w:p w:rsidR="001762E7" w:rsidRPr="0044776A" w:rsidRDefault="001762E7" w:rsidP="0044776A">
          <w:pPr>
            <w:keepNext/>
            <w:keepLines/>
            <w:widowControl w:val="0"/>
            <w:rPr>
              <w:sz w:val="20"/>
              <w:szCs w:val="20"/>
            </w:rPr>
          </w:pPr>
          <w:r>
            <w:rPr>
              <w:sz w:val="20"/>
              <w:szCs w:val="20"/>
            </w:rPr>
            <w:t>APPLICATIONS FOR LEAVE</w:t>
          </w:r>
        </w:p>
        <w:p w:rsidR="001762E7" w:rsidRPr="0044776A" w:rsidRDefault="001762E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762E7" w:rsidRPr="0044776A" w:rsidRDefault="001762E7" w:rsidP="0044776A">
          <w:pPr>
            <w:keepNext/>
            <w:keepLines/>
            <w:widowControl w:val="0"/>
            <w:jc w:val="center"/>
            <w:rPr>
              <w:sz w:val="20"/>
              <w:szCs w:val="20"/>
            </w:rPr>
          </w:pPr>
        </w:p>
        <w:p w:rsidR="001762E7" w:rsidRPr="0044776A" w:rsidRDefault="001762E7" w:rsidP="0044776A">
          <w:pPr>
            <w:keepNext/>
            <w:keepLines/>
            <w:widowControl w:val="0"/>
            <w:jc w:val="center"/>
            <w:rPr>
              <w:sz w:val="20"/>
              <w:szCs w:val="20"/>
            </w:rPr>
          </w:pPr>
        </w:p>
        <w:p w:rsidR="001762E7" w:rsidRPr="0044776A" w:rsidRDefault="001762E7" w:rsidP="0044776A">
          <w:pPr>
            <w:keepNext/>
            <w:keepLines/>
            <w:widowControl w:val="0"/>
            <w:jc w:val="center"/>
            <w:rPr>
              <w:sz w:val="20"/>
              <w:szCs w:val="20"/>
            </w:rPr>
          </w:pPr>
        </w:p>
      </w:tc>
      <w:tc>
        <w:tcPr>
          <w:tcW w:w="4080" w:type="dxa"/>
          <w:tcMar>
            <w:left w:w="0" w:type="dxa"/>
            <w:right w:w="0" w:type="dxa"/>
          </w:tcMar>
        </w:tcPr>
        <w:p w:rsidR="001762E7" w:rsidRPr="0044776A" w:rsidRDefault="001762E7" w:rsidP="0044776A">
          <w:pPr>
            <w:keepLines/>
            <w:widowControl w:val="0"/>
            <w:rPr>
              <w:sz w:val="20"/>
              <w:szCs w:val="20"/>
              <w:lang w:val="fr-CA"/>
            </w:rPr>
          </w:pPr>
          <w:r w:rsidRPr="0044776A">
            <w:rPr>
              <w:sz w:val="20"/>
              <w:szCs w:val="20"/>
              <w:lang w:val="fr-CA"/>
            </w:rPr>
            <w:t>DEMANDES SOUMISES À LA COUR DEPUIS LA DERNIÈRE PARUTION</w:t>
          </w:r>
        </w:p>
        <w:p w:rsidR="001762E7" w:rsidRPr="0044776A" w:rsidRDefault="001762E7" w:rsidP="0044776A">
          <w:pPr>
            <w:widowControl w:val="0"/>
            <w:rPr>
              <w:sz w:val="20"/>
              <w:szCs w:val="20"/>
              <w:lang w:val="fr-CA"/>
            </w:rPr>
          </w:pPr>
        </w:p>
      </w:tc>
    </w:tr>
  </w:tbl>
  <w:p w:rsidR="001762E7" w:rsidRPr="002E2327" w:rsidRDefault="001762E7">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E7" w:rsidRDefault="001762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tc>
        <w:tcPr>
          <w:tcW w:w="4200" w:type="dxa"/>
          <w:tcMar>
            <w:left w:w="0" w:type="dxa"/>
            <w:right w:w="0" w:type="dxa"/>
          </w:tcMar>
        </w:tcPr>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1762E7"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1762E7"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762E7" w:rsidRPr="00FF6BA5"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1762E7" w:rsidRPr="00FF6BA5"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1762E7" w:rsidRPr="00FF6BA5"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1762E7" w:rsidRPr="00FF6BA5" w:rsidRDefault="001762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762E7" w:rsidRPr="00C11D3B" w:rsidTr="00245129">
      <w:tc>
        <w:tcPr>
          <w:tcW w:w="4200" w:type="dxa"/>
          <w:tcMar>
            <w:left w:w="0" w:type="dxa"/>
            <w:right w:w="0" w:type="dxa"/>
          </w:tcMar>
        </w:tcPr>
        <w:p w:rsidR="001762E7" w:rsidRPr="00755F22"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1762E7" w:rsidRPr="00755F22" w:rsidRDefault="001762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1762E7" w:rsidRPr="00755F22" w:rsidRDefault="001762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62E7" w:rsidRPr="00755F22" w:rsidRDefault="001762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1762E7" w:rsidRPr="00755F22" w:rsidRDefault="001762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1762E7" w:rsidRPr="00755F22" w:rsidRDefault="001762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1762E7" w:rsidRPr="00FF6BA5" w:rsidRDefault="001762E7"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7839"/>
  </w:hdrShapeDefaults>
  <w:footnotePr>
    <w:footnote w:id="-1"/>
    <w:footnote w:id="0"/>
  </w:footnotePr>
  <w:endnotePr>
    <w:endnote w:id="-1"/>
    <w:endnote w:id="0"/>
  </w:endnotePr>
  <w:compat>
    <w:compatSetting w:name="compatibilityMode" w:uri="http://schemas.microsoft.com/office/word" w:val="12"/>
  </w:compat>
  <w:rsids>
    <w:rsidRoot w:val="00EA542F"/>
    <w:rsid w:val="000037AC"/>
    <w:rsid w:val="00006321"/>
    <w:rsid w:val="00020DC3"/>
    <w:rsid w:val="0003223B"/>
    <w:rsid w:val="000327B2"/>
    <w:rsid w:val="0004528B"/>
    <w:rsid w:val="00051FE8"/>
    <w:rsid w:val="00061483"/>
    <w:rsid w:val="00061E7E"/>
    <w:rsid w:val="00064FBA"/>
    <w:rsid w:val="00091FA6"/>
    <w:rsid w:val="00096BD9"/>
    <w:rsid w:val="000B3C9A"/>
    <w:rsid w:val="000B40A2"/>
    <w:rsid w:val="000B4624"/>
    <w:rsid w:val="000C0ACD"/>
    <w:rsid w:val="000C0D2A"/>
    <w:rsid w:val="000C5A9C"/>
    <w:rsid w:val="000C5CE8"/>
    <w:rsid w:val="000E2959"/>
    <w:rsid w:val="000F0B60"/>
    <w:rsid w:val="000F392A"/>
    <w:rsid w:val="00102926"/>
    <w:rsid w:val="0010587F"/>
    <w:rsid w:val="00111C6B"/>
    <w:rsid w:val="0012102B"/>
    <w:rsid w:val="0013369E"/>
    <w:rsid w:val="00154C65"/>
    <w:rsid w:val="00164E6D"/>
    <w:rsid w:val="001762E7"/>
    <w:rsid w:val="00183454"/>
    <w:rsid w:val="0018415E"/>
    <w:rsid w:val="001B157C"/>
    <w:rsid w:val="001B4006"/>
    <w:rsid w:val="001B5C23"/>
    <w:rsid w:val="001C1B48"/>
    <w:rsid w:val="001D0D5F"/>
    <w:rsid w:val="001D3FE1"/>
    <w:rsid w:val="001D6B8C"/>
    <w:rsid w:val="001F1F83"/>
    <w:rsid w:val="001F40DF"/>
    <w:rsid w:val="001F6B2D"/>
    <w:rsid w:val="002021A9"/>
    <w:rsid w:val="002139A7"/>
    <w:rsid w:val="00215F7C"/>
    <w:rsid w:val="0022323B"/>
    <w:rsid w:val="002410B8"/>
    <w:rsid w:val="00242AEE"/>
    <w:rsid w:val="00245129"/>
    <w:rsid w:val="00245879"/>
    <w:rsid w:val="0025455C"/>
    <w:rsid w:val="00267FD5"/>
    <w:rsid w:val="00271F64"/>
    <w:rsid w:val="00274D34"/>
    <w:rsid w:val="00283ED8"/>
    <w:rsid w:val="002868D0"/>
    <w:rsid w:val="002A008C"/>
    <w:rsid w:val="002A27D1"/>
    <w:rsid w:val="002A4AFA"/>
    <w:rsid w:val="002B516C"/>
    <w:rsid w:val="002B5400"/>
    <w:rsid w:val="002D72EB"/>
    <w:rsid w:val="002E2327"/>
    <w:rsid w:val="002E3583"/>
    <w:rsid w:val="002E5576"/>
    <w:rsid w:val="002E7AAF"/>
    <w:rsid w:val="00330A54"/>
    <w:rsid w:val="00331B52"/>
    <w:rsid w:val="003359D3"/>
    <w:rsid w:val="00355967"/>
    <w:rsid w:val="00382C47"/>
    <w:rsid w:val="00384384"/>
    <w:rsid w:val="003866AE"/>
    <w:rsid w:val="003B3977"/>
    <w:rsid w:val="003E1D4C"/>
    <w:rsid w:val="004137A0"/>
    <w:rsid w:val="00422D9A"/>
    <w:rsid w:val="00432989"/>
    <w:rsid w:val="00440E24"/>
    <w:rsid w:val="00442470"/>
    <w:rsid w:val="00446E23"/>
    <w:rsid w:val="0044776A"/>
    <w:rsid w:val="00460AFC"/>
    <w:rsid w:val="00467AD0"/>
    <w:rsid w:val="0047471F"/>
    <w:rsid w:val="00492785"/>
    <w:rsid w:val="004B195E"/>
    <w:rsid w:val="004B66B4"/>
    <w:rsid w:val="004B7F60"/>
    <w:rsid w:val="004C1AAC"/>
    <w:rsid w:val="004E1E0A"/>
    <w:rsid w:val="004F090E"/>
    <w:rsid w:val="00501F3C"/>
    <w:rsid w:val="0052229C"/>
    <w:rsid w:val="00527CC7"/>
    <w:rsid w:val="00552264"/>
    <w:rsid w:val="00571CA4"/>
    <w:rsid w:val="00582136"/>
    <w:rsid w:val="005B33DC"/>
    <w:rsid w:val="005C2AE0"/>
    <w:rsid w:val="005C6840"/>
    <w:rsid w:val="005F1ED8"/>
    <w:rsid w:val="005F263E"/>
    <w:rsid w:val="00600252"/>
    <w:rsid w:val="00612A40"/>
    <w:rsid w:val="006163BE"/>
    <w:rsid w:val="0062714A"/>
    <w:rsid w:val="00662305"/>
    <w:rsid w:val="00675479"/>
    <w:rsid w:val="00680709"/>
    <w:rsid w:val="00681F61"/>
    <w:rsid w:val="00696BF9"/>
    <w:rsid w:val="00697C62"/>
    <w:rsid w:val="006A329B"/>
    <w:rsid w:val="006A7EB8"/>
    <w:rsid w:val="006B6926"/>
    <w:rsid w:val="006C3F47"/>
    <w:rsid w:val="006C5F7A"/>
    <w:rsid w:val="006C6C6A"/>
    <w:rsid w:val="006E06AF"/>
    <w:rsid w:val="006E79FD"/>
    <w:rsid w:val="006F350F"/>
    <w:rsid w:val="00732DB7"/>
    <w:rsid w:val="0074238B"/>
    <w:rsid w:val="00745EF7"/>
    <w:rsid w:val="00755F22"/>
    <w:rsid w:val="00766E4A"/>
    <w:rsid w:val="007820CE"/>
    <w:rsid w:val="00782AE4"/>
    <w:rsid w:val="0079724F"/>
    <w:rsid w:val="007A3EAE"/>
    <w:rsid w:val="007A5304"/>
    <w:rsid w:val="007C04FC"/>
    <w:rsid w:val="007C3DB0"/>
    <w:rsid w:val="007C47C2"/>
    <w:rsid w:val="007D3E0F"/>
    <w:rsid w:val="007E4282"/>
    <w:rsid w:val="007F387B"/>
    <w:rsid w:val="00802863"/>
    <w:rsid w:val="00802E38"/>
    <w:rsid w:val="008112A9"/>
    <w:rsid w:val="00815B3C"/>
    <w:rsid w:val="0081610A"/>
    <w:rsid w:val="008163C7"/>
    <w:rsid w:val="0081788D"/>
    <w:rsid w:val="00821097"/>
    <w:rsid w:val="00821D2E"/>
    <w:rsid w:val="0082783A"/>
    <w:rsid w:val="00831CA9"/>
    <w:rsid w:val="00850E1F"/>
    <w:rsid w:val="00853E20"/>
    <w:rsid w:val="0085476B"/>
    <w:rsid w:val="0086340B"/>
    <w:rsid w:val="008716FC"/>
    <w:rsid w:val="008805B2"/>
    <w:rsid w:val="00890FEB"/>
    <w:rsid w:val="00895E7E"/>
    <w:rsid w:val="008A5C1A"/>
    <w:rsid w:val="008D292F"/>
    <w:rsid w:val="008E03DC"/>
    <w:rsid w:val="00902E51"/>
    <w:rsid w:val="00924065"/>
    <w:rsid w:val="00930D68"/>
    <w:rsid w:val="00932DB4"/>
    <w:rsid w:val="00941A4B"/>
    <w:rsid w:val="00946242"/>
    <w:rsid w:val="0095096B"/>
    <w:rsid w:val="00960306"/>
    <w:rsid w:val="00970CD3"/>
    <w:rsid w:val="009723FA"/>
    <w:rsid w:val="00975298"/>
    <w:rsid w:val="00984546"/>
    <w:rsid w:val="00996510"/>
    <w:rsid w:val="009D1F15"/>
    <w:rsid w:val="009D555E"/>
    <w:rsid w:val="009D7EED"/>
    <w:rsid w:val="009F3024"/>
    <w:rsid w:val="009F39BA"/>
    <w:rsid w:val="00A0355E"/>
    <w:rsid w:val="00A1037A"/>
    <w:rsid w:val="00A30527"/>
    <w:rsid w:val="00A375D1"/>
    <w:rsid w:val="00A51D10"/>
    <w:rsid w:val="00A52A83"/>
    <w:rsid w:val="00A6552C"/>
    <w:rsid w:val="00A73842"/>
    <w:rsid w:val="00A87207"/>
    <w:rsid w:val="00A935AA"/>
    <w:rsid w:val="00A956D3"/>
    <w:rsid w:val="00AA6DBD"/>
    <w:rsid w:val="00AB2201"/>
    <w:rsid w:val="00AB74CB"/>
    <w:rsid w:val="00AD1D34"/>
    <w:rsid w:val="00AD3259"/>
    <w:rsid w:val="00AF1715"/>
    <w:rsid w:val="00AF3904"/>
    <w:rsid w:val="00B010C0"/>
    <w:rsid w:val="00B42CEF"/>
    <w:rsid w:val="00B4740D"/>
    <w:rsid w:val="00B50DDE"/>
    <w:rsid w:val="00B61629"/>
    <w:rsid w:val="00B70A43"/>
    <w:rsid w:val="00B7374B"/>
    <w:rsid w:val="00B90DC0"/>
    <w:rsid w:val="00BA116A"/>
    <w:rsid w:val="00BA5582"/>
    <w:rsid w:val="00BA6468"/>
    <w:rsid w:val="00BB1D44"/>
    <w:rsid w:val="00BD06DA"/>
    <w:rsid w:val="00BD4217"/>
    <w:rsid w:val="00BF225B"/>
    <w:rsid w:val="00BF25F3"/>
    <w:rsid w:val="00BF4673"/>
    <w:rsid w:val="00C11D3B"/>
    <w:rsid w:val="00C1696D"/>
    <w:rsid w:val="00C1697B"/>
    <w:rsid w:val="00C21644"/>
    <w:rsid w:val="00C21CB5"/>
    <w:rsid w:val="00C46376"/>
    <w:rsid w:val="00C50A5C"/>
    <w:rsid w:val="00C50FDF"/>
    <w:rsid w:val="00C5617C"/>
    <w:rsid w:val="00C616F4"/>
    <w:rsid w:val="00C63381"/>
    <w:rsid w:val="00C7284F"/>
    <w:rsid w:val="00C73D06"/>
    <w:rsid w:val="00C73E1B"/>
    <w:rsid w:val="00C759B4"/>
    <w:rsid w:val="00C77713"/>
    <w:rsid w:val="00C85BB7"/>
    <w:rsid w:val="00C95205"/>
    <w:rsid w:val="00CA2DEA"/>
    <w:rsid w:val="00CB3520"/>
    <w:rsid w:val="00CB43D5"/>
    <w:rsid w:val="00CC3FC5"/>
    <w:rsid w:val="00CC4D84"/>
    <w:rsid w:val="00CC738D"/>
    <w:rsid w:val="00CD4176"/>
    <w:rsid w:val="00CE198A"/>
    <w:rsid w:val="00CF08C8"/>
    <w:rsid w:val="00CF6999"/>
    <w:rsid w:val="00D004FC"/>
    <w:rsid w:val="00D02E7F"/>
    <w:rsid w:val="00D64901"/>
    <w:rsid w:val="00D76BDF"/>
    <w:rsid w:val="00D818B6"/>
    <w:rsid w:val="00D862C1"/>
    <w:rsid w:val="00D93B50"/>
    <w:rsid w:val="00D94028"/>
    <w:rsid w:val="00D94670"/>
    <w:rsid w:val="00D95C79"/>
    <w:rsid w:val="00D974A8"/>
    <w:rsid w:val="00DA46F6"/>
    <w:rsid w:val="00DA6D04"/>
    <w:rsid w:val="00DB5F86"/>
    <w:rsid w:val="00DD0B49"/>
    <w:rsid w:val="00DE0502"/>
    <w:rsid w:val="00DE349D"/>
    <w:rsid w:val="00E06DFA"/>
    <w:rsid w:val="00E20A0A"/>
    <w:rsid w:val="00E240C2"/>
    <w:rsid w:val="00E356C7"/>
    <w:rsid w:val="00E369B2"/>
    <w:rsid w:val="00E41A5A"/>
    <w:rsid w:val="00E45FE4"/>
    <w:rsid w:val="00E64FA7"/>
    <w:rsid w:val="00E74BAB"/>
    <w:rsid w:val="00E770CB"/>
    <w:rsid w:val="00E903A1"/>
    <w:rsid w:val="00E940EB"/>
    <w:rsid w:val="00E9703F"/>
    <w:rsid w:val="00EA2B14"/>
    <w:rsid w:val="00EA542F"/>
    <w:rsid w:val="00EB2B90"/>
    <w:rsid w:val="00ED7E83"/>
    <w:rsid w:val="00EE091F"/>
    <w:rsid w:val="00EF4B63"/>
    <w:rsid w:val="00F0068D"/>
    <w:rsid w:val="00F0576D"/>
    <w:rsid w:val="00F14E6D"/>
    <w:rsid w:val="00F15EA8"/>
    <w:rsid w:val="00F16C8D"/>
    <w:rsid w:val="00F26C61"/>
    <w:rsid w:val="00F33CCE"/>
    <w:rsid w:val="00F40249"/>
    <w:rsid w:val="00F526C8"/>
    <w:rsid w:val="00F63C29"/>
    <w:rsid w:val="00F761A3"/>
    <w:rsid w:val="00F9272D"/>
    <w:rsid w:val="00F9518C"/>
    <w:rsid w:val="00FA316E"/>
    <w:rsid w:val="00FA3373"/>
    <w:rsid w:val="00FA56BF"/>
    <w:rsid w:val="00FA59EF"/>
    <w:rsid w:val="00FB19A2"/>
    <w:rsid w:val="00FC0357"/>
    <w:rsid w:val="00FF6EEC"/>
    <w:rsid w:val="00FF6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C616F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anlii.ca/t/g90vq" TargetMode="External"/><Relationship Id="rId39" Type="http://schemas.openxmlformats.org/officeDocument/2006/relationships/hyperlink" Target="https://www.canlii.org/en/on/onsc/doc/2014/2014onsc2149/2014onsc2149.html?searchUrlHash=AAAAAQAOMjAxNCBPTlNDIDIxNDkAAAAAAQ&amp;resultIndex=1" TargetMode="External"/><Relationship Id="rId21" Type="http://schemas.openxmlformats.org/officeDocument/2006/relationships/header" Target="header6.xml"/><Relationship Id="rId34" Type="http://schemas.openxmlformats.org/officeDocument/2006/relationships/hyperlink" Target="http://www.canlii.org/fr/qc/qcca/doc/2014/2014qcca2385/2014qcca2385.html?autocompleteStr=2014%20QCCA%202385&amp;autocompletePos=1" TargetMode="External"/><Relationship Id="rId42" Type="http://schemas.openxmlformats.org/officeDocument/2006/relationships/hyperlink" Target="https://www.canlii.org/en/on/onca/doc/2014/2014onca913/2014onca913.html?searchUrlHash=AAAAAQANMjAxNCBPTkNBIDkxMwAAAAAB&amp;resultIndex=1" TargetMode="External"/><Relationship Id="rId47" Type="http://schemas.openxmlformats.org/officeDocument/2006/relationships/hyperlink" Target="http://canlii.ca/t/fqc7j" TargetMode="External"/><Relationship Id="rId50" Type="http://schemas.openxmlformats.org/officeDocument/2006/relationships/hyperlink" Target="http://canlii.ca/t/gfv1v" TargetMode="External"/><Relationship Id="rId55" Type="http://schemas.openxmlformats.org/officeDocument/2006/relationships/footer" Target="footer8.xml"/><Relationship Id="rId63" Type="http://schemas.openxmlformats.org/officeDocument/2006/relationships/header" Target="header13.xml"/><Relationship Id="rId68" Type="http://schemas.openxmlformats.org/officeDocument/2006/relationships/footer" Target="footer15.xml"/><Relationship Id="rId76" Type="http://schemas.openxmlformats.org/officeDocument/2006/relationships/footer" Target="footer19.xml"/><Relationship Id="rId84" Type="http://schemas.openxmlformats.org/officeDocument/2006/relationships/header" Target="header2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qc/qcca/doc/2014/2014qcca1764/2014qcca1764.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fca/doc/2014/2014fca266/2014fca266.html?autocompleteStr=2014%20FCA%20266&amp;autocompletePos=1" TargetMode="External"/><Relationship Id="rId37" Type="http://schemas.openxmlformats.org/officeDocument/2006/relationships/hyperlink" Target="http://www.canlii.org/fr/qc/qctdp/doc/2013/2013qctdp6/2013qctdp6.html" TargetMode="External"/><Relationship Id="rId40" Type="http://schemas.openxmlformats.org/officeDocument/2006/relationships/hyperlink" Target="https://www.canlii.org/en/on/onca/doc/2014/2014onca913/2014onca913.html?searchUrlHash=AAAAAQANMjAxNCBPTkNBIDkxMwAAAAAB&amp;resultIndex=1" TargetMode="External"/><Relationship Id="rId45" Type="http://schemas.openxmlformats.org/officeDocument/2006/relationships/hyperlink" Target="http://www.canlii.org/en/ab/abqb/doc/2010/2010abqb720/2010abqb720.html?autocompleteStr=2010%20abqb%20720&amp;autocompletePos=1" TargetMode="External"/><Relationship Id="rId53" Type="http://schemas.openxmlformats.org/officeDocument/2006/relationships/header" Target="header8.xml"/><Relationship Id="rId58" Type="http://schemas.openxmlformats.org/officeDocument/2006/relationships/footer" Target="footer10.xml"/><Relationship Id="rId66" Type="http://schemas.openxmlformats.org/officeDocument/2006/relationships/header" Target="header15.xml"/><Relationship Id="rId74" Type="http://schemas.openxmlformats.org/officeDocument/2006/relationships/footer" Target="footer18.xml"/><Relationship Id="rId79" Type="http://schemas.openxmlformats.org/officeDocument/2006/relationships/hyperlink" Target="http://www.scc-csc.ca/case-dossier/info/sum-som-fra.aspx?cas=35527" TargetMode="External"/><Relationship Id="rId87"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footer" Target="footer2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fx5wf" TargetMode="External"/><Relationship Id="rId30" Type="http://schemas.openxmlformats.org/officeDocument/2006/relationships/hyperlink" Target="http://www.canlii.org/fr/qc/qcca/doc/2014/2014qcca1764/2014qcca1764.html" TargetMode="External"/><Relationship Id="rId35" Type="http://schemas.openxmlformats.org/officeDocument/2006/relationships/hyperlink" Target="http://www.canlii.org/fr/qc/qctdp/doc/2013/2013qctdp6/2013qctdp6.html" TargetMode="External"/><Relationship Id="rId43" Type="http://schemas.openxmlformats.org/officeDocument/2006/relationships/hyperlink" Target="http://www.canlii.org/en/ab/abqb/doc/2010/2010abqb720/2010abqb720.html?autocompleteStr=2010%20abqb%20720&amp;autocompletePos=1" TargetMode="External"/><Relationship Id="rId48" Type="http://schemas.openxmlformats.org/officeDocument/2006/relationships/hyperlink" Target="http://canlii.ca/t/gfv1v" TargetMode="Externa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eader" Target="header16.xml"/><Relationship Id="rId77" Type="http://schemas.openxmlformats.org/officeDocument/2006/relationships/hyperlink" Target="http://www.scc-csc.ca/case-dossier/info/sum-som-eng.aspx?cas=35518" TargetMode="External"/><Relationship Id="rId8" Type="http://schemas.openxmlformats.org/officeDocument/2006/relationships/image" Target="media/image1.wmf"/><Relationship Id="rId51" Type="http://schemas.openxmlformats.org/officeDocument/2006/relationships/hyperlink" Target="http://canlii.ca/t/gg0nh" TargetMode="External"/><Relationship Id="rId72" Type="http://schemas.openxmlformats.org/officeDocument/2006/relationships/header" Target="header18.xml"/><Relationship Id="rId80" Type="http://schemas.openxmlformats.org/officeDocument/2006/relationships/header" Target="header20.xml"/><Relationship Id="rId85"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fx5wf" TargetMode="External"/><Relationship Id="rId33" Type="http://schemas.openxmlformats.org/officeDocument/2006/relationships/hyperlink" Target="http://www.canlii.org/fr/qc/qcca/doc/2014/2014qcca2385/2014qcca2385.html?autocompleteStr=2014%20QCCA%202385&amp;autocompletePos=1" TargetMode="External"/><Relationship Id="rId38" Type="http://schemas.openxmlformats.org/officeDocument/2006/relationships/hyperlink" Target="http://www.canlii.org/fr/qc/qcca/doc/2014/2014qcca2199/2014qcca2199.html" TargetMode="External"/><Relationship Id="rId46" Type="http://schemas.openxmlformats.org/officeDocument/2006/relationships/hyperlink" Target="http://www.canlii.org/en/ab/abca/doc/2013/2013abca289/2013abca289.html?resultIndex=1" TargetMode="External"/><Relationship Id="rId59" Type="http://schemas.openxmlformats.org/officeDocument/2006/relationships/header" Target="header11.xml"/><Relationship Id="rId67" Type="http://schemas.openxmlformats.org/officeDocument/2006/relationships/footer" Target="footer14.xml"/><Relationship Id="rId20" Type="http://schemas.openxmlformats.org/officeDocument/2006/relationships/footer" Target="footer5.xml"/><Relationship Id="rId41" Type="http://schemas.openxmlformats.org/officeDocument/2006/relationships/hyperlink" Target="https://www.canlii.org/en/on/onsc/doc/2014/2014onsc2149/2014onsc2149.html?searchUrlHash=AAAAAQAOMjAxNCBPTlNDIDIxNDkAAAAAAQ&amp;resultIndex=1" TargetMode="External"/><Relationship Id="rId54" Type="http://schemas.openxmlformats.org/officeDocument/2006/relationships/header" Target="header9.xml"/><Relationship Id="rId62" Type="http://schemas.openxmlformats.org/officeDocument/2006/relationships/footer" Target="footer12.xml"/><Relationship Id="rId70" Type="http://schemas.openxmlformats.org/officeDocument/2006/relationships/footer" Target="footer16.xml"/><Relationship Id="rId75" Type="http://schemas.openxmlformats.org/officeDocument/2006/relationships/header" Target="header19.xml"/><Relationship Id="rId83" Type="http://schemas.openxmlformats.org/officeDocument/2006/relationships/footer" Target="footer2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90vq" TargetMode="External"/><Relationship Id="rId36" Type="http://schemas.openxmlformats.org/officeDocument/2006/relationships/hyperlink" Target="http://www.canlii.org/fr/qc/qcca/doc/2014/2014qcca2199/2014qcca2199.html" TargetMode="External"/><Relationship Id="rId49" Type="http://schemas.openxmlformats.org/officeDocument/2006/relationships/hyperlink" Target="http://canlii.ca/t/fqc7j" TargetMode="External"/><Relationship Id="rId57" Type="http://schemas.openxmlformats.org/officeDocument/2006/relationships/header" Target="header10.xml"/><Relationship Id="rId10" Type="http://schemas.openxmlformats.org/officeDocument/2006/relationships/hyperlink" Target="http://www.scc-csc.ca" TargetMode="External"/><Relationship Id="rId31" Type="http://schemas.openxmlformats.org/officeDocument/2006/relationships/hyperlink" Target="http://www.canlii.org/en/ca/fca/doc/2014/2014fca266/2014fca266.html?autocompleteStr=2014%20FCA%20266&amp;autocompletePos=1" TargetMode="External"/><Relationship Id="rId44" Type="http://schemas.openxmlformats.org/officeDocument/2006/relationships/hyperlink" Target="http://www.canlii.org/en/ab/abca/doc/2013/2013abca289/2013abca289.html?resultIndex=1" TargetMode="External"/><Relationship Id="rId52" Type="http://schemas.openxmlformats.org/officeDocument/2006/relationships/hyperlink" Target="http://canlii.ca/t/gg0nh"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footer" Target="footer17.xml"/><Relationship Id="rId78" Type="http://schemas.openxmlformats.org/officeDocument/2006/relationships/hyperlink" Target="http://www.scc-csc.ca/case-dossier/info/sum-som-eng.aspx?cas=35548" TargetMode="External"/><Relationship Id="rId81" Type="http://schemas.openxmlformats.org/officeDocument/2006/relationships/header" Target="header21.xml"/><Relationship Id="rId86"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CB9E6-9C47-4A64-B617-BE67B2EF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13999</Words>
  <Characters>79798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2015-05-26T16:55:00Z</dcterms:created>
  <dcterms:modified xsi:type="dcterms:W3CDTF">2015-11-26T21:50:00Z</dcterms:modified>
</cp:coreProperties>
</file>