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bookmarkEnd w:id="0"/>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09493C"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09493C"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09493C"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09493C"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09493C" w:rsidTr="002E5576">
        <w:tc>
          <w:tcPr>
            <w:tcW w:w="4518" w:type="dxa"/>
          </w:tcPr>
          <w:p w:rsidR="00BF25F3" w:rsidRPr="002E2327" w:rsidRDefault="00DA5C5B"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DA5C5B"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09493C"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09493C"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w:t>
              </w:r>
              <w:r w:rsidR="00D82946">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w:t>
              </w:r>
              <w:r w:rsidR="00D82946">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73D06" w:rsidP="00F0068D">
      <w:pPr>
        <w:pBdr>
          <w:bottom w:val="single" w:sz="6" w:space="1" w:color="auto"/>
        </w:pBdr>
        <w:tabs>
          <w:tab w:val="center" w:pos="4680"/>
          <w:tab w:val="right" w:pos="9360"/>
        </w:tabs>
        <w:rPr>
          <w:lang w:val="fr-CA"/>
        </w:rPr>
      </w:pPr>
      <w:r>
        <w:rPr>
          <w:lang w:val="fr-CA"/>
        </w:rPr>
        <w:t>Ju</w:t>
      </w:r>
      <w:r w:rsidR="00C81F20">
        <w:rPr>
          <w:lang w:val="fr-CA"/>
        </w:rPr>
        <w:t>ne</w:t>
      </w:r>
      <w:r w:rsidR="00440E24" w:rsidRPr="00675479">
        <w:rPr>
          <w:lang w:val="fr-CA"/>
        </w:rPr>
        <w:t xml:space="preserve"> </w:t>
      </w:r>
      <w:r w:rsidR="00C81F20">
        <w:rPr>
          <w:lang w:val="fr-CA"/>
        </w:rPr>
        <w:t>5</w:t>
      </w:r>
      <w:r w:rsidR="00440E24" w:rsidRPr="00675479">
        <w:rPr>
          <w:lang w:val="fr-CA"/>
        </w:rPr>
        <w:t>, 201</w:t>
      </w:r>
      <w:r w:rsidR="00020DC3">
        <w:rPr>
          <w:lang w:val="fr-CA"/>
        </w:rPr>
        <w:t>5</w:t>
      </w:r>
      <w:r w:rsidR="00F0068D" w:rsidRPr="00675479">
        <w:rPr>
          <w:lang w:val="fr-CA"/>
        </w:rPr>
        <w:tab/>
      </w:r>
      <w:r w:rsidR="00C81F20">
        <w:rPr>
          <w:lang w:val="fr-CA"/>
        </w:rPr>
        <w:t>971</w:t>
      </w:r>
      <w:r w:rsidR="00F0068D" w:rsidRPr="00675479">
        <w:rPr>
          <w:lang w:val="fr-CA"/>
        </w:rPr>
        <w:t xml:space="preserve"> - </w:t>
      </w:r>
      <w:r w:rsidR="00DF0FFF">
        <w:rPr>
          <w:lang w:val="fr-CA"/>
        </w:rPr>
        <w:t>993</w:t>
      </w:r>
      <w:r w:rsidR="00440E24" w:rsidRPr="00675479">
        <w:rPr>
          <w:lang w:val="fr-CA"/>
        </w:rPr>
        <w:tab/>
      </w:r>
      <w:r w:rsidR="00440E24" w:rsidRPr="002E2327">
        <w:rPr>
          <w:lang w:val="fr-CA"/>
        </w:rPr>
        <w:t>Le</w:t>
      </w:r>
      <w:r>
        <w:rPr>
          <w:lang w:val="fr-CA"/>
        </w:rPr>
        <w:t xml:space="preserve"> </w:t>
      </w:r>
      <w:r w:rsidR="00C81F20">
        <w:rPr>
          <w:lang w:val="fr-CA"/>
        </w:rPr>
        <w:t>5</w:t>
      </w:r>
      <w:r>
        <w:rPr>
          <w:lang w:val="fr-CA"/>
        </w:rPr>
        <w:t xml:space="preserve"> j</w:t>
      </w:r>
      <w:r w:rsidR="00C81F20">
        <w:rPr>
          <w:lang w:val="fr-CA"/>
        </w:rPr>
        <w:t>ui</w:t>
      </w:r>
      <w:r>
        <w:rPr>
          <w:lang w:val="fr-CA"/>
        </w:rPr>
        <w:t>n</w:t>
      </w:r>
      <w:r w:rsidR="00440E24" w:rsidRPr="002E2327">
        <w:rPr>
          <w:lang w:val="fr-CA"/>
        </w:rPr>
        <w:t xml:space="preserve"> 201</w:t>
      </w:r>
      <w:r w:rsidR="00020DC3">
        <w:rPr>
          <w:lang w:val="fr-CA"/>
        </w:rPr>
        <w:t>5</w:t>
      </w:r>
    </w:p>
    <w:p w:rsidR="00440E24" w:rsidRPr="00675479" w:rsidRDefault="00440E24" w:rsidP="00440E24">
      <w:pPr>
        <w:pBdr>
          <w:bottom w:val="single" w:sz="6" w:space="1" w:color="auto"/>
        </w:pBdr>
        <w:tabs>
          <w:tab w:val="right" w:pos="9360"/>
        </w:tabs>
        <w:rPr>
          <w:lang w:val="fr-CA"/>
        </w:rPr>
      </w:pPr>
    </w:p>
    <w:p w:rsidR="00440E24" w:rsidRPr="00772E2A" w:rsidRDefault="00440E24" w:rsidP="00440E24">
      <w:pPr>
        <w:pBdr>
          <w:bottom w:val="single" w:sz="6" w:space="1" w:color="auto"/>
        </w:pBdr>
        <w:tabs>
          <w:tab w:val="right" w:pos="9360"/>
        </w:tabs>
        <w:rPr>
          <w:sz w:val="18"/>
          <w:szCs w:val="18"/>
          <w:lang w:val="fr-CA"/>
        </w:rPr>
      </w:pPr>
      <w:r w:rsidRPr="00772E2A">
        <w:rPr>
          <w:sz w:val="18"/>
          <w:szCs w:val="18"/>
          <w:lang w:val="fr-CA"/>
        </w:rPr>
        <w:t>© Supreme Court of Canada (201</w:t>
      </w:r>
      <w:r w:rsidR="00020DC3" w:rsidRPr="00772E2A">
        <w:rPr>
          <w:sz w:val="18"/>
          <w:szCs w:val="18"/>
          <w:lang w:val="fr-CA"/>
        </w:rPr>
        <w:t>5</w:t>
      </w:r>
      <w:r w:rsidRPr="00772E2A">
        <w:rPr>
          <w:sz w:val="18"/>
          <w:szCs w:val="18"/>
          <w:lang w:val="fr-CA"/>
        </w:rPr>
        <w:t>)</w:t>
      </w:r>
      <w:r w:rsidRPr="00772E2A">
        <w:rPr>
          <w:sz w:val="18"/>
          <w:szCs w:val="18"/>
          <w:lang w:val="fr-CA"/>
        </w:rPr>
        <w:tab/>
        <w:t>© Cour suprême du Canada (201</w:t>
      </w:r>
      <w:r w:rsidR="00020DC3" w:rsidRPr="00772E2A">
        <w:rPr>
          <w:sz w:val="18"/>
          <w:szCs w:val="18"/>
          <w:lang w:val="fr-CA"/>
        </w:rPr>
        <w:t>5</w:t>
      </w:r>
      <w:r w:rsidRPr="00772E2A">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C44A6F"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3D77D4">
            <w:pPr>
              <w:tabs>
                <w:tab w:val="right" w:pos="9360"/>
              </w:tabs>
              <w:rPr>
                <w:rFonts w:cs="Times New Roman"/>
                <w:sz w:val="20"/>
                <w:szCs w:val="20"/>
              </w:rPr>
            </w:pPr>
          </w:p>
        </w:tc>
        <w:tc>
          <w:tcPr>
            <w:tcW w:w="1980" w:type="dxa"/>
          </w:tcPr>
          <w:p w:rsidR="0095096B" w:rsidRPr="002E2327" w:rsidRDefault="00C81F20" w:rsidP="0095096B">
            <w:pPr>
              <w:jc w:val="center"/>
              <w:rPr>
                <w:rFonts w:cs="Times New Roman"/>
                <w:sz w:val="20"/>
                <w:szCs w:val="20"/>
              </w:rPr>
            </w:pPr>
            <w:r>
              <w:rPr>
                <w:rFonts w:cs="Times New Roman"/>
                <w:sz w:val="20"/>
                <w:szCs w:val="20"/>
              </w:rPr>
              <w:t>971</w:t>
            </w:r>
            <w:r w:rsidR="00DA5C5B" w:rsidRPr="002E2327">
              <w:rPr>
                <w:rFonts w:cs="Times New Roman"/>
                <w:sz w:val="20"/>
                <w:szCs w:val="20"/>
              </w:rPr>
              <w:fldChar w:fldCharType="begin"/>
            </w:r>
            <w:r w:rsidR="0095096B" w:rsidRPr="002E2327">
              <w:rPr>
                <w:rFonts w:cs="Times New Roman"/>
                <w:sz w:val="20"/>
                <w:szCs w:val="20"/>
              </w:rPr>
              <w:instrText xml:space="preserve"> SEQ CHAPTER \h \r 1</w:instrText>
            </w:r>
            <w:r w:rsidR="00DA5C5B"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3D77D4" w:rsidP="0095096B">
            <w:pPr>
              <w:jc w:val="center"/>
              <w:rPr>
                <w:rFonts w:cs="Times New Roman"/>
                <w:sz w:val="20"/>
                <w:szCs w:val="20"/>
              </w:rPr>
            </w:pPr>
            <w:r>
              <w:rPr>
                <w:rFonts w:cs="Times New Roman"/>
                <w:sz w:val="20"/>
                <w:szCs w:val="20"/>
              </w:rPr>
              <w:t>972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3D77D4" w:rsidP="0095096B">
            <w:pPr>
              <w:jc w:val="center"/>
              <w:rPr>
                <w:rFonts w:cs="Times New Roman"/>
                <w:sz w:val="20"/>
                <w:szCs w:val="20"/>
              </w:rPr>
            </w:pPr>
            <w:r>
              <w:rPr>
                <w:rFonts w:cs="Times New Roman"/>
                <w:sz w:val="20"/>
                <w:szCs w:val="20"/>
              </w:rPr>
              <w:t xml:space="preserve">973 </w:t>
            </w:r>
            <w:r w:rsidR="0095096B" w:rsidRPr="002E2327">
              <w:rPr>
                <w:rFonts w:cs="Times New Roman"/>
                <w:sz w:val="20"/>
                <w:szCs w:val="20"/>
              </w:rPr>
              <w:t>-</w:t>
            </w:r>
            <w:r w:rsidR="00DF0FFF">
              <w:rPr>
                <w:rFonts w:cs="Times New Roman"/>
                <w:sz w:val="20"/>
                <w:szCs w:val="20"/>
              </w:rPr>
              <w:t xml:space="preserve"> 983</w:t>
            </w:r>
          </w:p>
          <w:p w:rsidR="0095096B" w:rsidRDefault="0095096B" w:rsidP="0095096B">
            <w:pPr>
              <w:jc w:val="center"/>
              <w:rPr>
                <w:rFonts w:cs="Times New Roman"/>
                <w:sz w:val="20"/>
                <w:szCs w:val="20"/>
              </w:rPr>
            </w:pPr>
          </w:p>
          <w:p w:rsidR="003D77D4" w:rsidRPr="002E2327" w:rsidRDefault="003D77D4" w:rsidP="0095096B">
            <w:pPr>
              <w:jc w:val="center"/>
              <w:rPr>
                <w:rFonts w:cs="Times New Roman"/>
                <w:sz w:val="20"/>
                <w:szCs w:val="20"/>
              </w:rPr>
            </w:pPr>
          </w:p>
          <w:p w:rsidR="0095096B" w:rsidRPr="002E2327" w:rsidRDefault="00DF0FFF" w:rsidP="0095096B">
            <w:pPr>
              <w:jc w:val="center"/>
              <w:rPr>
                <w:rFonts w:cs="Times New Roman"/>
                <w:sz w:val="20"/>
                <w:szCs w:val="20"/>
              </w:rPr>
            </w:pPr>
            <w:r>
              <w:rPr>
                <w:rFonts w:cs="Times New Roman"/>
                <w:sz w:val="20"/>
                <w:szCs w:val="20"/>
              </w:rPr>
              <w:t xml:space="preserve">984 </w:t>
            </w:r>
            <w:r w:rsidR="0095096B" w:rsidRPr="002E2327">
              <w:rPr>
                <w:rFonts w:cs="Times New Roman"/>
                <w:sz w:val="20"/>
                <w:szCs w:val="20"/>
              </w:rPr>
              <w:t>-</w:t>
            </w:r>
            <w:r>
              <w:rPr>
                <w:rFonts w:cs="Times New Roman"/>
                <w:sz w:val="20"/>
                <w:szCs w:val="20"/>
              </w:rPr>
              <w:t xml:space="preserve"> 987</w:t>
            </w:r>
          </w:p>
          <w:p w:rsidR="0095096B" w:rsidRPr="002E2327" w:rsidRDefault="0095096B" w:rsidP="0095096B">
            <w:pPr>
              <w:jc w:val="center"/>
              <w:rPr>
                <w:rFonts w:cs="Times New Roman"/>
                <w:sz w:val="20"/>
                <w:szCs w:val="20"/>
              </w:rPr>
            </w:pPr>
          </w:p>
          <w:p w:rsidR="0095096B" w:rsidRPr="002E2327" w:rsidRDefault="00DF0FFF" w:rsidP="0095096B">
            <w:pPr>
              <w:jc w:val="center"/>
              <w:rPr>
                <w:rFonts w:cs="Times New Roman"/>
                <w:sz w:val="20"/>
                <w:szCs w:val="20"/>
              </w:rPr>
            </w:pPr>
            <w:r>
              <w:rPr>
                <w:rFonts w:cs="Times New Roman"/>
                <w:sz w:val="20"/>
                <w:szCs w:val="20"/>
              </w:rPr>
              <w:t>988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Default="00DF0FFF" w:rsidP="0095096B">
            <w:pPr>
              <w:jc w:val="center"/>
              <w:rPr>
                <w:rFonts w:cs="Times New Roman"/>
                <w:sz w:val="20"/>
                <w:szCs w:val="20"/>
              </w:rPr>
            </w:pPr>
            <w:r>
              <w:rPr>
                <w:rFonts w:cs="Times New Roman"/>
                <w:sz w:val="20"/>
                <w:szCs w:val="20"/>
              </w:rPr>
              <w:t>989</w:t>
            </w:r>
          </w:p>
          <w:p w:rsidR="003D77D4" w:rsidRPr="002E2327" w:rsidRDefault="003D77D4"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DF0FFF" w:rsidP="0095096B">
            <w:pPr>
              <w:jc w:val="center"/>
              <w:rPr>
                <w:rFonts w:cs="Times New Roman"/>
                <w:sz w:val="20"/>
                <w:szCs w:val="20"/>
              </w:rPr>
            </w:pPr>
            <w:r>
              <w:rPr>
                <w:rFonts w:cs="Times New Roman"/>
                <w:sz w:val="20"/>
                <w:szCs w:val="20"/>
              </w:rPr>
              <w:t xml:space="preserve">990 </w:t>
            </w:r>
            <w:r w:rsidR="0095096B" w:rsidRPr="002E2327">
              <w:rPr>
                <w:rFonts w:cs="Times New Roman"/>
                <w:sz w:val="20"/>
                <w:szCs w:val="20"/>
              </w:rPr>
              <w:t>-</w:t>
            </w:r>
            <w:r>
              <w:rPr>
                <w:rFonts w:cs="Times New Roman"/>
                <w:sz w:val="20"/>
                <w:szCs w:val="20"/>
              </w:rPr>
              <w:t xml:space="preserve"> 993</w:t>
            </w:r>
          </w:p>
          <w:p w:rsidR="00A87207" w:rsidRPr="002E2327" w:rsidRDefault="00A87207" w:rsidP="003D77D4">
            <w:pPr>
              <w:jc w:val="center"/>
              <w:rPr>
                <w:rFonts w:cs="Times New Roman"/>
                <w:sz w:val="20"/>
                <w:szCs w:val="20"/>
              </w:rPr>
            </w:pPr>
          </w:p>
        </w:tc>
        <w:tc>
          <w:tcPr>
            <w:tcW w:w="3888" w:type="dxa"/>
          </w:tcPr>
          <w:p w:rsidR="0095096B" w:rsidRPr="002E2327" w:rsidRDefault="00DA5C5B"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3D77D4">
            <w:pPr>
              <w:rPr>
                <w:rFonts w:cs="Times New Roman"/>
                <w:sz w:val="20"/>
                <w:szCs w:val="20"/>
                <w:lang w:val="fr-CA"/>
              </w:rPr>
            </w:pPr>
          </w:p>
        </w:tc>
      </w:tr>
    </w:tbl>
    <w:p w:rsidR="0095096B" w:rsidRPr="00C44A6F" w:rsidRDefault="0095096B" w:rsidP="0095096B">
      <w:pPr>
        <w:tabs>
          <w:tab w:val="right" w:pos="9360"/>
        </w:tabs>
        <w:rPr>
          <w:sz w:val="20"/>
          <w:szCs w:val="20"/>
          <w:lang w:val="fr-CA"/>
        </w:rPr>
      </w:pPr>
    </w:p>
    <w:p w:rsidR="004B562E" w:rsidRPr="00C44A6F" w:rsidRDefault="004B562E" w:rsidP="0095096B">
      <w:pPr>
        <w:tabs>
          <w:tab w:val="right" w:pos="9360"/>
        </w:tabs>
        <w:rPr>
          <w:sz w:val="20"/>
          <w:szCs w:val="20"/>
          <w:lang w:val="fr-CA"/>
        </w:rPr>
      </w:pPr>
    </w:p>
    <w:p w:rsidR="004B562E" w:rsidRPr="00C44A6F" w:rsidRDefault="004B562E" w:rsidP="0095096B">
      <w:pPr>
        <w:tabs>
          <w:tab w:val="right" w:pos="9360"/>
        </w:tabs>
        <w:rPr>
          <w:sz w:val="20"/>
          <w:szCs w:val="20"/>
          <w:lang w:val="fr-CA"/>
        </w:rPr>
      </w:pPr>
    </w:p>
    <w:p w:rsidR="004B562E" w:rsidRPr="00C44A6F" w:rsidRDefault="004B562E" w:rsidP="0095096B">
      <w:pPr>
        <w:tabs>
          <w:tab w:val="right" w:pos="9360"/>
        </w:tabs>
        <w:rPr>
          <w:sz w:val="20"/>
          <w:szCs w:val="20"/>
          <w:lang w:val="fr-CA"/>
        </w:rPr>
      </w:pPr>
    </w:p>
    <w:p w:rsidR="004B562E" w:rsidRPr="00C44A6F" w:rsidRDefault="004B562E" w:rsidP="0095096B">
      <w:pPr>
        <w:tabs>
          <w:tab w:val="right" w:pos="9360"/>
        </w:tabs>
        <w:rPr>
          <w:sz w:val="20"/>
          <w:szCs w:val="20"/>
          <w:lang w:val="fr-CA"/>
        </w:rPr>
      </w:pPr>
    </w:p>
    <w:tbl>
      <w:tblPr>
        <w:tblStyle w:val="TableGrid"/>
        <w:tblW w:w="0" w:type="auto"/>
        <w:tblLook w:val="04A0" w:firstRow="1" w:lastRow="0" w:firstColumn="1" w:lastColumn="0" w:noHBand="0" w:noVBand="1"/>
      </w:tblPr>
      <w:tblGrid>
        <w:gridCol w:w="9576"/>
      </w:tblGrid>
      <w:tr w:rsidR="0079724F" w:rsidRPr="0009493C"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D006C7" w:rsidRPr="00C21644" w:rsidTr="003B3977">
        <w:tc>
          <w:tcPr>
            <w:tcW w:w="4320" w:type="dxa"/>
            <w:shd w:val="clear" w:color="auto" w:fill="auto"/>
          </w:tcPr>
          <w:p w:rsidR="00D006C7" w:rsidRPr="00A935AA" w:rsidRDefault="00D006C7" w:rsidP="005F1ED8">
            <w:pPr>
              <w:rPr>
                <w:b/>
                <w:sz w:val="20"/>
                <w:szCs w:val="20"/>
              </w:rPr>
            </w:pPr>
            <w:r>
              <w:rPr>
                <w:b/>
                <w:sz w:val="20"/>
                <w:szCs w:val="20"/>
              </w:rPr>
              <w:t>Steven Tonner</w:t>
            </w:r>
          </w:p>
          <w:p w:rsidR="00D006C7" w:rsidRPr="00A935AA" w:rsidRDefault="00D006C7" w:rsidP="005F1ED8">
            <w:pPr>
              <w:tabs>
                <w:tab w:val="left" w:pos="-1440"/>
                <w:tab w:val="left" w:pos="-720"/>
              </w:tabs>
              <w:rPr>
                <w:sz w:val="20"/>
                <w:szCs w:val="20"/>
              </w:rPr>
            </w:pPr>
            <w:r w:rsidRPr="00A935AA">
              <w:rPr>
                <w:sz w:val="20"/>
                <w:szCs w:val="20"/>
              </w:rPr>
              <w:tab/>
            </w:r>
            <w:r>
              <w:rPr>
                <w:sz w:val="20"/>
                <w:szCs w:val="20"/>
              </w:rPr>
              <w:t xml:space="preserve">Steven Tonner </w:t>
            </w:r>
          </w:p>
          <w:p w:rsidR="00D006C7" w:rsidRPr="00772E2A" w:rsidRDefault="00D006C7" w:rsidP="005F1ED8">
            <w:pPr>
              <w:tabs>
                <w:tab w:val="left" w:pos="-1440"/>
                <w:tab w:val="left" w:pos="-720"/>
              </w:tabs>
              <w:rPr>
                <w:sz w:val="20"/>
                <w:szCs w:val="20"/>
              </w:rPr>
            </w:pPr>
          </w:p>
          <w:p w:rsidR="00D006C7" w:rsidRPr="00D006C7" w:rsidRDefault="00D006C7" w:rsidP="005F1ED8">
            <w:pPr>
              <w:tabs>
                <w:tab w:val="left" w:pos="-1440"/>
                <w:tab w:val="left" w:pos="-720"/>
              </w:tabs>
              <w:rPr>
                <w:sz w:val="20"/>
                <w:szCs w:val="20"/>
              </w:rPr>
            </w:pPr>
            <w:r w:rsidRPr="00772E2A">
              <w:rPr>
                <w:sz w:val="20"/>
                <w:szCs w:val="20"/>
              </w:rPr>
              <w:tab/>
            </w:r>
            <w:r w:rsidRPr="00D006C7">
              <w:rPr>
                <w:sz w:val="20"/>
                <w:szCs w:val="20"/>
              </w:rPr>
              <w:t>v. (36447)</w:t>
            </w:r>
          </w:p>
          <w:p w:rsidR="00D006C7" w:rsidRPr="00D006C7" w:rsidRDefault="00D006C7" w:rsidP="005F1ED8">
            <w:pPr>
              <w:tabs>
                <w:tab w:val="left" w:pos="-1440"/>
                <w:tab w:val="left" w:pos="-720"/>
              </w:tabs>
              <w:rPr>
                <w:sz w:val="20"/>
                <w:szCs w:val="20"/>
              </w:rPr>
            </w:pPr>
          </w:p>
          <w:p w:rsidR="00D006C7" w:rsidRPr="00A935AA" w:rsidRDefault="00D006C7" w:rsidP="005F1ED8">
            <w:pPr>
              <w:tabs>
                <w:tab w:val="left" w:pos="-1440"/>
                <w:tab w:val="left" w:pos="-720"/>
              </w:tabs>
              <w:rPr>
                <w:b/>
                <w:sz w:val="20"/>
                <w:szCs w:val="20"/>
              </w:rPr>
            </w:pPr>
            <w:r w:rsidRPr="00D006C7">
              <w:rPr>
                <w:b/>
                <w:sz w:val="20"/>
                <w:szCs w:val="20"/>
              </w:rPr>
              <w:t>Real Estate Council of Ontario et al.</w:t>
            </w:r>
            <w:r w:rsidRPr="00D006C7">
              <w:rPr>
                <w:sz w:val="20"/>
                <w:szCs w:val="20"/>
              </w:rPr>
              <w:t xml:space="preserve"> </w:t>
            </w:r>
            <w:r w:rsidRPr="00A935AA">
              <w:rPr>
                <w:b/>
                <w:sz w:val="20"/>
                <w:szCs w:val="20"/>
              </w:rPr>
              <w:t>(</w:t>
            </w:r>
            <w:r>
              <w:rPr>
                <w:b/>
                <w:sz w:val="20"/>
                <w:szCs w:val="20"/>
              </w:rPr>
              <w:t>Ont</w:t>
            </w:r>
            <w:r w:rsidRPr="00A935AA">
              <w:rPr>
                <w:b/>
                <w:sz w:val="20"/>
                <w:szCs w:val="20"/>
              </w:rPr>
              <w:t>.)</w:t>
            </w:r>
          </w:p>
          <w:p w:rsidR="00D006C7" w:rsidRPr="00A935AA" w:rsidRDefault="00D006C7" w:rsidP="005F1ED8">
            <w:pPr>
              <w:tabs>
                <w:tab w:val="left" w:pos="-1440"/>
                <w:tab w:val="left" w:pos="-720"/>
              </w:tabs>
              <w:rPr>
                <w:sz w:val="20"/>
                <w:szCs w:val="20"/>
              </w:rPr>
            </w:pPr>
            <w:r w:rsidRPr="00A935AA">
              <w:rPr>
                <w:sz w:val="20"/>
                <w:szCs w:val="20"/>
              </w:rPr>
              <w:tab/>
            </w:r>
            <w:r>
              <w:rPr>
                <w:sz w:val="20"/>
                <w:szCs w:val="20"/>
              </w:rPr>
              <w:t>Christopher D. Bredt</w:t>
            </w:r>
          </w:p>
          <w:p w:rsidR="00D006C7" w:rsidRPr="00A935AA" w:rsidRDefault="00D006C7" w:rsidP="005F1ED8">
            <w:pPr>
              <w:tabs>
                <w:tab w:val="left" w:pos="-1440"/>
                <w:tab w:val="left" w:pos="-720"/>
              </w:tabs>
              <w:rPr>
                <w:sz w:val="20"/>
                <w:szCs w:val="20"/>
              </w:rPr>
            </w:pPr>
            <w:r w:rsidRPr="00A935AA">
              <w:rPr>
                <w:sz w:val="20"/>
                <w:szCs w:val="20"/>
              </w:rPr>
              <w:tab/>
            </w:r>
            <w:r>
              <w:rPr>
                <w:sz w:val="20"/>
                <w:szCs w:val="20"/>
              </w:rPr>
              <w:t>Borden Ladner Gervais LLP</w:t>
            </w:r>
          </w:p>
          <w:p w:rsidR="00D006C7" w:rsidRPr="00A935AA" w:rsidRDefault="00D006C7" w:rsidP="005F1ED8">
            <w:pPr>
              <w:tabs>
                <w:tab w:val="left" w:pos="-1440"/>
                <w:tab w:val="left" w:pos="-720"/>
              </w:tabs>
              <w:rPr>
                <w:sz w:val="20"/>
                <w:szCs w:val="20"/>
              </w:rPr>
            </w:pPr>
          </w:p>
          <w:p w:rsidR="00D006C7" w:rsidRPr="00A935AA" w:rsidRDefault="00D006C7" w:rsidP="00D006C7">
            <w:pPr>
              <w:rPr>
                <w:sz w:val="20"/>
                <w:szCs w:val="20"/>
              </w:rPr>
            </w:pPr>
            <w:r w:rsidRPr="00A935AA">
              <w:rPr>
                <w:sz w:val="20"/>
                <w:szCs w:val="20"/>
              </w:rPr>
              <w:t xml:space="preserve">FILING DATE: </w:t>
            </w:r>
            <w:r>
              <w:rPr>
                <w:sz w:val="20"/>
                <w:szCs w:val="20"/>
              </w:rPr>
              <w:t>30</w:t>
            </w:r>
            <w:r w:rsidRPr="00A935AA">
              <w:rPr>
                <w:sz w:val="20"/>
                <w:szCs w:val="20"/>
              </w:rPr>
              <w:t>.</w:t>
            </w:r>
            <w:r>
              <w:rPr>
                <w:sz w:val="20"/>
                <w:szCs w:val="20"/>
              </w:rPr>
              <w:t>03</w:t>
            </w:r>
            <w:r w:rsidRPr="00A935AA">
              <w:rPr>
                <w:sz w:val="20"/>
                <w:szCs w:val="20"/>
              </w:rPr>
              <w:t>.201</w:t>
            </w:r>
            <w:r>
              <w:rPr>
                <w:sz w:val="20"/>
                <w:szCs w:val="20"/>
              </w:rPr>
              <w:t>5</w:t>
            </w:r>
            <w:r w:rsidR="00D82946">
              <w:rPr>
                <w:sz w:val="20"/>
                <w:szCs w:val="20"/>
                <w:lang w:val="fr-CA"/>
              </w:rPr>
              <w:pict>
                <v:rect id="_x0000_i1025" style="width:108pt;height:1pt" o:hrpct="0" o:hralign="center" o:hrstd="t" o:hrnoshade="t" o:hr="t" fillcolor="black [3213]" stroked="f"/>
              </w:pict>
            </w:r>
          </w:p>
        </w:tc>
        <w:tc>
          <w:tcPr>
            <w:tcW w:w="1181" w:type="dxa"/>
            <w:shd w:val="clear" w:color="auto" w:fill="auto"/>
          </w:tcPr>
          <w:p w:rsidR="00D006C7" w:rsidRPr="00A935AA" w:rsidRDefault="00D006C7" w:rsidP="00242AEE">
            <w:pPr>
              <w:jc w:val="center"/>
              <w:rPr>
                <w:sz w:val="20"/>
                <w:szCs w:val="20"/>
              </w:rPr>
            </w:pPr>
          </w:p>
          <w:p w:rsidR="00D006C7" w:rsidRPr="00A935AA" w:rsidRDefault="00D006C7" w:rsidP="00242AEE">
            <w:pPr>
              <w:jc w:val="center"/>
              <w:rPr>
                <w:sz w:val="20"/>
                <w:szCs w:val="20"/>
              </w:rPr>
            </w:pPr>
          </w:p>
          <w:p w:rsidR="00D006C7" w:rsidRPr="00A935AA" w:rsidRDefault="00D006C7" w:rsidP="00242AEE">
            <w:pPr>
              <w:jc w:val="center"/>
              <w:rPr>
                <w:sz w:val="20"/>
                <w:szCs w:val="20"/>
              </w:rPr>
            </w:pPr>
          </w:p>
          <w:p w:rsidR="00D006C7" w:rsidRPr="00A935AA" w:rsidRDefault="00D006C7" w:rsidP="00242AEE">
            <w:pPr>
              <w:jc w:val="center"/>
              <w:rPr>
                <w:sz w:val="20"/>
                <w:szCs w:val="20"/>
              </w:rPr>
            </w:pPr>
          </w:p>
          <w:p w:rsidR="00D006C7" w:rsidRPr="00A935AA" w:rsidRDefault="00D006C7" w:rsidP="00242AEE">
            <w:pPr>
              <w:jc w:val="center"/>
              <w:rPr>
                <w:sz w:val="20"/>
                <w:szCs w:val="20"/>
              </w:rPr>
            </w:pPr>
          </w:p>
          <w:p w:rsidR="00D006C7" w:rsidRPr="00A935AA" w:rsidRDefault="00D006C7" w:rsidP="00242AEE">
            <w:pPr>
              <w:jc w:val="center"/>
              <w:rPr>
                <w:sz w:val="20"/>
                <w:szCs w:val="20"/>
              </w:rPr>
            </w:pPr>
          </w:p>
          <w:p w:rsidR="00D006C7" w:rsidRPr="00A935AA" w:rsidRDefault="00D006C7" w:rsidP="00242AEE">
            <w:pPr>
              <w:jc w:val="center"/>
              <w:rPr>
                <w:sz w:val="20"/>
                <w:szCs w:val="20"/>
              </w:rPr>
            </w:pPr>
          </w:p>
          <w:p w:rsidR="00D006C7" w:rsidRPr="00A935AA" w:rsidRDefault="00D006C7" w:rsidP="00242AEE">
            <w:pPr>
              <w:jc w:val="center"/>
              <w:rPr>
                <w:sz w:val="20"/>
                <w:szCs w:val="20"/>
              </w:rPr>
            </w:pPr>
          </w:p>
          <w:p w:rsidR="00D006C7" w:rsidRPr="00A935AA" w:rsidRDefault="00D006C7" w:rsidP="00242AEE">
            <w:pPr>
              <w:jc w:val="center"/>
              <w:rPr>
                <w:sz w:val="20"/>
                <w:szCs w:val="20"/>
              </w:rPr>
            </w:pPr>
          </w:p>
          <w:p w:rsidR="00D006C7" w:rsidRPr="00A935AA" w:rsidRDefault="00D006C7" w:rsidP="00242AEE">
            <w:pPr>
              <w:jc w:val="center"/>
              <w:rPr>
                <w:sz w:val="20"/>
                <w:szCs w:val="20"/>
              </w:rPr>
            </w:pPr>
          </w:p>
          <w:p w:rsidR="00D006C7" w:rsidRPr="00A935AA" w:rsidRDefault="00D006C7" w:rsidP="00242AEE">
            <w:pPr>
              <w:jc w:val="center"/>
              <w:rPr>
                <w:sz w:val="20"/>
                <w:szCs w:val="20"/>
              </w:rPr>
            </w:pPr>
          </w:p>
          <w:p w:rsidR="00D006C7" w:rsidRPr="00A935AA" w:rsidRDefault="00D006C7" w:rsidP="00242AEE">
            <w:pPr>
              <w:jc w:val="center"/>
              <w:rPr>
                <w:sz w:val="20"/>
                <w:szCs w:val="20"/>
              </w:rPr>
            </w:pPr>
          </w:p>
        </w:tc>
        <w:tc>
          <w:tcPr>
            <w:tcW w:w="4320" w:type="dxa"/>
            <w:shd w:val="clear" w:color="auto" w:fill="auto"/>
          </w:tcPr>
          <w:p w:rsidR="00D006C7" w:rsidRPr="00D006C7" w:rsidRDefault="00D006C7" w:rsidP="00D006C7">
            <w:pPr>
              <w:keepNext/>
              <w:keepLines/>
              <w:tabs>
                <w:tab w:val="left" w:pos="-1440"/>
                <w:tab w:val="left" w:pos="-720"/>
              </w:tabs>
              <w:rPr>
                <w:b/>
                <w:sz w:val="20"/>
                <w:szCs w:val="20"/>
              </w:rPr>
            </w:pPr>
            <w:r w:rsidRPr="00D006C7">
              <w:rPr>
                <w:b/>
                <w:sz w:val="20"/>
                <w:szCs w:val="20"/>
              </w:rPr>
              <w:t>John Turmel</w:t>
            </w:r>
          </w:p>
          <w:p w:rsidR="00D006C7" w:rsidRPr="00A935AA" w:rsidRDefault="00D006C7" w:rsidP="00D006C7">
            <w:pPr>
              <w:keepNext/>
              <w:keepLines/>
              <w:tabs>
                <w:tab w:val="left" w:pos="-1440"/>
                <w:tab w:val="left" w:pos="-720"/>
              </w:tabs>
              <w:rPr>
                <w:sz w:val="20"/>
                <w:szCs w:val="20"/>
              </w:rPr>
            </w:pPr>
            <w:r w:rsidRPr="00D006C7">
              <w:rPr>
                <w:sz w:val="20"/>
                <w:szCs w:val="20"/>
              </w:rPr>
              <w:tab/>
              <w:t>John Turmel</w:t>
            </w:r>
          </w:p>
          <w:p w:rsidR="00D006C7" w:rsidRPr="00A935AA" w:rsidRDefault="00D006C7" w:rsidP="00D006C7">
            <w:pPr>
              <w:keepNext/>
              <w:keepLines/>
              <w:tabs>
                <w:tab w:val="left" w:pos="-1440"/>
                <w:tab w:val="left" w:pos="-720"/>
              </w:tabs>
              <w:rPr>
                <w:sz w:val="20"/>
                <w:szCs w:val="20"/>
              </w:rPr>
            </w:pPr>
          </w:p>
          <w:p w:rsidR="00D006C7" w:rsidRPr="00A935AA" w:rsidRDefault="00D006C7" w:rsidP="00D006C7">
            <w:pPr>
              <w:keepNext/>
              <w:keepLines/>
              <w:tabs>
                <w:tab w:val="left" w:pos="-1440"/>
                <w:tab w:val="left" w:pos="-720"/>
              </w:tabs>
              <w:rPr>
                <w:sz w:val="20"/>
                <w:szCs w:val="20"/>
              </w:rPr>
            </w:pPr>
            <w:r w:rsidRPr="00A935AA">
              <w:rPr>
                <w:sz w:val="20"/>
                <w:szCs w:val="20"/>
              </w:rPr>
              <w:tab/>
              <w:t>v. (3</w:t>
            </w:r>
            <w:r>
              <w:rPr>
                <w:sz w:val="20"/>
                <w:szCs w:val="20"/>
              </w:rPr>
              <w:t>6415</w:t>
            </w:r>
            <w:r w:rsidRPr="00A935AA">
              <w:rPr>
                <w:sz w:val="20"/>
                <w:szCs w:val="20"/>
              </w:rPr>
              <w:t>)</w:t>
            </w:r>
          </w:p>
          <w:p w:rsidR="00D006C7" w:rsidRPr="00A935AA" w:rsidRDefault="00D006C7" w:rsidP="00D006C7">
            <w:pPr>
              <w:keepNext/>
              <w:keepLines/>
              <w:tabs>
                <w:tab w:val="left" w:pos="-1440"/>
                <w:tab w:val="left" w:pos="-720"/>
              </w:tabs>
              <w:rPr>
                <w:sz w:val="20"/>
                <w:szCs w:val="20"/>
              </w:rPr>
            </w:pPr>
          </w:p>
          <w:p w:rsidR="00D006C7" w:rsidRPr="00A935AA" w:rsidRDefault="00D006C7" w:rsidP="00D006C7">
            <w:pPr>
              <w:keepNext/>
              <w:keepLines/>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F.C</w:t>
            </w:r>
            <w:r w:rsidRPr="00A935AA">
              <w:rPr>
                <w:b/>
                <w:sz w:val="20"/>
                <w:szCs w:val="20"/>
              </w:rPr>
              <w:t>.)</w:t>
            </w:r>
          </w:p>
          <w:p w:rsidR="00D006C7" w:rsidRPr="00A935AA" w:rsidRDefault="00D006C7" w:rsidP="00D006C7">
            <w:pPr>
              <w:keepNext/>
              <w:keepLines/>
              <w:tabs>
                <w:tab w:val="left" w:pos="-1440"/>
                <w:tab w:val="left" w:pos="-720"/>
              </w:tabs>
              <w:rPr>
                <w:sz w:val="20"/>
                <w:szCs w:val="20"/>
              </w:rPr>
            </w:pPr>
            <w:r w:rsidRPr="00A935AA">
              <w:rPr>
                <w:sz w:val="20"/>
                <w:szCs w:val="20"/>
              </w:rPr>
              <w:tab/>
            </w:r>
            <w:r>
              <w:rPr>
                <w:sz w:val="20"/>
                <w:szCs w:val="20"/>
              </w:rPr>
              <w:t>Jonathan M. Bricker</w:t>
            </w:r>
          </w:p>
          <w:p w:rsidR="00D006C7" w:rsidRPr="00A935AA" w:rsidRDefault="00D006C7" w:rsidP="00D006C7">
            <w:pPr>
              <w:keepNext/>
              <w:keepLines/>
              <w:tabs>
                <w:tab w:val="left" w:pos="-1440"/>
                <w:tab w:val="left" w:pos="-720"/>
              </w:tabs>
              <w:rPr>
                <w:sz w:val="20"/>
                <w:szCs w:val="20"/>
              </w:rPr>
            </w:pPr>
            <w:r w:rsidRPr="00A935AA">
              <w:rPr>
                <w:sz w:val="20"/>
                <w:szCs w:val="20"/>
              </w:rPr>
              <w:tab/>
            </w:r>
            <w:r>
              <w:rPr>
                <w:sz w:val="20"/>
                <w:szCs w:val="20"/>
              </w:rPr>
              <w:t>Department of Justice</w:t>
            </w:r>
          </w:p>
          <w:p w:rsidR="00D006C7" w:rsidRPr="00A935AA" w:rsidRDefault="00D006C7" w:rsidP="00D006C7">
            <w:pPr>
              <w:keepNext/>
              <w:keepLines/>
              <w:tabs>
                <w:tab w:val="left" w:pos="-1440"/>
                <w:tab w:val="left" w:pos="-720"/>
              </w:tabs>
              <w:rPr>
                <w:sz w:val="20"/>
                <w:szCs w:val="20"/>
              </w:rPr>
            </w:pPr>
          </w:p>
          <w:p w:rsidR="00D006C7" w:rsidRPr="00A935AA" w:rsidRDefault="00D006C7" w:rsidP="00D006C7">
            <w:pPr>
              <w:rPr>
                <w:sz w:val="20"/>
                <w:szCs w:val="20"/>
              </w:rPr>
            </w:pPr>
            <w:r w:rsidRPr="00A935AA">
              <w:rPr>
                <w:sz w:val="20"/>
                <w:szCs w:val="20"/>
              </w:rPr>
              <w:t xml:space="preserve">FILING DATE: </w:t>
            </w:r>
            <w:r>
              <w:rPr>
                <w:sz w:val="20"/>
                <w:szCs w:val="20"/>
              </w:rPr>
              <w:t>13</w:t>
            </w:r>
            <w:r w:rsidRPr="00A935AA">
              <w:rPr>
                <w:sz w:val="20"/>
                <w:szCs w:val="20"/>
              </w:rPr>
              <w:t>.0</w:t>
            </w:r>
            <w:r>
              <w:rPr>
                <w:sz w:val="20"/>
                <w:szCs w:val="20"/>
              </w:rPr>
              <w:t>4</w:t>
            </w:r>
            <w:r w:rsidRPr="00A935AA">
              <w:rPr>
                <w:sz w:val="20"/>
                <w:szCs w:val="20"/>
              </w:rPr>
              <w:t>.201</w:t>
            </w:r>
            <w:r>
              <w:rPr>
                <w:sz w:val="20"/>
                <w:szCs w:val="20"/>
              </w:rPr>
              <w:t>5</w:t>
            </w:r>
            <w:r w:rsidR="00D82946">
              <w:rPr>
                <w:sz w:val="20"/>
                <w:szCs w:val="20"/>
                <w:lang w:val="fr-CA"/>
              </w:rPr>
              <w:pict>
                <v:rect id="_x0000_i1026" style="width:108pt;height:1pt" o:hrpct="0" o:hralign="center" o:hrstd="t" o:hrnoshade="t" o:hr="t" fillcolor="black [3213]" stroked="f"/>
              </w:pict>
            </w:r>
          </w:p>
        </w:tc>
      </w:tr>
      <w:tr w:rsidR="00C21644" w:rsidRPr="00A935AA" w:rsidTr="003B3977">
        <w:tc>
          <w:tcPr>
            <w:tcW w:w="4320" w:type="dxa"/>
            <w:shd w:val="clear" w:color="auto" w:fill="auto"/>
          </w:tcPr>
          <w:p w:rsidR="00C21644" w:rsidRPr="00D006C7" w:rsidRDefault="00D006C7" w:rsidP="003B3977">
            <w:pPr>
              <w:rPr>
                <w:b/>
                <w:sz w:val="20"/>
                <w:szCs w:val="20"/>
              </w:rPr>
            </w:pPr>
            <w:r>
              <w:rPr>
                <w:b/>
                <w:sz w:val="20"/>
                <w:szCs w:val="20"/>
              </w:rPr>
              <w:t>Perry Breslin et al.</w:t>
            </w:r>
          </w:p>
          <w:p w:rsidR="00C21644" w:rsidRPr="00D006C7" w:rsidRDefault="00C21644" w:rsidP="003B3977">
            <w:pPr>
              <w:tabs>
                <w:tab w:val="left" w:pos="-1440"/>
                <w:tab w:val="left" w:pos="-720"/>
              </w:tabs>
              <w:rPr>
                <w:sz w:val="20"/>
                <w:szCs w:val="20"/>
              </w:rPr>
            </w:pPr>
            <w:r w:rsidRPr="00D006C7">
              <w:rPr>
                <w:sz w:val="20"/>
                <w:szCs w:val="20"/>
              </w:rPr>
              <w:tab/>
            </w:r>
            <w:r w:rsidR="00D006C7">
              <w:rPr>
                <w:sz w:val="20"/>
                <w:szCs w:val="20"/>
              </w:rPr>
              <w:t>Melvyn L. Solmon</w:t>
            </w:r>
          </w:p>
          <w:p w:rsidR="00C21644" w:rsidRPr="00D006C7" w:rsidRDefault="00C21644" w:rsidP="003B3977">
            <w:pPr>
              <w:tabs>
                <w:tab w:val="left" w:pos="-1440"/>
                <w:tab w:val="left" w:pos="-720"/>
              </w:tabs>
              <w:rPr>
                <w:sz w:val="20"/>
                <w:szCs w:val="20"/>
              </w:rPr>
            </w:pPr>
            <w:r w:rsidRPr="00D006C7">
              <w:rPr>
                <w:sz w:val="20"/>
                <w:szCs w:val="20"/>
              </w:rPr>
              <w:tab/>
            </w:r>
            <w:r w:rsidR="00D006C7">
              <w:rPr>
                <w:sz w:val="20"/>
                <w:szCs w:val="20"/>
              </w:rPr>
              <w:t xml:space="preserve">Solmon Rothbart Goodman </w:t>
            </w:r>
          </w:p>
          <w:p w:rsidR="00C21644" w:rsidRPr="00D006C7" w:rsidRDefault="00C21644" w:rsidP="003B3977">
            <w:pPr>
              <w:tabs>
                <w:tab w:val="left" w:pos="-1440"/>
                <w:tab w:val="left" w:pos="-720"/>
              </w:tabs>
              <w:rPr>
                <w:sz w:val="20"/>
                <w:szCs w:val="20"/>
              </w:rPr>
            </w:pPr>
          </w:p>
          <w:p w:rsidR="00C21644" w:rsidRPr="00772E2A" w:rsidRDefault="00C21644" w:rsidP="003B3977">
            <w:pPr>
              <w:tabs>
                <w:tab w:val="left" w:pos="-1440"/>
                <w:tab w:val="left" w:pos="-720"/>
              </w:tabs>
              <w:rPr>
                <w:sz w:val="20"/>
                <w:szCs w:val="20"/>
                <w:lang w:val="fr-CA"/>
              </w:rPr>
            </w:pPr>
            <w:r w:rsidRPr="00D006C7">
              <w:rPr>
                <w:sz w:val="20"/>
                <w:szCs w:val="20"/>
              </w:rPr>
              <w:tab/>
            </w:r>
            <w:r w:rsidRPr="00772E2A">
              <w:rPr>
                <w:sz w:val="20"/>
                <w:szCs w:val="20"/>
                <w:lang w:val="fr-CA"/>
              </w:rPr>
              <w:t>v. (3</w:t>
            </w:r>
            <w:r w:rsidR="00D006C7" w:rsidRPr="00772E2A">
              <w:rPr>
                <w:sz w:val="20"/>
                <w:szCs w:val="20"/>
                <w:lang w:val="fr-CA"/>
              </w:rPr>
              <w:t>6419</w:t>
            </w:r>
            <w:r w:rsidRPr="00772E2A">
              <w:rPr>
                <w:sz w:val="20"/>
                <w:szCs w:val="20"/>
                <w:lang w:val="fr-CA"/>
              </w:rPr>
              <w:t>)</w:t>
            </w:r>
          </w:p>
          <w:p w:rsidR="00C21644" w:rsidRPr="00772E2A" w:rsidRDefault="00C21644" w:rsidP="003B3977">
            <w:pPr>
              <w:tabs>
                <w:tab w:val="left" w:pos="-1440"/>
                <w:tab w:val="left" w:pos="-720"/>
              </w:tabs>
              <w:rPr>
                <w:sz w:val="20"/>
                <w:szCs w:val="20"/>
                <w:lang w:val="fr-CA"/>
              </w:rPr>
            </w:pPr>
          </w:p>
          <w:p w:rsidR="00C21644" w:rsidRPr="00772E2A" w:rsidRDefault="00D006C7" w:rsidP="003B3977">
            <w:pPr>
              <w:tabs>
                <w:tab w:val="left" w:pos="-1440"/>
                <w:tab w:val="left" w:pos="-720"/>
              </w:tabs>
              <w:rPr>
                <w:b/>
                <w:sz w:val="20"/>
                <w:szCs w:val="20"/>
                <w:lang w:val="fr-CA"/>
              </w:rPr>
            </w:pPr>
            <w:r w:rsidRPr="00772E2A">
              <w:rPr>
                <w:b/>
                <w:sz w:val="20"/>
                <w:szCs w:val="20"/>
                <w:lang w:val="fr-CA"/>
              </w:rPr>
              <w:t xml:space="preserve">Ontario Securities Commission et al. </w:t>
            </w:r>
            <w:r w:rsidR="00C21644" w:rsidRPr="00772E2A">
              <w:rPr>
                <w:b/>
                <w:sz w:val="20"/>
                <w:szCs w:val="20"/>
                <w:lang w:val="fr-CA"/>
              </w:rPr>
              <w:t>(Ont.)</w:t>
            </w:r>
          </w:p>
          <w:p w:rsidR="00C21644" w:rsidRPr="00A935AA" w:rsidRDefault="00C21644" w:rsidP="003B3977">
            <w:pPr>
              <w:tabs>
                <w:tab w:val="left" w:pos="-1440"/>
                <w:tab w:val="left" w:pos="-720"/>
              </w:tabs>
              <w:rPr>
                <w:sz w:val="20"/>
                <w:szCs w:val="20"/>
              </w:rPr>
            </w:pPr>
            <w:r w:rsidRPr="00772E2A">
              <w:rPr>
                <w:sz w:val="20"/>
                <w:szCs w:val="20"/>
                <w:lang w:val="fr-CA"/>
              </w:rPr>
              <w:tab/>
            </w:r>
            <w:r w:rsidR="00D006C7">
              <w:rPr>
                <w:sz w:val="20"/>
                <w:szCs w:val="20"/>
              </w:rPr>
              <w:t>Matthew H. Britton</w:t>
            </w:r>
          </w:p>
          <w:p w:rsidR="00C21644" w:rsidRPr="00A935AA" w:rsidRDefault="00C21644" w:rsidP="003B3977">
            <w:pPr>
              <w:tabs>
                <w:tab w:val="left" w:pos="-1440"/>
                <w:tab w:val="left" w:pos="-720"/>
              </w:tabs>
              <w:rPr>
                <w:sz w:val="20"/>
                <w:szCs w:val="20"/>
              </w:rPr>
            </w:pPr>
            <w:r w:rsidRPr="00A935AA">
              <w:rPr>
                <w:sz w:val="20"/>
                <w:szCs w:val="20"/>
              </w:rPr>
              <w:tab/>
            </w:r>
            <w:r w:rsidR="00D006C7">
              <w:rPr>
                <w:sz w:val="20"/>
                <w:szCs w:val="20"/>
              </w:rPr>
              <w:t>Ontario Securities Commission</w:t>
            </w:r>
          </w:p>
          <w:p w:rsidR="00C21644" w:rsidRPr="00A935AA" w:rsidRDefault="00C21644" w:rsidP="003B3977">
            <w:pPr>
              <w:tabs>
                <w:tab w:val="left" w:pos="-1440"/>
                <w:tab w:val="left" w:pos="-720"/>
              </w:tabs>
              <w:rPr>
                <w:sz w:val="20"/>
                <w:szCs w:val="20"/>
              </w:rPr>
            </w:pPr>
          </w:p>
          <w:p w:rsidR="00C21644" w:rsidRPr="00A935AA" w:rsidRDefault="00C21644" w:rsidP="00D006C7">
            <w:pPr>
              <w:rPr>
                <w:sz w:val="20"/>
                <w:szCs w:val="20"/>
              </w:rPr>
            </w:pPr>
            <w:r w:rsidRPr="00A935AA">
              <w:rPr>
                <w:sz w:val="20"/>
                <w:szCs w:val="20"/>
              </w:rPr>
              <w:t xml:space="preserve">FILING DATE: </w:t>
            </w:r>
            <w:r w:rsidR="00D006C7">
              <w:rPr>
                <w:sz w:val="20"/>
                <w:szCs w:val="20"/>
              </w:rPr>
              <w:t>04</w:t>
            </w:r>
            <w:r w:rsidRPr="00A935AA">
              <w:rPr>
                <w:sz w:val="20"/>
                <w:szCs w:val="20"/>
              </w:rPr>
              <w:t>.0</w:t>
            </w:r>
            <w:r w:rsidR="00D006C7">
              <w:rPr>
                <w:sz w:val="20"/>
                <w:szCs w:val="20"/>
              </w:rPr>
              <w:t>5</w:t>
            </w:r>
            <w:r w:rsidRPr="00A935AA">
              <w:rPr>
                <w:sz w:val="20"/>
                <w:szCs w:val="20"/>
              </w:rPr>
              <w:t>.201</w:t>
            </w:r>
            <w:r w:rsidR="00D006C7">
              <w:rPr>
                <w:sz w:val="20"/>
                <w:szCs w:val="20"/>
              </w:rPr>
              <w:t>5</w:t>
            </w:r>
            <w:r w:rsidR="00D82946">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D006C7" w:rsidRDefault="00D006C7" w:rsidP="003B3977">
            <w:pPr>
              <w:keepNext/>
              <w:keepLines/>
              <w:tabs>
                <w:tab w:val="left" w:pos="-1440"/>
                <w:tab w:val="left" w:pos="-720"/>
              </w:tabs>
              <w:rPr>
                <w:b/>
                <w:sz w:val="20"/>
                <w:szCs w:val="20"/>
              </w:rPr>
            </w:pPr>
            <w:r>
              <w:rPr>
                <w:b/>
                <w:sz w:val="20"/>
                <w:szCs w:val="20"/>
              </w:rPr>
              <w:t>Sylvain Lambert</w:t>
            </w:r>
          </w:p>
          <w:p w:rsidR="00C21644" w:rsidRPr="00D006C7" w:rsidRDefault="00C21644" w:rsidP="003B3977">
            <w:pPr>
              <w:keepNext/>
              <w:keepLines/>
              <w:tabs>
                <w:tab w:val="left" w:pos="-1440"/>
                <w:tab w:val="left" w:pos="-720"/>
              </w:tabs>
              <w:rPr>
                <w:sz w:val="20"/>
                <w:szCs w:val="20"/>
              </w:rPr>
            </w:pPr>
            <w:r w:rsidRPr="00D006C7">
              <w:rPr>
                <w:sz w:val="20"/>
                <w:szCs w:val="20"/>
              </w:rPr>
              <w:tab/>
            </w:r>
            <w:r w:rsidR="00D006C7">
              <w:rPr>
                <w:sz w:val="20"/>
                <w:szCs w:val="20"/>
              </w:rPr>
              <w:t>Jeff Orenstein</w:t>
            </w:r>
          </w:p>
          <w:p w:rsidR="00C21644" w:rsidRPr="00A935AA" w:rsidRDefault="00C21644" w:rsidP="003B3977">
            <w:pPr>
              <w:keepNext/>
              <w:keepLines/>
              <w:tabs>
                <w:tab w:val="left" w:pos="-1440"/>
                <w:tab w:val="left" w:pos="-720"/>
              </w:tabs>
              <w:rPr>
                <w:sz w:val="20"/>
                <w:szCs w:val="20"/>
              </w:rPr>
            </w:pPr>
            <w:r w:rsidRPr="00D006C7">
              <w:rPr>
                <w:sz w:val="20"/>
                <w:szCs w:val="20"/>
              </w:rPr>
              <w:tab/>
            </w:r>
            <w:r w:rsidR="00D006C7">
              <w:rPr>
                <w:sz w:val="20"/>
                <w:szCs w:val="20"/>
              </w:rPr>
              <w:t>Consumer Law Group Inc.</w:t>
            </w:r>
          </w:p>
          <w:p w:rsidR="00C21644" w:rsidRPr="00A935AA" w:rsidRDefault="00C21644" w:rsidP="003B3977">
            <w:pPr>
              <w:keepNext/>
              <w:keepLines/>
              <w:tabs>
                <w:tab w:val="left" w:pos="-1440"/>
                <w:tab w:val="left" w:pos="-720"/>
              </w:tabs>
              <w:rPr>
                <w:sz w:val="20"/>
                <w:szCs w:val="20"/>
              </w:rPr>
            </w:pPr>
          </w:p>
          <w:p w:rsidR="00C21644" w:rsidRPr="00A935AA" w:rsidRDefault="00C21644" w:rsidP="003B3977">
            <w:pPr>
              <w:keepNext/>
              <w:keepLines/>
              <w:tabs>
                <w:tab w:val="left" w:pos="-1440"/>
                <w:tab w:val="left" w:pos="-720"/>
              </w:tabs>
              <w:rPr>
                <w:sz w:val="20"/>
                <w:szCs w:val="20"/>
              </w:rPr>
            </w:pPr>
            <w:r w:rsidRPr="00A935AA">
              <w:rPr>
                <w:sz w:val="20"/>
                <w:szCs w:val="20"/>
              </w:rPr>
              <w:tab/>
              <w:t>v. (3</w:t>
            </w:r>
            <w:r w:rsidR="00D006C7">
              <w:rPr>
                <w:sz w:val="20"/>
                <w:szCs w:val="20"/>
              </w:rPr>
              <w:t>642</w:t>
            </w:r>
            <w:r>
              <w:rPr>
                <w:sz w:val="20"/>
                <w:szCs w:val="20"/>
              </w:rPr>
              <w:t>5</w:t>
            </w:r>
            <w:r w:rsidRPr="00A935AA">
              <w:rPr>
                <w:sz w:val="20"/>
                <w:szCs w:val="20"/>
              </w:rPr>
              <w:t>)</w:t>
            </w:r>
          </w:p>
          <w:p w:rsidR="00C21644" w:rsidRPr="00A935AA" w:rsidRDefault="00C21644" w:rsidP="003B3977">
            <w:pPr>
              <w:keepNext/>
              <w:keepLines/>
              <w:tabs>
                <w:tab w:val="left" w:pos="-1440"/>
                <w:tab w:val="left" w:pos="-720"/>
              </w:tabs>
              <w:rPr>
                <w:sz w:val="20"/>
                <w:szCs w:val="20"/>
              </w:rPr>
            </w:pPr>
          </w:p>
          <w:p w:rsidR="00C21644" w:rsidRPr="00D006C7" w:rsidRDefault="00D006C7" w:rsidP="003B3977">
            <w:pPr>
              <w:keepNext/>
              <w:keepLines/>
              <w:tabs>
                <w:tab w:val="left" w:pos="-1440"/>
                <w:tab w:val="left" w:pos="-720"/>
              </w:tabs>
              <w:rPr>
                <w:b/>
                <w:sz w:val="20"/>
                <w:szCs w:val="20"/>
                <w:lang w:val="fr-CA"/>
              </w:rPr>
            </w:pPr>
            <w:r>
              <w:rPr>
                <w:b/>
                <w:sz w:val="20"/>
                <w:szCs w:val="20"/>
              </w:rPr>
              <w:t xml:space="preserve">Whirlpool Canada LP et al. </w:t>
            </w:r>
            <w:r w:rsidR="00C21644" w:rsidRPr="00D006C7">
              <w:rPr>
                <w:b/>
                <w:sz w:val="20"/>
                <w:szCs w:val="20"/>
                <w:lang w:val="fr-CA"/>
              </w:rPr>
              <w:t>(</w:t>
            </w:r>
            <w:r w:rsidRPr="00D006C7">
              <w:rPr>
                <w:b/>
                <w:sz w:val="20"/>
                <w:szCs w:val="20"/>
                <w:lang w:val="fr-CA"/>
              </w:rPr>
              <w:t>Que</w:t>
            </w:r>
            <w:r w:rsidR="00C21644" w:rsidRPr="00D006C7">
              <w:rPr>
                <w:b/>
                <w:sz w:val="20"/>
                <w:szCs w:val="20"/>
                <w:lang w:val="fr-CA"/>
              </w:rPr>
              <w:t>.)</w:t>
            </w:r>
          </w:p>
          <w:p w:rsidR="00C21644" w:rsidRPr="00D006C7" w:rsidRDefault="00C21644" w:rsidP="003B3977">
            <w:pPr>
              <w:keepNext/>
              <w:keepLines/>
              <w:tabs>
                <w:tab w:val="left" w:pos="-1440"/>
                <w:tab w:val="left" w:pos="-720"/>
              </w:tabs>
              <w:rPr>
                <w:sz w:val="20"/>
                <w:szCs w:val="20"/>
                <w:lang w:val="fr-CA"/>
              </w:rPr>
            </w:pPr>
            <w:r w:rsidRPr="00D006C7">
              <w:rPr>
                <w:sz w:val="20"/>
                <w:szCs w:val="20"/>
                <w:lang w:val="fr-CA"/>
              </w:rPr>
              <w:tab/>
            </w:r>
            <w:r w:rsidR="00D006C7" w:rsidRPr="00D006C7">
              <w:rPr>
                <w:sz w:val="20"/>
                <w:szCs w:val="20"/>
                <w:lang w:val="fr-CA"/>
              </w:rPr>
              <w:t>Laurent N</w:t>
            </w:r>
            <w:r w:rsidR="00472784">
              <w:rPr>
                <w:sz w:val="20"/>
                <w:szCs w:val="20"/>
                <w:lang w:val="fr-CA"/>
              </w:rPr>
              <w:t>a</w:t>
            </w:r>
            <w:r w:rsidR="00D006C7" w:rsidRPr="00D006C7">
              <w:rPr>
                <w:sz w:val="20"/>
                <w:szCs w:val="20"/>
                <w:lang w:val="fr-CA"/>
              </w:rPr>
              <w:t>hmiash</w:t>
            </w:r>
          </w:p>
          <w:p w:rsidR="00C21644" w:rsidRPr="00D006C7" w:rsidRDefault="00C21644" w:rsidP="003B3977">
            <w:pPr>
              <w:keepNext/>
              <w:keepLines/>
              <w:tabs>
                <w:tab w:val="left" w:pos="-1440"/>
                <w:tab w:val="left" w:pos="-720"/>
              </w:tabs>
              <w:rPr>
                <w:sz w:val="20"/>
                <w:szCs w:val="20"/>
                <w:lang w:val="fr-CA"/>
              </w:rPr>
            </w:pPr>
            <w:r w:rsidRPr="00D006C7">
              <w:rPr>
                <w:sz w:val="20"/>
                <w:szCs w:val="20"/>
                <w:lang w:val="fr-CA"/>
              </w:rPr>
              <w:tab/>
            </w:r>
            <w:r w:rsidR="00D006C7" w:rsidRPr="00D006C7">
              <w:rPr>
                <w:sz w:val="20"/>
                <w:szCs w:val="20"/>
                <w:lang w:val="fr-CA"/>
              </w:rPr>
              <w:t>Dentons Canada LLP</w:t>
            </w:r>
          </w:p>
          <w:p w:rsidR="00C21644" w:rsidRPr="00D006C7" w:rsidRDefault="00C21644" w:rsidP="003B3977">
            <w:pPr>
              <w:keepNext/>
              <w:keepLines/>
              <w:tabs>
                <w:tab w:val="left" w:pos="-1440"/>
                <w:tab w:val="left" w:pos="-720"/>
              </w:tabs>
              <w:rPr>
                <w:sz w:val="20"/>
                <w:szCs w:val="20"/>
                <w:lang w:val="fr-CA"/>
              </w:rPr>
            </w:pPr>
          </w:p>
          <w:p w:rsidR="00C21644" w:rsidRPr="00A935AA" w:rsidRDefault="00C21644" w:rsidP="00D006C7">
            <w:pPr>
              <w:rPr>
                <w:sz w:val="20"/>
                <w:szCs w:val="20"/>
              </w:rPr>
            </w:pPr>
            <w:r w:rsidRPr="00A935AA">
              <w:rPr>
                <w:sz w:val="20"/>
                <w:szCs w:val="20"/>
              </w:rPr>
              <w:t xml:space="preserve">FILING DATE: </w:t>
            </w:r>
            <w:r w:rsidR="00D006C7">
              <w:rPr>
                <w:sz w:val="20"/>
                <w:szCs w:val="20"/>
              </w:rPr>
              <w:t>08</w:t>
            </w:r>
            <w:r w:rsidRPr="00A935AA">
              <w:rPr>
                <w:sz w:val="20"/>
                <w:szCs w:val="20"/>
              </w:rPr>
              <w:t>.0</w:t>
            </w:r>
            <w:r w:rsidR="00D006C7">
              <w:rPr>
                <w:sz w:val="20"/>
                <w:szCs w:val="20"/>
              </w:rPr>
              <w:t>5</w:t>
            </w:r>
            <w:r w:rsidRPr="00A935AA">
              <w:rPr>
                <w:sz w:val="20"/>
                <w:szCs w:val="20"/>
              </w:rPr>
              <w:t>.201</w:t>
            </w:r>
            <w:r w:rsidR="00D006C7">
              <w:rPr>
                <w:sz w:val="20"/>
                <w:szCs w:val="20"/>
              </w:rPr>
              <w:t>5</w:t>
            </w:r>
            <w:r w:rsidR="00D82946">
              <w:rPr>
                <w:sz w:val="20"/>
                <w:szCs w:val="20"/>
                <w:lang w:val="fr-CA"/>
              </w:rPr>
              <w:pict>
                <v:rect id="_x0000_i1028" style="width:108pt;height:1pt" o:hrpct="0" o:hralign="center" o:hrstd="t" o:hrnoshade="t" o:hr="t" fillcolor="black [3213]" stroked="f"/>
              </w:pict>
            </w:r>
          </w:p>
        </w:tc>
      </w:tr>
      <w:tr w:rsidR="00C21644" w:rsidRPr="00A935AA" w:rsidTr="003B3977">
        <w:tc>
          <w:tcPr>
            <w:tcW w:w="4320" w:type="dxa"/>
            <w:shd w:val="clear" w:color="auto" w:fill="auto"/>
          </w:tcPr>
          <w:p w:rsidR="00C21644" w:rsidRPr="00A935AA" w:rsidRDefault="00D006C7" w:rsidP="005F1ED8">
            <w:pPr>
              <w:rPr>
                <w:b/>
                <w:sz w:val="20"/>
                <w:szCs w:val="20"/>
              </w:rPr>
            </w:pPr>
            <w:r>
              <w:rPr>
                <w:b/>
                <w:sz w:val="20"/>
                <w:szCs w:val="20"/>
              </w:rPr>
              <w:t>Siri Guru Nanak Sikh Gurdwara of Alberta</w:t>
            </w:r>
          </w:p>
          <w:p w:rsidR="00C21644" w:rsidRPr="00A935AA" w:rsidRDefault="00C21644" w:rsidP="005F1ED8">
            <w:pPr>
              <w:tabs>
                <w:tab w:val="left" w:pos="-1440"/>
                <w:tab w:val="left" w:pos="-720"/>
              </w:tabs>
              <w:rPr>
                <w:sz w:val="20"/>
                <w:szCs w:val="20"/>
              </w:rPr>
            </w:pPr>
            <w:r w:rsidRPr="00A935AA">
              <w:rPr>
                <w:sz w:val="20"/>
                <w:szCs w:val="20"/>
              </w:rPr>
              <w:tab/>
            </w:r>
            <w:r w:rsidR="00D006C7">
              <w:rPr>
                <w:sz w:val="20"/>
                <w:szCs w:val="20"/>
              </w:rPr>
              <w:t>Arman Chak</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D006C7">
              <w:rPr>
                <w:sz w:val="20"/>
                <w:szCs w:val="20"/>
              </w:rPr>
              <w:t>6426</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EA3F85" w:rsidP="005F1ED8">
            <w:pPr>
              <w:tabs>
                <w:tab w:val="left" w:pos="-1440"/>
                <w:tab w:val="left" w:pos="-720"/>
              </w:tabs>
              <w:rPr>
                <w:b/>
                <w:sz w:val="20"/>
                <w:szCs w:val="20"/>
              </w:rPr>
            </w:pPr>
            <w:r>
              <w:rPr>
                <w:b/>
                <w:sz w:val="20"/>
                <w:szCs w:val="20"/>
              </w:rPr>
              <w:t xml:space="preserve">Sakattar Singh Sandhu and Baldev Singh Hundle </w:t>
            </w:r>
            <w:r w:rsidR="00C21644" w:rsidRPr="00A935AA">
              <w:rPr>
                <w:b/>
                <w:sz w:val="20"/>
                <w:szCs w:val="20"/>
              </w:rPr>
              <w:t>(</w:t>
            </w:r>
            <w:r>
              <w:rPr>
                <w:b/>
                <w:sz w:val="20"/>
                <w:szCs w:val="20"/>
              </w:rPr>
              <w:t>Al</w:t>
            </w:r>
            <w:r w:rsidR="00C21644">
              <w:rPr>
                <w:b/>
                <w:sz w:val="20"/>
                <w:szCs w:val="20"/>
              </w:rPr>
              <w:t>t</w:t>
            </w:r>
            <w:r>
              <w:rPr>
                <w:b/>
                <w:sz w:val="20"/>
                <w:szCs w:val="20"/>
              </w:rPr>
              <w:t>a</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EA3F85">
              <w:rPr>
                <w:sz w:val="20"/>
                <w:szCs w:val="20"/>
              </w:rPr>
              <w:t>Arpal Dosanjh</w:t>
            </w:r>
          </w:p>
          <w:p w:rsidR="00C21644" w:rsidRPr="00A935AA" w:rsidRDefault="00C21644" w:rsidP="005F1ED8">
            <w:pPr>
              <w:tabs>
                <w:tab w:val="left" w:pos="-1440"/>
                <w:tab w:val="left" w:pos="-720"/>
              </w:tabs>
              <w:rPr>
                <w:sz w:val="20"/>
                <w:szCs w:val="20"/>
              </w:rPr>
            </w:pPr>
            <w:r w:rsidRPr="00A935AA">
              <w:rPr>
                <w:sz w:val="20"/>
                <w:szCs w:val="20"/>
              </w:rPr>
              <w:tab/>
            </w:r>
            <w:r w:rsidR="00EA3F85">
              <w:rPr>
                <w:sz w:val="20"/>
                <w:szCs w:val="20"/>
              </w:rPr>
              <w:t>Gundmundseth Mickelson LLP</w:t>
            </w:r>
          </w:p>
          <w:p w:rsidR="00C21644" w:rsidRPr="00A935AA" w:rsidRDefault="00C21644" w:rsidP="005F1ED8">
            <w:pPr>
              <w:tabs>
                <w:tab w:val="left" w:pos="-1440"/>
                <w:tab w:val="left" w:pos="-720"/>
              </w:tabs>
              <w:rPr>
                <w:sz w:val="20"/>
                <w:szCs w:val="20"/>
              </w:rPr>
            </w:pPr>
          </w:p>
          <w:p w:rsidR="00C21644" w:rsidRPr="00A935AA" w:rsidRDefault="00C21644" w:rsidP="00EA3F85">
            <w:pPr>
              <w:rPr>
                <w:sz w:val="20"/>
                <w:szCs w:val="20"/>
              </w:rPr>
            </w:pPr>
            <w:r w:rsidRPr="00A935AA">
              <w:rPr>
                <w:sz w:val="20"/>
                <w:szCs w:val="20"/>
              </w:rPr>
              <w:t xml:space="preserve">FILING DATE: </w:t>
            </w:r>
            <w:r w:rsidR="00EA3F85">
              <w:rPr>
                <w:sz w:val="20"/>
                <w:szCs w:val="20"/>
              </w:rPr>
              <w:t>0</w:t>
            </w:r>
            <w:r>
              <w:rPr>
                <w:sz w:val="20"/>
                <w:szCs w:val="20"/>
              </w:rPr>
              <w:t>8</w:t>
            </w:r>
            <w:r w:rsidRPr="00A935AA">
              <w:rPr>
                <w:sz w:val="20"/>
                <w:szCs w:val="20"/>
              </w:rPr>
              <w:t>.0</w:t>
            </w:r>
            <w:r w:rsidR="00EA3F85">
              <w:rPr>
                <w:sz w:val="20"/>
                <w:szCs w:val="20"/>
              </w:rPr>
              <w:t>5</w:t>
            </w:r>
            <w:r w:rsidRPr="00A935AA">
              <w:rPr>
                <w:sz w:val="20"/>
                <w:szCs w:val="20"/>
              </w:rPr>
              <w:t>.201</w:t>
            </w:r>
            <w:r w:rsidR="00EA3F85">
              <w:rPr>
                <w:sz w:val="20"/>
                <w:szCs w:val="20"/>
              </w:rPr>
              <w:t>5</w:t>
            </w:r>
            <w:r w:rsidR="00D82946">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C21644"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A935AA" w:rsidRDefault="00EA3F85" w:rsidP="005F1ED8">
            <w:pPr>
              <w:rPr>
                <w:b/>
                <w:sz w:val="20"/>
                <w:szCs w:val="20"/>
              </w:rPr>
            </w:pPr>
            <w:r>
              <w:rPr>
                <w:b/>
                <w:sz w:val="20"/>
                <w:szCs w:val="20"/>
              </w:rPr>
              <w:t>David Carl Sunshine</w:t>
            </w:r>
          </w:p>
          <w:p w:rsidR="00C21644" w:rsidRPr="00A935AA" w:rsidRDefault="00C21644" w:rsidP="005F1ED8">
            <w:pPr>
              <w:tabs>
                <w:tab w:val="left" w:pos="-1440"/>
                <w:tab w:val="left" w:pos="-720"/>
              </w:tabs>
              <w:rPr>
                <w:sz w:val="20"/>
                <w:szCs w:val="20"/>
              </w:rPr>
            </w:pPr>
            <w:r w:rsidRPr="00A935AA">
              <w:rPr>
                <w:sz w:val="20"/>
                <w:szCs w:val="20"/>
              </w:rPr>
              <w:tab/>
            </w:r>
            <w:r w:rsidR="00EA3F85">
              <w:rPr>
                <w:sz w:val="20"/>
                <w:szCs w:val="20"/>
              </w:rPr>
              <w:t>Thomas M. Arbogast</w:t>
            </w:r>
          </w:p>
          <w:p w:rsidR="00C21644" w:rsidRPr="00A935AA" w:rsidRDefault="00C21644" w:rsidP="005F1ED8">
            <w:pPr>
              <w:tabs>
                <w:tab w:val="left" w:pos="-1440"/>
                <w:tab w:val="left" w:pos="-720"/>
              </w:tabs>
              <w:rPr>
                <w:sz w:val="20"/>
                <w:szCs w:val="20"/>
              </w:rPr>
            </w:pPr>
            <w:r w:rsidRPr="00A935AA">
              <w:rPr>
                <w:sz w:val="20"/>
                <w:szCs w:val="20"/>
              </w:rPr>
              <w:tab/>
            </w:r>
            <w:r w:rsidR="00EA3F85">
              <w:rPr>
                <w:sz w:val="20"/>
                <w:szCs w:val="20"/>
              </w:rPr>
              <w:t>Wilson Butcher</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EA3F85">
              <w:rPr>
                <w:sz w:val="20"/>
                <w:szCs w:val="20"/>
              </w:rPr>
              <w:t>6430</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EA3F85" w:rsidP="005F1ED8">
            <w:pPr>
              <w:tabs>
                <w:tab w:val="left" w:pos="-1440"/>
                <w:tab w:val="left" w:pos="-720"/>
              </w:tabs>
              <w:rPr>
                <w:b/>
                <w:sz w:val="20"/>
                <w:szCs w:val="20"/>
              </w:rPr>
            </w:pPr>
            <w:r>
              <w:rPr>
                <w:b/>
                <w:sz w:val="20"/>
                <w:szCs w:val="20"/>
              </w:rPr>
              <w:t xml:space="preserve">Her Majesty the Queen </w:t>
            </w:r>
            <w:r w:rsidR="00C21644" w:rsidRPr="00A935AA">
              <w:rPr>
                <w:b/>
                <w:sz w:val="20"/>
                <w:szCs w:val="20"/>
              </w:rPr>
              <w:t>(</w:t>
            </w:r>
            <w:r>
              <w:rPr>
                <w:b/>
                <w:sz w:val="20"/>
                <w:szCs w:val="20"/>
              </w:rPr>
              <w:t>B.C</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EA3F85">
              <w:rPr>
                <w:sz w:val="20"/>
                <w:szCs w:val="20"/>
              </w:rPr>
              <w:t>Mary T. Ainslie, Q.C.</w:t>
            </w:r>
          </w:p>
          <w:p w:rsidR="00C21644" w:rsidRPr="00A935AA" w:rsidRDefault="00C21644" w:rsidP="005F1ED8">
            <w:pPr>
              <w:tabs>
                <w:tab w:val="left" w:pos="-1440"/>
                <w:tab w:val="left" w:pos="-720"/>
              </w:tabs>
              <w:rPr>
                <w:sz w:val="20"/>
                <w:szCs w:val="20"/>
              </w:rPr>
            </w:pPr>
            <w:r w:rsidRPr="00A935AA">
              <w:rPr>
                <w:sz w:val="20"/>
                <w:szCs w:val="20"/>
              </w:rPr>
              <w:tab/>
            </w:r>
            <w:r w:rsidR="00EA3F85">
              <w:rPr>
                <w:sz w:val="20"/>
                <w:szCs w:val="20"/>
              </w:rPr>
              <w:t>A.G. of British Columbia</w:t>
            </w:r>
          </w:p>
          <w:p w:rsidR="00C21644" w:rsidRPr="00A935AA" w:rsidRDefault="00C21644" w:rsidP="005F1ED8">
            <w:pPr>
              <w:tabs>
                <w:tab w:val="left" w:pos="-1440"/>
                <w:tab w:val="left" w:pos="-720"/>
              </w:tabs>
              <w:rPr>
                <w:sz w:val="20"/>
                <w:szCs w:val="20"/>
              </w:rPr>
            </w:pPr>
          </w:p>
          <w:p w:rsidR="00C21644" w:rsidRPr="00A935AA" w:rsidRDefault="00C21644" w:rsidP="00EA3F85">
            <w:pPr>
              <w:rPr>
                <w:sz w:val="20"/>
                <w:szCs w:val="20"/>
              </w:rPr>
            </w:pPr>
            <w:r w:rsidRPr="00A935AA">
              <w:rPr>
                <w:sz w:val="20"/>
                <w:szCs w:val="20"/>
              </w:rPr>
              <w:t xml:space="preserve">FILING DATE: </w:t>
            </w:r>
            <w:r w:rsidR="00EA3F85">
              <w:rPr>
                <w:sz w:val="20"/>
                <w:szCs w:val="20"/>
              </w:rPr>
              <w:t>1</w:t>
            </w:r>
            <w:r w:rsidRPr="00A935AA">
              <w:rPr>
                <w:sz w:val="20"/>
                <w:szCs w:val="20"/>
              </w:rPr>
              <w:t>2.0</w:t>
            </w:r>
            <w:r w:rsidR="00EA3F85">
              <w:rPr>
                <w:sz w:val="20"/>
                <w:szCs w:val="20"/>
              </w:rPr>
              <w:t>5</w:t>
            </w:r>
            <w:r w:rsidRPr="00A935AA">
              <w:rPr>
                <w:sz w:val="20"/>
                <w:szCs w:val="20"/>
              </w:rPr>
              <w:t>.201</w:t>
            </w:r>
            <w:r w:rsidR="00EA3F85">
              <w:rPr>
                <w:sz w:val="20"/>
                <w:szCs w:val="20"/>
              </w:rPr>
              <w:t>5</w:t>
            </w:r>
            <w:r w:rsidR="00D82946">
              <w:rPr>
                <w:sz w:val="20"/>
                <w:szCs w:val="20"/>
                <w:lang w:val="fr-CA"/>
              </w:rPr>
              <w:pict>
                <v:rect id="_x0000_i1030" style="width:108pt;height:1pt" o:hrpct="0" o:hralign="center" o:hrstd="t" o:hrnoshade="t" o:hr="t" fillcolor="black [3213]" stroked="f"/>
              </w:pict>
            </w:r>
          </w:p>
        </w:tc>
      </w:tr>
    </w:tbl>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484E81">
          <w:headerReference w:type="default" r:id="rId16"/>
          <w:footerReference w:type="default" r:id="rId17"/>
          <w:headerReference w:type="first" r:id="rId18"/>
          <w:footerReference w:type="first" r:id="rId19"/>
          <w:pgSz w:w="12240" w:h="15840"/>
          <w:pgMar w:top="720" w:right="965" w:bottom="1080" w:left="1656" w:header="706" w:footer="706" w:gutter="0"/>
          <w:pgNumType w:start="971"/>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09493C"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CB3520" w:rsidP="00CB3520">
      <w:pPr>
        <w:widowControl w:val="0"/>
        <w:rPr>
          <w:b/>
          <w:sz w:val="20"/>
          <w:szCs w:val="20"/>
        </w:rPr>
      </w:pPr>
      <w:r>
        <w:rPr>
          <w:b/>
          <w:sz w:val="20"/>
          <w:szCs w:val="20"/>
        </w:rPr>
        <w:t>JU</w:t>
      </w:r>
      <w:r w:rsidR="00904110">
        <w:rPr>
          <w:b/>
          <w:sz w:val="20"/>
          <w:szCs w:val="20"/>
        </w:rPr>
        <w:t>NE</w:t>
      </w:r>
      <w:r>
        <w:rPr>
          <w:b/>
          <w:sz w:val="20"/>
          <w:szCs w:val="20"/>
        </w:rPr>
        <w:t xml:space="preserve"> </w:t>
      </w:r>
      <w:r w:rsidR="00904110">
        <w:rPr>
          <w:b/>
          <w:sz w:val="20"/>
          <w:szCs w:val="20"/>
        </w:rPr>
        <w:t>1</w:t>
      </w:r>
      <w:r w:rsidRPr="00C50A5C">
        <w:rPr>
          <w:b/>
          <w:sz w:val="20"/>
          <w:szCs w:val="20"/>
        </w:rPr>
        <w:t>, 201</w:t>
      </w:r>
      <w:r w:rsidR="00020DC3">
        <w:rPr>
          <w:b/>
          <w:sz w:val="20"/>
          <w:szCs w:val="20"/>
        </w:rPr>
        <w:t>5</w:t>
      </w:r>
      <w:r w:rsidRPr="00C50A5C">
        <w:rPr>
          <w:b/>
          <w:sz w:val="20"/>
          <w:szCs w:val="20"/>
        </w:rPr>
        <w:t xml:space="preserve"> / LE </w:t>
      </w:r>
      <w:r w:rsidR="00020DC3">
        <w:rPr>
          <w:b/>
          <w:sz w:val="20"/>
          <w:szCs w:val="20"/>
        </w:rPr>
        <w:t>1</w:t>
      </w:r>
      <w:r w:rsidR="00904110" w:rsidRPr="00904110">
        <w:rPr>
          <w:b/>
          <w:sz w:val="20"/>
          <w:szCs w:val="20"/>
          <w:vertAlign w:val="superscript"/>
        </w:rPr>
        <w:t>er</w:t>
      </w:r>
      <w:r>
        <w:rPr>
          <w:b/>
          <w:sz w:val="20"/>
          <w:szCs w:val="20"/>
        </w:rPr>
        <w:t xml:space="preserve"> J</w:t>
      </w:r>
      <w:r w:rsidR="00904110">
        <w:rPr>
          <w:b/>
          <w:sz w:val="20"/>
          <w:szCs w:val="20"/>
        </w:rPr>
        <w:t>UI</w:t>
      </w:r>
      <w:r>
        <w:rPr>
          <w:b/>
          <w:sz w:val="20"/>
          <w:szCs w:val="20"/>
        </w:rPr>
        <w:t>N</w:t>
      </w:r>
      <w:r w:rsidRPr="00C50A5C">
        <w:rPr>
          <w:b/>
          <w:sz w:val="20"/>
          <w:szCs w:val="20"/>
        </w:rPr>
        <w:t xml:space="preserve"> 201</w:t>
      </w:r>
      <w:r w:rsidR="00020DC3">
        <w:rPr>
          <w:b/>
          <w:sz w:val="20"/>
          <w:szCs w:val="20"/>
        </w:rPr>
        <w:t>5</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sidR="00FA3373">
        <w:rPr>
          <w:b/>
          <w:sz w:val="20"/>
          <w:szCs w:val="20"/>
        </w:rPr>
        <w:t>Wagner</w:t>
      </w:r>
      <w:r w:rsidRPr="00C50A5C">
        <w:rPr>
          <w:b/>
          <w:sz w:val="20"/>
          <w:szCs w:val="20"/>
        </w:rPr>
        <w:t xml:space="preserve"> and </w:t>
      </w:r>
      <w:r w:rsidR="00FA3373">
        <w:rPr>
          <w:b/>
          <w:sz w:val="20"/>
          <w:szCs w:val="20"/>
        </w:rPr>
        <w:t xml:space="preserve">Gascon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sidR="00FA3373">
        <w:rPr>
          <w:b/>
          <w:sz w:val="20"/>
          <w:szCs w:val="20"/>
          <w:lang w:val="fr-CA"/>
        </w:rPr>
        <w:t>Wagner</w:t>
      </w:r>
      <w:r w:rsidRPr="00C50A5C">
        <w:rPr>
          <w:b/>
          <w:sz w:val="20"/>
          <w:szCs w:val="20"/>
          <w:lang w:val="fr-CA"/>
        </w:rPr>
        <w:t xml:space="preserve"> et </w:t>
      </w:r>
      <w:r w:rsidR="00FA3373">
        <w:rPr>
          <w:b/>
          <w:sz w:val="20"/>
          <w:szCs w:val="20"/>
          <w:lang w:val="fr-CA"/>
        </w:rPr>
        <w:t>Gascon</w:t>
      </w:r>
    </w:p>
    <w:p w:rsidR="00CB3520" w:rsidRPr="00C50A5C" w:rsidRDefault="00CB3520" w:rsidP="00CB3520">
      <w:pPr>
        <w:widowControl w:val="0"/>
        <w:rPr>
          <w:sz w:val="20"/>
          <w:szCs w:val="20"/>
          <w:lang w:val="fr-CA"/>
        </w:rPr>
      </w:pPr>
    </w:p>
    <w:p w:rsidR="00CB3520" w:rsidRPr="00772E2A" w:rsidRDefault="00772E2A" w:rsidP="00CB3520">
      <w:pPr>
        <w:pStyle w:val="ListParagraph"/>
        <w:widowControl w:val="0"/>
        <w:numPr>
          <w:ilvl w:val="0"/>
          <w:numId w:val="1"/>
        </w:numPr>
        <w:ind w:hanging="720"/>
        <w:jc w:val="both"/>
        <w:rPr>
          <w:sz w:val="20"/>
          <w:szCs w:val="20"/>
          <w:lang w:val="fr-CA"/>
        </w:rPr>
      </w:pPr>
      <w:r w:rsidRPr="00772E2A">
        <w:rPr>
          <w:i/>
          <w:sz w:val="20"/>
          <w:szCs w:val="20"/>
          <w:lang w:val="fr-CA"/>
        </w:rPr>
        <w:t>Roch Guimont et autre c. Sa Majesté la Reine</w:t>
      </w:r>
      <w:r w:rsidRPr="00772E2A">
        <w:rPr>
          <w:sz w:val="20"/>
          <w:szCs w:val="20"/>
          <w:lang w:val="fr-CA"/>
        </w:rPr>
        <w:t xml:space="preserve"> (Qc) (Crim.) (Autorisation) </w:t>
      </w:r>
      <w:r w:rsidR="00CB3520" w:rsidRPr="00772E2A">
        <w:rPr>
          <w:sz w:val="20"/>
          <w:szCs w:val="20"/>
          <w:lang w:val="fr-CA"/>
        </w:rPr>
        <w:t>(36</w:t>
      </w:r>
      <w:r w:rsidRPr="00772E2A">
        <w:rPr>
          <w:sz w:val="20"/>
          <w:szCs w:val="20"/>
          <w:lang w:val="fr-CA"/>
        </w:rPr>
        <w:t>391</w:t>
      </w:r>
      <w:r w:rsidR="00CB3520" w:rsidRPr="00772E2A">
        <w:rPr>
          <w:sz w:val="20"/>
          <w:szCs w:val="20"/>
          <w:lang w:val="fr-CA"/>
        </w:rPr>
        <w:t>)</w:t>
      </w:r>
    </w:p>
    <w:p w:rsidR="00CB3520" w:rsidRPr="00772E2A" w:rsidRDefault="00CB3520" w:rsidP="00CB3520">
      <w:pPr>
        <w:widowControl w:val="0"/>
        <w:jc w:val="both"/>
        <w:rPr>
          <w:sz w:val="20"/>
          <w:szCs w:val="20"/>
          <w:lang w:val="fr-CA"/>
        </w:rPr>
      </w:pPr>
    </w:p>
    <w:p w:rsidR="00CB3520" w:rsidRPr="00772E2A" w:rsidRDefault="00772E2A" w:rsidP="00CB3520">
      <w:pPr>
        <w:pStyle w:val="ListParagraph"/>
        <w:widowControl w:val="0"/>
        <w:numPr>
          <w:ilvl w:val="0"/>
          <w:numId w:val="1"/>
        </w:numPr>
        <w:ind w:hanging="720"/>
        <w:jc w:val="both"/>
        <w:rPr>
          <w:sz w:val="20"/>
          <w:szCs w:val="20"/>
          <w:lang w:val="fr-CA"/>
        </w:rPr>
      </w:pPr>
      <w:r w:rsidRPr="00772E2A">
        <w:rPr>
          <w:i/>
          <w:sz w:val="20"/>
          <w:szCs w:val="20"/>
          <w:lang w:val="fr-CA"/>
        </w:rPr>
        <w:t>Jacques Laperrière c. Sa Majesté la Reine</w:t>
      </w:r>
      <w:r w:rsidRPr="00772E2A">
        <w:rPr>
          <w:sz w:val="20"/>
          <w:szCs w:val="20"/>
          <w:lang w:val="fr-CA"/>
        </w:rPr>
        <w:t xml:space="preserve"> (Qc) (Crim.) (Autorisation) </w:t>
      </w:r>
      <w:r w:rsidR="00CB3520" w:rsidRPr="00772E2A">
        <w:rPr>
          <w:sz w:val="20"/>
          <w:szCs w:val="20"/>
          <w:lang w:val="fr-CA"/>
        </w:rPr>
        <w:t>(36</w:t>
      </w:r>
      <w:r w:rsidRPr="00772E2A">
        <w:rPr>
          <w:sz w:val="20"/>
          <w:szCs w:val="20"/>
          <w:lang w:val="fr-CA"/>
        </w:rPr>
        <w:t>345</w:t>
      </w:r>
      <w:r w:rsidR="00CB3520" w:rsidRPr="00772E2A">
        <w:rPr>
          <w:sz w:val="20"/>
          <w:szCs w:val="20"/>
          <w:lang w:val="fr-CA"/>
        </w:rPr>
        <w:t>)</w:t>
      </w:r>
    </w:p>
    <w:p w:rsidR="00CB3520" w:rsidRPr="00772E2A" w:rsidRDefault="00CB3520" w:rsidP="00CB3520">
      <w:pPr>
        <w:widowControl w:val="0"/>
        <w:jc w:val="both"/>
        <w:rPr>
          <w:sz w:val="20"/>
          <w:szCs w:val="20"/>
          <w:lang w:val="fr-CA"/>
        </w:rPr>
      </w:pPr>
    </w:p>
    <w:p w:rsidR="00CB3520" w:rsidRPr="00C50A5C" w:rsidRDefault="00772E2A" w:rsidP="00CB3520">
      <w:pPr>
        <w:pStyle w:val="ListParagraph"/>
        <w:widowControl w:val="0"/>
        <w:numPr>
          <w:ilvl w:val="0"/>
          <w:numId w:val="1"/>
        </w:numPr>
        <w:ind w:hanging="720"/>
        <w:jc w:val="both"/>
        <w:rPr>
          <w:sz w:val="20"/>
          <w:szCs w:val="20"/>
        </w:rPr>
      </w:pPr>
      <w:r w:rsidRPr="00772E2A">
        <w:rPr>
          <w:i/>
          <w:sz w:val="20"/>
          <w:szCs w:val="20"/>
        </w:rPr>
        <w:t>Chief Jesse John Simon et al. v. Attorney General of Canada</w:t>
      </w:r>
      <w:r w:rsidRPr="00772E2A">
        <w:rPr>
          <w:sz w:val="20"/>
          <w:szCs w:val="20"/>
        </w:rPr>
        <w:t xml:space="preserve"> (F.C.) (Civil) (By Leave)</w:t>
      </w:r>
      <w:r w:rsidRPr="00940CAD">
        <w:rPr>
          <w:sz w:val="20"/>
          <w:szCs w:val="20"/>
        </w:rPr>
        <w:t xml:space="preserve"> </w:t>
      </w:r>
      <w:r w:rsidR="00CB3520" w:rsidRPr="00940CAD">
        <w:rPr>
          <w:sz w:val="20"/>
          <w:szCs w:val="20"/>
        </w:rPr>
        <w:t>(3</w:t>
      </w:r>
      <w:r>
        <w:rPr>
          <w:sz w:val="20"/>
          <w:szCs w:val="20"/>
        </w:rPr>
        <w:t>63</w:t>
      </w:r>
      <w:r w:rsidR="00CB3520">
        <w:rPr>
          <w:sz w:val="20"/>
          <w:szCs w:val="20"/>
        </w:rPr>
        <w:t>5</w:t>
      </w:r>
      <w:r>
        <w:rPr>
          <w:sz w:val="20"/>
          <w:szCs w:val="20"/>
        </w:rPr>
        <w:t>2</w:t>
      </w:r>
      <w:r w:rsidR="00CB3520" w:rsidRPr="00940CAD">
        <w:rPr>
          <w:sz w:val="20"/>
          <w:szCs w:val="20"/>
        </w:rPr>
        <w:t>)</w:t>
      </w:r>
    </w:p>
    <w:p w:rsidR="00CB3520" w:rsidRPr="00C50A5C" w:rsidRDefault="00CB3520" w:rsidP="00CB3520">
      <w:pPr>
        <w:widowControl w:val="0"/>
        <w:rPr>
          <w:sz w:val="20"/>
          <w:szCs w:val="20"/>
        </w:rPr>
      </w:pPr>
    </w:p>
    <w:p w:rsidR="00CB3520" w:rsidRPr="00772E2A" w:rsidRDefault="00772E2A" w:rsidP="00CB3520">
      <w:pPr>
        <w:pStyle w:val="ListParagraph"/>
        <w:widowControl w:val="0"/>
        <w:numPr>
          <w:ilvl w:val="0"/>
          <w:numId w:val="1"/>
        </w:numPr>
        <w:ind w:hanging="720"/>
        <w:jc w:val="both"/>
        <w:rPr>
          <w:sz w:val="20"/>
          <w:szCs w:val="20"/>
          <w:lang w:val="fr-CA"/>
        </w:rPr>
      </w:pPr>
      <w:r w:rsidRPr="00772E2A">
        <w:rPr>
          <w:i/>
          <w:sz w:val="20"/>
          <w:szCs w:val="20"/>
          <w:lang w:val="fr-CA"/>
        </w:rPr>
        <w:t>Procureur général du Canada c. Barreau du Québec</w:t>
      </w:r>
      <w:r w:rsidRPr="00772E2A">
        <w:rPr>
          <w:sz w:val="20"/>
          <w:szCs w:val="20"/>
          <w:lang w:val="fr-CA"/>
        </w:rPr>
        <w:t xml:space="preserve"> (Qc) (Civile) (Autorisation) </w:t>
      </w:r>
      <w:r w:rsidR="00CB3520" w:rsidRPr="00772E2A">
        <w:rPr>
          <w:sz w:val="20"/>
          <w:szCs w:val="20"/>
          <w:lang w:val="fr-CA"/>
        </w:rPr>
        <w:t>(36</w:t>
      </w:r>
      <w:r w:rsidRPr="00772E2A">
        <w:rPr>
          <w:sz w:val="20"/>
          <w:szCs w:val="20"/>
          <w:lang w:val="fr-CA"/>
        </w:rPr>
        <w:t>29</w:t>
      </w:r>
      <w:r w:rsidR="00CB3520" w:rsidRPr="00772E2A">
        <w:rPr>
          <w:sz w:val="20"/>
          <w:szCs w:val="20"/>
          <w:lang w:val="fr-CA"/>
        </w:rPr>
        <w:t>0)</w:t>
      </w:r>
    </w:p>
    <w:p w:rsidR="00CB3520" w:rsidRPr="00772E2A" w:rsidRDefault="00CB3520" w:rsidP="00CB3520">
      <w:pPr>
        <w:widowControl w:val="0"/>
        <w:jc w:val="both"/>
        <w:rPr>
          <w:sz w:val="20"/>
          <w:szCs w:val="20"/>
          <w:lang w:val="fr-CA"/>
        </w:rPr>
      </w:pPr>
    </w:p>
    <w:p w:rsidR="00CB3520" w:rsidRPr="00772E2A" w:rsidRDefault="00772E2A" w:rsidP="00CB3520">
      <w:pPr>
        <w:pStyle w:val="ListParagraph"/>
        <w:widowControl w:val="0"/>
        <w:numPr>
          <w:ilvl w:val="0"/>
          <w:numId w:val="1"/>
        </w:numPr>
        <w:ind w:hanging="720"/>
        <w:jc w:val="both"/>
        <w:rPr>
          <w:sz w:val="20"/>
          <w:szCs w:val="20"/>
          <w:lang w:val="fr-CA"/>
        </w:rPr>
      </w:pPr>
      <w:r w:rsidRPr="00772E2A">
        <w:rPr>
          <w:i/>
          <w:sz w:val="20"/>
          <w:szCs w:val="20"/>
          <w:lang w:val="fr-CA"/>
        </w:rPr>
        <w:t xml:space="preserve">Compagnie minière IOC inc. et autre c. Uashaunnuat (Innus de Uashat et de Mani-Utenam) et autres </w:t>
      </w:r>
      <w:r w:rsidRPr="00772E2A">
        <w:rPr>
          <w:sz w:val="20"/>
          <w:szCs w:val="20"/>
          <w:lang w:val="fr-CA"/>
        </w:rPr>
        <w:t xml:space="preserve">(Qc) (Civile) (Autorisation) </w:t>
      </w:r>
      <w:r w:rsidR="00CB3520" w:rsidRPr="00772E2A">
        <w:rPr>
          <w:sz w:val="20"/>
          <w:szCs w:val="20"/>
          <w:lang w:val="fr-CA"/>
        </w:rPr>
        <w:t>(363</w:t>
      </w:r>
      <w:r w:rsidRPr="00772E2A">
        <w:rPr>
          <w:sz w:val="20"/>
          <w:szCs w:val="20"/>
          <w:lang w:val="fr-CA"/>
        </w:rPr>
        <w:t>32</w:t>
      </w:r>
      <w:r w:rsidR="00CB3520" w:rsidRPr="00772E2A">
        <w:rPr>
          <w:sz w:val="20"/>
          <w:szCs w:val="20"/>
          <w:lang w:val="fr-CA"/>
        </w:rPr>
        <w:t>)</w:t>
      </w:r>
    </w:p>
    <w:p w:rsidR="00CB3520" w:rsidRPr="00772E2A" w:rsidRDefault="00CB3520" w:rsidP="00CB3520">
      <w:pPr>
        <w:widowControl w:val="0"/>
        <w:rPr>
          <w:sz w:val="20"/>
          <w:szCs w:val="20"/>
          <w:lang w:val="fr-CA"/>
        </w:rPr>
      </w:pPr>
    </w:p>
    <w:p w:rsidR="00CB3520" w:rsidRPr="00115C9E" w:rsidRDefault="00772E2A" w:rsidP="00CB3520">
      <w:pPr>
        <w:pStyle w:val="ListParagraph"/>
        <w:widowControl w:val="0"/>
        <w:numPr>
          <w:ilvl w:val="0"/>
          <w:numId w:val="1"/>
        </w:numPr>
        <w:ind w:hanging="720"/>
        <w:jc w:val="both"/>
        <w:rPr>
          <w:sz w:val="20"/>
          <w:szCs w:val="20"/>
          <w:lang w:val="fr-CA"/>
        </w:rPr>
      </w:pPr>
      <w:r w:rsidRPr="003863F7">
        <w:rPr>
          <w:i/>
          <w:sz w:val="20"/>
          <w:szCs w:val="20"/>
          <w:lang w:val="fr-CA"/>
        </w:rPr>
        <w:t xml:space="preserve">9080-9211 Québec Inc. </w:t>
      </w:r>
      <w:r w:rsidR="00EB6E85" w:rsidRPr="00EB6E85">
        <w:rPr>
          <w:i/>
          <w:sz w:val="20"/>
          <w:szCs w:val="20"/>
          <w:lang w:val="fr-CA"/>
        </w:rPr>
        <w:t>(Les Propriétés Victoria)</w:t>
      </w:r>
      <w:r w:rsidR="00EB6E85">
        <w:rPr>
          <w:sz w:val="20"/>
          <w:szCs w:val="20"/>
          <w:lang w:val="fr-CA"/>
        </w:rPr>
        <w:t xml:space="preserve"> </w:t>
      </w:r>
      <w:r w:rsidRPr="003863F7">
        <w:rPr>
          <w:i/>
          <w:sz w:val="20"/>
          <w:szCs w:val="20"/>
          <w:lang w:val="fr-CA"/>
        </w:rPr>
        <w:t xml:space="preserve">v. Athena Energy Marketing Inc. </w:t>
      </w:r>
      <w:r w:rsidRPr="00772E2A">
        <w:rPr>
          <w:i/>
          <w:sz w:val="20"/>
          <w:szCs w:val="20"/>
        </w:rPr>
        <w:t>(doing business under the trade name RBC Natural Gas Services Inc.) et al.</w:t>
      </w:r>
      <w:r w:rsidRPr="00772E2A">
        <w:rPr>
          <w:sz w:val="20"/>
          <w:szCs w:val="20"/>
        </w:rPr>
        <w:t xml:space="preserve"> </w:t>
      </w:r>
      <w:r w:rsidRPr="00772E2A">
        <w:rPr>
          <w:sz w:val="20"/>
          <w:szCs w:val="20"/>
          <w:lang w:val="fr-CA"/>
        </w:rPr>
        <w:t xml:space="preserve">(Que.) </w:t>
      </w:r>
      <w:r w:rsidRPr="00772E2A">
        <w:rPr>
          <w:sz w:val="20"/>
          <w:szCs w:val="20"/>
        </w:rPr>
        <w:t>(Civil) (By Leave)</w:t>
      </w:r>
      <w:r w:rsidRPr="00115C9E">
        <w:rPr>
          <w:sz w:val="20"/>
          <w:szCs w:val="20"/>
          <w:lang w:val="fr-CA"/>
        </w:rPr>
        <w:t xml:space="preserve"> </w:t>
      </w:r>
      <w:r w:rsidR="00CB3520" w:rsidRPr="00115C9E">
        <w:rPr>
          <w:sz w:val="20"/>
          <w:szCs w:val="20"/>
          <w:lang w:val="fr-CA"/>
        </w:rPr>
        <w:t>(3</w:t>
      </w:r>
      <w:r w:rsidR="00CB3520">
        <w:rPr>
          <w:sz w:val="20"/>
          <w:szCs w:val="20"/>
          <w:lang w:val="fr-CA"/>
        </w:rPr>
        <w:t>6</w:t>
      </w:r>
      <w:r>
        <w:rPr>
          <w:sz w:val="20"/>
          <w:szCs w:val="20"/>
          <w:lang w:val="fr-CA"/>
        </w:rPr>
        <w:t>279</w:t>
      </w:r>
      <w:r w:rsidR="00CB3520" w:rsidRPr="00115C9E">
        <w:rPr>
          <w:sz w:val="20"/>
          <w:szCs w:val="20"/>
          <w:lang w:val="fr-CA"/>
        </w:rPr>
        <w:t>)</w:t>
      </w:r>
    </w:p>
    <w:p w:rsidR="00CB3520" w:rsidRDefault="00CB3520" w:rsidP="00CB3520">
      <w:pPr>
        <w:widowControl w:val="0"/>
        <w:jc w:val="both"/>
        <w:rPr>
          <w:sz w:val="20"/>
          <w:szCs w:val="20"/>
          <w:lang w:val="fr-CA"/>
        </w:rPr>
      </w:pPr>
    </w:p>
    <w:p w:rsidR="00772E2A" w:rsidRDefault="00772E2A" w:rsidP="00CB3520">
      <w:pPr>
        <w:widowControl w:val="0"/>
        <w:jc w:val="both"/>
        <w:rPr>
          <w:sz w:val="20"/>
          <w:szCs w:val="20"/>
          <w:lang w:val="fr-CA"/>
        </w:rPr>
      </w:pPr>
    </w:p>
    <w:p w:rsidR="00772E2A" w:rsidRPr="00772E2A" w:rsidRDefault="00772E2A" w:rsidP="00772E2A">
      <w:pPr>
        <w:widowControl w:val="0"/>
        <w:jc w:val="center"/>
        <w:rPr>
          <w:b/>
          <w:sz w:val="20"/>
          <w:szCs w:val="20"/>
          <w:lang w:val="fr-CA"/>
        </w:rPr>
      </w:pPr>
      <w:r w:rsidRPr="00772E2A">
        <w:rPr>
          <w:b/>
          <w:sz w:val="20"/>
          <w:szCs w:val="20"/>
          <w:lang w:val="fr-CA"/>
        </w:rPr>
        <w:t>CORAM: Abella, Karakatsanis and Côté JJ.</w:t>
      </w:r>
    </w:p>
    <w:p w:rsidR="00772E2A" w:rsidRPr="00C50A5C" w:rsidRDefault="00772E2A" w:rsidP="00772E2A">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Côté</w:t>
      </w:r>
    </w:p>
    <w:p w:rsidR="00772E2A" w:rsidRPr="00115C9E" w:rsidRDefault="00772E2A" w:rsidP="00CB3520">
      <w:pPr>
        <w:widowControl w:val="0"/>
        <w:jc w:val="both"/>
        <w:rPr>
          <w:sz w:val="20"/>
          <w:szCs w:val="20"/>
          <w:lang w:val="fr-CA"/>
        </w:rPr>
      </w:pPr>
    </w:p>
    <w:p w:rsidR="00CB3520" w:rsidRPr="00772E2A" w:rsidRDefault="00772E2A" w:rsidP="00CB3520">
      <w:pPr>
        <w:pStyle w:val="ListParagraph"/>
        <w:widowControl w:val="0"/>
        <w:numPr>
          <w:ilvl w:val="0"/>
          <w:numId w:val="1"/>
        </w:numPr>
        <w:ind w:hanging="720"/>
        <w:jc w:val="both"/>
        <w:rPr>
          <w:sz w:val="20"/>
          <w:szCs w:val="20"/>
          <w:lang w:val="fr-CA"/>
        </w:rPr>
      </w:pPr>
      <w:r w:rsidRPr="00772E2A">
        <w:rPr>
          <w:i/>
          <w:sz w:val="20"/>
          <w:szCs w:val="20"/>
          <w:lang w:val="fr-CA"/>
        </w:rPr>
        <w:t>Daniel Beaulieu et autres c. Sa Majesté la Reine</w:t>
      </w:r>
      <w:r w:rsidRPr="00772E2A">
        <w:rPr>
          <w:sz w:val="20"/>
          <w:szCs w:val="20"/>
          <w:lang w:val="fr-CA"/>
        </w:rPr>
        <w:t xml:space="preserve"> (Qc) (Crim.) (Autorisation) </w:t>
      </w:r>
      <w:r w:rsidR="00CB3520" w:rsidRPr="00772E2A">
        <w:rPr>
          <w:sz w:val="20"/>
          <w:szCs w:val="20"/>
          <w:lang w:val="fr-CA"/>
        </w:rPr>
        <w:t>(36</w:t>
      </w:r>
      <w:r w:rsidRPr="00772E2A">
        <w:rPr>
          <w:sz w:val="20"/>
          <w:szCs w:val="20"/>
          <w:lang w:val="fr-CA"/>
        </w:rPr>
        <w:t>278</w:t>
      </w:r>
      <w:r w:rsidR="00CB3520" w:rsidRPr="00772E2A">
        <w:rPr>
          <w:sz w:val="20"/>
          <w:szCs w:val="20"/>
          <w:lang w:val="fr-CA"/>
        </w:rPr>
        <w:t>)</w:t>
      </w:r>
    </w:p>
    <w:p w:rsidR="00CB3520" w:rsidRPr="00772E2A" w:rsidRDefault="00CB3520" w:rsidP="00CB3520">
      <w:pPr>
        <w:widowControl w:val="0"/>
        <w:jc w:val="both"/>
        <w:rPr>
          <w:sz w:val="20"/>
          <w:szCs w:val="20"/>
          <w:lang w:val="fr-CA"/>
        </w:rPr>
      </w:pPr>
    </w:p>
    <w:p w:rsidR="00CB3520" w:rsidRPr="00C50A5C" w:rsidRDefault="00772E2A" w:rsidP="00CB3520">
      <w:pPr>
        <w:pStyle w:val="ListParagraph"/>
        <w:widowControl w:val="0"/>
        <w:numPr>
          <w:ilvl w:val="0"/>
          <w:numId w:val="1"/>
        </w:numPr>
        <w:ind w:hanging="720"/>
        <w:jc w:val="both"/>
        <w:rPr>
          <w:sz w:val="20"/>
          <w:szCs w:val="20"/>
          <w:lang w:val="fr-CA"/>
        </w:rPr>
      </w:pPr>
      <w:r w:rsidRPr="00772E2A">
        <w:rPr>
          <w:i/>
          <w:sz w:val="20"/>
          <w:szCs w:val="20"/>
        </w:rPr>
        <w:t>Pacific Newspaper Group Inc., a division of Canwest Mediaworks Publication Inc./Publications Canwest Mediaworks Inc. v. Communications, Energy and Paperworkers Union of Canada, Local 2000 et al.</w:t>
      </w:r>
      <w:r w:rsidRPr="00772E2A">
        <w:rPr>
          <w:sz w:val="20"/>
          <w:szCs w:val="20"/>
        </w:rPr>
        <w:t xml:space="preserve"> (B.C.) (Civil) (By Leave)</w:t>
      </w:r>
      <w:r w:rsidRPr="00C50A5C">
        <w:rPr>
          <w:sz w:val="20"/>
          <w:szCs w:val="20"/>
          <w:lang w:val="fr-CA"/>
        </w:rPr>
        <w:t xml:space="preserve"> </w:t>
      </w:r>
      <w:r w:rsidR="00CB3520" w:rsidRPr="00C50A5C">
        <w:rPr>
          <w:sz w:val="20"/>
          <w:szCs w:val="20"/>
          <w:lang w:val="fr-CA"/>
        </w:rPr>
        <w:t>(3</w:t>
      </w:r>
      <w:r w:rsidR="00CB3520">
        <w:rPr>
          <w:sz w:val="20"/>
          <w:szCs w:val="20"/>
          <w:lang w:val="fr-CA"/>
        </w:rPr>
        <w:t>6</w:t>
      </w:r>
      <w:r>
        <w:rPr>
          <w:sz w:val="20"/>
          <w:szCs w:val="20"/>
          <w:lang w:val="fr-CA"/>
        </w:rPr>
        <w:t>305</w:t>
      </w:r>
      <w:r w:rsidR="00CB3520" w:rsidRPr="00C50A5C">
        <w:rPr>
          <w:sz w:val="20"/>
          <w:szCs w:val="20"/>
          <w:lang w:val="fr-CA"/>
        </w:rPr>
        <w:t>)</w:t>
      </w:r>
    </w:p>
    <w:p w:rsidR="00CB3520" w:rsidRDefault="00CB3520" w:rsidP="00CB3520">
      <w:pPr>
        <w:widowControl w:val="0"/>
        <w:rPr>
          <w:sz w:val="20"/>
          <w:szCs w:val="20"/>
          <w:lang w:val="fr-CA"/>
        </w:rPr>
      </w:pPr>
    </w:p>
    <w:p w:rsidR="00CB3520" w:rsidRPr="009C5D38" w:rsidRDefault="00772E2A" w:rsidP="00CB3520">
      <w:pPr>
        <w:pStyle w:val="ListParagraph"/>
        <w:widowControl w:val="0"/>
        <w:numPr>
          <w:ilvl w:val="0"/>
          <w:numId w:val="1"/>
        </w:numPr>
        <w:ind w:hanging="720"/>
        <w:jc w:val="both"/>
        <w:rPr>
          <w:sz w:val="20"/>
          <w:szCs w:val="20"/>
          <w:lang w:val="fr-CA"/>
        </w:rPr>
      </w:pPr>
      <w:r w:rsidRPr="00772E2A">
        <w:rPr>
          <w:i/>
          <w:sz w:val="20"/>
          <w:szCs w:val="20"/>
          <w:lang w:val="fr-CA"/>
        </w:rPr>
        <w:t>Shappour Jannesar c. Sabiha Ali Sultan Yousuf</w:t>
      </w:r>
      <w:r w:rsidRPr="00772E2A">
        <w:rPr>
          <w:sz w:val="20"/>
          <w:szCs w:val="20"/>
          <w:lang w:val="fr-CA"/>
        </w:rPr>
        <w:t xml:space="preserve"> (Qc) (Civile) (Autorisation)</w:t>
      </w:r>
      <w:r w:rsidRPr="009C5D38">
        <w:rPr>
          <w:sz w:val="20"/>
          <w:szCs w:val="20"/>
          <w:lang w:val="fr-CA"/>
        </w:rPr>
        <w:t xml:space="preserve"> </w:t>
      </w:r>
      <w:r w:rsidR="00CB3520" w:rsidRPr="009C5D38">
        <w:rPr>
          <w:sz w:val="20"/>
          <w:szCs w:val="20"/>
          <w:lang w:val="fr-CA"/>
        </w:rPr>
        <w:t>(362</w:t>
      </w:r>
      <w:r>
        <w:rPr>
          <w:sz w:val="20"/>
          <w:szCs w:val="20"/>
          <w:lang w:val="fr-CA"/>
        </w:rPr>
        <w:t>71</w:t>
      </w:r>
      <w:r w:rsidR="00CB3520" w:rsidRPr="009C5D38">
        <w:rPr>
          <w:sz w:val="20"/>
          <w:szCs w:val="20"/>
          <w:lang w:val="fr-CA"/>
        </w:rPr>
        <w:t>)</w:t>
      </w:r>
    </w:p>
    <w:p w:rsidR="00CB3520" w:rsidRPr="009C5D38" w:rsidRDefault="00CB3520" w:rsidP="00CB3520">
      <w:pPr>
        <w:widowControl w:val="0"/>
        <w:jc w:val="both"/>
        <w:rPr>
          <w:sz w:val="20"/>
          <w:szCs w:val="20"/>
          <w:lang w:val="fr-CA"/>
        </w:rPr>
      </w:pPr>
    </w:p>
    <w:p w:rsidR="00CB3520" w:rsidRPr="00115C9E" w:rsidRDefault="00772E2A" w:rsidP="00CB3520">
      <w:pPr>
        <w:pStyle w:val="ListParagraph"/>
        <w:widowControl w:val="0"/>
        <w:numPr>
          <w:ilvl w:val="0"/>
          <w:numId w:val="1"/>
        </w:numPr>
        <w:ind w:hanging="720"/>
        <w:jc w:val="both"/>
        <w:rPr>
          <w:sz w:val="20"/>
          <w:szCs w:val="20"/>
        </w:rPr>
      </w:pPr>
      <w:r w:rsidRPr="00772E2A">
        <w:rPr>
          <w:i/>
          <w:sz w:val="20"/>
          <w:szCs w:val="20"/>
        </w:rPr>
        <w:t>Sweda Farms Ltd. et al. v. Burnbrae Farms Limited et al.</w:t>
      </w:r>
      <w:r w:rsidRPr="00772E2A">
        <w:rPr>
          <w:sz w:val="20"/>
          <w:szCs w:val="20"/>
        </w:rPr>
        <w:t xml:space="preserve"> (Ont.) (Civil) (By Leave)</w:t>
      </w:r>
      <w:r w:rsidRPr="00115C9E">
        <w:rPr>
          <w:sz w:val="20"/>
          <w:szCs w:val="20"/>
        </w:rPr>
        <w:t xml:space="preserve"> </w:t>
      </w:r>
      <w:r w:rsidR="00CB3520" w:rsidRPr="00115C9E">
        <w:rPr>
          <w:sz w:val="20"/>
          <w:szCs w:val="20"/>
        </w:rPr>
        <w:t>(3</w:t>
      </w:r>
      <w:r>
        <w:rPr>
          <w:sz w:val="20"/>
          <w:szCs w:val="20"/>
        </w:rPr>
        <w:t>63</w:t>
      </w:r>
      <w:r w:rsidR="00CB3520" w:rsidRPr="00115C9E">
        <w:rPr>
          <w:sz w:val="20"/>
          <w:szCs w:val="20"/>
        </w:rPr>
        <w:t>4</w:t>
      </w:r>
      <w:r w:rsidR="00CB3520">
        <w:rPr>
          <w:sz w:val="20"/>
          <w:szCs w:val="20"/>
        </w:rPr>
        <w:t>1</w:t>
      </w:r>
      <w:r w:rsidR="00CB3520" w:rsidRPr="00115C9E">
        <w:rPr>
          <w:sz w:val="20"/>
          <w:szCs w:val="20"/>
        </w:rPr>
        <w:t>)</w:t>
      </w:r>
    </w:p>
    <w:p w:rsidR="00CB3520" w:rsidRDefault="00CB3520" w:rsidP="00CB3520">
      <w:pPr>
        <w:widowControl w:val="0"/>
        <w:jc w:val="both"/>
        <w:rPr>
          <w:sz w:val="20"/>
          <w:szCs w:val="20"/>
        </w:rPr>
      </w:pPr>
    </w:p>
    <w:p w:rsidR="00CB3520" w:rsidRPr="00772E2A" w:rsidRDefault="00772E2A" w:rsidP="00CB3520">
      <w:pPr>
        <w:pStyle w:val="ListParagraph"/>
        <w:widowControl w:val="0"/>
        <w:numPr>
          <w:ilvl w:val="0"/>
          <w:numId w:val="1"/>
        </w:numPr>
        <w:ind w:hanging="720"/>
        <w:jc w:val="both"/>
        <w:rPr>
          <w:sz w:val="20"/>
          <w:szCs w:val="20"/>
          <w:lang w:val="fr-CA"/>
        </w:rPr>
      </w:pPr>
      <w:r w:rsidRPr="00772E2A">
        <w:rPr>
          <w:i/>
          <w:sz w:val="20"/>
          <w:szCs w:val="20"/>
          <w:lang w:val="fr-CA"/>
        </w:rPr>
        <w:t>Jessy Domond c. CARRA tribunal d'arbitrage</w:t>
      </w:r>
      <w:r w:rsidRPr="00772E2A">
        <w:rPr>
          <w:sz w:val="20"/>
          <w:szCs w:val="20"/>
          <w:lang w:val="fr-CA"/>
        </w:rPr>
        <w:t xml:space="preserve"> (Qc) (Civile) (Autorisation) </w:t>
      </w:r>
      <w:r w:rsidR="00CB3520" w:rsidRPr="00772E2A">
        <w:rPr>
          <w:sz w:val="20"/>
          <w:szCs w:val="20"/>
          <w:lang w:val="fr-CA"/>
        </w:rPr>
        <w:t>(36</w:t>
      </w:r>
      <w:r w:rsidRPr="00772E2A">
        <w:rPr>
          <w:sz w:val="20"/>
          <w:szCs w:val="20"/>
          <w:lang w:val="fr-CA"/>
        </w:rPr>
        <w:t>329</w:t>
      </w:r>
      <w:r w:rsidR="00CB3520" w:rsidRPr="00772E2A">
        <w:rPr>
          <w:sz w:val="20"/>
          <w:szCs w:val="20"/>
          <w:lang w:val="fr-CA"/>
        </w:rPr>
        <w:t>)</w:t>
      </w:r>
    </w:p>
    <w:p w:rsidR="00CB3520" w:rsidRPr="00772E2A" w:rsidRDefault="00CB3520" w:rsidP="00CB3520">
      <w:pPr>
        <w:widowControl w:val="0"/>
        <w:jc w:val="both"/>
        <w:rPr>
          <w:sz w:val="20"/>
          <w:szCs w:val="20"/>
          <w:lang w:val="fr-CA"/>
        </w:rPr>
      </w:pPr>
    </w:p>
    <w:p w:rsidR="00772E2A" w:rsidRPr="00772E2A" w:rsidRDefault="00772E2A" w:rsidP="00CB3520">
      <w:pPr>
        <w:widowControl w:val="0"/>
        <w:jc w:val="both"/>
        <w:rPr>
          <w:sz w:val="20"/>
          <w:szCs w:val="20"/>
          <w:lang w:val="fr-CA"/>
        </w:rPr>
      </w:pPr>
    </w:p>
    <w:p w:rsidR="00772E2A" w:rsidRPr="00C50A5C" w:rsidRDefault="00772E2A" w:rsidP="00772E2A">
      <w:pPr>
        <w:widowControl w:val="0"/>
        <w:jc w:val="center"/>
        <w:rPr>
          <w:b/>
          <w:sz w:val="20"/>
          <w:szCs w:val="20"/>
        </w:rPr>
      </w:pPr>
      <w:r w:rsidRPr="00C50A5C">
        <w:rPr>
          <w:b/>
          <w:sz w:val="20"/>
          <w:szCs w:val="20"/>
        </w:rPr>
        <w:t xml:space="preserve">CORAM: </w:t>
      </w:r>
      <w:r>
        <w:rPr>
          <w:b/>
          <w:sz w:val="20"/>
          <w:szCs w:val="20"/>
        </w:rPr>
        <w:t>Rothstein,</w:t>
      </w:r>
      <w:r w:rsidRPr="00C50A5C">
        <w:rPr>
          <w:b/>
          <w:sz w:val="20"/>
          <w:szCs w:val="20"/>
        </w:rPr>
        <w:t xml:space="preserve"> </w:t>
      </w:r>
      <w:r>
        <w:rPr>
          <w:b/>
          <w:sz w:val="20"/>
          <w:szCs w:val="20"/>
        </w:rPr>
        <w:t xml:space="preserve">Cromwell </w:t>
      </w:r>
      <w:r w:rsidRPr="00C50A5C">
        <w:rPr>
          <w:b/>
          <w:sz w:val="20"/>
          <w:szCs w:val="20"/>
        </w:rPr>
        <w:t xml:space="preserve">and </w:t>
      </w:r>
      <w:r>
        <w:rPr>
          <w:b/>
          <w:sz w:val="20"/>
          <w:szCs w:val="20"/>
        </w:rPr>
        <w:t>Moldaver</w:t>
      </w:r>
      <w:r w:rsidRPr="00C50A5C">
        <w:rPr>
          <w:b/>
          <w:sz w:val="20"/>
          <w:szCs w:val="20"/>
        </w:rPr>
        <w:t xml:space="preserve"> JJ.</w:t>
      </w:r>
    </w:p>
    <w:p w:rsidR="00772E2A" w:rsidRPr="00C50A5C" w:rsidRDefault="00772E2A" w:rsidP="00772E2A">
      <w:pPr>
        <w:widowControl w:val="0"/>
        <w:jc w:val="center"/>
        <w:rPr>
          <w:b/>
          <w:sz w:val="20"/>
          <w:szCs w:val="20"/>
          <w:lang w:val="fr-CA"/>
        </w:rPr>
      </w:pPr>
      <w:r w:rsidRPr="00C50A5C">
        <w:rPr>
          <w:b/>
          <w:sz w:val="20"/>
          <w:szCs w:val="20"/>
          <w:lang w:val="fr-CA"/>
        </w:rPr>
        <w:t xml:space="preserve">Les juges </w:t>
      </w:r>
      <w:r>
        <w:rPr>
          <w:b/>
          <w:sz w:val="20"/>
          <w:szCs w:val="20"/>
          <w:lang w:val="fr-CA"/>
        </w:rPr>
        <w:t>Rothstein</w:t>
      </w:r>
      <w:r w:rsidRPr="00C50A5C">
        <w:rPr>
          <w:b/>
          <w:sz w:val="20"/>
          <w:szCs w:val="20"/>
          <w:lang w:val="fr-CA"/>
        </w:rPr>
        <w:t xml:space="preserve">, </w:t>
      </w:r>
      <w:r>
        <w:rPr>
          <w:b/>
          <w:sz w:val="20"/>
          <w:szCs w:val="20"/>
          <w:lang w:val="fr-CA"/>
        </w:rPr>
        <w:t xml:space="preserve">Cromwell </w:t>
      </w:r>
      <w:r w:rsidRPr="00C50A5C">
        <w:rPr>
          <w:b/>
          <w:sz w:val="20"/>
          <w:szCs w:val="20"/>
          <w:lang w:val="fr-CA"/>
        </w:rPr>
        <w:t xml:space="preserve">et </w:t>
      </w:r>
      <w:r>
        <w:rPr>
          <w:b/>
          <w:sz w:val="20"/>
          <w:szCs w:val="20"/>
          <w:lang w:val="fr-CA"/>
        </w:rPr>
        <w:t>Moldaver</w:t>
      </w:r>
    </w:p>
    <w:p w:rsidR="00772E2A" w:rsidRPr="00772E2A" w:rsidRDefault="00772E2A" w:rsidP="00CB3520">
      <w:pPr>
        <w:widowControl w:val="0"/>
        <w:jc w:val="both"/>
        <w:rPr>
          <w:sz w:val="20"/>
          <w:szCs w:val="20"/>
          <w:lang w:val="fr-CA"/>
        </w:rPr>
      </w:pPr>
    </w:p>
    <w:p w:rsidR="00CB3520" w:rsidRDefault="00772E2A" w:rsidP="00CB3520">
      <w:pPr>
        <w:pStyle w:val="ListParagraph"/>
        <w:widowControl w:val="0"/>
        <w:numPr>
          <w:ilvl w:val="0"/>
          <w:numId w:val="1"/>
        </w:numPr>
        <w:ind w:hanging="720"/>
        <w:jc w:val="both"/>
        <w:rPr>
          <w:sz w:val="20"/>
          <w:szCs w:val="20"/>
        </w:rPr>
      </w:pPr>
      <w:r w:rsidRPr="00772E2A">
        <w:rPr>
          <w:i/>
          <w:sz w:val="20"/>
          <w:szCs w:val="20"/>
        </w:rPr>
        <w:t>Frederick Bernard Anthony Prosser v. Her Majesty the Queen</w:t>
      </w:r>
      <w:r w:rsidRPr="00772E2A">
        <w:rPr>
          <w:sz w:val="20"/>
          <w:szCs w:val="20"/>
        </w:rPr>
        <w:t xml:space="preserve"> (N.B.) (Crim.) (By Leave)</w:t>
      </w:r>
      <w:r w:rsidRPr="00C50A5C">
        <w:rPr>
          <w:sz w:val="20"/>
          <w:szCs w:val="20"/>
        </w:rPr>
        <w:t xml:space="preserve"> </w:t>
      </w:r>
      <w:r w:rsidR="00CB3520" w:rsidRPr="00C50A5C">
        <w:rPr>
          <w:sz w:val="20"/>
          <w:szCs w:val="20"/>
        </w:rPr>
        <w:t>(3</w:t>
      </w:r>
      <w:r w:rsidR="00CB3520">
        <w:rPr>
          <w:sz w:val="20"/>
          <w:szCs w:val="20"/>
        </w:rPr>
        <w:t>63</w:t>
      </w:r>
      <w:r>
        <w:rPr>
          <w:sz w:val="20"/>
          <w:szCs w:val="20"/>
        </w:rPr>
        <w:t>70</w:t>
      </w:r>
      <w:r w:rsidR="00CB3520" w:rsidRPr="00C50A5C">
        <w:rPr>
          <w:sz w:val="20"/>
          <w:szCs w:val="20"/>
        </w:rPr>
        <w:t>)</w:t>
      </w:r>
    </w:p>
    <w:p w:rsidR="00CB3520" w:rsidRPr="009C5D38" w:rsidRDefault="00CB3520" w:rsidP="00CB3520">
      <w:pPr>
        <w:widowControl w:val="0"/>
        <w:rPr>
          <w:i/>
          <w:sz w:val="20"/>
          <w:szCs w:val="20"/>
        </w:rPr>
      </w:pPr>
    </w:p>
    <w:p w:rsidR="00CB3520" w:rsidRPr="009C5D38" w:rsidRDefault="00772E2A" w:rsidP="00CB3520">
      <w:pPr>
        <w:pStyle w:val="ListParagraph"/>
        <w:widowControl w:val="0"/>
        <w:numPr>
          <w:ilvl w:val="0"/>
          <w:numId w:val="1"/>
        </w:numPr>
        <w:ind w:hanging="720"/>
        <w:jc w:val="both"/>
        <w:rPr>
          <w:sz w:val="20"/>
          <w:szCs w:val="20"/>
        </w:rPr>
      </w:pPr>
      <w:r w:rsidRPr="00772E2A">
        <w:rPr>
          <w:i/>
          <w:sz w:val="20"/>
          <w:szCs w:val="20"/>
        </w:rPr>
        <w:t>InStorage Limited Partnership and InStorage Trustee Corp. v. Matthew Brady Self Storage Corporation</w:t>
      </w:r>
      <w:r w:rsidRPr="00772E2A">
        <w:rPr>
          <w:sz w:val="20"/>
          <w:szCs w:val="20"/>
        </w:rPr>
        <w:t xml:space="preserve"> (Ont.) (Civil) (By Leave)</w:t>
      </w:r>
      <w:r w:rsidRPr="009C5D38">
        <w:rPr>
          <w:sz w:val="20"/>
          <w:szCs w:val="20"/>
        </w:rPr>
        <w:t xml:space="preserve"> </w:t>
      </w:r>
      <w:r w:rsidR="00CB3520" w:rsidRPr="009C5D38">
        <w:rPr>
          <w:sz w:val="20"/>
          <w:szCs w:val="20"/>
        </w:rPr>
        <w:t>(36</w:t>
      </w:r>
      <w:r>
        <w:rPr>
          <w:sz w:val="20"/>
          <w:szCs w:val="20"/>
        </w:rPr>
        <w:t>224</w:t>
      </w:r>
      <w:r w:rsidR="00CB3520" w:rsidRPr="009C5D38">
        <w:rPr>
          <w:sz w:val="20"/>
          <w:szCs w:val="20"/>
        </w:rPr>
        <w:t>)</w:t>
      </w:r>
    </w:p>
    <w:p w:rsidR="00CB3520" w:rsidRPr="009C5D38" w:rsidRDefault="00CB3520" w:rsidP="00CB3520">
      <w:pPr>
        <w:widowControl w:val="0"/>
        <w:jc w:val="both"/>
        <w:rPr>
          <w:sz w:val="20"/>
          <w:szCs w:val="20"/>
        </w:rPr>
      </w:pPr>
    </w:p>
    <w:p w:rsidR="00CB3520" w:rsidRPr="00772E2A" w:rsidRDefault="00772E2A" w:rsidP="00CB3520">
      <w:pPr>
        <w:pStyle w:val="ListParagraph"/>
        <w:widowControl w:val="0"/>
        <w:numPr>
          <w:ilvl w:val="0"/>
          <w:numId w:val="1"/>
        </w:numPr>
        <w:ind w:hanging="720"/>
        <w:jc w:val="both"/>
        <w:rPr>
          <w:sz w:val="20"/>
          <w:szCs w:val="20"/>
        </w:rPr>
      </w:pPr>
      <w:r w:rsidRPr="00772E2A">
        <w:rPr>
          <w:i/>
          <w:sz w:val="20"/>
          <w:szCs w:val="20"/>
        </w:rPr>
        <w:t>P.W.M. Loss Prevention Services Inc. v. Miguel Lay et al.</w:t>
      </w:r>
      <w:r w:rsidRPr="00772E2A">
        <w:rPr>
          <w:sz w:val="20"/>
          <w:szCs w:val="20"/>
        </w:rPr>
        <w:t xml:space="preserve"> (Alta.) (Civil) (By Leave) </w:t>
      </w:r>
      <w:r w:rsidR="00CB3520" w:rsidRPr="00772E2A">
        <w:rPr>
          <w:sz w:val="20"/>
          <w:szCs w:val="20"/>
        </w:rPr>
        <w:t>(3</w:t>
      </w:r>
      <w:r w:rsidRPr="00772E2A">
        <w:rPr>
          <w:sz w:val="20"/>
          <w:szCs w:val="20"/>
        </w:rPr>
        <w:t>6327</w:t>
      </w:r>
      <w:r w:rsidR="00CB3520" w:rsidRPr="00772E2A">
        <w:rPr>
          <w:sz w:val="20"/>
          <w:szCs w:val="20"/>
        </w:rPr>
        <w:t>)</w:t>
      </w:r>
    </w:p>
    <w:p w:rsidR="00CB3520" w:rsidRPr="00772E2A" w:rsidRDefault="00CB3520" w:rsidP="00CB3520">
      <w:pPr>
        <w:widowControl w:val="0"/>
        <w:jc w:val="both"/>
        <w:rPr>
          <w:sz w:val="20"/>
          <w:szCs w:val="20"/>
        </w:rPr>
      </w:pPr>
    </w:p>
    <w:p w:rsidR="00CB3520" w:rsidRPr="009C5D38" w:rsidRDefault="00772E2A" w:rsidP="00CB3520">
      <w:pPr>
        <w:pStyle w:val="ListParagraph"/>
        <w:widowControl w:val="0"/>
        <w:numPr>
          <w:ilvl w:val="0"/>
          <w:numId w:val="1"/>
        </w:numPr>
        <w:ind w:hanging="720"/>
        <w:jc w:val="both"/>
        <w:rPr>
          <w:sz w:val="20"/>
          <w:szCs w:val="20"/>
        </w:rPr>
      </w:pPr>
      <w:r w:rsidRPr="00772E2A">
        <w:rPr>
          <w:i/>
          <w:sz w:val="20"/>
          <w:szCs w:val="20"/>
        </w:rPr>
        <w:t>Wayne White v. City of Montreal et al.</w:t>
      </w:r>
      <w:r w:rsidRPr="00772E2A">
        <w:rPr>
          <w:sz w:val="20"/>
          <w:szCs w:val="20"/>
        </w:rPr>
        <w:t xml:space="preserve"> (Que.) (Civil) (By Leave)</w:t>
      </w:r>
      <w:r w:rsidRPr="009C5D38">
        <w:rPr>
          <w:sz w:val="20"/>
          <w:szCs w:val="20"/>
        </w:rPr>
        <w:t xml:space="preserve"> </w:t>
      </w:r>
      <w:r w:rsidR="00CB3520" w:rsidRPr="009C5D38">
        <w:rPr>
          <w:sz w:val="20"/>
          <w:szCs w:val="20"/>
        </w:rPr>
        <w:t>(3</w:t>
      </w:r>
      <w:r>
        <w:rPr>
          <w:sz w:val="20"/>
          <w:szCs w:val="20"/>
        </w:rPr>
        <w:t>6319</w:t>
      </w:r>
      <w:r w:rsidR="00CB3520" w:rsidRPr="009C5D38">
        <w:rPr>
          <w:sz w:val="20"/>
          <w:szCs w:val="20"/>
        </w:rPr>
        <w:t>)</w:t>
      </w:r>
    </w:p>
    <w:p w:rsidR="002E2327" w:rsidRPr="00CB3520" w:rsidRDefault="002E2327" w:rsidP="002E2327">
      <w:pPr>
        <w:widowControl w:val="0"/>
        <w:rPr>
          <w:sz w:val="20"/>
          <w:szCs w:val="20"/>
        </w:rPr>
      </w:pPr>
    </w:p>
    <w:p w:rsidR="002E2327" w:rsidRDefault="00D82946" w:rsidP="002E2327">
      <w:pPr>
        <w:widowControl w:val="0"/>
        <w:rPr>
          <w:sz w:val="20"/>
          <w:szCs w:val="20"/>
        </w:rPr>
      </w:pPr>
      <w:r>
        <w:rPr>
          <w:sz w:val="20"/>
          <w:szCs w:val="20"/>
        </w:rPr>
        <w:pict>
          <v:rect id="_x0000_i1033" style="width:2in;height:1pt" o:hrpct="0" o:hralign="center" o:hrstd="t" o:hrnoshade="t" o:hr="t" fillcolor="black [3213]" stroked="f"/>
        </w:pict>
      </w: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09493C"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681F61" w:rsidP="000E2959">
      <w:pPr>
        <w:rPr>
          <w:b/>
          <w:sz w:val="20"/>
          <w:szCs w:val="20"/>
        </w:rPr>
      </w:pPr>
      <w:r>
        <w:rPr>
          <w:b/>
          <w:sz w:val="20"/>
          <w:szCs w:val="20"/>
        </w:rPr>
        <w:t>J</w:t>
      </w:r>
      <w:r w:rsidR="0089171C">
        <w:rPr>
          <w:b/>
          <w:sz w:val="20"/>
          <w:szCs w:val="20"/>
        </w:rPr>
        <w:t>U</w:t>
      </w:r>
      <w:r>
        <w:rPr>
          <w:b/>
          <w:sz w:val="20"/>
          <w:szCs w:val="20"/>
        </w:rPr>
        <w:t>N</w:t>
      </w:r>
      <w:r w:rsidR="0089171C">
        <w:rPr>
          <w:b/>
          <w:sz w:val="20"/>
          <w:szCs w:val="20"/>
        </w:rPr>
        <w:t>E</w:t>
      </w:r>
      <w:r w:rsidR="000E2959" w:rsidRPr="00C50A5C">
        <w:rPr>
          <w:b/>
          <w:sz w:val="20"/>
          <w:szCs w:val="20"/>
        </w:rPr>
        <w:t xml:space="preserve"> </w:t>
      </w:r>
      <w:r w:rsidR="0089171C">
        <w:rPr>
          <w:b/>
          <w:sz w:val="20"/>
          <w:szCs w:val="20"/>
        </w:rPr>
        <w:t>4</w:t>
      </w:r>
      <w:r w:rsidR="000E2959" w:rsidRPr="00C50A5C">
        <w:rPr>
          <w:b/>
          <w:sz w:val="20"/>
          <w:szCs w:val="20"/>
        </w:rPr>
        <w:t>, 201</w:t>
      </w:r>
      <w:r>
        <w:rPr>
          <w:b/>
          <w:sz w:val="20"/>
          <w:szCs w:val="20"/>
        </w:rPr>
        <w:t>5</w:t>
      </w:r>
      <w:r w:rsidR="000E2959" w:rsidRPr="00C50A5C">
        <w:rPr>
          <w:b/>
          <w:sz w:val="20"/>
          <w:szCs w:val="20"/>
        </w:rPr>
        <w:t xml:space="preserve"> / LE </w:t>
      </w:r>
      <w:r w:rsidR="0089171C">
        <w:rPr>
          <w:b/>
          <w:sz w:val="20"/>
          <w:szCs w:val="20"/>
        </w:rPr>
        <w:t>4</w:t>
      </w:r>
      <w:r w:rsidR="000E2959" w:rsidRPr="00C50A5C">
        <w:rPr>
          <w:b/>
          <w:sz w:val="20"/>
          <w:szCs w:val="20"/>
        </w:rPr>
        <w:t xml:space="preserve"> </w:t>
      </w:r>
      <w:r>
        <w:rPr>
          <w:b/>
          <w:sz w:val="20"/>
          <w:szCs w:val="20"/>
        </w:rPr>
        <w:t>J</w:t>
      </w:r>
      <w:r w:rsidR="0089171C">
        <w:rPr>
          <w:b/>
          <w:sz w:val="20"/>
          <w:szCs w:val="20"/>
        </w:rPr>
        <w:t>UI</w:t>
      </w:r>
      <w:r>
        <w:rPr>
          <w:b/>
          <w:sz w:val="20"/>
          <w:szCs w:val="20"/>
        </w:rPr>
        <w:t>N</w:t>
      </w:r>
      <w:r w:rsidR="000E2959" w:rsidRPr="00C50A5C">
        <w:rPr>
          <w:b/>
          <w:sz w:val="20"/>
          <w:szCs w:val="20"/>
        </w:rPr>
        <w:t xml:space="preserve"> 201</w:t>
      </w:r>
      <w:r>
        <w:rPr>
          <w:b/>
          <w:sz w:val="20"/>
          <w:szCs w:val="20"/>
        </w:rPr>
        <w:t>5</w:t>
      </w:r>
    </w:p>
    <w:p w:rsidR="000E2959"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645BF5" w:rsidRPr="0009493C" w:rsidTr="00DF0FFF">
        <w:trPr>
          <w:cantSplit/>
        </w:trPr>
        <w:tc>
          <w:tcPr>
            <w:tcW w:w="1458" w:type="dxa"/>
          </w:tcPr>
          <w:p w:rsidR="00645BF5" w:rsidRPr="00645BF5" w:rsidRDefault="00645BF5" w:rsidP="00DF0FFF">
            <w:pPr>
              <w:rPr>
                <w:sz w:val="20"/>
                <w:szCs w:val="20"/>
              </w:rPr>
            </w:pPr>
            <w:r w:rsidRPr="00645BF5">
              <w:rPr>
                <w:rStyle w:val="SCCFileNumberChar"/>
                <w:sz w:val="20"/>
                <w:szCs w:val="20"/>
              </w:rPr>
              <w:t>36165</w:t>
            </w:r>
          </w:p>
          <w:p w:rsidR="00645BF5" w:rsidRPr="00645BF5" w:rsidRDefault="00645BF5" w:rsidP="00DF0FFF">
            <w:pPr>
              <w:rPr>
                <w:b/>
                <w:sz w:val="20"/>
                <w:szCs w:val="20"/>
                <w:lang w:val="fr-CA"/>
              </w:rPr>
            </w:pPr>
          </w:p>
        </w:tc>
        <w:tc>
          <w:tcPr>
            <w:tcW w:w="8118" w:type="dxa"/>
          </w:tcPr>
          <w:p w:rsidR="00645BF5" w:rsidRPr="00645BF5" w:rsidRDefault="00645BF5" w:rsidP="00DF0FFF">
            <w:pPr>
              <w:jc w:val="both"/>
              <w:rPr>
                <w:sz w:val="20"/>
                <w:szCs w:val="20"/>
                <w:lang w:val="fr-CA"/>
              </w:rPr>
            </w:pPr>
            <w:r w:rsidRPr="00645BF5">
              <w:rPr>
                <w:rStyle w:val="SCCLsocChar"/>
                <w:sz w:val="20"/>
                <w:szCs w:val="20"/>
              </w:rPr>
              <w:t>Conférence des juges de paix magistrats du Québec, Christine Auger, Jacques Barbès, Réjean Bédard, Dominique Benoît, Georges Benoît, Michel Boissonneault, Suzanne Bousquet, Sylvie Desmeules, Julie Dionne, Marie-Chantal Doucet, Louis Duguay, Gaby Dumas, Nathalie Duperron Roy, Réna Émond, Pierre Fortin, Louise Gallant, Marie-Josée Hénault, François Kouri, Jean-Georges Laliberté, Robert Lanctôt, Luc Marchildon, Sylvie Marcotte, Nicole Martin, Danielle Michaud, Gilles Michaud, Lucie Morissette, Monique Perron, Jean-Gilles Racicot, Gaétan Ratté, Marc Renaud, Rosaire Vallières, Pierre Verrette, Johanne White, Gilles Pigeon, Léopold Goulet, Yannick Couture, Marie-Claude Bélanger</w:t>
            </w:r>
            <w:r w:rsidR="00BD7226">
              <w:rPr>
                <w:rStyle w:val="SCCLsocChar"/>
                <w:sz w:val="20"/>
                <w:szCs w:val="20"/>
              </w:rPr>
              <w:t xml:space="preserve"> et</w:t>
            </w:r>
            <w:r w:rsidRPr="00645BF5">
              <w:rPr>
                <w:rStyle w:val="SCCLsocChar"/>
                <w:sz w:val="20"/>
                <w:szCs w:val="20"/>
              </w:rPr>
              <w:t xml:space="preserve"> Patricia Compagnone c. Procureure générale du Québec</w:t>
            </w:r>
            <w:r w:rsidR="00BD7226">
              <w:rPr>
                <w:rStyle w:val="SCCLsocChar"/>
                <w:sz w:val="20"/>
                <w:szCs w:val="20"/>
              </w:rPr>
              <w:t xml:space="preserve"> et</w:t>
            </w:r>
            <w:r w:rsidRPr="00645BF5">
              <w:rPr>
                <w:rStyle w:val="SCCLsocChar"/>
                <w:sz w:val="20"/>
                <w:szCs w:val="20"/>
              </w:rPr>
              <w:t xml:space="preserve"> Ministre de la justice du Québec</w:t>
            </w:r>
            <w:r w:rsidRPr="00645BF5">
              <w:rPr>
                <w:sz w:val="20"/>
                <w:szCs w:val="20"/>
                <w:lang w:val="fr-CA"/>
              </w:rPr>
              <w:t xml:space="preserve"> (Qc) (Civile) (Autorisation)</w:t>
            </w:r>
          </w:p>
          <w:p w:rsidR="00645BF5" w:rsidRPr="00645BF5" w:rsidRDefault="00645BF5" w:rsidP="00DF0FFF">
            <w:pPr>
              <w:jc w:val="both"/>
              <w:rPr>
                <w:sz w:val="20"/>
                <w:szCs w:val="20"/>
                <w:lang w:val="fr-CA"/>
              </w:rPr>
            </w:pPr>
          </w:p>
        </w:tc>
      </w:tr>
      <w:tr w:rsidR="00645BF5" w:rsidRPr="0009493C" w:rsidTr="00DF0FFF">
        <w:trPr>
          <w:cantSplit/>
        </w:trPr>
        <w:tc>
          <w:tcPr>
            <w:tcW w:w="1458" w:type="dxa"/>
          </w:tcPr>
          <w:p w:rsidR="00645BF5" w:rsidRPr="00645BF5" w:rsidRDefault="00645BF5" w:rsidP="00DF0FFF">
            <w:pPr>
              <w:rPr>
                <w:sz w:val="20"/>
                <w:szCs w:val="20"/>
              </w:rPr>
            </w:pPr>
            <w:r w:rsidRPr="00645BF5">
              <w:rPr>
                <w:sz w:val="20"/>
                <w:szCs w:val="20"/>
              </w:rPr>
              <w:t>Coram :</w:t>
            </w:r>
          </w:p>
        </w:tc>
        <w:tc>
          <w:tcPr>
            <w:tcW w:w="8118" w:type="dxa"/>
          </w:tcPr>
          <w:p w:rsidR="00645BF5" w:rsidRPr="00645BF5" w:rsidRDefault="00645BF5" w:rsidP="00DF0FFF">
            <w:pPr>
              <w:rPr>
                <w:sz w:val="20"/>
                <w:szCs w:val="20"/>
                <w:lang w:val="fr-CA"/>
              </w:rPr>
            </w:pPr>
            <w:r w:rsidRPr="00645BF5">
              <w:rPr>
                <w:rStyle w:val="SCCCoramChar"/>
                <w:sz w:val="20"/>
                <w:szCs w:val="20"/>
              </w:rPr>
              <w:t>Les juges Abella, Karakatsanis et Côté</w:t>
            </w:r>
          </w:p>
          <w:p w:rsidR="00645BF5" w:rsidRPr="00645BF5" w:rsidRDefault="00645BF5" w:rsidP="00DF0FFF">
            <w:pPr>
              <w:rPr>
                <w:sz w:val="20"/>
                <w:szCs w:val="20"/>
                <w:u w:val="single"/>
                <w:lang w:val="fr-CA"/>
              </w:rPr>
            </w:pPr>
          </w:p>
        </w:tc>
      </w:tr>
      <w:tr w:rsidR="00645BF5" w:rsidRPr="00645BF5" w:rsidTr="00DF0FFF">
        <w:trPr>
          <w:cantSplit/>
        </w:trPr>
        <w:tc>
          <w:tcPr>
            <w:tcW w:w="9576" w:type="dxa"/>
            <w:gridSpan w:val="2"/>
          </w:tcPr>
          <w:p w:rsidR="00645BF5" w:rsidRPr="00645BF5" w:rsidRDefault="00645BF5" w:rsidP="00DF0FFF">
            <w:pPr>
              <w:pStyle w:val="SCCShortJudgment"/>
              <w:rPr>
                <w:szCs w:val="20"/>
                <w:lang w:val="fr-CA"/>
              </w:rPr>
            </w:pPr>
            <w:r w:rsidRPr="00645BF5">
              <w:rPr>
                <w:szCs w:val="20"/>
                <w:lang w:val="fr-CA"/>
              </w:rPr>
              <w:t>La demande d’autorisation d’appel de l’arrêt de la Cour d’appel du Québec (Montréal), numéro 500-09-022600-126, 2014 QCCA 1654, daté du 11 septembre 2014, est accueillie avec dépens.</w:t>
            </w:r>
          </w:p>
          <w:p w:rsidR="00645BF5" w:rsidRPr="00645BF5" w:rsidRDefault="00645BF5" w:rsidP="00DF0FFF">
            <w:pPr>
              <w:pStyle w:val="SCCShortJudgment"/>
              <w:ind w:firstLine="0"/>
              <w:rPr>
                <w:szCs w:val="20"/>
                <w:lang w:val="fr-CA"/>
              </w:rPr>
            </w:pPr>
          </w:p>
          <w:p w:rsidR="00645BF5" w:rsidRPr="00645BF5" w:rsidRDefault="00645BF5" w:rsidP="00DF0FFF">
            <w:pPr>
              <w:pStyle w:val="SCCShortJudgment"/>
              <w:rPr>
                <w:szCs w:val="20"/>
              </w:rPr>
            </w:pPr>
            <w:r w:rsidRPr="00645BF5">
              <w:rPr>
                <w:szCs w:val="20"/>
              </w:rPr>
              <w:t>The application for leave to appeal from the judgment of the Court of Appeal of Quebec (Montréal), Number 500-09-022600-126, 2014 QCCA 1654, dated September 11, 2014, is granted with costs.</w:t>
            </w:r>
          </w:p>
        </w:tc>
      </w:tr>
    </w:tbl>
    <w:p w:rsidR="0089171C" w:rsidRDefault="0089171C" w:rsidP="000E2959">
      <w:pPr>
        <w:rPr>
          <w:sz w:val="20"/>
          <w:szCs w:val="20"/>
        </w:rPr>
      </w:pPr>
    </w:p>
    <w:p w:rsidR="0089171C" w:rsidRPr="001B157C" w:rsidRDefault="0089171C" w:rsidP="0089171C">
      <w:pPr>
        <w:rPr>
          <w:sz w:val="20"/>
          <w:szCs w:val="20"/>
          <w:u w:val="single"/>
        </w:rPr>
      </w:pPr>
      <w:r w:rsidRPr="001B157C">
        <w:rPr>
          <w:sz w:val="20"/>
          <w:szCs w:val="20"/>
          <w:u w:val="single"/>
        </w:rPr>
        <w:t>CASE SUMMARY</w:t>
      </w:r>
    </w:p>
    <w:p w:rsidR="0089171C" w:rsidRDefault="0089171C" w:rsidP="0089171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85CC4" w:rsidRPr="009B556E" w:rsidTr="00C44A6F">
        <w:tc>
          <w:tcPr>
            <w:tcW w:w="5000" w:type="pct"/>
            <w:gridSpan w:val="3"/>
          </w:tcPr>
          <w:p w:rsidR="00D85CC4" w:rsidRPr="009B556E" w:rsidRDefault="00D85CC4" w:rsidP="00C44A6F">
            <w:pPr>
              <w:jc w:val="both"/>
              <w:rPr>
                <w:sz w:val="20"/>
              </w:rPr>
            </w:pPr>
            <w:r w:rsidRPr="009B556E">
              <w:rPr>
                <w:sz w:val="20"/>
              </w:rPr>
              <w:t xml:space="preserve">Constitutional law — Judicial independence — Remuneration and employment benefits — Provincial statute creating new categories of justices of peace in Quebec — Presiding justices of peace challenging constitutionality of legislative provisions dealing with their remuneration, employment conditions and pension plan — Whether Court of Appeal erred in dismissing applicants’ appeal — </w:t>
            </w:r>
            <w:r w:rsidRPr="009B556E">
              <w:rPr>
                <w:i/>
                <w:sz w:val="20"/>
              </w:rPr>
              <w:t>An Act to amend the Courts of Justice Act and other legislative provisions as regards the status of justices of the peace</w:t>
            </w:r>
            <w:r w:rsidRPr="009B556E">
              <w:rPr>
                <w:sz w:val="20"/>
              </w:rPr>
              <w:t xml:space="preserve">, S.Q. 2004, c. 12, ss. 27, 30 and 32 — </w:t>
            </w:r>
            <w:r w:rsidRPr="009B556E">
              <w:rPr>
                <w:i/>
                <w:sz w:val="20"/>
              </w:rPr>
              <w:t>Courts of Justice Act</w:t>
            </w:r>
            <w:r w:rsidRPr="009B556E">
              <w:rPr>
                <w:sz w:val="20"/>
              </w:rPr>
              <w:t>, C.Q.L.R. c. T-16, s. 178.</w:t>
            </w:r>
          </w:p>
        </w:tc>
      </w:tr>
      <w:tr w:rsidR="00D85CC4" w:rsidRPr="009B556E" w:rsidTr="00C44A6F">
        <w:tc>
          <w:tcPr>
            <w:tcW w:w="5000" w:type="pct"/>
            <w:gridSpan w:val="3"/>
          </w:tcPr>
          <w:p w:rsidR="00D85CC4" w:rsidRPr="009B556E" w:rsidRDefault="00D85CC4" w:rsidP="00C44A6F">
            <w:pPr>
              <w:jc w:val="both"/>
              <w:rPr>
                <w:sz w:val="20"/>
              </w:rPr>
            </w:pPr>
          </w:p>
        </w:tc>
      </w:tr>
      <w:tr w:rsidR="00D85CC4" w:rsidRPr="009B556E" w:rsidTr="00C44A6F">
        <w:tc>
          <w:tcPr>
            <w:tcW w:w="5000" w:type="pct"/>
            <w:gridSpan w:val="3"/>
          </w:tcPr>
          <w:p w:rsidR="00D85CC4" w:rsidRPr="009B556E" w:rsidRDefault="00D85CC4" w:rsidP="00C44A6F">
            <w:pPr>
              <w:jc w:val="both"/>
              <w:rPr>
                <w:sz w:val="20"/>
              </w:rPr>
            </w:pPr>
            <w:r w:rsidRPr="009B556E">
              <w:rPr>
                <w:sz w:val="20"/>
              </w:rPr>
              <w:t xml:space="preserve">The Conférence des juges de paix magistrats du Québec and several presiding justices of the peace (“PJPs”) filed a motion to strike down provisions of the </w:t>
            </w:r>
            <w:r w:rsidRPr="009B556E">
              <w:rPr>
                <w:i/>
                <w:sz w:val="20"/>
              </w:rPr>
              <w:t>Act to amend the Courts of Justice Act and other legislative provisions as regards the status of justices of the peace</w:t>
            </w:r>
            <w:r w:rsidRPr="009B556E">
              <w:rPr>
                <w:sz w:val="20"/>
              </w:rPr>
              <w:t xml:space="preserve"> (“the Act”) and the </w:t>
            </w:r>
            <w:r w:rsidRPr="009B556E">
              <w:rPr>
                <w:i/>
                <w:sz w:val="20"/>
              </w:rPr>
              <w:t>Courts of Justice Act</w:t>
            </w:r>
            <w:r w:rsidRPr="009B556E">
              <w:rPr>
                <w:sz w:val="20"/>
              </w:rPr>
              <w:t xml:space="preserve"> on the ground that the scheme established by the impugned provisions did not guarantee judicial independence.  The applicants’ motion also challenged the constitutionality of Order No. 932-2008. </w:t>
            </w:r>
          </w:p>
          <w:p w:rsidR="00D85CC4" w:rsidRPr="009B556E" w:rsidRDefault="00D85CC4" w:rsidP="00C44A6F">
            <w:pPr>
              <w:jc w:val="both"/>
              <w:rPr>
                <w:sz w:val="20"/>
              </w:rPr>
            </w:pPr>
          </w:p>
          <w:p w:rsidR="00D85CC4" w:rsidRPr="009B556E" w:rsidRDefault="00D85CC4" w:rsidP="00C44A6F">
            <w:pPr>
              <w:jc w:val="both"/>
              <w:rPr>
                <w:sz w:val="20"/>
              </w:rPr>
            </w:pPr>
            <w:r w:rsidRPr="009B556E">
              <w:rPr>
                <w:sz w:val="20"/>
              </w:rPr>
              <w:t xml:space="preserve">The litigation arose out of amendments made to the </w:t>
            </w:r>
            <w:r w:rsidRPr="009B556E">
              <w:rPr>
                <w:i/>
                <w:sz w:val="20"/>
              </w:rPr>
              <w:t>Courts of Justice Act</w:t>
            </w:r>
            <w:r w:rsidRPr="009B556E">
              <w:rPr>
                <w:sz w:val="20"/>
              </w:rPr>
              <w:t xml:space="preserve"> in 2004 concerning justices of the peace.  The amendments became necessary as a result of judgments of the Supreme Court of Canada and the Quebec Court of Appeal suggesting that the system then in place in Quebec did not guarantee the independence of justices of the peace.  The effect of the reform undertaken in 2004 was to replace the former categories of justices of the peace with two new categories, including PJPs, who formed part of the judicial system.  The Act gave PJP status to certain justices of the peace who had formerly been justices of the peace with extended powers.  They retained the salary they were receiving before the coming into force of the Act until it was equal to the salary to be determined by the government for subsequently appointed PJPs.  An order was then made specifying the annual remuneration of PJPs appointed after the coming into force of the Act.  Their annual remuneration was about $20,000 less than that of their colleagues.  The Act also provided that a committee on the remuneration of judges would not determine the salary and benefits of all PJPs until three years later, in 2007.  In addition to these changes, the </w:t>
            </w:r>
            <w:r w:rsidRPr="009B556E">
              <w:rPr>
                <w:i/>
                <w:sz w:val="20"/>
              </w:rPr>
              <w:t>Courts of Justice Act</w:t>
            </w:r>
            <w:r w:rsidRPr="009B556E">
              <w:rPr>
                <w:sz w:val="20"/>
              </w:rPr>
              <w:t xml:space="preserve"> was amended to make the pension plan established by the </w:t>
            </w:r>
            <w:r w:rsidRPr="009B556E">
              <w:rPr>
                <w:i/>
                <w:sz w:val="20"/>
              </w:rPr>
              <w:t>Act respecting the Pension Plan of Management Personnel</w:t>
            </w:r>
            <w:r w:rsidRPr="009B556E">
              <w:rPr>
                <w:sz w:val="20"/>
              </w:rPr>
              <w:t xml:space="preserve"> applicable to PJPs.</w:t>
            </w:r>
          </w:p>
          <w:p w:rsidR="00D85CC4" w:rsidRPr="009B556E" w:rsidRDefault="00D85CC4" w:rsidP="00C44A6F">
            <w:pPr>
              <w:jc w:val="both"/>
              <w:rPr>
                <w:sz w:val="20"/>
              </w:rPr>
            </w:pPr>
          </w:p>
        </w:tc>
      </w:tr>
      <w:tr w:rsidR="00D85CC4" w:rsidRPr="009B556E" w:rsidTr="00C44A6F">
        <w:tc>
          <w:tcPr>
            <w:tcW w:w="2427" w:type="pct"/>
          </w:tcPr>
          <w:p w:rsidR="00D85CC4" w:rsidRPr="009B556E" w:rsidRDefault="00D85CC4" w:rsidP="00C44A6F">
            <w:pPr>
              <w:jc w:val="both"/>
              <w:rPr>
                <w:sz w:val="20"/>
              </w:rPr>
            </w:pPr>
            <w:r w:rsidRPr="009B556E">
              <w:rPr>
                <w:sz w:val="20"/>
              </w:rPr>
              <w:lastRenderedPageBreak/>
              <w:t>March 16, 2012</w:t>
            </w:r>
          </w:p>
          <w:p w:rsidR="00D85CC4" w:rsidRPr="009B556E" w:rsidRDefault="00D85CC4" w:rsidP="00C44A6F">
            <w:pPr>
              <w:jc w:val="both"/>
              <w:rPr>
                <w:sz w:val="20"/>
              </w:rPr>
            </w:pPr>
            <w:r w:rsidRPr="009B556E">
              <w:rPr>
                <w:sz w:val="20"/>
              </w:rPr>
              <w:t>Quebec Superior Court</w:t>
            </w:r>
          </w:p>
          <w:p w:rsidR="00D85CC4" w:rsidRPr="009B556E" w:rsidRDefault="00D85CC4" w:rsidP="00C44A6F">
            <w:pPr>
              <w:jc w:val="both"/>
              <w:rPr>
                <w:sz w:val="20"/>
              </w:rPr>
            </w:pPr>
            <w:r w:rsidRPr="009B556E">
              <w:rPr>
                <w:sz w:val="20"/>
              </w:rPr>
              <w:t>(Mongeon J.)</w:t>
            </w:r>
          </w:p>
          <w:p w:rsidR="00D85CC4" w:rsidRPr="009B556E" w:rsidRDefault="00D82946" w:rsidP="00C44A6F">
            <w:pPr>
              <w:jc w:val="both"/>
              <w:rPr>
                <w:sz w:val="20"/>
              </w:rPr>
            </w:pPr>
            <w:hyperlink r:id="rId24" w:history="1">
              <w:r w:rsidR="00D85CC4" w:rsidRPr="009B556E">
                <w:rPr>
                  <w:color w:val="0000FF" w:themeColor="hyperlink"/>
                  <w:sz w:val="20"/>
                  <w:u w:val="single"/>
                </w:rPr>
                <w:t>2012 QCCS 1021</w:t>
              </w:r>
            </w:hyperlink>
          </w:p>
          <w:p w:rsidR="00D85CC4" w:rsidRPr="009B556E" w:rsidRDefault="00D85CC4" w:rsidP="00C44A6F">
            <w:pPr>
              <w:jc w:val="both"/>
              <w:rPr>
                <w:sz w:val="20"/>
              </w:rPr>
            </w:pPr>
            <w:r w:rsidRPr="009B556E">
              <w:rPr>
                <w:sz w:val="20"/>
              </w:rPr>
              <w:t>No. 500-17-046760-081</w:t>
            </w:r>
          </w:p>
          <w:p w:rsidR="00D85CC4" w:rsidRPr="009B556E" w:rsidRDefault="00D85CC4" w:rsidP="00C44A6F">
            <w:pPr>
              <w:jc w:val="both"/>
              <w:rPr>
                <w:sz w:val="20"/>
              </w:rPr>
            </w:pPr>
          </w:p>
        </w:tc>
        <w:tc>
          <w:tcPr>
            <w:tcW w:w="243" w:type="pct"/>
          </w:tcPr>
          <w:p w:rsidR="00D85CC4" w:rsidRPr="009B556E" w:rsidRDefault="00D85CC4" w:rsidP="00C44A6F">
            <w:pPr>
              <w:jc w:val="both"/>
              <w:rPr>
                <w:sz w:val="20"/>
              </w:rPr>
            </w:pPr>
          </w:p>
        </w:tc>
        <w:tc>
          <w:tcPr>
            <w:tcW w:w="2330" w:type="pct"/>
          </w:tcPr>
          <w:p w:rsidR="00D85CC4" w:rsidRPr="009B556E" w:rsidRDefault="00D85CC4" w:rsidP="00C44A6F">
            <w:pPr>
              <w:jc w:val="both"/>
              <w:rPr>
                <w:sz w:val="20"/>
              </w:rPr>
            </w:pPr>
            <w:r w:rsidRPr="009B556E">
              <w:rPr>
                <w:sz w:val="20"/>
              </w:rPr>
              <w:t xml:space="preserve">Applicants’ amended motion to institute proceedings dismissed; declarations made upholding constitutionality of ss. 27, 30 and 32 of </w:t>
            </w:r>
            <w:r w:rsidRPr="009B556E">
              <w:rPr>
                <w:i/>
                <w:sz w:val="20"/>
              </w:rPr>
              <w:t>Act to amend the Courts of Justice Act and other legislative provisions as regards the status of justices of the peace</w:t>
            </w:r>
            <w:r w:rsidRPr="009B556E">
              <w:rPr>
                <w:sz w:val="20"/>
              </w:rPr>
              <w:t xml:space="preserve">, s. 178 of </w:t>
            </w:r>
            <w:r w:rsidRPr="009B556E">
              <w:rPr>
                <w:i/>
                <w:sz w:val="20"/>
              </w:rPr>
              <w:t>Courts of Justice Act</w:t>
            </w:r>
            <w:r w:rsidRPr="009B556E">
              <w:rPr>
                <w:sz w:val="20"/>
              </w:rPr>
              <w:t xml:space="preserve"> and Order No. 932-2008.</w:t>
            </w:r>
          </w:p>
          <w:p w:rsidR="00D85CC4" w:rsidRPr="009B556E" w:rsidRDefault="00D85CC4" w:rsidP="00C44A6F">
            <w:pPr>
              <w:jc w:val="both"/>
              <w:rPr>
                <w:sz w:val="20"/>
              </w:rPr>
            </w:pPr>
          </w:p>
        </w:tc>
      </w:tr>
      <w:tr w:rsidR="00D85CC4" w:rsidRPr="009B556E" w:rsidTr="00C44A6F">
        <w:tc>
          <w:tcPr>
            <w:tcW w:w="2427" w:type="pct"/>
          </w:tcPr>
          <w:p w:rsidR="00D85CC4" w:rsidRPr="009B556E" w:rsidRDefault="00D85CC4" w:rsidP="00C44A6F">
            <w:pPr>
              <w:jc w:val="both"/>
              <w:rPr>
                <w:sz w:val="20"/>
              </w:rPr>
            </w:pPr>
            <w:r w:rsidRPr="009B556E">
              <w:rPr>
                <w:sz w:val="20"/>
              </w:rPr>
              <w:t>September 11, 2014</w:t>
            </w:r>
          </w:p>
          <w:p w:rsidR="00D85CC4" w:rsidRPr="009B556E" w:rsidRDefault="00D85CC4" w:rsidP="00C44A6F">
            <w:pPr>
              <w:jc w:val="both"/>
              <w:rPr>
                <w:sz w:val="20"/>
              </w:rPr>
            </w:pPr>
            <w:r w:rsidRPr="009B556E">
              <w:rPr>
                <w:sz w:val="20"/>
              </w:rPr>
              <w:t>Quebec Court of Appeal (Montréal)</w:t>
            </w:r>
          </w:p>
          <w:p w:rsidR="00D85CC4" w:rsidRPr="009B556E" w:rsidRDefault="00D85CC4" w:rsidP="00C44A6F">
            <w:pPr>
              <w:jc w:val="both"/>
              <w:rPr>
                <w:sz w:val="20"/>
              </w:rPr>
            </w:pPr>
            <w:r w:rsidRPr="009B556E">
              <w:rPr>
                <w:sz w:val="20"/>
              </w:rPr>
              <w:t>(Dalphond, Bouchard and Vauclair JJ.A.)</w:t>
            </w:r>
          </w:p>
          <w:p w:rsidR="00D85CC4" w:rsidRPr="009B556E" w:rsidRDefault="00D82946" w:rsidP="00C44A6F">
            <w:pPr>
              <w:jc w:val="both"/>
              <w:rPr>
                <w:sz w:val="20"/>
              </w:rPr>
            </w:pPr>
            <w:hyperlink r:id="rId25" w:history="1">
              <w:r w:rsidR="00D85CC4" w:rsidRPr="009B556E">
                <w:rPr>
                  <w:color w:val="0000FF" w:themeColor="hyperlink"/>
                  <w:sz w:val="20"/>
                  <w:u w:val="single"/>
                </w:rPr>
                <w:t>2014 QCCA 1654</w:t>
              </w:r>
            </w:hyperlink>
          </w:p>
          <w:p w:rsidR="00D85CC4" w:rsidRPr="009B556E" w:rsidRDefault="00D85CC4" w:rsidP="00C44A6F">
            <w:pPr>
              <w:jc w:val="both"/>
              <w:rPr>
                <w:sz w:val="20"/>
              </w:rPr>
            </w:pPr>
            <w:r w:rsidRPr="009B556E">
              <w:rPr>
                <w:sz w:val="20"/>
              </w:rPr>
              <w:t>No. 500-09-022600-126</w:t>
            </w:r>
          </w:p>
          <w:p w:rsidR="00D85CC4" w:rsidRPr="009B556E" w:rsidRDefault="00D85CC4" w:rsidP="00C44A6F">
            <w:pPr>
              <w:jc w:val="both"/>
              <w:rPr>
                <w:sz w:val="20"/>
              </w:rPr>
            </w:pPr>
          </w:p>
        </w:tc>
        <w:tc>
          <w:tcPr>
            <w:tcW w:w="243" w:type="pct"/>
          </w:tcPr>
          <w:p w:rsidR="00D85CC4" w:rsidRPr="009B556E" w:rsidRDefault="00D85CC4" w:rsidP="00C44A6F">
            <w:pPr>
              <w:jc w:val="both"/>
              <w:rPr>
                <w:sz w:val="20"/>
              </w:rPr>
            </w:pPr>
          </w:p>
        </w:tc>
        <w:tc>
          <w:tcPr>
            <w:tcW w:w="2330" w:type="pct"/>
          </w:tcPr>
          <w:p w:rsidR="00D85CC4" w:rsidRPr="009B556E" w:rsidRDefault="00D85CC4" w:rsidP="00C44A6F">
            <w:pPr>
              <w:jc w:val="both"/>
              <w:rPr>
                <w:sz w:val="20"/>
              </w:rPr>
            </w:pPr>
            <w:r w:rsidRPr="009B556E">
              <w:rPr>
                <w:sz w:val="20"/>
              </w:rPr>
              <w:t>Appeal dismissed.</w:t>
            </w:r>
          </w:p>
          <w:p w:rsidR="00D85CC4" w:rsidRPr="009B556E" w:rsidRDefault="00D85CC4" w:rsidP="00C44A6F">
            <w:pPr>
              <w:jc w:val="both"/>
              <w:rPr>
                <w:sz w:val="20"/>
              </w:rPr>
            </w:pPr>
          </w:p>
        </w:tc>
      </w:tr>
      <w:tr w:rsidR="00D85CC4" w:rsidRPr="009B556E" w:rsidTr="00C44A6F">
        <w:tc>
          <w:tcPr>
            <w:tcW w:w="2427" w:type="pct"/>
          </w:tcPr>
          <w:p w:rsidR="00D85CC4" w:rsidRPr="009B556E" w:rsidRDefault="00D85CC4" w:rsidP="00C44A6F">
            <w:pPr>
              <w:jc w:val="both"/>
              <w:rPr>
                <w:sz w:val="20"/>
              </w:rPr>
            </w:pPr>
            <w:r w:rsidRPr="009B556E">
              <w:rPr>
                <w:sz w:val="20"/>
              </w:rPr>
              <w:t>November 10, 2014</w:t>
            </w:r>
          </w:p>
          <w:p w:rsidR="00D85CC4" w:rsidRPr="009B556E" w:rsidRDefault="00D85CC4" w:rsidP="00C44A6F">
            <w:pPr>
              <w:jc w:val="both"/>
              <w:rPr>
                <w:sz w:val="20"/>
              </w:rPr>
            </w:pPr>
            <w:r w:rsidRPr="009B556E">
              <w:rPr>
                <w:sz w:val="20"/>
              </w:rPr>
              <w:t>Supreme Court of Canada</w:t>
            </w:r>
          </w:p>
        </w:tc>
        <w:tc>
          <w:tcPr>
            <w:tcW w:w="243" w:type="pct"/>
          </w:tcPr>
          <w:p w:rsidR="00D85CC4" w:rsidRPr="009B556E" w:rsidRDefault="00D85CC4" w:rsidP="00C44A6F">
            <w:pPr>
              <w:jc w:val="both"/>
              <w:rPr>
                <w:sz w:val="20"/>
              </w:rPr>
            </w:pPr>
          </w:p>
        </w:tc>
        <w:tc>
          <w:tcPr>
            <w:tcW w:w="2330" w:type="pct"/>
          </w:tcPr>
          <w:p w:rsidR="00D85CC4" w:rsidRPr="009B556E" w:rsidRDefault="00D85CC4" w:rsidP="00C44A6F">
            <w:pPr>
              <w:jc w:val="both"/>
              <w:rPr>
                <w:sz w:val="20"/>
              </w:rPr>
            </w:pPr>
            <w:r w:rsidRPr="009B556E">
              <w:rPr>
                <w:sz w:val="20"/>
              </w:rPr>
              <w:t>Application for leave to appeal filed.</w:t>
            </w:r>
          </w:p>
          <w:p w:rsidR="00D85CC4" w:rsidRPr="009B556E" w:rsidRDefault="00D85CC4" w:rsidP="00C44A6F">
            <w:pPr>
              <w:jc w:val="both"/>
              <w:rPr>
                <w:sz w:val="20"/>
              </w:rPr>
            </w:pPr>
          </w:p>
        </w:tc>
      </w:tr>
    </w:tbl>
    <w:p w:rsidR="0089171C" w:rsidRDefault="0089171C" w:rsidP="000E2959">
      <w:pPr>
        <w:rPr>
          <w:sz w:val="20"/>
          <w:szCs w:val="20"/>
        </w:rPr>
      </w:pPr>
    </w:p>
    <w:p w:rsidR="0089171C" w:rsidRPr="00C50A5C" w:rsidRDefault="00D82946" w:rsidP="0089171C">
      <w:pPr>
        <w:rPr>
          <w:sz w:val="20"/>
          <w:szCs w:val="20"/>
        </w:rPr>
      </w:pPr>
      <w:r>
        <w:rPr>
          <w:sz w:val="20"/>
          <w:szCs w:val="20"/>
          <w:lang w:val="fr-CA"/>
        </w:rPr>
        <w:pict>
          <v:rect id="_x0000_i1036" style="width:2in;height:1pt" o:hrpct="0" o:hralign="center" o:hrstd="t" o:hrnoshade="t" o:hr="t" fillcolor="black [3213]" stroked="f"/>
        </w:pict>
      </w:r>
    </w:p>
    <w:p w:rsidR="0089171C" w:rsidRDefault="0089171C" w:rsidP="0089171C">
      <w:pPr>
        <w:rPr>
          <w:sz w:val="20"/>
          <w:szCs w:val="20"/>
        </w:rPr>
      </w:pPr>
    </w:p>
    <w:p w:rsidR="0089171C" w:rsidRPr="001B157C" w:rsidRDefault="0089171C" w:rsidP="0089171C">
      <w:pPr>
        <w:rPr>
          <w:sz w:val="20"/>
          <w:szCs w:val="20"/>
          <w:u w:val="single"/>
          <w:lang w:val="fr-CA"/>
        </w:rPr>
      </w:pPr>
      <w:r w:rsidRPr="001B157C">
        <w:rPr>
          <w:sz w:val="20"/>
          <w:szCs w:val="20"/>
          <w:u w:val="single"/>
          <w:lang w:val="fr-CA"/>
        </w:rPr>
        <w:t>RÉSUMÉ DE L’AFFAIRE</w:t>
      </w:r>
    </w:p>
    <w:p w:rsidR="0089171C" w:rsidRDefault="0089171C"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85CC4" w:rsidRPr="0009493C" w:rsidTr="00C44A6F">
        <w:tc>
          <w:tcPr>
            <w:tcW w:w="5000" w:type="pct"/>
            <w:gridSpan w:val="3"/>
          </w:tcPr>
          <w:p w:rsidR="00D85CC4" w:rsidRPr="009B556E" w:rsidRDefault="00D85CC4" w:rsidP="00C44A6F">
            <w:pPr>
              <w:jc w:val="both"/>
              <w:rPr>
                <w:sz w:val="20"/>
                <w:lang w:val="fr-CA"/>
              </w:rPr>
            </w:pPr>
            <w:r w:rsidRPr="009B556E">
              <w:rPr>
                <w:sz w:val="20"/>
                <w:lang w:val="fr-CA"/>
              </w:rPr>
              <w:t xml:space="preserve">Droit constitutionnel — Indépendance judiciaire — Rémunération et avantages sociaux — Loi provinciale créant nouvelles catégories de juges de paix au Québec — Juges de paix magistrats contestant constitutionnalité de dispositions législatives portant sur leur rémunération, conditions de travail et régime de retraite — Cour d’appel a-t-elle erré en rejetant l’appel des demandeurs? — </w:t>
            </w:r>
            <w:r w:rsidRPr="009B556E">
              <w:rPr>
                <w:i/>
                <w:sz w:val="20"/>
                <w:lang w:val="fr-CA"/>
              </w:rPr>
              <w:t>Loi modifiant la Loi sur les tribunaux judiciaires et d’autres dispositions législatives eu égard au statut des juges de paix</w:t>
            </w:r>
            <w:r w:rsidRPr="009B556E">
              <w:rPr>
                <w:sz w:val="20"/>
                <w:lang w:val="fr-CA"/>
              </w:rPr>
              <w:t xml:space="preserve">, L.Q., 2004 c. 12, arts. 27, 30 et 32 — </w:t>
            </w:r>
            <w:r w:rsidRPr="009B556E">
              <w:rPr>
                <w:i/>
                <w:sz w:val="20"/>
                <w:lang w:val="fr-CA"/>
              </w:rPr>
              <w:t>Loi sur les tribunaux judiciaires</w:t>
            </w:r>
            <w:r w:rsidRPr="009B556E">
              <w:rPr>
                <w:sz w:val="20"/>
                <w:lang w:val="fr-CA"/>
              </w:rPr>
              <w:t>, R.L.R.Q. c. T-16, art. 178.</w:t>
            </w:r>
          </w:p>
        </w:tc>
      </w:tr>
      <w:tr w:rsidR="00D85CC4" w:rsidRPr="0009493C" w:rsidTr="00C44A6F">
        <w:tc>
          <w:tcPr>
            <w:tcW w:w="5000" w:type="pct"/>
            <w:gridSpan w:val="3"/>
          </w:tcPr>
          <w:p w:rsidR="00D85CC4" w:rsidRPr="009B556E" w:rsidRDefault="00D85CC4" w:rsidP="00C44A6F">
            <w:pPr>
              <w:jc w:val="both"/>
              <w:rPr>
                <w:sz w:val="20"/>
                <w:lang w:val="fr-CA"/>
              </w:rPr>
            </w:pPr>
          </w:p>
        </w:tc>
      </w:tr>
      <w:tr w:rsidR="00D85CC4" w:rsidRPr="0009493C" w:rsidTr="00C44A6F">
        <w:tc>
          <w:tcPr>
            <w:tcW w:w="5000" w:type="pct"/>
            <w:gridSpan w:val="3"/>
          </w:tcPr>
          <w:p w:rsidR="00D85CC4" w:rsidRPr="009B556E" w:rsidRDefault="00D85CC4" w:rsidP="00C44A6F">
            <w:pPr>
              <w:jc w:val="both"/>
              <w:rPr>
                <w:sz w:val="20"/>
                <w:lang w:val="fr-CA"/>
              </w:rPr>
            </w:pPr>
            <w:r w:rsidRPr="009B556E">
              <w:rPr>
                <w:sz w:val="20"/>
                <w:lang w:val="fr-CA"/>
              </w:rPr>
              <w:t xml:space="preserve">La Conférence des juges de paix magistrats du Québec et plusieurs juges de paix magistrats (« JPM ») ont déposé une requête cherchant à invalider des dispositions de la </w:t>
            </w:r>
            <w:r w:rsidRPr="009B556E">
              <w:rPr>
                <w:i/>
                <w:sz w:val="20"/>
                <w:lang w:val="fr-CA"/>
              </w:rPr>
              <w:t>Loi modifiant la Loi sur les tribunaux judiciaires et d’autres dispositions législatives eu égard au statut des juges de paix</w:t>
            </w:r>
            <w:r w:rsidRPr="009B556E">
              <w:rPr>
                <w:sz w:val="20"/>
                <w:lang w:val="fr-CA"/>
              </w:rPr>
              <w:t xml:space="preserve"> (« la Loi ») et de la </w:t>
            </w:r>
            <w:r w:rsidRPr="009B556E">
              <w:rPr>
                <w:i/>
                <w:sz w:val="20"/>
                <w:lang w:val="fr-CA"/>
              </w:rPr>
              <w:t>Loi sur les tribunaux judiciaires</w:t>
            </w:r>
            <w:r w:rsidRPr="009B556E">
              <w:rPr>
                <w:sz w:val="20"/>
                <w:lang w:val="fr-CA"/>
              </w:rPr>
              <w:t xml:space="preserve"> au motif que le régime établi par le biais des dispositions contestées ne garantissait pas l’indépendance judiciaire.  La constitutionnalité du Décret no. 932-2008 a également été remise en question par le biais de la requête des demandeurs. </w:t>
            </w:r>
          </w:p>
          <w:p w:rsidR="00D85CC4" w:rsidRPr="009B556E" w:rsidRDefault="00D85CC4" w:rsidP="00C44A6F">
            <w:pPr>
              <w:jc w:val="both"/>
              <w:rPr>
                <w:sz w:val="20"/>
                <w:lang w:val="fr-CA"/>
              </w:rPr>
            </w:pPr>
          </w:p>
          <w:p w:rsidR="00D85CC4" w:rsidRPr="009B556E" w:rsidRDefault="00D85CC4" w:rsidP="00C44A6F">
            <w:pPr>
              <w:jc w:val="both"/>
              <w:rPr>
                <w:sz w:val="20"/>
                <w:lang w:val="fr-CA"/>
              </w:rPr>
            </w:pPr>
            <w:r w:rsidRPr="009B556E">
              <w:rPr>
                <w:sz w:val="20"/>
                <w:lang w:val="fr-CA"/>
              </w:rPr>
              <w:t xml:space="preserve">Le litige découle de modifications apportées en 2004 à la </w:t>
            </w:r>
            <w:r w:rsidRPr="009B556E">
              <w:rPr>
                <w:i/>
                <w:sz w:val="20"/>
                <w:lang w:val="fr-CA"/>
              </w:rPr>
              <w:t>Loi sur les tribunaux judiciaire</w:t>
            </w:r>
            <w:r w:rsidRPr="009B556E">
              <w:rPr>
                <w:sz w:val="20"/>
                <w:lang w:val="fr-CA"/>
              </w:rPr>
              <w:t xml:space="preserve">s, eu égard aux juges de paix.  Les modifications ont été rendues nécessaires à la suite des arrêts de la Cour suprême du Canada et de la Cour d’appel du Québec laissant croire que le système alors en place au Québec ne garantissait pas l’indépendance des juges de paix.  La réforme entreprise en 2004 a eu pour effet de remplacer les anciennes catégories de juges de paix par deux nouvelles catégories, dont l’une est la catégorie des JPM dont les membres font partie de l’ordre judiciaire. Par le biais de la Loi, certains juges de paix qui étaient auparavant des juges de paix à pouvoirs élargis se sont vus conférer le statut de JPM. Ceux-ci conservaient le traitement dont ils bénéficiaient avant l’entrée en vigueur de la Loi, et ce, jusqu’à ce que leur traitement soit égal à celui qui serait établi par le gouvernement pour les JPM nommés subséquemment.  Un décret fut alors émis, prévoyant la rémunération annuelle des JPM nommés après l’entrée en vigueur de la Loi.  Leur rémunération annuelle était d’environ vingt mille dollars en moins de la rémunération de leurs collègues.  La Loi prévoyait également que le traitement et les avantages des tous les JPM ne seraient soumis à un comité de la rémunération des juges que trois ans plus tard soit en 2007.  À ces changements s’ajoutait également une modification apportée à la </w:t>
            </w:r>
            <w:r w:rsidRPr="009B556E">
              <w:rPr>
                <w:i/>
                <w:sz w:val="20"/>
                <w:lang w:val="fr-CA"/>
              </w:rPr>
              <w:t>Loi sur les tribunaux judiciaires</w:t>
            </w:r>
            <w:r w:rsidRPr="009B556E">
              <w:rPr>
                <w:sz w:val="20"/>
                <w:lang w:val="fr-CA"/>
              </w:rPr>
              <w:t xml:space="preserve">, assujettissant les JPM au régime de retraite établi par la </w:t>
            </w:r>
            <w:r w:rsidRPr="009B556E">
              <w:rPr>
                <w:i/>
                <w:sz w:val="20"/>
                <w:lang w:val="fr-CA"/>
              </w:rPr>
              <w:t>Loi sur le régime de retraite du personnel d’encadrement</w:t>
            </w:r>
            <w:r w:rsidRPr="009B556E">
              <w:rPr>
                <w:sz w:val="20"/>
                <w:lang w:val="fr-CA"/>
              </w:rPr>
              <w:t xml:space="preserve">. </w:t>
            </w:r>
          </w:p>
          <w:p w:rsidR="00D85CC4" w:rsidRPr="009B556E" w:rsidRDefault="00D85CC4" w:rsidP="00C44A6F">
            <w:pPr>
              <w:jc w:val="both"/>
              <w:rPr>
                <w:sz w:val="20"/>
                <w:lang w:val="fr-CA"/>
              </w:rPr>
            </w:pPr>
          </w:p>
        </w:tc>
      </w:tr>
      <w:tr w:rsidR="00D85CC4" w:rsidRPr="0009493C" w:rsidTr="00645BF5">
        <w:trPr>
          <w:cantSplit/>
        </w:trPr>
        <w:tc>
          <w:tcPr>
            <w:tcW w:w="2427" w:type="pct"/>
          </w:tcPr>
          <w:p w:rsidR="00D85CC4" w:rsidRPr="009B556E" w:rsidRDefault="00D85CC4" w:rsidP="00C44A6F">
            <w:pPr>
              <w:jc w:val="both"/>
              <w:rPr>
                <w:sz w:val="20"/>
                <w:lang w:val="fr-CA"/>
              </w:rPr>
            </w:pPr>
            <w:r w:rsidRPr="009B556E">
              <w:rPr>
                <w:sz w:val="20"/>
                <w:lang w:val="fr-CA"/>
              </w:rPr>
              <w:lastRenderedPageBreak/>
              <w:t>Le 16 mars 2012</w:t>
            </w:r>
          </w:p>
          <w:p w:rsidR="00D85CC4" w:rsidRPr="009B556E" w:rsidRDefault="00D85CC4" w:rsidP="00C44A6F">
            <w:pPr>
              <w:jc w:val="both"/>
              <w:rPr>
                <w:sz w:val="20"/>
                <w:lang w:val="fr-CA"/>
              </w:rPr>
            </w:pPr>
            <w:r w:rsidRPr="009B556E">
              <w:rPr>
                <w:sz w:val="20"/>
                <w:lang w:val="fr-CA"/>
              </w:rPr>
              <w:t>Cour supérieure du Québec</w:t>
            </w:r>
          </w:p>
          <w:p w:rsidR="00D85CC4" w:rsidRPr="009B556E" w:rsidRDefault="00D85CC4" w:rsidP="00C44A6F">
            <w:pPr>
              <w:jc w:val="both"/>
              <w:rPr>
                <w:sz w:val="20"/>
                <w:lang w:val="fr-CA"/>
              </w:rPr>
            </w:pPr>
            <w:r w:rsidRPr="009B556E">
              <w:rPr>
                <w:sz w:val="20"/>
                <w:lang w:val="fr-CA"/>
              </w:rPr>
              <w:t>(Le juge Mongeon)</w:t>
            </w:r>
          </w:p>
          <w:p w:rsidR="00D85CC4" w:rsidRPr="009B556E" w:rsidRDefault="00D82946" w:rsidP="00C44A6F">
            <w:pPr>
              <w:jc w:val="both"/>
              <w:rPr>
                <w:sz w:val="20"/>
                <w:lang w:val="fr-CA"/>
              </w:rPr>
            </w:pPr>
            <w:hyperlink r:id="rId26" w:history="1">
              <w:r w:rsidR="00D85CC4" w:rsidRPr="009B556E">
                <w:rPr>
                  <w:color w:val="0000FF" w:themeColor="hyperlink"/>
                  <w:sz w:val="20"/>
                  <w:u w:val="single"/>
                  <w:lang w:val="fr-CA"/>
                </w:rPr>
                <w:t>2012 QCCS 1021</w:t>
              </w:r>
            </w:hyperlink>
          </w:p>
          <w:p w:rsidR="00D85CC4" w:rsidRPr="009B556E" w:rsidRDefault="00D85CC4" w:rsidP="00C44A6F">
            <w:pPr>
              <w:jc w:val="both"/>
              <w:rPr>
                <w:sz w:val="20"/>
                <w:lang w:val="fr-CA"/>
              </w:rPr>
            </w:pPr>
            <w:r w:rsidRPr="009B556E">
              <w:rPr>
                <w:sz w:val="20"/>
                <w:lang w:val="fr-CA"/>
              </w:rPr>
              <w:t>N</w:t>
            </w:r>
            <w:r w:rsidRPr="009B556E">
              <w:rPr>
                <w:sz w:val="20"/>
                <w:vertAlign w:val="superscript"/>
                <w:lang w:val="fr-CA"/>
              </w:rPr>
              <w:t>o</w:t>
            </w:r>
            <w:r w:rsidRPr="009B556E">
              <w:rPr>
                <w:sz w:val="20"/>
                <w:lang w:val="fr-CA"/>
              </w:rPr>
              <w:t xml:space="preserve"> 500-17-046760-081</w:t>
            </w:r>
          </w:p>
          <w:p w:rsidR="00D85CC4" w:rsidRPr="009B556E" w:rsidRDefault="00D85CC4" w:rsidP="00C44A6F">
            <w:pPr>
              <w:jc w:val="both"/>
              <w:rPr>
                <w:sz w:val="20"/>
                <w:lang w:val="fr-CA"/>
              </w:rPr>
            </w:pPr>
          </w:p>
        </w:tc>
        <w:tc>
          <w:tcPr>
            <w:tcW w:w="243" w:type="pct"/>
          </w:tcPr>
          <w:p w:rsidR="00D85CC4" w:rsidRPr="009B556E" w:rsidRDefault="00D85CC4" w:rsidP="00C44A6F">
            <w:pPr>
              <w:jc w:val="both"/>
              <w:rPr>
                <w:sz w:val="20"/>
                <w:lang w:val="fr-FR"/>
              </w:rPr>
            </w:pPr>
          </w:p>
        </w:tc>
        <w:tc>
          <w:tcPr>
            <w:tcW w:w="2330" w:type="pct"/>
          </w:tcPr>
          <w:p w:rsidR="00D85CC4" w:rsidRPr="009B556E" w:rsidRDefault="00D85CC4" w:rsidP="00C44A6F">
            <w:pPr>
              <w:jc w:val="both"/>
              <w:rPr>
                <w:sz w:val="20"/>
                <w:lang w:val="fr-CA"/>
              </w:rPr>
            </w:pPr>
            <w:r w:rsidRPr="009B556E">
              <w:rPr>
                <w:sz w:val="20"/>
                <w:lang w:val="fr-CA"/>
              </w:rPr>
              <w:t xml:space="preserve">Requête introductive d’instance amendée des demandeurs, rejetée; Déclarations émises confirmant la constitutionnalité des arts. 27, 30 et 32 de la </w:t>
            </w:r>
            <w:r w:rsidRPr="009B556E">
              <w:rPr>
                <w:i/>
                <w:sz w:val="20"/>
                <w:lang w:val="fr-CA"/>
              </w:rPr>
              <w:t>Loi modifiant la Loi sur les tribunaux judiciaires et d’autres dispositions législatives eu égard au statut des juges de paix</w:t>
            </w:r>
            <w:r w:rsidRPr="009B556E">
              <w:rPr>
                <w:sz w:val="20"/>
                <w:lang w:val="fr-CA"/>
              </w:rPr>
              <w:t xml:space="preserve">, de l’art. 178 de la </w:t>
            </w:r>
            <w:r w:rsidRPr="009B556E">
              <w:rPr>
                <w:i/>
                <w:sz w:val="20"/>
                <w:lang w:val="fr-CA"/>
              </w:rPr>
              <w:t>Loi sur les tribunaux judiciaires</w:t>
            </w:r>
            <w:r w:rsidRPr="009B556E">
              <w:rPr>
                <w:sz w:val="20"/>
                <w:lang w:val="fr-CA"/>
              </w:rPr>
              <w:t xml:space="preserve"> et du Décret no. 932-2008.</w:t>
            </w:r>
          </w:p>
          <w:p w:rsidR="00D85CC4" w:rsidRPr="009B556E" w:rsidRDefault="00D85CC4" w:rsidP="00C44A6F">
            <w:pPr>
              <w:jc w:val="both"/>
              <w:rPr>
                <w:sz w:val="20"/>
                <w:lang w:val="fr-CA"/>
              </w:rPr>
            </w:pPr>
          </w:p>
        </w:tc>
      </w:tr>
      <w:tr w:rsidR="00D85CC4" w:rsidRPr="009B556E" w:rsidTr="00645BF5">
        <w:trPr>
          <w:cantSplit/>
        </w:trPr>
        <w:tc>
          <w:tcPr>
            <w:tcW w:w="2427" w:type="pct"/>
          </w:tcPr>
          <w:p w:rsidR="00D85CC4" w:rsidRPr="009B556E" w:rsidRDefault="00D85CC4" w:rsidP="00C44A6F">
            <w:pPr>
              <w:jc w:val="both"/>
              <w:rPr>
                <w:sz w:val="20"/>
                <w:lang w:val="fr-CA"/>
              </w:rPr>
            </w:pPr>
            <w:r w:rsidRPr="009B556E">
              <w:rPr>
                <w:sz w:val="20"/>
                <w:lang w:val="fr-CA"/>
              </w:rPr>
              <w:t>Le 11 septembre 2014</w:t>
            </w:r>
          </w:p>
          <w:p w:rsidR="00D85CC4" w:rsidRPr="009B556E" w:rsidRDefault="00D85CC4" w:rsidP="00C44A6F">
            <w:pPr>
              <w:jc w:val="both"/>
              <w:rPr>
                <w:sz w:val="20"/>
                <w:lang w:val="fr-CA"/>
              </w:rPr>
            </w:pPr>
            <w:r w:rsidRPr="009B556E">
              <w:rPr>
                <w:sz w:val="20"/>
                <w:lang w:val="fr-CA"/>
              </w:rPr>
              <w:t>Cour d’appel du Québec (Montréal)</w:t>
            </w:r>
          </w:p>
          <w:p w:rsidR="00D85CC4" w:rsidRPr="009B556E" w:rsidRDefault="00D85CC4" w:rsidP="00C44A6F">
            <w:pPr>
              <w:jc w:val="both"/>
              <w:rPr>
                <w:sz w:val="20"/>
                <w:lang w:val="fr-CA"/>
              </w:rPr>
            </w:pPr>
            <w:r w:rsidRPr="009B556E">
              <w:rPr>
                <w:sz w:val="20"/>
                <w:lang w:val="fr-CA"/>
              </w:rPr>
              <w:t>(Les juges Dalphond, Bouchard et Vauclair)</w:t>
            </w:r>
          </w:p>
          <w:p w:rsidR="00D85CC4" w:rsidRPr="009B556E" w:rsidRDefault="00D82946" w:rsidP="00C44A6F">
            <w:pPr>
              <w:jc w:val="both"/>
              <w:rPr>
                <w:sz w:val="20"/>
                <w:lang w:val="fr-CA"/>
              </w:rPr>
            </w:pPr>
            <w:hyperlink r:id="rId27" w:history="1">
              <w:r w:rsidR="00D85CC4" w:rsidRPr="009B556E">
                <w:rPr>
                  <w:color w:val="0000FF" w:themeColor="hyperlink"/>
                  <w:sz w:val="20"/>
                  <w:u w:val="single"/>
                  <w:lang w:val="fr-CA"/>
                </w:rPr>
                <w:t>2014 QCCA 1654</w:t>
              </w:r>
            </w:hyperlink>
          </w:p>
          <w:p w:rsidR="00D85CC4" w:rsidRPr="009B556E" w:rsidRDefault="00D85CC4" w:rsidP="00C44A6F">
            <w:pPr>
              <w:jc w:val="both"/>
              <w:rPr>
                <w:sz w:val="20"/>
                <w:lang w:val="fr-CA"/>
              </w:rPr>
            </w:pPr>
            <w:r w:rsidRPr="009B556E">
              <w:rPr>
                <w:sz w:val="20"/>
                <w:lang w:val="fr-CA"/>
              </w:rPr>
              <w:t>N</w:t>
            </w:r>
            <w:r w:rsidRPr="009B556E">
              <w:rPr>
                <w:sz w:val="20"/>
                <w:vertAlign w:val="superscript"/>
                <w:lang w:val="fr-CA"/>
              </w:rPr>
              <w:t>o</w:t>
            </w:r>
            <w:r w:rsidRPr="009B556E">
              <w:rPr>
                <w:sz w:val="20"/>
                <w:lang w:val="fr-CA"/>
              </w:rPr>
              <w:t xml:space="preserve"> 500-09-022600-126</w:t>
            </w:r>
          </w:p>
          <w:p w:rsidR="00D85CC4" w:rsidRPr="009B556E" w:rsidRDefault="00D85CC4" w:rsidP="00C44A6F">
            <w:pPr>
              <w:jc w:val="both"/>
              <w:rPr>
                <w:sz w:val="20"/>
                <w:lang w:val="fr-FR"/>
              </w:rPr>
            </w:pPr>
          </w:p>
        </w:tc>
        <w:tc>
          <w:tcPr>
            <w:tcW w:w="243" w:type="pct"/>
          </w:tcPr>
          <w:p w:rsidR="00D85CC4" w:rsidRPr="009B556E" w:rsidRDefault="00D85CC4" w:rsidP="00C44A6F">
            <w:pPr>
              <w:jc w:val="both"/>
              <w:rPr>
                <w:sz w:val="20"/>
                <w:lang w:val="fr-FR"/>
              </w:rPr>
            </w:pPr>
          </w:p>
        </w:tc>
        <w:tc>
          <w:tcPr>
            <w:tcW w:w="2330" w:type="pct"/>
          </w:tcPr>
          <w:p w:rsidR="00D85CC4" w:rsidRPr="009B556E" w:rsidRDefault="00D85CC4" w:rsidP="00C44A6F">
            <w:pPr>
              <w:jc w:val="both"/>
              <w:rPr>
                <w:sz w:val="20"/>
                <w:lang w:val="fr-CA"/>
              </w:rPr>
            </w:pPr>
            <w:r w:rsidRPr="009B556E">
              <w:rPr>
                <w:sz w:val="20"/>
                <w:lang w:val="fr-CA"/>
              </w:rPr>
              <w:t>Appel rejeté.</w:t>
            </w:r>
          </w:p>
          <w:p w:rsidR="00D85CC4" w:rsidRPr="009B556E" w:rsidRDefault="00D85CC4" w:rsidP="00C44A6F">
            <w:pPr>
              <w:jc w:val="both"/>
              <w:rPr>
                <w:sz w:val="20"/>
                <w:lang w:val="fr-CA"/>
              </w:rPr>
            </w:pPr>
          </w:p>
        </w:tc>
      </w:tr>
      <w:tr w:rsidR="00D85CC4" w:rsidRPr="009B556E" w:rsidTr="00645BF5">
        <w:trPr>
          <w:cantSplit/>
        </w:trPr>
        <w:tc>
          <w:tcPr>
            <w:tcW w:w="2427" w:type="pct"/>
          </w:tcPr>
          <w:p w:rsidR="00D85CC4" w:rsidRPr="009B556E" w:rsidRDefault="00D85CC4" w:rsidP="00C44A6F">
            <w:pPr>
              <w:jc w:val="both"/>
              <w:rPr>
                <w:sz w:val="20"/>
                <w:lang w:val="fr-CA"/>
              </w:rPr>
            </w:pPr>
            <w:r w:rsidRPr="009B556E">
              <w:rPr>
                <w:sz w:val="20"/>
                <w:lang w:val="fr-CA"/>
              </w:rPr>
              <w:t>Le 10 novembre 2014</w:t>
            </w:r>
          </w:p>
          <w:p w:rsidR="00D85CC4" w:rsidRPr="009B556E" w:rsidRDefault="00D85CC4" w:rsidP="00C44A6F">
            <w:pPr>
              <w:jc w:val="both"/>
              <w:rPr>
                <w:sz w:val="20"/>
                <w:lang w:val="fr-FR"/>
              </w:rPr>
            </w:pPr>
            <w:r w:rsidRPr="009B556E">
              <w:rPr>
                <w:sz w:val="20"/>
                <w:lang w:val="fr-CA"/>
              </w:rPr>
              <w:t>Cour suprême du Canada</w:t>
            </w:r>
          </w:p>
        </w:tc>
        <w:tc>
          <w:tcPr>
            <w:tcW w:w="243" w:type="pct"/>
          </w:tcPr>
          <w:p w:rsidR="00D85CC4" w:rsidRPr="009B556E" w:rsidRDefault="00D85CC4" w:rsidP="00C44A6F">
            <w:pPr>
              <w:jc w:val="both"/>
              <w:rPr>
                <w:sz w:val="20"/>
                <w:lang w:val="fr-FR"/>
              </w:rPr>
            </w:pPr>
          </w:p>
        </w:tc>
        <w:tc>
          <w:tcPr>
            <w:tcW w:w="2330" w:type="pct"/>
          </w:tcPr>
          <w:p w:rsidR="00D85CC4" w:rsidRPr="009B556E" w:rsidRDefault="00D85CC4" w:rsidP="00C44A6F">
            <w:pPr>
              <w:jc w:val="both"/>
              <w:rPr>
                <w:sz w:val="20"/>
                <w:lang w:val="fr-CA"/>
              </w:rPr>
            </w:pPr>
            <w:r w:rsidRPr="009B556E">
              <w:rPr>
                <w:sz w:val="20"/>
                <w:lang w:val="fr-CA"/>
              </w:rPr>
              <w:t>Demande d’autorisation d’appel déposée.</w:t>
            </w:r>
          </w:p>
          <w:p w:rsidR="00D85CC4" w:rsidRPr="009B556E" w:rsidRDefault="00D85CC4" w:rsidP="00C44A6F">
            <w:pPr>
              <w:jc w:val="both"/>
              <w:rPr>
                <w:sz w:val="20"/>
                <w:lang w:val="fr-CA"/>
              </w:rPr>
            </w:pPr>
          </w:p>
        </w:tc>
      </w:tr>
    </w:tbl>
    <w:p w:rsidR="0089171C" w:rsidRDefault="0089171C" w:rsidP="000E2959">
      <w:pPr>
        <w:rPr>
          <w:sz w:val="20"/>
          <w:szCs w:val="20"/>
        </w:rPr>
      </w:pPr>
    </w:p>
    <w:p w:rsidR="0089171C" w:rsidRDefault="00D82946" w:rsidP="000E2959">
      <w:pPr>
        <w:rPr>
          <w:sz w:val="20"/>
          <w:szCs w:val="20"/>
          <w:lang w:val="fr-CA"/>
        </w:rPr>
      </w:pPr>
      <w:r>
        <w:rPr>
          <w:sz w:val="20"/>
          <w:szCs w:val="20"/>
          <w:lang w:val="fr-CA"/>
        </w:rPr>
        <w:pict>
          <v:rect id="_x0000_i1037" style="width:2in;height:1pt" o:hrpct="0" o:hralign="center" o:hrstd="t" o:hrnoshade="t" o:hr="t" fillcolor="black [3213]" stroked="f"/>
        </w:pict>
      </w:r>
    </w:p>
    <w:p w:rsidR="0089171C" w:rsidRDefault="0089171C" w:rsidP="000E2959">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645BF5" w:rsidRPr="00BC108B" w:rsidTr="00DF0FFF">
        <w:trPr>
          <w:cantSplit/>
        </w:trPr>
        <w:tc>
          <w:tcPr>
            <w:tcW w:w="1458" w:type="dxa"/>
          </w:tcPr>
          <w:p w:rsidR="00645BF5" w:rsidRPr="00BC108B" w:rsidRDefault="00645BF5" w:rsidP="00DF0FFF">
            <w:pPr>
              <w:rPr>
                <w:sz w:val="20"/>
                <w:szCs w:val="20"/>
              </w:rPr>
            </w:pPr>
            <w:r w:rsidRPr="00BC108B">
              <w:rPr>
                <w:rStyle w:val="SCCFileNumberChar"/>
                <w:sz w:val="20"/>
                <w:szCs w:val="20"/>
              </w:rPr>
              <w:t>36272</w:t>
            </w:r>
          </w:p>
          <w:p w:rsidR="00645BF5" w:rsidRPr="00BC108B" w:rsidRDefault="00645BF5" w:rsidP="00DF0FFF">
            <w:pPr>
              <w:rPr>
                <w:b/>
                <w:sz w:val="20"/>
                <w:szCs w:val="20"/>
                <w:lang w:val="fr-CA"/>
              </w:rPr>
            </w:pPr>
          </w:p>
        </w:tc>
        <w:tc>
          <w:tcPr>
            <w:tcW w:w="8118" w:type="dxa"/>
          </w:tcPr>
          <w:p w:rsidR="00645BF5" w:rsidRPr="00BC108B" w:rsidRDefault="00645BF5" w:rsidP="00DF0FFF">
            <w:pPr>
              <w:jc w:val="both"/>
              <w:rPr>
                <w:sz w:val="20"/>
                <w:szCs w:val="20"/>
              </w:rPr>
            </w:pPr>
            <w:r w:rsidRPr="00BC108B">
              <w:rPr>
                <w:rStyle w:val="SCCLsocChar"/>
                <w:sz w:val="20"/>
                <w:szCs w:val="20"/>
                <w:lang w:val="en-CA"/>
              </w:rPr>
              <w:t>Health Professions Review Board v. Alan Moore</w:t>
            </w:r>
            <w:r w:rsidR="00BD7226">
              <w:rPr>
                <w:rStyle w:val="SCCLsocChar"/>
                <w:sz w:val="20"/>
                <w:szCs w:val="20"/>
                <w:lang w:val="en-CA"/>
              </w:rPr>
              <w:t xml:space="preserve"> and</w:t>
            </w:r>
            <w:r w:rsidRPr="00BC108B">
              <w:rPr>
                <w:rStyle w:val="SCCLsocChar"/>
                <w:sz w:val="20"/>
                <w:szCs w:val="20"/>
                <w:lang w:val="en-CA"/>
              </w:rPr>
              <w:t xml:space="preserve"> College of Physicians and Surgeons of British Columbia</w:t>
            </w:r>
            <w:r w:rsidRPr="00BC108B">
              <w:rPr>
                <w:sz w:val="20"/>
                <w:szCs w:val="20"/>
              </w:rPr>
              <w:t xml:space="preserve"> (B.C.) (Civil) (By Leave)</w:t>
            </w:r>
          </w:p>
          <w:p w:rsidR="00645BF5" w:rsidRPr="00BC108B" w:rsidRDefault="00645BF5" w:rsidP="00DF0FFF">
            <w:pPr>
              <w:jc w:val="both"/>
              <w:rPr>
                <w:sz w:val="20"/>
                <w:szCs w:val="20"/>
              </w:rPr>
            </w:pPr>
          </w:p>
        </w:tc>
      </w:tr>
      <w:tr w:rsidR="00645BF5" w:rsidRPr="0009493C" w:rsidTr="00DF0FFF">
        <w:trPr>
          <w:cantSplit/>
        </w:trPr>
        <w:tc>
          <w:tcPr>
            <w:tcW w:w="1458" w:type="dxa"/>
          </w:tcPr>
          <w:p w:rsidR="00645BF5" w:rsidRPr="00BC108B" w:rsidRDefault="00645BF5" w:rsidP="00DF0FFF">
            <w:pPr>
              <w:rPr>
                <w:sz w:val="20"/>
                <w:szCs w:val="20"/>
              </w:rPr>
            </w:pPr>
            <w:r w:rsidRPr="00BC108B">
              <w:rPr>
                <w:sz w:val="20"/>
                <w:szCs w:val="20"/>
              </w:rPr>
              <w:t>Coram :</w:t>
            </w:r>
          </w:p>
        </w:tc>
        <w:tc>
          <w:tcPr>
            <w:tcW w:w="8118" w:type="dxa"/>
          </w:tcPr>
          <w:p w:rsidR="00645BF5" w:rsidRPr="00BC108B" w:rsidRDefault="00645BF5" w:rsidP="00DF0FFF">
            <w:pPr>
              <w:rPr>
                <w:sz w:val="20"/>
                <w:szCs w:val="20"/>
                <w:lang w:val="fr-CA"/>
              </w:rPr>
            </w:pPr>
            <w:r w:rsidRPr="00BC108B">
              <w:rPr>
                <w:rStyle w:val="SCCCoramChar"/>
                <w:sz w:val="20"/>
                <w:szCs w:val="20"/>
              </w:rPr>
              <w:t>Abella, Karakatsanis and Côté JJ.</w:t>
            </w:r>
          </w:p>
          <w:p w:rsidR="00645BF5" w:rsidRPr="00BC108B" w:rsidRDefault="00645BF5" w:rsidP="00DF0FFF">
            <w:pPr>
              <w:rPr>
                <w:sz w:val="20"/>
                <w:szCs w:val="20"/>
                <w:u w:val="single"/>
                <w:lang w:val="fr-CA"/>
              </w:rPr>
            </w:pPr>
          </w:p>
        </w:tc>
      </w:tr>
      <w:tr w:rsidR="00645BF5" w:rsidRPr="0009493C" w:rsidTr="00DF0FFF">
        <w:trPr>
          <w:cantSplit/>
        </w:trPr>
        <w:tc>
          <w:tcPr>
            <w:tcW w:w="9576" w:type="dxa"/>
            <w:gridSpan w:val="2"/>
          </w:tcPr>
          <w:p w:rsidR="00645BF5" w:rsidRPr="00BC108B" w:rsidRDefault="00645BF5" w:rsidP="00DF0FFF">
            <w:pPr>
              <w:pStyle w:val="SCCShortJudgment"/>
              <w:rPr>
                <w:szCs w:val="20"/>
              </w:rPr>
            </w:pPr>
            <w:r w:rsidRPr="00BC108B">
              <w:rPr>
                <w:szCs w:val="20"/>
              </w:rPr>
              <w:t>The application for leave to appeal from the judgment of the Court of Appeal for British Columbia (Vancouver), Number CA041430, 2014 BCCA 466, dated November 21, 2014, is dismissed with costs to the respondent, Alan Moore.</w:t>
            </w:r>
          </w:p>
          <w:p w:rsidR="00645BF5" w:rsidRPr="00BC108B" w:rsidRDefault="00645BF5" w:rsidP="00DF0FFF">
            <w:pPr>
              <w:pStyle w:val="SCCShortJudgment"/>
              <w:ind w:firstLine="0"/>
              <w:rPr>
                <w:szCs w:val="20"/>
              </w:rPr>
            </w:pPr>
          </w:p>
          <w:p w:rsidR="00645BF5" w:rsidRPr="00BC108B" w:rsidRDefault="00645BF5" w:rsidP="00DF0FFF">
            <w:pPr>
              <w:pStyle w:val="SCCShortJudgment"/>
              <w:rPr>
                <w:szCs w:val="20"/>
                <w:lang w:val="fr-CA"/>
              </w:rPr>
            </w:pPr>
            <w:r w:rsidRPr="00BC108B">
              <w:rPr>
                <w:szCs w:val="20"/>
                <w:lang w:val="fr-CA"/>
              </w:rPr>
              <w:t>La demande d’autorisation d’appel de l’arrêt de la Cour d’appel de la Colombie-Britannique (Vancouver), numéro CA041430, 2014 BCCA 466, daté du 21 novembre 2014, est rejetée avec dépens en faveur de l’intimé, Alan Moore.</w:t>
            </w:r>
          </w:p>
        </w:tc>
      </w:tr>
    </w:tbl>
    <w:p w:rsidR="0089171C" w:rsidRPr="00645BF5" w:rsidRDefault="0089171C" w:rsidP="000E2959">
      <w:pPr>
        <w:rPr>
          <w:sz w:val="20"/>
          <w:szCs w:val="20"/>
          <w:lang w:val="fr-CA"/>
        </w:rPr>
      </w:pPr>
    </w:p>
    <w:p w:rsidR="0089171C" w:rsidRPr="001B157C" w:rsidRDefault="0089171C" w:rsidP="0089171C">
      <w:pPr>
        <w:rPr>
          <w:sz w:val="20"/>
          <w:szCs w:val="20"/>
          <w:u w:val="single"/>
        </w:rPr>
      </w:pPr>
      <w:r w:rsidRPr="001B157C">
        <w:rPr>
          <w:sz w:val="20"/>
          <w:szCs w:val="20"/>
          <w:u w:val="single"/>
        </w:rPr>
        <w:t>CASE SUMMARY</w:t>
      </w:r>
    </w:p>
    <w:p w:rsidR="0089171C" w:rsidRDefault="0089171C" w:rsidP="0089171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85CC4" w:rsidRPr="009B556E" w:rsidTr="00C44A6F">
        <w:tc>
          <w:tcPr>
            <w:tcW w:w="5000" w:type="pct"/>
            <w:gridSpan w:val="3"/>
          </w:tcPr>
          <w:p w:rsidR="00D85CC4" w:rsidRPr="009B556E" w:rsidRDefault="00D85CC4" w:rsidP="00C44A6F">
            <w:pPr>
              <w:jc w:val="both"/>
              <w:rPr>
                <w:sz w:val="20"/>
              </w:rPr>
            </w:pPr>
            <w:r w:rsidRPr="009B556E">
              <w:rPr>
                <w:sz w:val="20"/>
              </w:rPr>
              <w:t xml:space="preserve">Administrative law — Boards and tribunals — Health Professions Review Board — Judicial review — Standard of review — Standing — Court of Appeal dismissing appeal of decision setting aside Review Board’s decision finding College’s investigation inadequate — What is proper analytical approach to legislated standard of review provisions in s. 58 of  </w:t>
            </w:r>
            <w:r w:rsidRPr="009B556E">
              <w:rPr>
                <w:i/>
                <w:sz w:val="20"/>
              </w:rPr>
              <w:t>Administrative Tribunals Act</w:t>
            </w:r>
            <w:r w:rsidRPr="009B556E">
              <w:rPr>
                <w:sz w:val="20"/>
              </w:rPr>
              <w:t xml:space="preserve">, S.B.C. 2004, c. 45 — How is “patently unreasonable” test set out in s. 58(2) and (3) of </w:t>
            </w:r>
            <w:r w:rsidRPr="009B556E">
              <w:rPr>
                <w:i/>
                <w:iCs/>
                <w:sz w:val="20"/>
              </w:rPr>
              <w:t xml:space="preserve">ATA </w:t>
            </w:r>
            <w:r w:rsidRPr="009B556E">
              <w:rPr>
                <w:sz w:val="20"/>
              </w:rPr>
              <w:t xml:space="preserve">properly applied to Review Board findings with respect to “adequacy of an investigation” and remedy arising from a finding of inadequacy, and is Review Board entitled to deference in standard of review it applies when assessing adequacy of College investigation — Whether Review Board had standing to appeal order of chambers judge on ground he misapplied patently unreasonable test — </w:t>
            </w:r>
            <w:r w:rsidRPr="009B556E">
              <w:rPr>
                <w:i/>
                <w:sz w:val="20"/>
              </w:rPr>
              <w:t>Health Professions Act</w:t>
            </w:r>
            <w:r w:rsidRPr="009B556E">
              <w:rPr>
                <w:sz w:val="20"/>
              </w:rPr>
              <w:t>, R.S.B.C. 1996, c. 183.</w:t>
            </w:r>
          </w:p>
        </w:tc>
      </w:tr>
      <w:tr w:rsidR="00D85CC4" w:rsidRPr="009B556E" w:rsidTr="00C44A6F">
        <w:tc>
          <w:tcPr>
            <w:tcW w:w="5000" w:type="pct"/>
            <w:gridSpan w:val="3"/>
          </w:tcPr>
          <w:p w:rsidR="00D85CC4" w:rsidRPr="009B556E" w:rsidRDefault="00D85CC4" w:rsidP="00C44A6F">
            <w:pPr>
              <w:jc w:val="both"/>
              <w:rPr>
                <w:sz w:val="20"/>
              </w:rPr>
            </w:pPr>
          </w:p>
        </w:tc>
      </w:tr>
      <w:tr w:rsidR="00D85CC4" w:rsidRPr="009B556E" w:rsidTr="00C44A6F">
        <w:tc>
          <w:tcPr>
            <w:tcW w:w="5000" w:type="pct"/>
            <w:gridSpan w:val="3"/>
          </w:tcPr>
          <w:p w:rsidR="00D85CC4" w:rsidRPr="009B556E" w:rsidRDefault="00D85CC4" w:rsidP="00C44A6F">
            <w:pPr>
              <w:jc w:val="both"/>
              <w:rPr>
                <w:sz w:val="20"/>
              </w:rPr>
            </w:pPr>
            <w:r w:rsidRPr="009B556E">
              <w:rPr>
                <w:sz w:val="20"/>
              </w:rPr>
              <w:t>A complaint was made by a patient to the respondent, the College of Physicians and Surgeons of British Columbia against the respondent physician, Alan Moore.  The College advised the patient that after reviewing the complaint the College had no specific criticism of Dr. Moore.</w:t>
            </w:r>
          </w:p>
          <w:p w:rsidR="00D85CC4" w:rsidRPr="009B556E" w:rsidRDefault="00D85CC4" w:rsidP="00C44A6F">
            <w:pPr>
              <w:jc w:val="both"/>
              <w:rPr>
                <w:sz w:val="20"/>
              </w:rPr>
            </w:pPr>
          </w:p>
          <w:p w:rsidR="00D85CC4" w:rsidRPr="009B556E" w:rsidRDefault="00D85CC4" w:rsidP="00C44A6F">
            <w:pPr>
              <w:jc w:val="both"/>
              <w:rPr>
                <w:sz w:val="20"/>
              </w:rPr>
            </w:pPr>
            <w:r w:rsidRPr="009B556E">
              <w:rPr>
                <w:sz w:val="20"/>
              </w:rPr>
              <w:t xml:space="preserve">The patient requested a review of the College’s decision by the Health Professions Review Board.  The Review Board concluded the College’s decision was inadequate and the decision was sent back to the College for reconsideration. </w:t>
            </w:r>
          </w:p>
          <w:p w:rsidR="00D85CC4" w:rsidRPr="009B556E" w:rsidRDefault="00D85CC4" w:rsidP="00C44A6F">
            <w:pPr>
              <w:jc w:val="both"/>
              <w:rPr>
                <w:sz w:val="20"/>
              </w:rPr>
            </w:pPr>
          </w:p>
          <w:p w:rsidR="00D85CC4" w:rsidRPr="009B556E" w:rsidRDefault="00D85CC4" w:rsidP="00C44A6F">
            <w:pPr>
              <w:jc w:val="both"/>
              <w:rPr>
                <w:sz w:val="20"/>
              </w:rPr>
            </w:pPr>
            <w:r w:rsidRPr="009B556E">
              <w:rPr>
                <w:sz w:val="20"/>
              </w:rPr>
              <w:lastRenderedPageBreak/>
              <w:t>On judicial review, the Supreme Court of British Columbia set aside the Review Board’s decision and reinstated the decision of the Registrar.  The Court of Appeal dismissed the appeal.</w:t>
            </w:r>
          </w:p>
          <w:p w:rsidR="00D85CC4" w:rsidRPr="009B556E" w:rsidRDefault="00D85CC4" w:rsidP="00C44A6F">
            <w:pPr>
              <w:jc w:val="both"/>
              <w:rPr>
                <w:sz w:val="20"/>
              </w:rPr>
            </w:pPr>
          </w:p>
        </w:tc>
      </w:tr>
      <w:tr w:rsidR="00D85CC4" w:rsidRPr="009B556E" w:rsidTr="00C44A6F">
        <w:tc>
          <w:tcPr>
            <w:tcW w:w="2427" w:type="pct"/>
          </w:tcPr>
          <w:p w:rsidR="00D85CC4" w:rsidRPr="009B556E" w:rsidRDefault="00D85CC4" w:rsidP="00C44A6F">
            <w:pPr>
              <w:jc w:val="both"/>
              <w:rPr>
                <w:sz w:val="20"/>
              </w:rPr>
            </w:pPr>
            <w:r w:rsidRPr="009B556E">
              <w:rPr>
                <w:sz w:val="20"/>
              </w:rPr>
              <w:lastRenderedPageBreak/>
              <w:t>October 20, 2011</w:t>
            </w:r>
          </w:p>
          <w:p w:rsidR="00D85CC4" w:rsidRPr="009B556E" w:rsidRDefault="00D85CC4" w:rsidP="00C44A6F">
            <w:pPr>
              <w:jc w:val="both"/>
              <w:rPr>
                <w:sz w:val="20"/>
              </w:rPr>
            </w:pPr>
            <w:r w:rsidRPr="009B556E">
              <w:rPr>
                <w:sz w:val="20"/>
              </w:rPr>
              <w:t>Health Professions Review Board</w:t>
            </w:r>
          </w:p>
          <w:p w:rsidR="00D85CC4" w:rsidRPr="009B556E" w:rsidRDefault="00D85CC4" w:rsidP="00C44A6F">
            <w:pPr>
              <w:jc w:val="both"/>
              <w:rPr>
                <w:sz w:val="20"/>
              </w:rPr>
            </w:pPr>
            <w:r w:rsidRPr="009B556E">
              <w:rPr>
                <w:sz w:val="20"/>
              </w:rPr>
              <w:t>Decision No.: 2010-HPA-0108(b)</w:t>
            </w:r>
          </w:p>
          <w:p w:rsidR="00D85CC4" w:rsidRPr="009B556E" w:rsidRDefault="00D85CC4" w:rsidP="00C44A6F">
            <w:pPr>
              <w:jc w:val="both"/>
              <w:rPr>
                <w:sz w:val="20"/>
              </w:rPr>
            </w:pPr>
            <w:r w:rsidRPr="009B556E">
              <w:rPr>
                <w:sz w:val="20"/>
              </w:rPr>
              <w:t>(M. Clark)</w:t>
            </w:r>
          </w:p>
          <w:p w:rsidR="00D85CC4" w:rsidRPr="009B556E" w:rsidRDefault="00D85CC4" w:rsidP="00C44A6F">
            <w:pPr>
              <w:jc w:val="both"/>
              <w:rPr>
                <w:sz w:val="20"/>
              </w:rPr>
            </w:pPr>
          </w:p>
        </w:tc>
        <w:tc>
          <w:tcPr>
            <w:tcW w:w="243" w:type="pct"/>
          </w:tcPr>
          <w:p w:rsidR="00D85CC4" w:rsidRPr="009B556E" w:rsidRDefault="00D85CC4" w:rsidP="00C44A6F">
            <w:pPr>
              <w:jc w:val="both"/>
              <w:rPr>
                <w:sz w:val="20"/>
              </w:rPr>
            </w:pPr>
          </w:p>
        </w:tc>
        <w:tc>
          <w:tcPr>
            <w:tcW w:w="2330" w:type="pct"/>
          </w:tcPr>
          <w:p w:rsidR="00D85CC4" w:rsidRPr="009B556E" w:rsidRDefault="00D85CC4" w:rsidP="00C44A6F">
            <w:pPr>
              <w:jc w:val="both"/>
              <w:rPr>
                <w:sz w:val="20"/>
              </w:rPr>
            </w:pPr>
            <w:r w:rsidRPr="009B556E">
              <w:rPr>
                <w:sz w:val="20"/>
              </w:rPr>
              <w:t>Investigation deemed inadequate and decision returned to College of Physicians and Surgeons of B.C. for reconsideration with directions.</w:t>
            </w:r>
          </w:p>
          <w:p w:rsidR="00D85CC4" w:rsidRPr="009B556E" w:rsidRDefault="00D85CC4" w:rsidP="00C44A6F">
            <w:pPr>
              <w:jc w:val="both"/>
              <w:rPr>
                <w:sz w:val="20"/>
              </w:rPr>
            </w:pPr>
          </w:p>
        </w:tc>
      </w:tr>
      <w:tr w:rsidR="00D85CC4" w:rsidRPr="009B556E" w:rsidTr="00C44A6F">
        <w:tc>
          <w:tcPr>
            <w:tcW w:w="2427" w:type="pct"/>
          </w:tcPr>
          <w:p w:rsidR="00D85CC4" w:rsidRPr="009B556E" w:rsidRDefault="00D85CC4" w:rsidP="00C44A6F">
            <w:pPr>
              <w:jc w:val="both"/>
              <w:rPr>
                <w:sz w:val="20"/>
              </w:rPr>
            </w:pPr>
            <w:r w:rsidRPr="009B556E">
              <w:rPr>
                <w:sz w:val="20"/>
              </w:rPr>
              <w:t>November 18, 2013</w:t>
            </w:r>
          </w:p>
          <w:p w:rsidR="00D85CC4" w:rsidRPr="009B556E" w:rsidRDefault="00D85CC4" w:rsidP="00C44A6F">
            <w:pPr>
              <w:jc w:val="both"/>
              <w:rPr>
                <w:sz w:val="20"/>
              </w:rPr>
            </w:pPr>
            <w:r w:rsidRPr="009B556E">
              <w:rPr>
                <w:sz w:val="20"/>
              </w:rPr>
              <w:t>Supreme Court of British Columbia</w:t>
            </w:r>
          </w:p>
          <w:p w:rsidR="00D85CC4" w:rsidRPr="009B556E" w:rsidRDefault="00D85CC4" w:rsidP="00C44A6F">
            <w:pPr>
              <w:jc w:val="both"/>
              <w:rPr>
                <w:sz w:val="20"/>
              </w:rPr>
            </w:pPr>
            <w:r w:rsidRPr="009B556E">
              <w:rPr>
                <w:sz w:val="20"/>
              </w:rPr>
              <w:t>(Bracken J.)</w:t>
            </w:r>
          </w:p>
          <w:p w:rsidR="00D85CC4" w:rsidRPr="009B556E" w:rsidRDefault="00D82946" w:rsidP="00C44A6F">
            <w:pPr>
              <w:jc w:val="both"/>
              <w:rPr>
                <w:sz w:val="20"/>
              </w:rPr>
            </w:pPr>
            <w:hyperlink r:id="rId28" w:history="1">
              <w:r w:rsidR="00D85CC4" w:rsidRPr="009B556E">
                <w:rPr>
                  <w:color w:val="0000FF" w:themeColor="hyperlink"/>
                  <w:sz w:val="20"/>
                  <w:u w:val="single"/>
                </w:rPr>
                <w:t>2013 BCSC 2081</w:t>
              </w:r>
            </w:hyperlink>
          </w:p>
          <w:p w:rsidR="00D85CC4" w:rsidRPr="009B556E" w:rsidRDefault="00D85CC4" w:rsidP="00C44A6F">
            <w:pPr>
              <w:jc w:val="both"/>
              <w:rPr>
                <w:sz w:val="20"/>
              </w:rPr>
            </w:pPr>
          </w:p>
        </w:tc>
        <w:tc>
          <w:tcPr>
            <w:tcW w:w="243" w:type="pct"/>
          </w:tcPr>
          <w:p w:rsidR="00D85CC4" w:rsidRPr="009B556E" w:rsidRDefault="00D85CC4" w:rsidP="00C44A6F">
            <w:pPr>
              <w:jc w:val="both"/>
              <w:rPr>
                <w:sz w:val="20"/>
              </w:rPr>
            </w:pPr>
          </w:p>
        </w:tc>
        <w:tc>
          <w:tcPr>
            <w:tcW w:w="2330" w:type="pct"/>
          </w:tcPr>
          <w:p w:rsidR="00D85CC4" w:rsidRPr="009B556E" w:rsidRDefault="00D85CC4" w:rsidP="00C44A6F">
            <w:pPr>
              <w:jc w:val="both"/>
              <w:rPr>
                <w:sz w:val="20"/>
              </w:rPr>
            </w:pPr>
            <w:r w:rsidRPr="009B556E">
              <w:rPr>
                <w:sz w:val="20"/>
              </w:rPr>
              <w:t>Application for judicial review allowed; Review Board decision set aside and decision of Registrar restored.</w:t>
            </w:r>
          </w:p>
          <w:p w:rsidR="00D85CC4" w:rsidRPr="009B556E" w:rsidRDefault="00D85CC4" w:rsidP="00C44A6F">
            <w:pPr>
              <w:jc w:val="both"/>
              <w:rPr>
                <w:sz w:val="20"/>
              </w:rPr>
            </w:pPr>
          </w:p>
        </w:tc>
      </w:tr>
      <w:tr w:rsidR="00D85CC4" w:rsidRPr="009B556E" w:rsidTr="00C44A6F">
        <w:tc>
          <w:tcPr>
            <w:tcW w:w="2427" w:type="pct"/>
          </w:tcPr>
          <w:p w:rsidR="00D85CC4" w:rsidRPr="009B556E" w:rsidRDefault="00D85CC4" w:rsidP="00C44A6F">
            <w:pPr>
              <w:jc w:val="both"/>
              <w:rPr>
                <w:sz w:val="20"/>
              </w:rPr>
            </w:pPr>
            <w:r w:rsidRPr="009B556E">
              <w:rPr>
                <w:sz w:val="20"/>
              </w:rPr>
              <w:t>November 21, 2014</w:t>
            </w:r>
          </w:p>
          <w:p w:rsidR="00D85CC4" w:rsidRPr="009B556E" w:rsidRDefault="00D85CC4" w:rsidP="00C44A6F">
            <w:pPr>
              <w:jc w:val="both"/>
              <w:rPr>
                <w:sz w:val="20"/>
              </w:rPr>
            </w:pPr>
            <w:r w:rsidRPr="009B556E">
              <w:rPr>
                <w:sz w:val="20"/>
              </w:rPr>
              <w:t xml:space="preserve">Court of Appeal for British Columbia </w:t>
            </w:r>
          </w:p>
          <w:p w:rsidR="00D85CC4" w:rsidRPr="009B556E" w:rsidRDefault="00D85CC4" w:rsidP="00C44A6F">
            <w:pPr>
              <w:jc w:val="both"/>
              <w:rPr>
                <w:sz w:val="20"/>
              </w:rPr>
            </w:pPr>
            <w:r w:rsidRPr="009B556E">
              <w:rPr>
                <w:sz w:val="20"/>
              </w:rPr>
              <w:t>(Vancouver)</w:t>
            </w:r>
          </w:p>
          <w:p w:rsidR="00D85CC4" w:rsidRPr="009B556E" w:rsidRDefault="00D85CC4" w:rsidP="00C44A6F">
            <w:pPr>
              <w:jc w:val="both"/>
              <w:rPr>
                <w:sz w:val="20"/>
              </w:rPr>
            </w:pPr>
            <w:r w:rsidRPr="009B556E">
              <w:rPr>
                <w:sz w:val="20"/>
              </w:rPr>
              <w:t>(Lowry, Tysoe and Harris JJ.A.)</w:t>
            </w:r>
          </w:p>
          <w:p w:rsidR="00D85CC4" w:rsidRPr="009B556E" w:rsidRDefault="00D82946" w:rsidP="00C44A6F">
            <w:pPr>
              <w:jc w:val="both"/>
              <w:rPr>
                <w:sz w:val="20"/>
              </w:rPr>
            </w:pPr>
            <w:hyperlink r:id="rId29" w:history="1">
              <w:r w:rsidR="00D85CC4" w:rsidRPr="009B556E">
                <w:rPr>
                  <w:color w:val="0000FF" w:themeColor="hyperlink"/>
                  <w:sz w:val="20"/>
                  <w:u w:val="single"/>
                </w:rPr>
                <w:t>2014 BCCA 466</w:t>
              </w:r>
            </w:hyperlink>
          </w:p>
          <w:p w:rsidR="00D85CC4" w:rsidRPr="009B556E" w:rsidRDefault="00D85CC4" w:rsidP="00C44A6F">
            <w:pPr>
              <w:jc w:val="both"/>
              <w:rPr>
                <w:sz w:val="20"/>
              </w:rPr>
            </w:pPr>
            <w:r w:rsidRPr="009B556E">
              <w:rPr>
                <w:sz w:val="20"/>
              </w:rPr>
              <w:t>File No.: CA41430</w:t>
            </w:r>
          </w:p>
          <w:p w:rsidR="00D85CC4" w:rsidRPr="009B556E" w:rsidRDefault="00D85CC4" w:rsidP="00C44A6F">
            <w:pPr>
              <w:jc w:val="both"/>
              <w:rPr>
                <w:sz w:val="20"/>
              </w:rPr>
            </w:pPr>
          </w:p>
        </w:tc>
        <w:tc>
          <w:tcPr>
            <w:tcW w:w="243" w:type="pct"/>
          </w:tcPr>
          <w:p w:rsidR="00D85CC4" w:rsidRPr="009B556E" w:rsidRDefault="00D85CC4" w:rsidP="00C44A6F">
            <w:pPr>
              <w:jc w:val="both"/>
              <w:rPr>
                <w:sz w:val="20"/>
              </w:rPr>
            </w:pPr>
          </w:p>
        </w:tc>
        <w:tc>
          <w:tcPr>
            <w:tcW w:w="2330" w:type="pct"/>
          </w:tcPr>
          <w:p w:rsidR="00D85CC4" w:rsidRPr="009B556E" w:rsidRDefault="00D85CC4" w:rsidP="00C44A6F">
            <w:pPr>
              <w:jc w:val="both"/>
              <w:rPr>
                <w:sz w:val="20"/>
              </w:rPr>
            </w:pPr>
            <w:r w:rsidRPr="009B556E">
              <w:rPr>
                <w:sz w:val="20"/>
              </w:rPr>
              <w:t>Appeal dismissed.</w:t>
            </w:r>
          </w:p>
          <w:p w:rsidR="00D85CC4" w:rsidRPr="009B556E" w:rsidRDefault="00D85CC4" w:rsidP="00C44A6F">
            <w:pPr>
              <w:jc w:val="both"/>
              <w:rPr>
                <w:sz w:val="20"/>
              </w:rPr>
            </w:pPr>
          </w:p>
        </w:tc>
      </w:tr>
      <w:tr w:rsidR="00D85CC4" w:rsidRPr="009B556E" w:rsidTr="00C44A6F">
        <w:trPr>
          <w:trHeight w:val="80"/>
        </w:trPr>
        <w:tc>
          <w:tcPr>
            <w:tcW w:w="2427" w:type="pct"/>
          </w:tcPr>
          <w:p w:rsidR="00D85CC4" w:rsidRPr="009B556E" w:rsidRDefault="00D85CC4" w:rsidP="00C44A6F">
            <w:pPr>
              <w:jc w:val="both"/>
              <w:rPr>
                <w:sz w:val="20"/>
              </w:rPr>
            </w:pPr>
            <w:r w:rsidRPr="009B556E">
              <w:rPr>
                <w:sz w:val="20"/>
              </w:rPr>
              <w:t>January 19, 2015</w:t>
            </w:r>
          </w:p>
          <w:p w:rsidR="00D85CC4" w:rsidRPr="009B556E" w:rsidRDefault="00D85CC4" w:rsidP="00C44A6F">
            <w:pPr>
              <w:jc w:val="both"/>
              <w:rPr>
                <w:sz w:val="20"/>
              </w:rPr>
            </w:pPr>
            <w:r w:rsidRPr="009B556E">
              <w:rPr>
                <w:sz w:val="20"/>
              </w:rPr>
              <w:t>Supreme Court of Canada</w:t>
            </w:r>
          </w:p>
        </w:tc>
        <w:tc>
          <w:tcPr>
            <w:tcW w:w="243" w:type="pct"/>
          </w:tcPr>
          <w:p w:rsidR="00D85CC4" w:rsidRPr="009B556E" w:rsidRDefault="00D85CC4" w:rsidP="00C44A6F">
            <w:pPr>
              <w:jc w:val="both"/>
              <w:rPr>
                <w:sz w:val="20"/>
              </w:rPr>
            </w:pPr>
          </w:p>
        </w:tc>
        <w:tc>
          <w:tcPr>
            <w:tcW w:w="2330" w:type="pct"/>
          </w:tcPr>
          <w:p w:rsidR="00D85CC4" w:rsidRPr="009B556E" w:rsidRDefault="00D85CC4" w:rsidP="00C44A6F">
            <w:pPr>
              <w:jc w:val="both"/>
              <w:rPr>
                <w:sz w:val="20"/>
              </w:rPr>
            </w:pPr>
            <w:r w:rsidRPr="009B556E">
              <w:rPr>
                <w:sz w:val="20"/>
              </w:rPr>
              <w:t>Application for leave to appeal filed</w:t>
            </w:r>
          </w:p>
          <w:p w:rsidR="00D85CC4" w:rsidRPr="009B556E" w:rsidRDefault="00D85CC4" w:rsidP="00C44A6F">
            <w:pPr>
              <w:jc w:val="both"/>
              <w:rPr>
                <w:sz w:val="20"/>
              </w:rPr>
            </w:pPr>
          </w:p>
        </w:tc>
      </w:tr>
    </w:tbl>
    <w:p w:rsidR="00D85CC4" w:rsidRDefault="00D85CC4" w:rsidP="0089171C">
      <w:pPr>
        <w:rPr>
          <w:sz w:val="20"/>
          <w:szCs w:val="20"/>
        </w:rPr>
      </w:pPr>
    </w:p>
    <w:p w:rsidR="0089171C" w:rsidRPr="00C50A5C" w:rsidRDefault="00D82946" w:rsidP="0089171C">
      <w:pPr>
        <w:rPr>
          <w:sz w:val="20"/>
          <w:szCs w:val="20"/>
        </w:rPr>
      </w:pPr>
      <w:r>
        <w:rPr>
          <w:sz w:val="20"/>
          <w:szCs w:val="20"/>
          <w:lang w:val="fr-CA"/>
        </w:rPr>
        <w:pict>
          <v:rect id="_x0000_i1038" style="width:2in;height:1pt" o:hrpct="0" o:hralign="center" o:hrstd="t" o:hrnoshade="t" o:hr="t" fillcolor="black [3213]" stroked="f"/>
        </w:pict>
      </w:r>
    </w:p>
    <w:p w:rsidR="0089171C" w:rsidRDefault="0089171C" w:rsidP="0089171C">
      <w:pPr>
        <w:rPr>
          <w:sz w:val="20"/>
          <w:szCs w:val="20"/>
        </w:rPr>
      </w:pPr>
    </w:p>
    <w:p w:rsidR="0089171C" w:rsidRPr="001B157C" w:rsidRDefault="0089171C" w:rsidP="0089171C">
      <w:pPr>
        <w:rPr>
          <w:sz w:val="20"/>
          <w:szCs w:val="20"/>
          <w:u w:val="single"/>
          <w:lang w:val="fr-CA"/>
        </w:rPr>
      </w:pPr>
      <w:r w:rsidRPr="001B157C">
        <w:rPr>
          <w:sz w:val="20"/>
          <w:szCs w:val="20"/>
          <w:u w:val="single"/>
          <w:lang w:val="fr-CA"/>
        </w:rPr>
        <w:t>RÉSUMÉ DE L’AFFAIRE</w:t>
      </w:r>
    </w:p>
    <w:p w:rsidR="0089171C" w:rsidRDefault="0089171C" w:rsidP="0089171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85CC4" w:rsidRPr="0009493C" w:rsidTr="00C44A6F">
        <w:tc>
          <w:tcPr>
            <w:tcW w:w="5000" w:type="pct"/>
            <w:gridSpan w:val="3"/>
          </w:tcPr>
          <w:p w:rsidR="00D85CC4" w:rsidRPr="009B556E" w:rsidRDefault="00D85CC4" w:rsidP="00C44A6F">
            <w:pPr>
              <w:jc w:val="both"/>
              <w:rPr>
                <w:sz w:val="20"/>
                <w:lang w:val="fr-CA"/>
              </w:rPr>
            </w:pPr>
            <w:r w:rsidRPr="009B556E">
              <w:rPr>
                <w:sz w:val="20"/>
                <w:lang w:val="fr-CA"/>
              </w:rPr>
              <w:t>Droit administratif — Organismes et tribunaux administratifs — Commission d’examen des professions de la santé — Contrôle judiciaire — Norme de contrôle — Qualité pour agir — La Cour d’appel a rejeté l’appel d’un jugement annulant la décision de la commission d’examen demanderesse qui avait conclu que l’enquête du Collège intimé avait été inadéquate — Quelle  méthode d’analyse faut-il appliquer aux dispositions qui établissent une norme légale de contrôle judiciaire à l’art. 58 de l’</w:t>
            </w:r>
            <w:r w:rsidRPr="009B556E">
              <w:rPr>
                <w:i/>
                <w:sz w:val="20"/>
                <w:lang w:val="fr-CA"/>
              </w:rPr>
              <w:t>Administrative Tribunals Act</w:t>
            </w:r>
            <w:r w:rsidRPr="009B556E">
              <w:rPr>
                <w:sz w:val="20"/>
                <w:lang w:val="fr-CA"/>
              </w:rPr>
              <w:t>, S.B.C. 2004, ch. 45? — Comment convient-il d’appliquer le critère de la décision « manifestement déraisonnable » (« </w:t>
            </w:r>
            <w:r w:rsidRPr="009B556E">
              <w:rPr>
                <w:i/>
                <w:sz w:val="20"/>
                <w:lang w:val="fr-CA"/>
              </w:rPr>
              <w:t>patently unreasonable</w:t>
            </w:r>
            <w:r w:rsidRPr="009B556E">
              <w:rPr>
                <w:sz w:val="20"/>
                <w:lang w:val="fr-CA"/>
              </w:rPr>
              <w:t> ») énoncé aux par. 58(2) et (3) de l’</w:t>
            </w:r>
            <w:r w:rsidRPr="009B556E">
              <w:rPr>
                <w:i/>
                <w:iCs/>
                <w:sz w:val="20"/>
                <w:lang w:val="fr-CA"/>
              </w:rPr>
              <w:t xml:space="preserve">ATA </w:t>
            </w:r>
            <w:r w:rsidRPr="009B556E">
              <w:rPr>
                <w:sz w:val="20"/>
                <w:lang w:val="fr-CA"/>
              </w:rPr>
              <w:t>aux conclusions de la commission d’examen quant au [</w:t>
            </w:r>
            <w:r w:rsidRPr="009B556E">
              <w:rPr>
                <w:smallCaps/>
                <w:sz w:val="20"/>
                <w:lang w:val="fr-CA"/>
              </w:rPr>
              <w:t>traduction</w:t>
            </w:r>
            <w:r w:rsidRPr="009B556E">
              <w:rPr>
                <w:sz w:val="20"/>
                <w:lang w:val="fr-CA"/>
              </w:rPr>
              <w:t xml:space="preserve">] « caractère adéquat d’une enquête » et quant à la réparation qui s’impose lorsqu’il est jugé que l’enquête était inadéquate, et la commission d’examen a-t-elle droit à la déférence en ce qui concerne la norme de contrôle qu’elle applique dans son appréciation du caractère adéquat de l’enquête du Collège? — La commission d’examen avait-elle la qualité pour interjeter appel de l’ordonnance rendue par le juge en son cabinet au motif que ce dernier aurait mal appliqué le critère de la décision manifestement déraisonnable? — </w:t>
            </w:r>
            <w:r w:rsidRPr="009B556E">
              <w:rPr>
                <w:i/>
                <w:sz w:val="20"/>
                <w:lang w:val="fr-CA"/>
              </w:rPr>
              <w:t>Health Professions Act</w:t>
            </w:r>
            <w:r w:rsidRPr="009B556E">
              <w:rPr>
                <w:sz w:val="20"/>
                <w:lang w:val="fr-CA"/>
              </w:rPr>
              <w:t>, R.S.B.C. 1996, ch. 183.</w:t>
            </w:r>
          </w:p>
        </w:tc>
      </w:tr>
      <w:tr w:rsidR="00D85CC4" w:rsidRPr="0009493C" w:rsidTr="00C44A6F">
        <w:tc>
          <w:tcPr>
            <w:tcW w:w="5000" w:type="pct"/>
            <w:gridSpan w:val="3"/>
          </w:tcPr>
          <w:p w:rsidR="00D85CC4" w:rsidRPr="009B556E" w:rsidRDefault="00D85CC4" w:rsidP="00C44A6F">
            <w:pPr>
              <w:jc w:val="both"/>
              <w:rPr>
                <w:sz w:val="20"/>
                <w:lang w:val="fr-CA"/>
              </w:rPr>
            </w:pPr>
          </w:p>
        </w:tc>
      </w:tr>
      <w:tr w:rsidR="00D85CC4" w:rsidRPr="009B556E" w:rsidTr="00C44A6F">
        <w:tc>
          <w:tcPr>
            <w:tcW w:w="5000" w:type="pct"/>
            <w:gridSpan w:val="3"/>
          </w:tcPr>
          <w:p w:rsidR="00D85CC4" w:rsidRPr="009B556E" w:rsidRDefault="00D85CC4" w:rsidP="00C44A6F">
            <w:pPr>
              <w:jc w:val="both"/>
              <w:rPr>
                <w:sz w:val="20"/>
                <w:lang w:val="fr-CA"/>
              </w:rPr>
            </w:pPr>
            <w:r w:rsidRPr="009B556E">
              <w:rPr>
                <w:sz w:val="20"/>
                <w:lang w:val="fr-CA"/>
              </w:rPr>
              <w:t>Un patient a porté plainte au College of Physicians and Surgeons of British Columbia, intimé, contre le médecin intimé, Alan Moore.  Le Collège a informé le patient qu’après avoir examiné la plainte, le Collège n’avait aucun reproche particulier à faire au docteur Moore.</w:t>
            </w:r>
          </w:p>
          <w:p w:rsidR="00D85CC4" w:rsidRPr="009B556E" w:rsidRDefault="00D85CC4" w:rsidP="00C44A6F">
            <w:pPr>
              <w:jc w:val="both"/>
              <w:rPr>
                <w:sz w:val="20"/>
                <w:lang w:val="fr-CA"/>
              </w:rPr>
            </w:pPr>
          </w:p>
          <w:p w:rsidR="00D85CC4" w:rsidRPr="009B556E" w:rsidRDefault="00D85CC4" w:rsidP="00C44A6F">
            <w:pPr>
              <w:jc w:val="both"/>
              <w:rPr>
                <w:sz w:val="20"/>
                <w:lang w:val="fr-CA"/>
              </w:rPr>
            </w:pPr>
            <w:r w:rsidRPr="009B556E">
              <w:rPr>
                <w:sz w:val="20"/>
                <w:lang w:val="fr-CA"/>
              </w:rPr>
              <w:t xml:space="preserve">Le patient a demandé à la commission d’examen des professions de la santé d’examiner la décision du Collège.  La commission d’examen a conclu que la décision du Collège avait été inadéquate et elle a renvoyé la plainte au Collège pour qu’il l’examine de nouveau. </w:t>
            </w:r>
          </w:p>
          <w:p w:rsidR="00D85CC4" w:rsidRPr="009B556E" w:rsidRDefault="00D85CC4" w:rsidP="00C44A6F">
            <w:pPr>
              <w:jc w:val="both"/>
              <w:rPr>
                <w:sz w:val="20"/>
                <w:lang w:val="fr-CA"/>
              </w:rPr>
            </w:pPr>
          </w:p>
          <w:p w:rsidR="00D85CC4" w:rsidRPr="009B556E" w:rsidRDefault="00D85CC4" w:rsidP="00C44A6F">
            <w:pPr>
              <w:jc w:val="both"/>
              <w:rPr>
                <w:sz w:val="20"/>
                <w:lang w:val="fr-CA"/>
              </w:rPr>
            </w:pPr>
            <w:r w:rsidRPr="009B556E">
              <w:rPr>
                <w:sz w:val="20"/>
                <w:lang w:val="fr-CA"/>
              </w:rPr>
              <w:t>À l’issue d’un contrôle judiciaire, la Cour suprême de la Colombie-Britannique a annulé la décision de la commission d’examen et a rétabli la décision du registraire.  La Cour d’appel a rejeté l’appel.</w:t>
            </w:r>
          </w:p>
          <w:p w:rsidR="00D85CC4" w:rsidRPr="009B556E" w:rsidRDefault="00D85CC4" w:rsidP="00C44A6F">
            <w:pPr>
              <w:jc w:val="both"/>
              <w:rPr>
                <w:sz w:val="20"/>
                <w:lang w:val="fr-CA"/>
              </w:rPr>
            </w:pPr>
          </w:p>
        </w:tc>
      </w:tr>
      <w:tr w:rsidR="00D85CC4" w:rsidRPr="0009493C" w:rsidTr="00C44A6F">
        <w:tc>
          <w:tcPr>
            <w:tcW w:w="2427" w:type="pct"/>
          </w:tcPr>
          <w:p w:rsidR="00D85CC4" w:rsidRPr="009B556E" w:rsidRDefault="00D85CC4" w:rsidP="00C44A6F">
            <w:pPr>
              <w:jc w:val="both"/>
              <w:rPr>
                <w:sz w:val="20"/>
              </w:rPr>
            </w:pPr>
            <w:r w:rsidRPr="009B556E">
              <w:rPr>
                <w:sz w:val="20"/>
              </w:rPr>
              <w:lastRenderedPageBreak/>
              <w:t>20 octobre 2011</w:t>
            </w:r>
          </w:p>
          <w:p w:rsidR="00D85CC4" w:rsidRPr="009B556E" w:rsidRDefault="00D85CC4" w:rsidP="00C44A6F">
            <w:pPr>
              <w:jc w:val="both"/>
              <w:rPr>
                <w:sz w:val="20"/>
              </w:rPr>
            </w:pPr>
            <w:r w:rsidRPr="009B556E">
              <w:rPr>
                <w:sz w:val="20"/>
              </w:rPr>
              <w:t>Health Professions Review Board</w:t>
            </w:r>
          </w:p>
          <w:p w:rsidR="00D85CC4" w:rsidRPr="009B556E" w:rsidRDefault="00D85CC4" w:rsidP="00C44A6F">
            <w:pPr>
              <w:jc w:val="both"/>
              <w:rPr>
                <w:sz w:val="20"/>
              </w:rPr>
            </w:pPr>
            <w:r w:rsidRPr="009B556E">
              <w:rPr>
                <w:sz w:val="20"/>
              </w:rPr>
              <w:t>Décision n</w:t>
            </w:r>
            <w:r w:rsidRPr="009B556E">
              <w:rPr>
                <w:sz w:val="20"/>
                <w:vertAlign w:val="superscript"/>
              </w:rPr>
              <w:t>o</w:t>
            </w:r>
            <w:r w:rsidRPr="009B556E">
              <w:rPr>
                <w:sz w:val="20"/>
              </w:rPr>
              <w:t xml:space="preserve"> 2010-HPA-0108(b)</w:t>
            </w:r>
          </w:p>
          <w:p w:rsidR="00D85CC4" w:rsidRPr="009B556E" w:rsidRDefault="00D85CC4" w:rsidP="00C44A6F">
            <w:pPr>
              <w:jc w:val="both"/>
              <w:rPr>
                <w:sz w:val="20"/>
                <w:lang w:val="fr-CA"/>
              </w:rPr>
            </w:pPr>
            <w:r w:rsidRPr="009B556E">
              <w:rPr>
                <w:sz w:val="20"/>
                <w:lang w:val="fr-CA"/>
              </w:rPr>
              <w:t>(M. Clark)</w:t>
            </w:r>
          </w:p>
          <w:p w:rsidR="00D85CC4" w:rsidRPr="009B556E" w:rsidRDefault="00D85CC4" w:rsidP="00C44A6F">
            <w:pPr>
              <w:jc w:val="both"/>
              <w:rPr>
                <w:sz w:val="20"/>
                <w:lang w:val="fr-CA"/>
              </w:rPr>
            </w:pPr>
          </w:p>
        </w:tc>
        <w:tc>
          <w:tcPr>
            <w:tcW w:w="243" w:type="pct"/>
          </w:tcPr>
          <w:p w:rsidR="00D85CC4" w:rsidRPr="009B556E" w:rsidRDefault="00D85CC4" w:rsidP="00C44A6F">
            <w:pPr>
              <w:jc w:val="both"/>
              <w:rPr>
                <w:sz w:val="20"/>
                <w:lang w:val="fr-CA"/>
              </w:rPr>
            </w:pPr>
          </w:p>
        </w:tc>
        <w:tc>
          <w:tcPr>
            <w:tcW w:w="2330" w:type="pct"/>
          </w:tcPr>
          <w:p w:rsidR="00D85CC4" w:rsidRPr="009B556E" w:rsidRDefault="00D85CC4" w:rsidP="00C44A6F">
            <w:pPr>
              <w:jc w:val="both"/>
              <w:rPr>
                <w:sz w:val="20"/>
                <w:lang w:val="fr-CA"/>
              </w:rPr>
            </w:pPr>
            <w:r w:rsidRPr="009B556E">
              <w:rPr>
                <w:sz w:val="20"/>
                <w:lang w:val="fr-CA"/>
              </w:rPr>
              <w:t>Conclusion selon laquelle l’enquête avait été inadéquate et renvoi de la décision au College of Physicians and Surgeons of British Columbia pour qu’il réexamine la plainte conformément aux directives fournies.</w:t>
            </w:r>
          </w:p>
          <w:p w:rsidR="00D85CC4" w:rsidRPr="009B556E" w:rsidRDefault="00D85CC4" w:rsidP="00C44A6F">
            <w:pPr>
              <w:jc w:val="both"/>
              <w:rPr>
                <w:sz w:val="20"/>
                <w:lang w:val="fr-CA"/>
              </w:rPr>
            </w:pPr>
          </w:p>
        </w:tc>
      </w:tr>
      <w:tr w:rsidR="00D85CC4" w:rsidRPr="0009493C" w:rsidTr="00C44A6F">
        <w:tc>
          <w:tcPr>
            <w:tcW w:w="2427" w:type="pct"/>
          </w:tcPr>
          <w:p w:rsidR="00D85CC4" w:rsidRPr="009B556E" w:rsidRDefault="00D85CC4" w:rsidP="00C44A6F">
            <w:pPr>
              <w:jc w:val="both"/>
              <w:rPr>
                <w:sz w:val="20"/>
                <w:lang w:val="fr-CA"/>
              </w:rPr>
            </w:pPr>
            <w:r w:rsidRPr="009B556E">
              <w:rPr>
                <w:sz w:val="20"/>
                <w:lang w:val="fr-CA"/>
              </w:rPr>
              <w:t>18 novembre 2013</w:t>
            </w:r>
          </w:p>
          <w:p w:rsidR="00D85CC4" w:rsidRPr="009B556E" w:rsidRDefault="00D85CC4" w:rsidP="00C44A6F">
            <w:pPr>
              <w:jc w:val="both"/>
              <w:rPr>
                <w:sz w:val="20"/>
                <w:lang w:val="fr-CA"/>
              </w:rPr>
            </w:pPr>
            <w:r w:rsidRPr="009B556E">
              <w:rPr>
                <w:sz w:val="20"/>
                <w:lang w:val="fr-CA"/>
              </w:rPr>
              <w:t>Cour suprême de la Colombie-Britannique</w:t>
            </w:r>
          </w:p>
          <w:p w:rsidR="00D85CC4" w:rsidRPr="009B556E" w:rsidRDefault="00D85CC4" w:rsidP="00C44A6F">
            <w:pPr>
              <w:jc w:val="both"/>
              <w:rPr>
                <w:sz w:val="20"/>
                <w:lang w:val="fr-CA"/>
              </w:rPr>
            </w:pPr>
            <w:r w:rsidRPr="009B556E">
              <w:rPr>
                <w:sz w:val="20"/>
                <w:lang w:val="fr-CA"/>
              </w:rPr>
              <w:t>(Juge Bracken)</w:t>
            </w:r>
          </w:p>
          <w:p w:rsidR="00D85CC4" w:rsidRPr="009B556E" w:rsidRDefault="00D82946" w:rsidP="00C44A6F">
            <w:pPr>
              <w:jc w:val="both"/>
              <w:rPr>
                <w:sz w:val="20"/>
                <w:lang w:val="fr-CA"/>
              </w:rPr>
            </w:pPr>
            <w:hyperlink r:id="rId30" w:history="1">
              <w:r w:rsidR="00D85CC4" w:rsidRPr="009B556E">
                <w:rPr>
                  <w:color w:val="0000FF" w:themeColor="hyperlink"/>
                  <w:sz w:val="20"/>
                  <w:u w:val="single"/>
                  <w:lang w:val="fr-CA"/>
                </w:rPr>
                <w:t>2013 BCSC 2081</w:t>
              </w:r>
            </w:hyperlink>
          </w:p>
          <w:p w:rsidR="00D85CC4" w:rsidRPr="009B556E" w:rsidRDefault="00D85CC4" w:rsidP="00C44A6F">
            <w:pPr>
              <w:jc w:val="both"/>
              <w:rPr>
                <w:sz w:val="20"/>
                <w:lang w:val="fr-CA"/>
              </w:rPr>
            </w:pPr>
          </w:p>
        </w:tc>
        <w:tc>
          <w:tcPr>
            <w:tcW w:w="243" w:type="pct"/>
          </w:tcPr>
          <w:p w:rsidR="00D85CC4" w:rsidRPr="009B556E" w:rsidRDefault="00D85CC4" w:rsidP="00C44A6F">
            <w:pPr>
              <w:jc w:val="both"/>
              <w:rPr>
                <w:sz w:val="20"/>
                <w:lang w:val="fr-CA"/>
              </w:rPr>
            </w:pPr>
          </w:p>
        </w:tc>
        <w:tc>
          <w:tcPr>
            <w:tcW w:w="2330" w:type="pct"/>
          </w:tcPr>
          <w:p w:rsidR="00D85CC4" w:rsidRPr="009B556E" w:rsidRDefault="00D85CC4" w:rsidP="00C44A6F">
            <w:pPr>
              <w:jc w:val="both"/>
              <w:rPr>
                <w:sz w:val="20"/>
                <w:lang w:val="fr-CA"/>
              </w:rPr>
            </w:pPr>
            <w:r w:rsidRPr="009B556E">
              <w:rPr>
                <w:sz w:val="20"/>
                <w:lang w:val="fr-CA"/>
              </w:rPr>
              <w:t>Jugement accueillant la demande de contrôle judiciaire; annulation de la décision de la commission d’examen et rétablissement de la décision du registraire.</w:t>
            </w:r>
          </w:p>
          <w:p w:rsidR="00D85CC4" w:rsidRPr="009B556E" w:rsidRDefault="00D85CC4" w:rsidP="00C44A6F">
            <w:pPr>
              <w:jc w:val="both"/>
              <w:rPr>
                <w:sz w:val="20"/>
                <w:lang w:val="fr-CA"/>
              </w:rPr>
            </w:pPr>
          </w:p>
        </w:tc>
      </w:tr>
      <w:tr w:rsidR="00D85CC4" w:rsidRPr="009B556E" w:rsidTr="00C44A6F">
        <w:tc>
          <w:tcPr>
            <w:tcW w:w="2427" w:type="pct"/>
          </w:tcPr>
          <w:p w:rsidR="00D85CC4" w:rsidRPr="009B556E" w:rsidRDefault="00D85CC4" w:rsidP="00C44A6F">
            <w:pPr>
              <w:jc w:val="both"/>
              <w:rPr>
                <w:sz w:val="20"/>
                <w:lang w:val="fr-CA"/>
              </w:rPr>
            </w:pPr>
            <w:r w:rsidRPr="009B556E">
              <w:rPr>
                <w:sz w:val="20"/>
                <w:lang w:val="fr-CA"/>
              </w:rPr>
              <w:t>21 novembre 2014</w:t>
            </w:r>
          </w:p>
          <w:p w:rsidR="00D85CC4" w:rsidRPr="009B556E" w:rsidRDefault="00D85CC4" w:rsidP="00C44A6F">
            <w:pPr>
              <w:jc w:val="both"/>
              <w:rPr>
                <w:sz w:val="20"/>
                <w:lang w:val="fr-CA"/>
              </w:rPr>
            </w:pPr>
            <w:r w:rsidRPr="009B556E">
              <w:rPr>
                <w:sz w:val="20"/>
                <w:lang w:val="fr-CA"/>
              </w:rPr>
              <w:t>Cour d’appel de la Colombie-Britannique</w:t>
            </w:r>
          </w:p>
          <w:p w:rsidR="00D85CC4" w:rsidRPr="009B556E" w:rsidRDefault="00D85CC4" w:rsidP="00C44A6F">
            <w:pPr>
              <w:jc w:val="both"/>
              <w:rPr>
                <w:sz w:val="20"/>
                <w:lang w:val="fr-CA"/>
              </w:rPr>
            </w:pPr>
            <w:r w:rsidRPr="009B556E">
              <w:rPr>
                <w:sz w:val="20"/>
                <w:lang w:val="fr-CA"/>
              </w:rPr>
              <w:t>(Vancouver)</w:t>
            </w:r>
          </w:p>
          <w:p w:rsidR="00D85CC4" w:rsidRPr="009B556E" w:rsidRDefault="00D85CC4" w:rsidP="00C44A6F">
            <w:pPr>
              <w:jc w:val="both"/>
              <w:rPr>
                <w:sz w:val="20"/>
                <w:lang w:val="fr-CA"/>
              </w:rPr>
            </w:pPr>
            <w:r w:rsidRPr="009B556E">
              <w:rPr>
                <w:sz w:val="20"/>
                <w:lang w:val="fr-CA"/>
              </w:rPr>
              <w:t>(Juges Lowry, Tysoe et Harris)</w:t>
            </w:r>
          </w:p>
          <w:p w:rsidR="00D85CC4" w:rsidRPr="009B556E" w:rsidRDefault="00D82946" w:rsidP="00C44A6F">
            <w:pPr>
              <w:jc w:val="both"/>
              <w:rPr>
                <w:sz w:val="20"/>
                <w:lang w:val="fr-CA"/>
              </w:rPr>
            </w:pPr>
            <w:hyperlink r:id="rId31" w:history="1">
              <w:r w:rsidR="00D85CC4" w:rsidRPr="009B556E">
                <w:rPr>
                  <w:color w:val="0000FF" w:themeColor="hyperlink"/>
                  <w:sz w:val="20"/>
                  <w:u w:val="single"/>
                  <w:lang w:val="fr-CA"/>
                </w:rPr>
                <w:t>2014 BCCA 466</w:t>
              </w:r>
            </w:hyperlink>
          </w:p>
          <w:p w:rsidR="00D85CC4" w:rsidRPr="009B556E" w:rsidRDefault="00D85CC4" w:rsidP="00C44A6F">
            <w:pPr>
              <w:jc w:val="both"/>
              <w:rPr>
                <w:sz w:val="20"/>
                <w:lang w:val="fr-CA"/>
              </w:rPr>
            </w:pPr>
            <w:r w:rsidRPr="009B556E">
              <w:rPr>
                <w:sz w:val="20"/>
                <w:lang w:val="fr-CA"/>
              </w:rPr>
              <w:t>N</w:t>
            </w:r>
            <w:r w:rsidRPr="009B556E">
              <w:rPr>
                <w:sz w:val="20"/>
                <w:vertAlign w:val="superscript"/>
                <w:lang w:val="fr-CA"/>
              </w:rPr>
              <w:t>o</w:t>
            </w:r>
            <w:r w:rsidRPr="009B556E">
              <w:rPr>
                <w:sz w:val="20"/>
                <w:lang w:val="fr-CA"/>
              </w:rPr>
              <w:t xml:space="preserve"> du greffe CA41430</w:t>
            </w:r>
          </w:p>
          <w:p w:rsidR="00D85CC4" w:rsidRPr="009B556E" w:rsidRDefault="00D85CC4" w:rsidP="00C44A6F">
            <w:pPr>
              <w:jc w:val="both"/>
              <w:rPr>
                <w:sz w:val="20"/>
                <w:lang w:val="fr-CA"/>
              </w:rPr>
            </w:pPr>
          </w:p>
        </w:tc>
        <w:tc>
          <w:tcPr>
            <w:tcW w:w="243" w:type="pct"/>
          </w:tcPr>
          <w:p w:rsidR="00D85CC4" w:rsidRPr="009B556E" w:rsidRDefault="00D85CC4" w:rsidP="00C44A6F">
            <w:pPr>
              <w:jc w:val="both"/>
              <w:rPr>
                <w:sz w:val="20"/>
                <w:lang w:val="fr-CA"/>
              </w:rPr>
            </w:pPr>
          </w:p>
        </w:tc>
        <w:tc>
          <w:tcPr>
            <w:tcW w:w="2330" w:type="pct"/>
          </w:tcPr>
          <w:p w:rsidR="00D85CC4" w:rsidRPr="009B556E" w:rsidRDefault="00D85CC4" w:rsidP="00C44A6F">
            <w:pPr>
              <w:jc w:val="both"/>
              <w:rPr>
                <w:sz w:val="20"/>
                <w:lang w:val="fr-CA"/>
              </w:rPr>
            </w:pPr>
            <w:r w:rsidRPr="009B556E">
              <w:rPr>
                <w:sz w:val="20"/>
                <w:lang w:val="fr-CA"/>
              </w:rPr>
              <w:t>Rejet de l’appel.</w:t>
            </w:r>
          </w:p>
          <w:p w:rsidR="00D85CC4" w:rsidRPr="009B556E" w:rsidRDefault="00D85CC4" w:rsidP="00C44A6F">
            <w:pPr>
              <w:jc w:val="both"/>
              <w:rPr>
                <w:sz w:val="20"/>
                <w:lang w:val="fr-CA"/>
              </w:rPr>
            </w:pPr>
          </w:p>
        </w:tc>
      </w:tr>
      <w:tr w:rsidR="00D85CC4" w:rsidRPr="0009493C" w:rsidTr="00C44A6F">
        <w:trPr>
          <w:trHeight w:val="80"/>
        </w:trPr>
        <w:tc>
          <w:tcPr>
            <w:tcW w:w="2427" w:type="pct"/>
          </w:tcPr>
          <w:p w:rsidR="00D85CC4" w:rsidRPr="009B556E" w:rsidRDefault="00D85CC4" w:rsidP="00C44A6F">
            <w:pPr>
              <w:jc w:val="both"/>
              <w:rPr>
                <w:sz w:val="20"/>
                <w:lang w:val="fr-CA"/>
              </w:rPr>
            </w:pPr>
            <w:r w:rsidRPr="009B556E">
              <w:rPr>
                <w:sz w:val="20"/>
                <w:lang w:val="fr-CA"/>
              </w:rPr>
              <w:t>19 janvier 2015</w:t>
            </w:r>
          </w:p>
          <w:p w:rsidR="00D85CC4" w:rsidRPr="009B556E" w:rsidRDefault="00D85CC4" w:rsidP="00C44A6F">
            <w:pPr>
              <w:jc w:val="both"/>
              <w:rPr>
                <w:sz w:val="20"/>
                <w:lang w:val="fr-CA"/>
              </w:rPr>
            </w:pPr>
            <w:r w:rsidRPr="009B556E">
              <w:rPr>
                <w:sz w:val="20"/>
                <w:lang w:val="fr-CA"/>
              </w:rPr>
              <w:t>Cour suprême du Canada</w:t>
            </w:r>
          </w:p>
        </w:tc>
        <w:tc>
          <w:tcPr>
            <w:tcW w:w="243" w:type="pct"/>
          </w:tcPr>
          <w:p w:rsidR="00D85CC4" w:rsidRPr="009B556E" w:rsidRDefault="00D85CC4" w:rsidP="00C44A6F">
            <w:pPr>
              <w:jc w:val="both"/>
              <w:rPr>
                <w:sz w:val="20"/>
                <w:lang w:val="fr-CA"/>
              </w:rPr>
            </w:pPr>
          </w:p>
        </w:tc>
        <w:tc>
          <w:tcPr>
            <w:tcW w:w="2330" w:type="pct"/>
          </w:tcPr>
          <w:p w:rsidR="00D85CC4" w:rsidRPr="009B556E" w:rsidRDefault="00D85CC4" w:rsidP="00C44A6F">
            <w:pPr>
              <w:jc w:val="both"/>
              <w:rPr>
                <w:sz w:val="20"/>
                <w:lang w:val="fr-CA"/>
              </w:rPr>
            </w:pPr>
            <w:r w:rsidRPr="009B556E">
              <w:rPr>
                <w:sz w:val="20"/>
                <w:lang w:val="fr-CA"/>
              </w:rPr>
              <w:t>Dépôt de la demande d’autorisation d’appel</w:t>
            </w:r>
          </w:p>
          <w:p w:rsidR="00D85CC4" w:rsidRPr="009B556E" w:rsidRDefault="00D85CC4" w:rsidP="00C44A6F">
            <w:pPr>
              <w:jc w:val="both"/>
              <w:rPr>
                <w:sz w:val="20"/>
                <w:lang w:val="fr-CA"/>
              </w:rPr>
            </w:pPr>
          </w:p>
        </w:tc>
      </w:tr>
    </w:tbl>
    <w:p w:rsidR="0089171C" w:rsidRPr="00D85CC4" w:rsidRDefault="0089171C" w:rsidP="0089171C">
      <w:pPr>
        <w:rPr>
          <w:sz w:val="20"/>
          <w:szCs w:val="20"/>
          <w:lang w:val="fr-CA"/>
        </w:rPr>
      </w:pPr>
    </w:p>
    <w:p w:rsidR="0089171C" w:rsidRDefault="00D82946" w:rsidP="0089171C">
      <w:pPr>
        <w:rPr>
          <w:sz w:val="20"/>
          <w:szCs w:val="20"/>
        </w:rPr>
      </w:pPr>
      <w:r>
        <w:rPr>
          <w:sz w:val="20"/>
          <w:szCs w:val="20"/>
          <w:lang w:val="fr-CA"/>
        </w:rPr>
        <w:pict>
          <v:rect id="_x0000_i1039" style="width:2in;height:1pt" o:hrpct="0" o:hralign="center" o:hrstd="t" o:hrnoshade="t" o:hr="t" fillcolor="black [3213]" stroked="f"/>
        </w:pict>
      </w:r>
    </w:p>
    <w:p w:rsidR="0089171C" w:rsidRDefault="0089171C" w:rsidP="0089171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A42C0" w:rsidRPr="0009493C" w:rsidTr="00DF0FFF">
        <w:trPr>
          <w:cantSplit/>
        </w:trPr>
        <w:tc>
          <w:tcPr>
            <w:tcW w:w="1458" w:type="dxa"/>
          </w:tcPr>
          <w:p w:rsidR="00AA42C0" w:rsidRPr="00EA7925" w:rsidRDefault="00AA42C0" w:rsidP="00DF0FFF">
            <w:pPr>
              <w:rPr>
                <w:sz w:val="20"/>
                <w:szCs w:val="20"/>
              </w:rPr>
            </w:pPr>
            <w:r w:rsidRPr="00EA7925">
              <w:rPr>
                <w:rStyle w:val="SCCFileNumberChar"/>
                <w:sz w:val="20"/>
                <w:szCs w:val="20"/>
              </w:rPr>
              <w:t>36295</w:t>
            </w:r>
          </w:p>
          <w:p w:rsidR="00AA42C0" w:rsidRPr="00EA7925" w:rsidRDefault="00AA42C0" w:rsidP="00DF0FFF">
            <w:pPr>
              <w:rPr>
                <w:b/>
                <w:sz w:val="20"/>
                <w:szCs w:val="20"/>
                <w:lang w:val="fr-CA"/>
              </w:rPr>
            </w:pPr>
          </w:p>
        </w:tc>
        <w:tc>
          <w:tcPr>
            <w:tcW w:w="8118" w:type="dxa"/>
          </w:tcPr>
          <w:p w:rsidR="00AA42C0" w:rsidRPr="00EA7925" w:rsidRDefault="00AA42C0" w:rsidP="00DF0FFF">
            <w:pPr>
              <w:jc w:val="both"/>
              <w:rPr>
                <w:sz w:val="20"/>
                <w:szCs w:val="20"/>
                <w:lang w:val="fr-CA"/>
              </w:rPr>
            </w:pPr>
            <w:r w:rsidRPr="00EA7925">
              <w:rPr>
                <w:rStyle w:val="SCCLsocChar"/>
                <w:sz w:val="20"/>
                <w:szCs w:val="20"/>
              </w:rPr>
              <w:t>François Deraspe c. Zinc électrolytique du Canada corporation ltée, Xstrata limited (anciennement Xstrata PLC), Glencore Canada corporation (anciennement Xstrata Canada corporation)</w:t>
            </w:r>
            <w:r w:rsidR="00501C52">
              <w:rPr>
                <w:rStyle w:val="SCCLsocChar"/>
                <w:sz w:val="20"/>
                <w:szCs w:val="20"/>
              </w:rPr>
              <w:t xml:space="preserve"> et</w:t>
            </w:r>
            <w:r w:rsidRPr="00EA7925">
              <w:rPr>
                <w:rStyle w:val="SCCLsocChar"/>
                <w:sz w:val="20"/>
                <w:szCs w:val="20"/>
              </w:rPr>
              <w:t xml:space="preserve"> Conseil des fiduciaires de la fiducie d</w:t>
            </w:r>
            <w:r w:rsidR="00501C52">
              <w:rPr>
                <w:rStyle w:val="SCCLsocChar"/>
                <w:sz w:val="20"/>
                <w:szCs w:val="20"/>
              </w:rPr>
              <w:t>’</w:t>
            </w:r>
            <w:r w:rsidRPr="00EA7925">
              <w:rPr>
                <w:rStyle w:val="SCCLsocChar"/>
                <w:sz w:val="20"/>
                <w:szCs w:val="20"/>
              </w:rPr>
              <w:t>exploitation Noranda agissant pour la fiducie du revenu fonds de revenu Noranda</w:t>
            </w:r>
            <w:r w:rsidRPr="00EA7925">
              <w:rPr>
                <w:sz w:val="20"/>
                <w:szCs w:val="20"/>
                <w:lang w:val="fr-CA"/>
              </w:rPr>
              <w:t xml:space="preserve"> (Qc) (Civile) (Autorisation)</w:t>
            </w:r>
          </w:p>
          <w:p w:rsidR="00AA42C0" w:rsidRPr="00EA7925" w:rsidRDefault="00AA42C0" w:rsidP="00DF0FFF">
            <w:pPr>
              <w:jc w:val="both"/>
              <w:rPr>
                <w:sz w:val="20"/>
                <w:szCs w:val="20"/>
                <w:lang w:val="fr-CA"/>
              </w:rPr>
            </w:pPr>
          </w:p>
        </w:tc>
      </w:tr>
      <w:tr w:rsidR="00AA42C0" w:rsidRPr="0009493C" w:rsidTr="00DF0FFF">
        <w:trPr>
          <w:cantSplit/>
        </w:trPr>
        <w:tc>
          <w:tcPr>
            <w:tcW w:w="1458" w:type="dxa"/>
          </w:tcPr>
          <w:p w:rsidR="00AA42C0" w:rsidRPr="00EA7925" w:rsidRDefault="00AA42C0" w:rsidP="00DF0FFF">
            <w:pPr>
              <w:rPr>
                <w:sz w:val="20"/>
                <w:szCs w:val="20"/>
              </w:rPr>
            </w:pPr>
            <w:r w:rsidRPr="00EA7925">
              <w:rPr>
                <w:sz w:val="20"/>
                <w:szCs w:val="20"/>
              </w:rPr>
              <w:t>Coram :</w:t>
            </w:r>
          </w:p>
        </w:tc>
        <w:tc>
          <w:tcPr>
            <w:tcW w:w="8118" w:type="dxa"/>
          </w:tcPr>
          <w:p w:rsidR="00AA42C0" w:rsidRPr="00EA7925" w:rsidRDefault="00AA42C0" w:rsidP="00DF0FFF">
            <w:pPr>
              <w:rPr>
                <w:sz w:val="20"/>
                <w:szCs w:val="20"/>
                <w:lang w:val="fr-CA"/>
              </w:rPr>
            </w:pPr>
            <w:r w:rsidRPr="00EA7925">
              <w:rPr>
                <w:rStyle w:val="SCCCoramChar"/>
                <w:sz w:val="20"/>
                <w:szCs w:val="20"/>
              </w:rPr>
              <w:t>Les juges Abella, Karakatsanis et Wagner</w:t>
            </w:r>
          </w:p>
          <w:p w:rsidR="00AA42C0" w:rsidRPr="00EA7925" w:rsidRDefault="00AA42C0" w:rsidP="00DF0FFF">
            <w:pPr>
              <w:rPr>
                <w:sz w:val="20"/>
                <w:szCs w:val="20"/>
                <w:u w:val="single"/>
                <w:lang w:val="fr-CA"/>
              </w:rPr>
            </w:pPr>
          </w:p>
        </w:tc>
      </w:tr>
      <w:tr w:rsidR="00AA42C0" w:rsidRPr="00EA7925" w:rsidTr="00DF0FFF">
        <w:trPr>
          <w:cantSplit/>
        </w:trPr>
        <w:tc>
          <w:tcPr>
            <w:tcW w:w="9576" w:type="dxa"/>
            <w:gridSpan w:val="2"/>
          </w:tcPr>
          <w:p w:rsidR="00AA42C0" w:rsidRPr="00EA7925" w:rsidRDefault="00AA42C0" w:rsidP="00DF0FFF">
            <w:pPr>
              <w:pStyle w:val="SCCShortJudgment"/>
              <w:rPr>
                <w:szCs w:val="20"/>
                <w:lang w:val="fr-CA"/>
              </w:rPr>
            </w:pPr>
            <w:r w:rsidRPr="00EA7925">
              <w:rPr>
                <w:szCs w:val="20"/>
                <w:lang w:val="fr-CA"/>
              </w:rPr>
              <w:t>Les six requêtes sont rejetées, incluant la requête pour permission de déposer un avis assermenté du demandeur en dénonciation d’une fraude commise à l’égard de l’administration de la justice canadienne. La demande d’autorisation d’appel de l’arrêt de la Cour d’appel du Québec (Montréal), numéro 500-09-024382-145, 2014 QCCA 2266, daté du 8 décembre 2014, est rejetée avec dépens.</w:t>
            </w:r>
          </w:p>
          <w:p w:rsidR="00AA42C0" w:rsidRPr="00EA7925" w:rsidRDefault="00AA42C0" w:rsidP="00DF0FFF">
            <w:pPr>
              <w:pStyle w:val="SCCShortJudgment"/>
              <w:ind w:firstLine="0"/>
              <w:rPr>
                <w:szCs w:val="20"/>
                <w:lang w:val="fr-CA"/>
              </w:rPr>
            </w:pPr>
          </w:p>
          <w:p w:rsidR="00AA42C0" w:rsidRPr="00EA7925" w:rsidRDefault="00AA42C0" w:rsidP="00DF0FFF">
            <w:pPr>
              <w:pStyle w:val="SCCShortJudgment"/>
              <w:rPr>
                <w:szCs w:val="20"/>
              </w:rPr>
            </w:pPr>
            <w:r w:rsidRPr="00EA7925">
              <w:rPr>
                <w:szCs w:val="20"/>
              </w:rPr>
              <w:t>The six motions are dismissed, including the motion for permission to file a sworn notice by the applicant denouncing a fraud on the administration of justice in Canada. The application for leave to appeal from the judgment of the Court of Appeal of Quebec (Montréal), Number 500-09-024382-145, 2014 QCCA 2266, dated December 8, 2014, is dismissed with costs.</w:t>
            </w:r>
          </w:p>
        </w:tc>
      </w:tr>
    </w:tbl>
    <w:p w:rsidR="0089171C" w:rsidRDefault="0089171C" w:rsidP="0089171C">
      <w:pPr>
        <w:rPr>
          <w:sz w:val="20"/>
          <w:szCs w:val="20"/>
        </w:rPr>
      </w:pPr>
    </w:p>
    <w:p w:rsidR="0089171C" w:rsidRPr="001B157C" w:rsidRDefault="0089171C" w:rsidP="0089171C">
      <w:pPr>
        <w:rPr>
          <w:sz w:val="20"/>
          <w:szCs w:val="20"/>
          <w:u w:val="single"/>
        </w:rPr>
      </w:pPr>
      <w:r w:rsidRPr="001B157C">
        <w:rPr>
          <w:sz w:val="20"/>
          <w:szCs w:val="20"/>
          <w:u w:val="single"/>
        </w:rPr>
        <w:t>CASE SUMMARY</w:t>
      </w:r>
    </w:p>
    <w:p w:rsidR="0089171C" w:rsidRDefault="0089171C" w:rsidP="0089171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091"/>
        <w:gridCol w:w="514"/>
        <w:gridCol w:w="4922"/>
      </w:tblGrid>
      <w:tr w:rsidR="00D85CC4" w:rsidRPr="009B556E" w:rsidTr="00C44A6F">
        <w:tc>
          <w:tcPr>
            <w:tcW w:w="5000" w:type="pct"/>
            <w:gridSpan w:val="3"/>
          </w:tcPr>
          <w:p w:rsidR="00D85CC4" w:rsidRPr="009B556E" w:rsidRDefault="00D85CC4" w:rsidP="00C44A6F">
            <w:pPr>
              <w:jc w:val="both"/>
              <w:rPr>
                <w:sz w:val="20"/>
              </w:rPr>
            </w:pPr>
            <w:r w:rsidRPr="009B556E">
              <w:rPr>
                <w:sz w:val="20"/>
              </w:rPr>
              <w:t>Civil procedure — Class actions — Case management — Applicant instituting class action against company for releasing sulphur trioxide into air in 2004 — Applicant trying to join parent companies to his action for fear that company alone could not guarantee execution of any judgment obtained — Trial judge finding that first company had sole [</w:t>
            </w:r>
            <w:r w:rsidRPr="009B556E">
              <w:rPr>
                <w:smallCaps/>
                <w:sz w:val="20"/>
              </w:rPr>
              <w:t>translation</w:t>
            </w:r>
            <w:r w:rsidRPr="009B556E">
              <w:rPr>
                <w:sz w:val="20"/>
              </w:rPr>
              <w:t>] “custody” of refinery in 2004 and was its sole operator — Court of Appeal dismissing appeal and condemning [</w:t>
            </w:r>
            <w:r w:rsidRPr="009B556E">
              <w:rPr>
                <w:smallCaps/>
                <w:sz w:val="20"/>
              </w:rPr>
              <w:t>translation</w:t>
            </w:r>
            <w:r w:rsidRPr="009B556E">
              <w:rPr>
                <w:sz w:val="20"/>
              </w:rPr>
              <w:t xml:space="preserve">] “improper and outrageous” language used in pleadings filed by counsel for applicant — Whether Court of Appeal can assume powers of syndic of Barreau du Québec to sanction counsel directly — Whether conduct of Court of Appeal undermined public confidence in justice system — Whether there was miscarriage of justice for members of class action — </w:t>
            </w:r>
            <w:r w:rsidRPr="009B556E">
              <w:rPr>
                <w:i/>
                <w:sz w:val="20"/>
              </w:rPr>
              <w:t>Code of Civil Procedure</w:t>
            </w:r>
            <w:r w:rsidRPr="009B556E">
              <w:rPr>
                <w:sz w:val="20"/>
              </w:rPr>
              <w:t>, R.S.Q. c. C</w:t>
            </w:r>
            <w:r w:rsidRPr="009B556E">
              <w:rPr>
                <w:sz w:val="20"/>
              </w:rPr>
              <w:noBreakHyphen/>
              <w:t>25, art. 1003.</w:t>
            </w:r>
          </w:p>
        </w:tc>
      </w:tr>
      <w:tr w:rsidR="00D85CC4" w:rsidRPr="009B556E" w:rsidTr="00C44A6F">
        <w:tc>
          <w:tcPr>
            <w:tcW w:w="5000" w:type="pct"/>
            <w:gridSpan w:val="3"/>
          </w:tcPr>
          <w:p w:rsidR="00D85CC4" w:rsidRPr="009B556E" w:rsidRDefault="00D85CC4" w:rsidP="00C44A6F">
            <w:pPr>
              <w:jc w:val="both"/>
              <w:rPr>
                <w:sz w:val="20"/>
              </w:rPr>
            </w:pPr>
          </w:p>
        </w:tc>
      </w:tr>
      <w:tr w:rsidR="00D85CC4" w:rsidRPr="009B556E" w:rsidTr="00C44A6F">
        <w:tc>
          <w:tcPr>
            <w:tcW w:w="5000" w:type="pct"/>
            <w:gridSpan w:val="3"/>
          </w:tcPr>
          <w:p w:rsidR="00D85CC4" w:rsidRPr="009B556E" w:rsidRDefault="00D85CC4" w:rsidP="00C44A6F">
            <w:pPr>
              <w:jc w:val="both"/>
              <w:rPr>
                <w:sz w:val="20"/>
              </w:rPr>
            </w:pPr>
            <w:r w:rsidRPr="009B556E">
              <w:rPr>
                <w:sz w:val="20"/>
              </w:rPr>
              <w:t>The applicant Mr. Deraspe instituted a class action against the respondent Canadian Electrolytic Zinc Ltd. (CEZL), which operated a zinc refinery in Quebec.  He blamed it for the release of sulphur trioxide into the air in April 2004.  Fearing that CEZL alone could not guarantee execution of any judgment obtained, Mr. Deraspe tried to join the parent companies (Xstrata and Glencore) to his action, alleging that they and their predecessors had operated the refinery through CEZL and used its juridical personality to dissemble fraud or contravention of a rule of public order.  The trial judge found that CEZL had had sole [</w:t>
            </w:r>
            <w:r w:rsidRPr="009B556E">
              <w:rPr>
                <w:smallCaps/>
                <w:sz w:val="20"/>
              </w:rPr>
              <w:t>translation</w:t>
            </w:r>
            <w:r w:rsidRPr="009B556E">
              <w:rPr>
                <w:sz w:val="20"/>
              </w:rPr>
              <w:t>] “custody” of the refinery in August 2004 and had been its sole operator.  Moreover, Xstrata and Glencore could not be held liable for CEZL’s obligations solely because CEZL was one of their subsidiaries.  The Court of Appeal dismissed the appeal and condemned the [</w:t>
            </w:r>
            <w:r w:rsidRPr="009B556E">
              <w:rPr>
                <w:smallCaps/>
                <w:sz w:val="20"/>
              </w:rPr>
              <w:t>translation</w:t>
            </w:r>
            <w:r w:rsidRPr="009B556E">
              <w:rPr>
                <w:sz w:val="20"/>
              </w:rPr>
              <w:t>] “improper and outrageous” language used in the pleadings filed by counsel for Mr. Deraspe.</w:t>
            </w:r>
          </w:p>
          <w:p w:rsidR="00D85CC4" w:rsidRPr="009B556E" w:rsidRDefault="00D85CC4" w:rsidP="00C44A6F">
            <w:pPr>
              <w:jc w:val="both"/>
              <w:rPr>
                <w:sz w:val="20"/>
              </w:rPr>
            </w:pPr>
          </w:p>
        </w:tc>
      </w:tr>
      <w:tr w:rsidR="00D85CC4" w:rsidRPr="009B556E" w:rsidTr="00C44A6F">
        <w:tblPrEx>
          <w:tblCellMar>
            <w:bottom w:w="0" w:type="dxa"/>
          </w:tblCellMar>
        </w:tblPrEx>
        <w:tc>
          <w:tcPr>
            <w:tcW w:w="2147" w:type="pct"/>
          </w:tcPr>
          <w:p w:rsidR="00D85CC4" w:rsidRPr="009B556E" w:rsidRDefault="00D85CC4" w:rsidP="00C44A6F">
            <w:pPr>
              <w:jc w:val="both"/>
              <w:rPr>
                <w:sz w:val="20"/>
              </w:rPr>
            </w:pPr>
            <w:r w:rsidRPr="009B556E">
              <w:rPr>
                <w:sz w:val="20"/>
              </w:rPr>
              <w:t>March 28, 2014</w:t>
            </w:r>
          </w:p>
          <w:p w:rsidR="00D85CC4" w:rsidRPr="009B556E" w:rsidRDefault="00D85CC4" w:rsidP="00C44A6F">
            <w:pPr>
              <w:jc w:val="both"/>
              <w:rPr>
                <w:sz w:val="20"/>
              </w:rPr>
            </w:pPr>
            <w:r w:rsidRPr="009B556E">
              <w:rPr>
                <w:sz w:val="20"/>
              </w:rPr>
              <w:t>Quebec Superior Court</w:t>
            </w:r>
          </w:p>
          <w:p w:rsidR="00D85CC4" w:rsidRPr="009B556E" w:rsidRDefault="00D85CC4" w:rsidP="00C44A6F">
            <w:pPr>
              <w:jc w:val="both"/>
              <w:rPr>
                <w:sz w:val="20"/>
              </w:rPr>
            </w:pPr>
            <w:r w:rsidRPr="009B556E">
              <w:rPr>
                <w:sz w:val="20"/>
              </w:rPr>
              <w:t>(Petras J.)</w:t>
            </w:r>
          </w:p>
          <w:p w:rsidR="00D85CC4" w:rsidRPr="009B556E" w:rsidRDefault="00D85CC4" w:rsidP="00C44A6F">
            <w:pPr>
              <w:jc w:val="both"/>
              <w:rPr>
                <w:sz w:val="20"/>
              </w:rPr>
            </w:pPr>
          </w:p>
        </w:tc>
        <w:tc>
          <w:tcPr>
            <w:tcW w:w="270" w:type="pct"/>
          </w:tcPr>
          <w:p w:rsidR="00D85CC4" w:rsidRPr="009B556E" w:rsidRDefault="00D85CC4" w:rsidP="00C44A6F">
            <w:pPr>
              <w:jc w:val="both"/>
              <w:rPr>
                <w:sz w:val="20"/>
              </w:rPr>
            </w:pPr>
          </w:p>
        </w:tc>
        <w:tc>
          <w:tcPr>
            <w:tcW w:w="2583" w:type="pct"/>
          </w:tcPr>
          <w:p w:rsidR="00D85CC4" w:rsidRPr="009B556E" w:rsidRDefault="00D85CC4" w:rsidP="00C44A6F">
            <w:pPr>
              <w:jc w:val="both"/>
              <w:rPr>
                <w:sz w:val="20"/>
              </w:rPr>
            </w:pPr>
            <w:r w:rsidRPr="009B556E">
              <w:rPr>
                <w:sz w:val="20"/>
              </w:rPr>
              <w:t>Motion to amend motion to institute proceedings, to change description of defendant or add Xstrata Limited and Glencore Canada Corporation as solidary defendants and to obtain safeguard order providing for filing of bank letter of credit to guarantee execution of any favourable judgment dismissed.</w:t>
            </w:r>
          </w:p>
          <w:p w:rsidR="00D85CC4" w:rsidRPr="009B556E" w:rsidRDefault="00D85CC4" w:rsidP="00C44A6F">
            <w:pPr>
              <w:jc w:val="both"/>
              <w:rPr>
                <w:sz w:val="20"/>
              </w:rPr>
            </w:pPr>
          </w:p>
        </w:tc>
      </w:tr>
      <w:tr w:rsidR="00D85CC4" w:rsidRPr="009B556E" w:rsidTr="00C44A6F">
        <w:tblPrEx>
          <w:tblCellMar>
            <w:bottom w:w="0" w:type="dxa"/>
          </w:tblCellMar>
        </w:tblPrEx>
        <w:tc>
          <w:tcPr>
            <w:tcW w:w="2147" w:type="pct"/>
          </w:tcPr>
          <w:p w:rsidR="00D85CC4" w:rsidRPr="009B556E" w:rsidRDefault="00D85CC4" w:rsidP="00C44A6F">
            <w:pPr>
              <w:jc w:val="both"/>
              <w:rPr>
                <w:sz w:val="20"/>
              </w:rPr>
            </w:pPr>
            <w:r w:rsidRPr="009B556E">
              <w:rPr>
                <w:sz w:val="20"/>
              </w:rPr>
              <w:t>December 8, 2014</w:t>
            </w:r>
          </w:p>
          <w:p w:rsidR="00D85CC4" w:rsidRPr="009B556E" w:rsidRDefault="00D85CC4" w:rsidP="00C44A6F">
            <w:pPr>
              <w:jc w:val="both"/>
              <w:rPr>
                <w:sz w:val="20"/>
              </w:rPr>
            </w:pPr>
            <w:r w:rsidRPr="009B556E">
              <w:rPr>
                <w:sz w:val="20"/>
              </w:rPr>
              <w:t>Quebec Court of Appeal (Montréal)</w:t>
            </w:r>
          </w:p>
          <w:p w:rsidR="00D85CC4" w:rsidRPr="009B556E" w:rsidRDefault="00D85CC4" w:rsidP="00C44A6F">
            <w:pPr>
              <w:jc w:val="both"/>
              <w:rPr>
                <w:sz w:val="20"/>
              </w:rPr>
            </w:pPr>
            <w:r w:rsidRPr="009B556E">
              <w:rPr>
                <w:sz w:val="20"/>
              </w:rPr>
              <w:t>(Dutil, Bélanger and Gagnon JJ.A.)</w:t>
            </w:r>
          </w:p>
          <w:p w:rsidR="00D85CC4" w:rsidRPr="009B556E" w:rsidRDefault="00D82946" w:rsidP="00C44A6F">
            <w:pPr>
              <w:jc w:val="both"/>
              <w:rPr>
                <w:sz w:val="20"/>
              </w:rPr>
            </w:pPr>
            <w:hyperlink r:id="rId32" w:history="1">
              <w:r w:rsidR="00D85CC4" w:rsidRPr="009B556E">
                <w:rPr>
                  <w:color w:val="0000FF"/>
                  <w:sz w:val="20"/>
                  <w:u w:val="single"/>
                </w:rPr>
                <w:t>2014 QCCA 2266</w:t>
              </w:r>
            </w:hyperlink>
          </w:p>
          <w:p w:rsidR="00D85CC4" w:rsidRPr="009B556E" w:rsidRDefault="00D85CC4" w:rsidP="00C44A6F">
            <w:pPr>
              <w:jc w:val="both"/>
              <w:rPr>
                <w:sz w:val="20"/>
              </w:rPr>
            </w:pPr>
          </w:p>
        </w:tc>
        <w:tc>
          <w:tcPr>
            <w:tcW w:w="270" w:type="pct"/>
          </w:tcPr>
          <w:p w:rsidR="00D85CC4" w:rsidRPr="009B556E" w:rsidRDefault="00D85CC4" w:rsidP="00C44A6F">
            <w:pPr>
              <w:jc w:val="both"/>
              <w:rPr>
                <w:sz w:val="20"/>
              </w:rPr>
            </w:pPr>
          </w:p>
        </w:tc>
        <w:tc>
          <w:tcPr>
            <w:tcW w:w="2583" w:type="pct"/>
          </w:tcPr>
          <w:p w:rsidR="00D85CC4" w:rsidRPr="009B556E" w:rsidRDefault="00D85CC4" w:rsidP="00C44A6F">
            <w:pPr>
              <w:jc w:val="both"/>
              <w:rPr>
                <w:sz w:val="20"/>
              </w:rPr>
            </w:pPr>
            <w:r w:rsidRPr="009B556E">
              <w:rPr>
                <w:sz w:val="20"/>
              </w:rPr>
              <w:t>Amended motion for leave to adduce new evidence dismissed and appeal dismissed.</w:t>
            </w:r>
          </w:p>
          <w:p w:rsidR="00D85CC4" w:rsidRPr="009B556E" w:rsidRDefault="00D85CC4" w:rsidP="00C44A6F">
            <w:pPr>
              <w:jc w:val="both"/>
              <w:rPr>
                <w:sz w:val="20"/>
              </w:rPr>
            </w:pPr>
          </w:p>
        </w:tc>
      </w:tr>
      <w:tr w:rsidR="00D85CC4" w:rsidRPr="009B556E" w:rsidTr="00C44A6F">
        <w:tblPrEx>
          <w:tblCellMar>
            <w:bottom w:w="0" w:type="dxa"/>
          </w:tblCellMar>
        </w:tblPrEx>
        <w:tc>
          <w:tcPr>
            <w:tcW w:w="2147" w:type="pct"/>
          </w:tcPr>
          <w:p w:rsidR="00D85CC4" w:rsidRPr="009B556E" w:rsidRDefault="00D85CC4" w:rsidP="00C44A6F">
            <w:pPr>
              <w:jc w:val="both"/>
              <w:rPr>
                <w:sz w:val="20"/>
              </w:rPr>
            </w:pPr>
            <w:r w:rsidRPr="009B556E">
              <w:rPr>
                <w:sz w:val="20"/>
              </w:rPr>
              <w:t>February 6, 2015</w:t>
            </w:r>
          </w:p>
          <w:p w:rsidR="00D85CC4" w:rsidRPr="009B556E" w:rsidRDefault="00D85CC4" w:rsidP="00C44A6F">
            <w:pPr>
              <w:jc w:val="both"/>
              <w:rPr>
                <w:sz w:val="20"/>
              </w:rPr>
            </w:pPr>
            <w:r w:rsidRPr="009B556E">
              <w:rPr>
                <w:sz w:val="20"/>
              </w:rPr>
              <w:t>Supreme Court of Canada</w:t>
            </w:r>
          </w:p>
          <w:p w:rsidR="00D85CC4" w:rsidRPr="009B556E" w:rsidRDefault="00D85CC4" w:rsidP="00C44A6F">
            <w:pPr>
              <w:jc w:val="both"/>
              <w:rPr>
                <w:sz w:val="20"/>
              </w:rPr>
            </w:pPr>
          </w:p>
        </w:tc>
        <w:tc>
          <w:tcPr>
            <w:tcW w:w="270" w:type="pct"/>
          </w:tcPr>
          <w:p w:rsidR="00D85CC4" w:rsidRPr="009B556E" w:rsidRDefault="00D85CC4" w:rsidP="00C44A6F">
            <w:pPr>
              <w:jc w:val="both"/>
              <w:rPr>
                <w:sz w:val="20"/>
              </w:rPr>
            </w:pPr>
          </w:p>
        </w:tc>
        <w:tc>
          <w:tcPr>
            <w:tcW w:w="2583" w:type="pct"/>
          </w:tcPr>
          <w:p w:rsidR="00D85CC4" w:rsidRPr="009B556E" w:rsidRDefault="00D85CC4" w:rsidP="00C44A6F">
            <w:pPr>
              <w:jc w:val="both"/>
              <w:rPr>
                <w:sz w:val="20"/>
              </w:rPr>
            </w:pPr>
            <w:r w:rsidRPr="009B556E">
              <w:rPr>
                <w:sz w:val="20"/>
              </w:rPr>
              <w:t>Application for leave to appeal filed.</w:t>
            </w:r>
          </w:p>
          <w:p w:rsidR="00D85CC4" w:rsidRPr="009B556E" w:rsidRDefault="00D85CC4" w:rsidP="00C44A6F">
            <w:pPr>
              <w:jc w:val="both"/>
              <w:rPr>
                <w:sz w:val="20"/>
              </w:rPr>
            </w:pPr>
          </w:p>
        </w:tc>
      </w:tr>
      <w:tr w:rsidR="00D85CC4" w:rsidRPr="009B556E" w:rsidTr="00C44A6F">
        <w:tblPrEx>
          <w:tblCellMar>
            <w:bottom w:w="0" w:type="dxa"/>
          </w:tblCellMar>
        </w:tblPrEx>
        <w:tc>
          <w:tcPr>
            <w:tcW w:w="2147" w:type="pct"/>
          </w:tcPr>
          <w:p w:rsidR="00D85CC4" w:rsidRPr="009B556E" w:rsidRDefault="00D85CC4" w:rsidP="00C44A6F">
            <w:pPr>
              <w:jc w:val="both"/>
              <w:rPr>
                <w:sz w:val="20"/>
              </w:rPr>
            </w:pPr>
            <w:r w:rsidRPr="009B556E">
              <w:rPr>
                <w:sz w:val="20"/>
              </w:rPr>
              <w:t>March 2, 2015</w:t>
            </w:r>
          </w:p>
          <w:p w:rsidR="00D85CC4" w:rsidRPr="009B556E" w:rsidRDefault="00D85CC4" w:rsidP="00C44A6F">
            <w:pPr>
              <w:jc w:val="both"/>
              <w:rPr>
                <w:sz w:val="20"/>
              </w:rPr>
            </w:pPr>
            <w:r w:rsidRPr="009B556E">
              <w:rPr>
                <w:sz w:val="20"/>
              </w:rPr>
              <w:t>Supreme Court of Canada</w:t>
            </w:r>
          </w:p>
          <w:p w:rsidR="00D85CC4" w:rsidRPr="009B556E" w:rsidRDefault="00D85CC4" w:rsidP="00C44A6F">
            <w:pPr>
              <w:jc w:val="both"/>
              <w:rPr>
                <w:sz w:val="20"/>
              </w:rPr>
            </w:pPr>
          </w:p>
        </w:tc>
        <w:tc>
          <w:tcPr>
            <w:tcW w:w="270" w:type="pct"/>
          </w:tcPr>
          <w:p w:rsidR="00D85CC4" w:rsidRPr="009B556E" w:rsidRDefault="00D85CC4" w:rsidP="00C44A6F">
            <w:pPr>
              <w:jc w:val="both"/>
              <w:rPr>
                <w:sz w:val="20"/>
              </w:rPr>
            </w:pPr>
          </w:p>
        </w:tc>
        <w:tc>
          <w:tcPr>
            <w:tcW w:w="2583" w:type="pct"/>
          </w:tcPr>
          <w:p w:rsidR="00D85CC4" w:rsidRPr="009B556E" w:rsidRDefault="00D85CC4" w:rsidP="00C44A6F">
            <w:pPr>
              <w:jc w:val="both"/>
              <w:rPr>
                <w:sz w:val="20"/>
              </w:rPr>
            </w:pPr>
            <w:r w:rsidRPr="009B556E">
              <w:rPr>
                <w:sz w:val="20"/>
              </w:rPr>
              <w:t>Motions to strike allegations in respondents’ reply and to add AIG Insurance Company of Canada filed.</w:t>
            </w:r>
          </w:p>
          <w:p w:rsidR="00D85CC4" w:rsidRPr="009B556E" w:rsidRDefault="00D85CC4" w:rsidP="00C44A6F">
            <w:pPr>
              <w:jc w:val="both"/>
              <w:rPr>
                <w:sz w:val="20"/>
              </w:rPr>
            </w:pPr>
          </w:p>
        </w:tc>
      </w:tr>
      <w:tr w:rsidR="00D85CC4" w:rsidRPr="009B556E" w:rsidTr="00C44A6F">
        <w:tblPrEx>
          <w:tblCellMar>
            <w:bottom w:w="0" w:type="dxa"/>
          </w:tblCellMar>
        </w:tblPrEx>
        <w:tc>
          <w:tcPr>
            <w:tcW w:w="2147" w:type="pct"/>
          </w:tcPr>
          <w:p w:rsidR="00D85CC4" w:rsidRPr="009B556E" w:rsidRDefault="00D85CC4" w:rsidP="00C44A6F">
            <w:pPr>
              <w:jc w:val="both"/>
              <w:rPr>
                <w:sz w:val="20"/>
              </w:rPr>
            </w:pPr>
            <w:r w:rsidRPr="009B556E">
              <w:rPr>
                <w:sz w:val="20"/>
              </w:rPr>
              <w:t>March 11, 2015</w:t>
            </w:r>
          </w:p>
          <w:p w:rsidR="00D85CC4" w:rsidRPr="009B556E" w:rsidRDefault="00D85CC4" w:rsidP="00C44A6F">
            <w:pPr>
              <w:jc w:val="both"/>
              <w:rPr>
                <w:sz w:val="20"/>
              </w:rPr>
            </w:pPr>
            <w:r w:rsidRPr="009B556E">
              <w:rPr>
                <w:sz w:val="20"/>
              </w:rPr>
              <w:t>Supreme Court of Canada</w:t>
            </w:r>
          </w:p>
          <w:p w:rsidR="00D85CC4" w:rsidRPr="009B556E" w:rsidRDefault="00D85CC4" w:rsidP="00C44A6F">
            <w:pPr>
              <w:jc w:val="both"/>
              <w:rPr>
                <w:sz w:val="20"/>
              </w:rPr>
            </w:pPr>
          </w:p>
        </w:tc>
        <w:tc>
          <w:tcPr>
            <w:tcW w:w="270" w:type="pct"/>
          </w:tcPr>
          <w:p w:rsidR="00D85CC4" w:rsidRPr="009B556E" w:rsidRDefault="00D85CC4" w:rsidP="00C44A6F">
            <w:pPr>
              <w:jc w:val="both"/>
              <w:rPr>
                <w:sz w:val="20"/>
              </w:rPr>
            </w:pPr>
          </w:p>
        </w:tc>
        <w:tc>
          <w:tcPr>
            <w:tcW w:w="2583" w:type="pct"/>
          </w:tcPr>
          <w:p w:rsidR="00D85CC4" w:rsidRPr="009B556E" w:rsidRDefault="00D85CC4" w:rsidP="00C44A6F">
            <w:pPr>
              <w:jc w:val="both"/>
              <w:rPr>
                <w:sz w:val="20"/>
              </w:rPr>
            </w:pPr>
            <w:r w:rsidRPr="009B556E">
              <w:rPr>
                <w:sz w:val="20"/>
              </w:rPr>
              <w:t>Motion to declare Glencore PLC to be entity resulting from amalgamation of Glencore International PLC and Xstrata PLC filed.</w:t>
            </w:r>
          </w:p>
          <w:p w:rsidR="00D85CC4" w:rsidRPr="009B556E" w:rsidRDefault="00D85CC4" w:rsidP="00C44A6F">
            <w:pPr>
              <w:jc w:val="both"/>
              <w:rPr>
                <w:sz w:val="20"/>
              </w:rPr>
            </w:pPr>
          </w:p>
        </w:tc>
      </w:tr>
      <w:tr w:rsidR="00D85CC4" w:rsidRPr="009B556E" w:rsidTr="00C44A6F">
        <w:tblPrEx>
          <w:tblCellMar>
            <w:bottom w:w="0" w:type="dxa"/>
          </w:tblCellMar>
        </w:tblPrEx>
        <w:tc>
          <w:tcPr>
            <w:tcW w:w="2147" w:type="pct"/>
          </w:tcPr>
          <w:p w:rsidR="00D85CC4" w:rsidRPr="009B556E" w:rsidRDefault="00D85CC4" w:rsidP="00C44A6F">
            <w:pPr>
              <w:jc w:val="both"/>
              <w:rPr>
                <w:sz w:val="20"/>
              </w:rPr>
            </w:pPr>
            <w:r w:rsidRPr="009B556E">
              <w:rPr>
                <w:sz w:val="20"/>
              </w:rPr>
              <w:t>March 16, 2015</w:t>
            </w:r>
          </w:p>
          <w:p w:rsidR="00D85CC4" w:rsidRPr="009B556E" w:rsidRDefault="00D85CC4" w:rsidP="00C44A6F">
            <w:pPr>
              <w:jc w:val="both"/>
              <w:rPr>
                <w:sz w:val="20"/>
              </w:rPr>
            </w:pPr>
            <w:r w:rsidRPr="009B556E">
              <w:rPr>
                <w:sz w:val="20"/>
              </w:rPr>
              <w:t>Supreme Court of Canada</w:t>
            </w:r>
          </w:p>
          <w:p w:rsidR="00D85CC4" w:rsidRPr="009B556E" w:rsidRDefault="00D85CC4" w:rsidP="00C44A6F">
            <w:pPr>
              <w:jc w:val="both"/>
              <w:rPr>
                <w:sz w:val="20"/>
              </w:rPr>
            </w:pPr>
          </w:p>
        </w:tc>
        <w:tc>
          <w:tcPr>
            <w:tcW w:w="270" w:type="pct"/>
          </w:tcPr>
          <w:p w:rsidR="00D85CC4" w:rsidRPr="009B556E" w:rsidRDefault="00D85CC4" w:rsidP="00C44A6F">
            <w:pPr>
              <w:jc w:val="both"/>
              <w:rPr>
                <w:sz w:val="20"/>
              </w:rPr>
            </w:pPr>
          </w:p>
        </w:tc>
        <w:tc>
          <w:tcPr>
            <w:tcW w:w="2583" w:type="pct"/>
          </w:tcPr>
          <w:p w:rsidR="00D85CC4" w:rsidRPr="009B556E" w:rsidRDefault="00D85CC4" w:rsidP="00C44A6F">
            <w:pPr>
              <w:jc w:val="both"/>
              <w:rPr>
                <w:sz w:val="20"/>
              </w:rPr>
            </w:pPr>
            <w:r w:rsidRPr="009B556E">
              <w:rPr>
                <w:sz w:val="20"/>
              </w:rPr>
              <w:t>Motion for substitutional service filed.</w:t>
            </w:r>
          </w:p>
        </w:tc>
      </w:tr>
      <w:tr w:rsidR="00D85CC4" w:rsidRPr="009B556E" w:rsidTr="00C44A6F">
        <w:tblPrEx>
          <w:tblCellMar>
            <w:bottom w:w="0" w:type="dxa"/>
          </w:tblCellMar>
        </w:tblPrEx>
        <w:tc>
          <w:tcPr>
            <w:tcW w:w="2147" w:type="pct"/>
          </w:tcPr>
          <w:p w:rsidR="00D85CC4" w:rsidRPr="009B556E" w:rsidRDefault="00D85CC4" w:rsidP="00C44A6F">
            <w:pPr>
              <w:jc w:val="both"/>
              <w:rPr>
                <w:sz w:val="20"/>
              </w:rPr>
            </w:pPr>
            <w:r w:rsidRPr="009B556E">
              <w:rPr>
                <w:sz w:val="20"/>
              </w:rPr>
              <w:t>April 21, 2015</w:t>
            </w:r>
          </w:p>
          <w:p w:rsidR="00D85CC4" w:rsidRPr="009B556E" w:rsidRDefault="00D85CC4" w:rsidP="00C44A6F">
            <w:pPr>
              <w:jc w:val="both"/>
              <w:rPr>
                <w:sz w:val="20"/>
              </w:rPr>
            </w:pPr>
            <w:r w:rsidRPr="009B556E">
              <w:rPr>
                <w:sz w:val="20"/>
              </w:rPr>
              <w:t>Supreme Court of Canada</w:t>
            </w:r>
          </w:p>
        </w:tc>
        <w:tc>
          <w:tcPr>
            <w:tcW w:w="270" w:type="pct"/>
          </w:tcPr>
          <w:p w:rsidR="00D85CC4" w:rsidRPr="009B556E" w:rsidRDefault="00D85CC4" w:rsidP="00C44A6F">
            <w:pPr>
              <w:jc w:val="both"/>
              <w:rPr>
                <w:sz w:val="20"/>
              </w:rPr>
            </w:pPr>
          </w:p>
        </w:tc>
        <w:tc>
          <w:tcPr>
            <w:tcW w:w="2583" w:type="pct"/>
          </w:tcPr>
          <w:p w:rsidR="00D85CC4" w:rsidRPr="009B556E" w:rsidRDefault="00D85CC4" w:rsidP="00C44A6F">
            <w:pPr>
              <w:jc w:val="both"/>
              <w:rPr>
                <w:sz w:val="20"/>
              </w:rPr>
            </w:pPr>
            <w:r w:rsidRPr="009B556E">
              <w:rPr>
                <w:sz w:val="20"/>
              </w:rPr>
              <w:t>Motion to adduce new evidence filed.</w:t>
            </w:r>
          </w:p>
        </w:tc>
      </w:tr>
    </w:tbl>
    <w:p w:rsidR="0089171C" w:rsidRDefault="0089171C" w:rsidP="0089171C">
      <w:pPr>
        <w:rPr>
          <w:sz w:val="20"/>
          <w:szCs w:val="20"/>
        </w:rPr>
      </w:pPr>
    </w:p>
    <w:p w:rsidR="0089171C" w:rsidRPr="00C50A5C" w:rsidRDefault="00D82946" w:rsidP="0089171C">
      <w:pPr>
        <w:rPr>
          <w:sz w:val="20"/>
          <w:szCs w:val="20"/>
        </w:rPr>
      </w:pPr>
      <w:r>
        <w:rPr>
          <w:sz w:val="20"/>
          <w:szCs w:val="20"/>
          <w:lang w:val="fr-CA"/>
        </w:rPr>
        <w:pict>
          <v:rect id="_x0000_i1040" style="width:2in;height:1pt" o:hrpct="0" o:hralign="center" o:hrstd="t" o:hrnoshade="t" o:hr="t" fillcolor="black [3213]" stroked="f"/>
        </w:pict>
      </w:r>
    </w:p>
    <w:p w:rsidR="0089171C" w:rsidRDefault="0089171C" w:rsidP="0089171C">
      <w:pPr>
        <w:rPr>
          <w:sz w:val="20"/>
          <w:szCs w:val="20"/>
        </w:rPr>
      </w:pPr>
    </w:p>
    <w:p w:rsidR="0089171C" w:rsidRPr="001B157C" w:rsidRDefault="0089171C" w:rsidP="0089171C">
      <w:pPr>
        <w:rPr>
          <w:sz w:val="20"/>
          <w:szCs w:val="20"/>
          <w:u w:val="single"/>
          <w:lang w:val="fr-CA"/>
        </w:rPr>
      </w:pPr>
      <w:r w:rsidRPr="001B157C">
        <w:rPr>
          <w:sz w:val="20"/>
          <w:szCs w:val="20"/>
          <w:u w:val="single"/>
          <w:lang w:val="fr-CA"/>
        </w:rPr>
        <w:t>RÉSUMÉ DE L’AFFAIRE</w:t>
      </w:r>
    </w:p>
    <w:p w:rsidR="0089171C" w:rsidRDefault="0089171C" w:rsidP="0089171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091"/>
        <w:gridCol w:w="514"/>
        <w:gridCol w:w="4922"/>
      </w:tblGrid>
      <w:tr w:rsidR="00D85CC4" w:rsidRPr="009B556E" w:rsidTr="00C44A6F">
        <w:tc>
          <w:tcPr>
            <w:tcW w:w="5000" w:type="pct"/>
            <w:gridSpan w:val="3"/>
          </w:tcPr>
          <w:p w:rsidR="00D85CC4" w:rsidRPr="009B556E" w:rsidRDefault="00D85CC4" w:rsidP="00C44A6F">
            <w:pPr>
              <w:jc w:val="both"/>
              <w:rPr>
                <w:sz w:val="20"/>
                <w:lang w:val="fr-CA"/>
              </w:rPr>
            </w:pPr>
            <w:r w:rsidRPr="009B556E">
              <w:rPr>
                <w:sz w:val="20"/>
                <w:lang w:val="fr-CA"/>
              </w:rPr>
              <w:t xml:space="preserve">Procédure civile — Recours collectifs — Gestion de l’instance — Le demandeur a institué un recours collectif contre une compagnie pour le rejet de trioxyde de souffre dans l’air survenu en 2004 — Craignant que la compagnie ne puisse seule garantir l’exécution d’un éventuel jugement, le demandeur tente de joindre à son recours les compagnies mères — Selon le premier juge, la première compagnie avait seule la « garde » de l’affinerie en 2004 et en était l’unique exploitante — La Cour d’appel rejette l’appel et </w:t>
            </w:r>
            <w:r w:rsidRPr="009B556E">
              <w:rPr>
                <w:sz w:val="20"/>
                <w:lang w:val="fr-FR"/>
              </w:rPr>
              <w:t>condamne le langage « abusif et outrancier » que contenaient les procédures déposées par l’avocate du demandeur — Est-ce que la Cour d’appel peut s’approprier les pouvoirs du syndic du Barreau du Québec pour sanctionner directement un avocat? — Est-ce que la conduite de la Cour d’appel a miné la confiance du public dans le système de justice? — Est-ce qu’il y a eu déni de justice pour les membres du recours collectif? —</w:t>
            </w:r>
            <w:r w:rsidRPr="009B556E">
              <w:rPr>
                <w:sz w:val="20"/>
                <w:lang w:val="fr-CA"/>
              </w:rPr>
              <w:t xml:space="preserve"> </w:t>
            </w:r>
            <w:r w:rsidRPr="009B556E">
              <w:rPr>
                <w:i/>
                <w:sz w:val="20"/>
                <w:lang w:val="fr-CA"/>
              </w:rPr>
              <w:t>Code de procédure civile</w:t>
            </w:r>
            <w:r w:rsidRPr="009B556E">
              <w:rPr>
                <w:sz w:val="20"/>
                <w:lang w:val="fr-CA"/>
              </w:rPr>
              <w:t>, L.R.Q. ch. C-25, art. 1003.</w:t>
            </w:r>
          </w:p>
        </w:tc>
      </w:tr>
      <w:tr w:rsidR="00D85CC4" w:rsidRPr="009B556E" w:rsidTr="00C44A6F">
        <w:tc>
          <w:tcPr>
            <w:tcW w:w="5000" w:type="pct"/>
            <w:gridSpan w:val="3"/>
          </w:tcPr>
          <w:p w:rsidR="00D85CC4" w:rsidRPr="009B556E" w:rsidRDefault="00D85CC4" w:rsidP="00C44A6F">
            <w:pPr>
              <w:jc w:val="both"/>
              <w:rPr>
                <w:sz w:val="20"/>
                <w:lang w:val="fr-CA"/>
              </w:rPr>
            </w:pPr>
          </w:p>
        </w:tc>
      </w:tr>
      <w:tr w:rsidR="00D85CC4" w:rsidRPr="0009493C" w:rsidTr="00C44A6F">
        <w:tc>
          <w:tcPr>
            <w:tcW w:w="5000" w:type="pct"/>
            <w:gridSpan w:val="3"/>
          </w:tcPr>
          <w:p w:rsidR="00D85CC4" w:rsidRPr="009B556E" w:rsidRDefault="00D85CC4" w:rsidP="00C44A6F">
            <w:pPr>
              <w:jc w:val="both"/>
              <w:rPr>
                <w:sz w:val="20"/>
                <w:lang w:val="fr-FR"/>
              </w:rPr>
            </w:pPr>
            <w:r w:rsidRPr="009B556E">
              <w:rPr>
                <w:sz w:val="20"/>
                <w:lang w:val="fr-CA"/>
              </w:rPr>
              <w:lastRenderedPageBreak/>
              <w:t xml:space="preserve">Le demandeur, Monsieur Deraspe, a institué un recours collectif contre l’intimée Zinc électrolytique du Canada Corporation ltée (ZECL), qui opère une affinerie de traitement du zinc au Québec.  Il la tient responsable d’un rejet de trioxyde de souffre dans l’air survenu en avril 2004.  Craignant que ZECL ne puisse seule garantir l’exécution d’un éventuel jugement, Monsieur Deraspe tente de joindre à son recours les compagnies mères (Xstrata et Glencore), invoquant que celles-ci et leurs prédécesseurs auraient exploité l’affinerie sous le couvert de ZECL et utilisé la personnalité juridique de cette dernière pour masquer une fraude ou une contravention à une règle intéressant l’ordre public.  Selon le premier juge, ZECL avait seule la « garde » de l’affinerie en août 2004 et en était l’unique exploitante.  De plus, Xstrata et Glencore ne pouvaient être tenues responsables des obligations de ZECL du seul fait que cette dernière soit une de leurs filiales.  La Cour d’appel rejette l’appel et </w:t>
            </w:r>
            <w:r w:rsidRPr="009B556E">
              <w:rPr>
                <w:sz w:val="20"/>
                <w:lang w:val="fr-FR"/>
              </w:rPr>
              <w:t>condamne le langage « abusif et outrancier » que contenaient les procédures déposées par l’avocate de Monsieur Deraspe.</w:t>
            </w:r>
          </w:p>
          <w:p w:rsidR="00D85CC4" w:rsidRPr="009B556E" w:rsidRDefault="00D85CC4" w:rsidP="00C44A6F">
            <w:pPr>
              <w:jc w:val="both"/>
              <w:rPr>
                <w:sz w:val="20"/>
                <w:lang w:val="fr-CA"/>
              </w:rPr>
            </w:pPr>
          </w:p>
        </w:tc>
      </w:tr>
      <w:tr w:rsidR="00D85CC4" w:rsidRPr="0009493C" w:rsidTr="00C44A6F">
        <w:tblPrEx>
          <w:tblCellMar>
            <w:bottom w:w="0" w:type="dxa"/>
          </w:tblCellMar>
        </w:tblPrEx>
        <w:tc>
          <w:tcPr>
            <w:tcW w:w="2147" w:type="pct"/>
          </w:tcPr>
          <w:p w:rsidR="00D85CC4" w:rsidRPr="009B556E" w:rsidRDefault="00D85CC4" w:rsidP="00C44A6F">
            <w:pPr>
              <w:jc w:val="both"/>
              <w:rPr>
                <w:sz w:val="20"/>
                <w:lang w:val="fr-CA"/>
              </w:rPr>
            </w:pPr>
            <w:r w:rsidRPr="009B556E">
              <w:rPr>
                <w:sz w:val="20"/>
                <w:lang w:val="fr-CA"/>
              </w:rPr>
              <w:t>Le 28 mars 2014</w:t>
            </w:r>
          </w:p>
          <w:p w:rsidR="00D85CC4" w:rsidRPr="009B556E" w:rsidRDefault="00D85CC4" w:rsidP="00C44A6F">
            <w:pPr>
              <w:jc w:val="both"/>
              <w:rPr>
                <w:sz w:val="20"/>
                <w:lang w:val="fr-CA"/>
              </w:rPr>
            </w:pPr>
            <w:r w:rsidRPr="009B556E">
              <w:rPr>
                <w:sz w:val="20"/>
                <w:lang w:val="fr-CA"/>
              </w:rPr>
              <w:t>Cour supérieure du Québec</w:t>
            </w:r>
          </w:p>
          <w:p w:rsidR="00D85CC4" w:rsidRPr="009B556E" w:rsidRDefault="00D85CC4" w:rsidP="00C44A6F">
            <w:pPr>
              <w:jc w:val="both"/>
              <w:rPr>
                <w:sz w:val="20"/>
                <w:lang w:val="fr-CA"/>
              </w:rPr>
            </w:pPr>
            <w:r w:rsidRPr="009B556E">
              <w:rPr>
                <w:sz w:val="20"/>
                <w:lang w:val="fr-CA"/>
              </w:rPr>
              <w:t>(la juge Petras)</w:t>
            </w:r>
          </w:p>
          <w:p w:rsidR="00D85CC4" w:rsidRPr="009B556E" w:rsidRDefault="00D85CC4" w:rsidP="00C44A6F">
            <w:pPr>
              <w:jc w:val="both"/>
              <w:rPr>
                <w:sz w:val="20"/>
                <w:lang w:val="fr-CA"/>
              </w:rPr>
            </w:pPr>
          </w:p>
        </w:tc>
        <w:tc>
          <w:tcPr>
            <w:tcW w:w="270" w:type="pct"/>
          </w:tcPr>
          <w:p w:rsidR="00D85CC4" w:rsidRPr="009B556E" w:rsidRDefault="00D85CC4" w:rsidP="00C44A6F">
            <w:pPr>
              <w:jc w:val="both"/>
              <w:rPr>
                <w:sz w:val="20"/>
                <w:lang w:val="fr-CA"/>
              </w:rPr>
            </w:pPr>
          </w:p>
        </w:tc>
        <w:tc>
          <w:tcPr>
            <w:tcW w:w="2583" w:type="pct"/>
          </w:tcPr>
          <w:p w:rsidR="00D85CC4" w:rsidRPr="009B556E" w:rsidRDefault="00D85CC4" w:rsidP="00C44A6F">
            <w:pPr>
              <w:jc w:val="both"/>
              <w:rPr>
                <w:sz w:val="20"/>
                <w:lang w:val="fr-CA"/>
              </w:rPr>
            </w:pPr>
            <w:r w:rsidRPr="009B556E">
              <w:rPr>
                <w:sz w:val="20"/>
                <w:lang w:val="fr-CA"/>
              </w:rPr>
              <w:t>Requête pour amender la requête introductive d’instance, de modifier la désignation de la défenderesse ou d’ajouter Xstrata Ltd et Glencore Canada Corporation à titre de défenderesses solidaires et pour obtenir une ordonnance de sauvegarde prévoyant le dépôt d’une lettre de crédit bancaire afin de garantir l’exécution d’un éventuel jugement favorable rejetée.</w:t>
            </w:r>
          </w:p>
          <w:p w:rsidR="00D85CC4" w:rsidRPr="009B556E" w:rsidRDefault="00D85CC4" w:rsidP="00C44A6F">
            <w:pPr>
              <w:jc w:val="both"/>
              <w:rPr>
                <w:sz w:val="20"/>
                <w:lang w:val="fr-CA"/>
              </w:rPr>
            </w:pPr>
          </w:p>
        </w:tc>
      </w:tr>
      <w:tr w:rsidR="00D85CC4" w:rsidRPr="009B556E" w:rsidTr="00C44A6F">
        <w:tblPrEx>
          <w:tblCellMar>
            <w:bottom w:w="0" w:type="dxa"/>
          </w:tblCellMar>
        </w:tblPrEx>
        <w:tc>
          <w:tcPr>
            <w:tcW w:w="2147" w:type="pct"/>
          </w:tcPr>
          <w:p w:rsidR="00D85CC4" w:rsidRPr="009B556E" w:rsidRDefault="00D85CC4" w:rsidP="00C44A6F">
            <w:pPr>
              <w:jc w:val="both"/>
              <w:rPr>
                <w:sz w:val="20"/>
                <w:lang w:val="fr-CA"/>
              </w:rPr>
            </w:pPr>
            <w:r w:rsidRPr="009B556E">
              <w:rPr>
                <w:sz w:val="20"/>
                <w:lang w:val="fr-CA"/>
              </w:rPr>
              <w:t>Le 8 décembre 2014</w:t>
            </w:r>
          </w:p>
          <w:p w:rsidR="00D85CC4" w:rsidRPr="009B556E" w:rsidRDefault="00D85CC4" w:rsidP="00C44A6F">
            <w:pPr>
              <w:jc w:val="both"/>
              <w:rPr>
                <w:sz w:val="20"/>
                <w:lang w:val="fr-CA"/>
              </w:rPr>
            </w:pPr>
            <w:r w:rsidRPr="009B556E">
              <w:rPr>
                <w:sz w:val="20"/>
                <w:lang w:val="fr-CA"/>
              </w:rPr>
              <w:t>Cour d’appel du Québec (Montréal)</w:t>
            </w:r>
          </w:p>
          <w:p w:rsidR="00D85CC4" w:rsidRPr="009B556E" w:rsidRDefault="00D85CC4" w:rsidP="00C44A6F">
            <w:pPr>
              <w:jc w:val="both"/>
              <w:rPr>
                <w:sz w:val="20"/>
                <w:lang w:val="fr-CA"/>
              </w:rPr>
            </w:pPr>
            <w:r w:rsidRPr="009B556E">
              <w:rPr>
                <w:sz w:val="20"/>
                <w:lang w:val="fr-CA"/>
              </w:rPr>
              <w:t>(les juges Dutil, Bélanger et Gagnon)</w:t>
            </w:r>
          </w:p>
          <w:p w:rsidR="00D85CC4" w:rsidRPr="009B556E" w:rsidRDefault="00D82946" w:rsidP="00C44A6F">
            <w:pPr>
              <w:jc w:val="both"/>
              <w:rPr>
                <w:sz w:val="20"/>
                <w:lang w:val="fr-CA"/>
              </w:rPr>
            </w:pPr>
            <w:hyperlink r:id="rId33" w:history="1">
              <w:r w:rsidR="00D85CC4" w:rsidRPr="009B556E">
                <w:rPr>
                  <w:color w:val="0000FF"/>
                  <w:sz w:val="20"/>
                  <w:u w:val="single"/>
                  <w:lang w:val="fr-CA"/>
                </w:rPr>
                <w:t>2014 QCCA 2266</w:t>
              </w:r>
            </w:hyperlink>
          </w:p>
          <w:p w:rsidR="00D85CC4" w:rsidRPr="009B556E" w:rsidRDefault="00D85CC4" w:rsidP="00C44A6F">
            <w:pPr>
              <w:jc w:val="both"/>
              <w:rPr>
                <w:sz w:val="20"/>
                <w:lang w:val="fr-CA"/>
              </w:rPr>
            </w:pPr>
          </w:p>
        </w:tc>
        <w:tc>
          <w:tcPr>
            <w:tcW w:w="270" w:type="pct"/>
          </w:tcPr>
          <w:p w:rsidR="00D85CC4" w:rsidRPr="009B556E" w:rsidRDefault="00D85CC4" w:rsidP="00C44A6F">
            <w:pPr>
              <w:jc w:val="both"/>
              <w:rPr>
                <w:sz w:val="20"/>
                <w:lang w:val="fr-CA"/>
              </w:rPr>
            </w:pPr>
          </w:p>
        </w:tc>
        <w:tc>
          <w:tcPr>
            <w:tcW w:w="2583" w:type="pct"/>
          </w:tcPr>
          <w:p w:rsidR="00D85CC4" w:rsidRPr="009B556E" w:rsidRDefault="00D85CC4" w:rsidP="00C44A6F">
            <w:pPr>
              <w:jc w:val="both"/>
              <w:rPr>
                <w:sz w:val="20"/>
                <w:lang w:val="fr-CA"/>
              </w:rPr>
            </w:pPr>
            <w:r w:rsidRPr="009B556E">
              <w:rPr>
                <w:sz w:val="20"/>
                <w:lang w:val="fr-CA"/>
              </w:rPr>
              <w:t>Requête amendée pour être autorisée à présenter une preuve nouvelle rejetée.  Appel rejeté.</w:t>
            </w:r>
          </w:p>
          <w:p w:rsidR="00D85CC4" w:rsidRPr="009B556E" w:rsidRDefault="00D85CC4" w:rsidP="00C44A6F">
            <w:pPr>
              <w:jc w:val="both"/>
              <w:rPr>
                <w:sz w:val="20"/>
                <w:lang w:val="fr-CA"/>
              </w:rPr>
            </w:pPr>
          </w:p>
        </w:tc>
      </w:tr>
      <w:tr w:rsidR="00D85CC4" w:rsidRPr="009B556E" w:rsidTr="00C44A6F">
        <w:tblPrEx>
          <w:tblCellMar>
            <w:bottom w:w="0" w:type="dxa"/>
          </w:tblCellMar>
        </w:tblPrEx>
        <w:tc>
          <w:tcPr>
            <w:tcW w:w="2147" w:type="pct"/>
          </w:tcPr>
          <w:p w:rsidR="00D85CC4" w:rsidRPr="009B556E" w:rsidRDefault="00D85CC4" w:rsidP="00C44A6F">
            <w:pPr>
              <w:jc w:val="both"/>
              <w:rPr>
                <w:sz w:val="20"/>
                <w:lang w:val="fr-CA"/>
              </w:rPr>
            </w:pPr>
            <w:r w:rsidRPr="009B556E">
              <w:rPr>
                <w:sz w:val="20"/>
                <w:lang w:val="fr-CA"/>
              </w:rPr>
              <w:t>Le 6 février 2015</w:t>
            </w:r>
          </w:p>
          <w:p w:rsidR="00D85CC4" w:rsidRPr="009B556E" w:rsidRDefault="00D85CC4" w:rsidP="00C44A6F">
            <w:pPr>
              <w:jc w:val="both"/>
              <w:rPr>
                <w:sz w:val="20"/>
                <w:lang w:val="fr-CA"/>
              </w:rPr>
            </w:pPr>
            <w:r w:rsidRPr="009B556E">
              <w:rPr>
                <w:sz w:val="20"/>
                <w:lang w:val="fr-CA"/>
              </w:rPr>
              <w:t>Cour suprême du Canada</w:t>
            </w:r>
          </w:p>
          <w:p w:rsidR="00D85CC4" w:rsidRPr="009B556E" w:rsidRDefault="00D85CC4" w:rsidP="00C44A6F">
            <w:pPr>
              <w:jc w:val="both"/>
              <w:rPr>
                <w:sz w:val="20"/>
                <w:lang w:val="fr-CA"/>
              </w:rPr>
            </w:pPr>
          </w:p>
          <w:p w:rsidR="00D85CC4" w:rsidRPr="009B556E" w:rsidRDefault="00D85CC4" w:rsidP="00C44A6F">
            <w:pPr>
              <w:jc w:val="both"/>
              <w:rPr>
                <w:sz w:val="20"/>
                <w:lang w:val="fr-CA"/>
              </w:rPr>
            </w:pPr>
          </w:p>
        </w:tc>
        <w:tc>
          <w:tcPr>
            <w:tcW w:w="270" w:type="pct"/>
          </w:tcPr>
          <w:p w:rsidR="00D85CC4" w:rsidRPr="009B556E" w:rsidRDefault="00D85CC4" w:rsidP="00C44A6F">
            <w:pPr>
              <w:jc w:val="both"/>
              <w:rPr>
                <w:sz w:val="20"/>
                <w:lang w:val="fr-CA"/>
              </w:rPr>
            </w:pPr>
          </w:p>
        </w:tc>
        <w:tc>
          <w:tcPr>
            <w:tcW w:w="2583" w:type="pct"/>
          </w:tcPr>
          <w:p w:rsidR="00D85CC4" w:rsidRPr="009B556E" w:rsidRDefault="00D85CC4" w:rsidP="00C44A6F">
            <w:pPr>
              <w:jc w:val="both"/>
              <w:rPr>
                <w:sz w:val="20"/>
                <w:lang w:val="fr-CA"/>
              </w:rPr>
            </w:pPr>
            <w:r w:rsidRPr="009B556E">
              <w:rPr>
                <w:sz w:val="20"/>
                <w:lang w:val="fr-CA"/>
              </w:rPr>
              <w:t>Demande d’autorisation d’appel déposée.</w:t>
            </w:r>
          </w:p>
          <w:p w:rsidR="00D85CC4" w:rsidRPr="009B556E" w:rsidRDefault="00D85CC4" w:rsidP="00C44A6F">
            <w:pPr>
              <w:jc w:val="both"/>
              <w:rPr>
                <w:sz w:val="20"/>
                <w:lang w:val="fr-CA"/>
              </w:rPr>
            </w:pPr>
          </w:p>
          <w:p w:rsidR="00D85CC4" w:rsidRPr="009B556E" w:rsidRDefault="00D85CC4" w:rsidP="00C44A6F">
            <w:pPr>
              <w:jc w:val="both"/>
              <w:rPr>
                <w:sz w:val="20"/>
                <w:lang w:val="fr-CA"/>
              </w:rPr>
            </w:pPr>
          </w:p>
        </w:tc>
      </w:tr>
      <w:tr w:rsidR="00D85CC4" w:rsidRPr="0009493C" w:rsidTr="00C44A6F">
        <w:tblPrEx>
          <w:tblCellMar>
            <w:bottom w:w="0" w:type="dxa"/>
          </w:tblCellMar>
        </w:tblPrEx>
        <w:tc>
          <w:tcPr>
            <w:tcW w:w="2147" w:type="pct"/>
          </w:tcPr>
          <w:p w:rsidR="00D85CC4" w:rsidRPr="009B556E" w:rsidRDefault="00D85CC4" w:rsidP="00C44A6F">
            <w:pPr>
              <w:jc w:val="both"/>
              <w:rPr>
                <w:sz w:val="20"/>
                <w:lang w:val="fr-CA"/>
              </w:rPr>
            </w:pPr>
            <w:r w:rsidRPr="009B556E">
              <w:rPr>
                <w:sz w:val="20"/>
                <w:lang w:val="fr-CA"/>
              </w:rPr>
              <w:t>Le 2 mars 2015</w:t>
            </w:r>
          </w:p>
          <w:p w:rsidR="00D85CC4" w:rsidRPr="009B556E" w:rsidRDefault="00D85CC4" w:rsidP="00C44A6F">
            <w:pPr>
              <w:jc w:val="both"/>
              <w:rPr>
                <w:sz w:val="20"/>
                <w:lang w:val="fr-CA"/>
              </w:rPr>
            </w:pPr>
            <w:r w:rsidRPr="009B556E">
              <w:rPr>
                <w:sz w:val="20"/>
                <w:lang w:val="fr-CA"/>
              </w:rPr>
              <w:t>Cour suprême du Canada</w:t>
            </w:r>
          </w:p>
          <w:p w:rsidR="00D85CC4" w:rsidRPr="009B556E" w:rsidRDefault="00D85CC4" w:rsidP="00C44A6F">
            <w:pPr>
              <w:jc w:val="both"/>
              <w:rPr>
                <w:sz w:val="20"/>
                <w:lang w:val="fr-CA"/>
              </w:rPr>
            </w:pPr>
          </w:p>
          <w:p w:rsidR="00D85CC4" w:rsidRPr="009B556E" w:rsidRDefault="00D85CC4" w:rsidP="00C44A6F">
            <w:pPr>
              <w:jc w:val="both"/>
              <w:rPr>
                <w:sz w:val="20"/>
                <w:lang w:val="fr-CA"/>
              </w:rPr>
            </w:pPr>
          </w:p>
        </w:tc>
        <w:tc>
          <w:tcPr>
            <w:tcW w:w="270" w:type="pct"/>
          </w:tcPr>
          <w:p w:rsidR="00D85CC4" w:rsidRPr="009B556E" w:rsidRDefault="00D85CC4" w:rsidP="00C44A6F">
            <w:pPr>
              <w:jc w:val="both"/>
              <w:rPr>
                <w:sz w:val="20"/>
                <w:lang w:val="fr-CA"/>
              </w:rPr>
            </w:pPr>
          </w:p>
        </w:tc>
        <w:tc>
          <w:tcPr>
            <w:tcW w:w="2583" w:type="pct"/>
          </w:tcPr>
          <w:p w:rsidR="00D85CC4" w:rsidRPr="009B556E" w:rsidRDefault="00D85CC4" w:rsidP="00C44A6F">
            <w:pPr>
              <w:jc w:val="both"/>
              <w:rPr>
                <w:sz w:val="20"/>
                <w:lang w:val="fr-CA"/>
              </w:rPr>
            </w:pPr>
            <w:r w:rsidRPr="009B556E">
              <w:rPr>
                <w:sz w:val="20"/>
                <w:lang w:val="fr-CA"/>
              </w:rPr>
              <w:t>Requêtes en radiation d’allégations contenues dans la réponse des intimés et pour adjonction de la compagnie d’assurance AIG du Canada déposées.</w:t>
            </w:r>
          </w:p>
          <w:p w:rsidR="00D85CC4" w:rsidRPr="009B556E" w:rsidRDefault="00D85CC4" w:rsidP="00C44A6F">
            <w:pPr>
              <w:jc w:val="both"/>
              <w:rPr>
                <w:sz w:val="20"/>
                <w:lang w:val="fr-CA"/>
              </w:rPr>
            </w:pPr>
          </w:p>
        </w:tc>
      </w:tr>
      <w:tr w:rsidR="00D85CC4" w:rsidRPr="0009493C" w:rsidTr="00C44A6F">
        <w:tblPrEx>
          <w:tblCellMar>
            <w:bottom w:w="0" w:type="dxa"/>
          </w:tblCellMar>
        </w:tblPrEx>
        <w:tc>
          <w:tcPr>
            <w:tcW w:w="2147" w:type="pct"/>
          </w:tcPr>
          <w:p w:rsidR="00D85CC4" w:rsidRPr="009B556E" w:rsidRDefault="00D85CC4" w:rsidP="00C44A6F">
            <w:pPr>
              <w:jc w:val="both"/>
              <w:rPr>
                <w:sz w:val="20"/>
                <w:lang w:val="fr-CA"/>
              </w:rPr>
            </w:pPr>
            <w:r w:rsidRPr="009B556E">
              <w:rPr>
                <w:sz w:val="20"/>
                <w:lang w:val="fr-CA"/>
              </w:rPr>
              <w:t>Le 11 mars 2015</w:t>
            </w:r>
          </w:p>
          <w:p w:rsidR="00D85CC4" w:rsidRPr="009B556E" w:rsidRDefault="00D85CC4" w:rsidP="00C44A6F">
            <w:pPr>
              <w:jc w:val="both"/>
              <w:rPr>
                <w:sz w:val="20"/>
                <w:lang w:val="fr-CA"/>
              </w:rPr>
            </w:pPr>
            <w:r w:rsidRPr="009B556E">
              <w:rPr>
                <w:sz w:val="20"/>
                <w:lang w:val="fr-CA"/>
              </w:rPr>
              <w:t>Cour suprême du Canada</w:t>
            </w:r>
          </w:p>
          <w:p w:rsidR="00D85CC4" w:rsidRPr="009B556E" w:rsidRDefault="00D85CC4" w:rsidP="00C44A6F">
            <w:pPr>
              <w:jc w:val="both"/>
              <w:rPr>
                <w:sz w:val="20"/>
                <w:lang w:val="fr-CA"/>
              </w:rPr>
            </w:pPr>
          </w:p>
        </w:tc>
        <w:tc>
          <w:tcPr>
            <w:tcW w:w="270" w:type="pct"/>
          </w:tcPr>
          <w:p w:rsidR="00D85CC4" w:rsidRPr="009B556E" w:rsidRDefault="00D85CC4" w:rsidP="00C44A6F">
            <w:pPr>
              <w:jc w:val="both"/>
              <w:rPr>
                <w:sz w:val="20"/>
                <w:lang w:val="fr-CA"/>
              </w:rPr>
            </w:pPr>
          </w:p>
        </w:tc>
        <w:tc>
          <w:tcPr>
            <w:tcW w:w="2583" w:type="pct"/>
          </w:tcPr>
          <w:p w:rsidR="00D85CC4" w:rsidRPr="009B556E" w:rsidRDefault="00D85CC4" w:rsidP="00C44A6F">
            <w:pPr>
              <w:jc w:val="both"/>
              <w:rPr>
                <w:sz w:val="20"/>
                <w:lang w:val="fr-CA"/>
              </w:rPr>
            </w:pPr>
            <w:r w:rsidRPr="009B556E">
              <w:rPr>
                <w:sz w:val="20"/>
                <w:lang w:val="fr-CA"/>
              </w:rPr>
              <w:t>Requête pour déclarer que l’entité issue de la fusion intervenue entre Glencore International plc et Xstrata plc est Glencore plc. déposée.</w:t>
            </w:r>
          </w:p>
          <w:p w:rsidR="00D85CC4" w:rsidRPr="009B556E" w:rsidRDefault="00D85CC4" w:rsidP="00C44A6F">
            <w:pPr>
              <w:jc w:val="both"/>
              <w:rPr>
                <w:sz w:val="20"/>
                <w:lang w:val="fr-CA"/>
              </w:rPr>
            </w:pPr>
          </w:p>
        </w:tc>
      </w:tr>
      <w:tr w:rsidR="00D85CC4" w:rsidRPr="0009493C" w:rsidTr="00C44A6F">
        <w:tblPrEx>
          <w:tblCellMar>
            <w:bottom w:w="0" w:type="dxa"/>
          </w:tblCellMar>
        </w:tblPrEx>
        <w:tc>
          <w:tcPr>
            <w:tcW w:w="2147" w:type="pct"/>
          </w:tcPr>
          <w:p w:rsidR="00D85CC4" w:rsidRPr="009B556E" w:rsidRDefault="00D85CC4" w:rsidP="00C44A6F">
            <w:pPr>
              <w:jc w:val="both"/>
              <w:rPr>
                <w:sz w:val="20"/>
                <w:lang w:val="fr-CA"/>
              </w:rPr>
            </w:pPr>
            <w:r w:rsidRPr="009B556E">
              <w:rPr>
                <w:sz w:val="20"/>
                <w:lang w:val="fr-CA"/>
              </w:rPr>
              <w:t>Le 16 mars 2015</w:t>
            </w:r>
          </w:p>
          <w:p w:rsidR="00D85CC4" w:rsidRPr="009B556E" w:rsidRDefault="00D85CC4" w:rsidP="00C44A6F">
            <w:pPr>
              <w:jc w:val="both"/>
              <w:rPr>
                <w:sz w:val="20"/>
                <w:lang w:val="fr-CA"/>
              </w:rPr>
            </w:pPr>
            <w:r w:rsidRPr="009B556E">
              <w:rPr>
                <w:sz w:val="20"/>
                <w:lang w:val="fr-CA"/>
              </w:rPr>
              <w:t>Cour suprême du Canada</w:t>
            </w:r>
          </w:p>
          <w:p w:rsidR="00D85CC4" w:rsidRPr="009B556E" w:rsidRDefault="00D85CC4" w:rsidP="00C44A6F">
            <w:pPr>
              <w:jc w:val="both"/>
              <w:rPr>
                <w:sz w:val="20"/>
                <w:lang w:val="fr-CA"/>
              </w:rPr>
            </w:pPr>
          </w:p>
        </w:tc>
        <w:tc>
          <w:tcPr>
            <w:tcW w:w="270" w:type="pct"/>
          </w:tcPr>
          <w:p w:rsidR="00D85CC4" w:rsidRPr="009B556E" w:rsidRDefault="00D85CC4" w:rsidP="00C44A6F">
            <w:pPr>
              <w:jc w:val="both"/>
              <w:rPr>
                <w:sz w:val="20"/>
                <w:lang w:val="fr-CA"/>
              </w:rPr>
            </w:pPr>
          </w:p>
        </w:tc>
        <w:tc>
          <w:tcPr>
            <w:tcW w:w="2583" w:type="pct"/>
          </w:tcPr>
          <w:p w:rsidR="00D85CC4" w:rsidRPr="009B556E" w:rsidRDefault="00D85CC4" w:rsidP="00C44A6F">
            <w:pPr>
              <w:jc w:val="both"/>
              <w:rPr>
                <w:sz w:val="20"/>
                <w:lang w:val="fr-CA"/>
              </w:rPr>
            </w:pPr>
            <w:r w:rsidRPr="009B556E">
              <w:rPr>
                <w:sz w:val="20"/>
                <w:lang w:val="fr-CA"/>
              </w:rPr>
              <w:t>Requête</w:t>
            </w:r>
            <w:r w:rsidRPr="009B556E">
              <w:rPr>
                <w:b/>
                <w:sz w:val="20"/>
                <w:lang w:val="fr-CA"/>
              </w:rPr>
              <w:t xml:space="preserve"> </w:t>
            </w:r>
            <w:r w:rsidRPr="009B556E">
              <w:rPr>
                <w:sz w:val="20"/>
                <w:lang w:val="fr-CA"/>
              </w:rPr>
              <w:t>pour mode de signification différent</w:t>
            </w:r>
            <w:r w:rsidRPr="009B556E">
              <w:rPr>
                <w:b/>
                <w:sz w:val="20"/>
                <w:lang w:val="fr-CA"/>
              </w:rPr>
              <w:t xml:space="preserve"> </w:t>
            </w:r>
            <w:r w:rsidRPr="009B556E">
              <w:rPr>
                <w:sz w:val="20"/>
                <w:lang w:val="fr-CA"/>
              </w:rPr>
              <w:t>déposée.</w:t>
            </w:r>
          </w:p>
        </w:tc>
      </w:tr>
      <w:tr w:rsidR="00D85CC4" w:rsidRPr="0009493C" w:rsidTr="00C44A6F">
        <w:tblPrEx>
          <w:tblCellMar>
            <w:bottom w:w="0" w:type="dxa"/>
          </w:tblCellMar>
        </w:tblPrEx>
        <w:tc>
          <w:tcPr>
            <w:tcW w:w="2147" w:type="pct"/>
          </w:tcPr>
          <w:p w:rsidR="00D85CC4" w:rsidRPr="009B556E" w:rsidRDefault="00D85CC4" w:rsidP="00C44A6F">
            <w:pPr>
              <w:jc w:val="both"/>
              <w:rPr>
                <w:sz w:val="20"/>
                <w:lang w:val="fr-CA"/>
              </w:rPr>
            </w:pPr>
            <w:r w:rsidRPr="009B556E">
              <w:rPr>
                <w:sz w:val="20"/>
                <w:lang w:val="fr-CA"/>
              </w:rPr>
              <w:t>Le 21 avril 2015</w:t>
            </w:r>
          </w:p>
          <w:p w:rsidR="00D85CC4" w:rsidRPr="009B556E" w:rsidRDefault="00D85CC4" w:rsidP="00C44A6F">
            <w:pPr>
              <w:jc w:val="both"/>
              <w:rPr>
                <w:sz w:val="20"/>
                <w:lang w:val="fr-CA"/>
              </w:rPr>
            </w:pPr>
            <w:r w:rsidRPr="009B556E">
              <w:rPr>
                <w:sz w:val="20"/>
                <w:lang w:val="fr-CA"/>
              </w:rPr>
              <w:t>Cour suprême du Canada</w:t>
            </w:r>
          </w:p>
        </w:tc>
        <w:tc>
          <w:tcPr>
            <w:tcW w:w="270" w:type="pct"/>
          </w:tcPr>
          <w:p w:rsidR="00D85CC4" w:rsidRPr="009B556E" w:rsidRDefault="00D85CC4" w:rsidP="00C44A6F">
            <w:pPr>
              <w:jc w:val="both"/>
              <w:rPr>
                <w:sz w:val="20"/>
                <w:lang w:val="fr-CA"/>
              </w:rPr>
            </w:pPr>
          </w:p>
        </w:tc>
        <w:tc>
          <w:tcPr>
            <w:tcW w:w="2583" w:type="pct"/>
          </w:tcPr>
          <w:p w:rsidR="00D85CC4" w:rsidRPr="009B556E" w:rsidRDefault="00D85CC4" w:rsidP="00C44A6F">
            <w:pPr>
              <w:jc w:val="both"/>
              <w:rPr>
                <w:sz w:val="20"/>
                <w:lang w:val="fr-CA"/>
              </w:rPr>
            </w:pPr>
            <w:r w:rsidRPr="009B556E">
              <w:rPr>
                <w:sz w:val="20"/>
                <w:lang w:val="fr-CA"/>
              </w:rPr>
              <w:t>Requête</w:t>
            </w:r>
            <w:r w:rsidRPr="009B556E">
              <w:rPr>
                <w:b/>
                <w:sz w:val="20"/>
                <w:lang w:val="fr-CA"/>
              </w:rPr>
              <w:t xml:space="preserve"> </w:t>
            </w:r>
            <w:r w:rsidRPr="009B556E">
              <w:rPr>
                <w:sz w:val="20"/>
                <w:lang w:val="fr-CA"/>
              </w:rPr>
              <w:t>pour présenter de nouveaux éléments de preuve déposée.</w:t>
            </w:r>
          </w:p>
        </w:tc>
      </w:tr>
    </w:tbl>
    <w:p w:rsidR="0089171C" w:rsidRPr="00D85CC4" w:rsidRDefault="0089171C" w:rsidP="0089171C">
      <w:pPr>
        <w:rPr>
          <w:sz w:val="20"/>
          <w:szCs w:val="20"/>
          <w:lang w:val="fr-CA"/>
        </w:rPr>
      </w:pPr>
    </w:p>
    <w:p w:rsidR="0089171C" w:rsidRDefault="00D82946" w:rsidP="0089171C">
      <w:pPr>
        <w:rPr>
          <w:sz w:val="20"/>
          <w:szCs w:val="20"/>
          <w:lang w:val="fr-CA"/>
        </w:rPr>
      </w:pPr>
      <w:r>
        <w:rPr>
          <w:sz w:val="20"/>
          <w:szCs w:val="20"/>
          <w:lang w:val="fr-CA"/>
        </w:rPr>
        <w:pict>
          <v:rect id="_x0000_i1041" style="width:2in;height:1pt" o:hrpct="0" o:hralign="center" o:hrstd="t" o:hrnoshade="t" o:hr="t" fillcolor="black [3213]" stroked="f"/>
        </w:pict>
      </w:r>
    </w:p>
    <w:p w:rsidR="0089171C" w:rsidRDefault="0089171C" w:rsidP="0089171C">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645BF5" w:rsidRPr="00BC108B" w:rsidTr="00AA42C0">
        <w:tc>
          <w:tcPr>
            <w:tcW w:w="1458" w:type="dxa"/>
          </w:tcPr>
          <w:p w:rsidR="00645BF5" w:rsidRPr="00BC108B" w:rsidRDefault="00645BF5" w:rsidP="00DF0FFF">
            <w:pPr>
              <w:rPr>
                <w:sz w:val="20"/>
                <w:szCs w:val="20"/>
              </w:rPr>
            </w:pPr>
            <w:r w:rsidRPr="00BC108B">
              <w:rPr>
                <w:rStyle w:val="SCCFileNumberChar"/>
                <w:sz w:val="20"/>
                <w:szCs w:val="20"/>
              </w:rPr>
              <w:t>36314</w:t>
            </w:r>
          </w:p>
          <w:p w:rsidR="00645BF5" w:rsidRPr="00BC108B" w:rsidRDefault="00645BF5" w:rsidP="00DF0FFF">
            <w:pPr>
              <w:rPr>
                <w:b/>
                <w:sz w:val="20"/>
                <w:szCs w:val="20"/>
                <w:lang w:val="fr-CA"/>
              </w:rPr>
            </w:pPr>
          </w:p>
        </w:tc>
        <w:tc>
          <w:tcPr>
            <w:tcW w:w="8118" w:type="dxa"/>
          </w:tcPr>
          <w:p w:rsidR="00645BF5" w:rsidRPr="00BC108B" w:rsidRDefault="00645BF5" w:rsidP="00DF0FFF">
            <w:pPr>
              <w:jc w:val="both"/>
              <w:rPr>
                <w:sz w:val="20"/>
                <w:szCs w:val="20"/>
              </w:rPr>
            </w:pPr>
            <w:r w:rsidRPr="00BC108B">
              <w:rPr>
                <w:rStyle w:val="SCCLsocChar"/>
                <w:sz w:val="20"/>
                <w:szCs w:val="20"/>
                <w:lang w:val="en-CA"/>
              </w:rPr>
              <w:t>Christopher Michael Staetter v. Her Majesty the Queen</w:t>
            </w:r>
            <w:r w:rsidRPr="00BC108B">
              <w:rPr>
                <w:sz w:val="20"/>
                <w:szCs w:val="20"/>
              </w:rPr>
              <w:t xml:space="preserve"> (B.C.) (Criminal) (By Leave)</w:t>
            </w:r>
          </w:p>
          <w:p w:rsidR="00645BF5" w:rsidRPr="00BC108B" w:rsidRDefault="00645BF5" w:rsidP="00DF0FFF">
            <w:pPr>
              <w:jc w:val="both"/>
              <w:rPr>
                <w:sz w:val="20"/>
                <w:szCs w:val="20"/>
              </w:rPr>
            </w:pPr>
          </w:p>
        </w:tc>
      </w:tr>
      <w:tr w:rsidR="00645BF5" w:rsidRPr="0009493C" w:rsidTr="00AA42C0">
        <w:tc>
          <w:tcPr>
            <w:tcW w:w="1458" w:type="dxa"/>
          </w:tcPr>
          <w:p w:rsidR="00645BF5" w:rsidRPr="00BC108B" w:rsidRDefault="00645BF5" w:rsidP="00DF0FFF">
            <w:pPr>
              <w:rPr>
                <w:sz w:val="20"/>
                <w:szCs w:val="20"/>
              </w:rPr>
            </w:pPr>
            <w:r w:rsidRPr="00BC108B">
              <w:rPr>
                <w:sz w:val="20"/>
                <w:szCs w:val="20"/>
              </w:rPr>
              <w:t>Coram :</w:t>
            </w:r>
          </w:p>
        </w:tc>
        <w:tc>
          <w:tcPr>
            <w:tcW w:w="8118" w:type="dxa"/>
          </w:tcPr>
          <w:p w:rsidR="00645BF5" w:rsidRPr="00BC108B" w:rsidRDefault="00645BF5" w:rsidP="00DF0FFF">
            <w:pPr>
              <w:rPr>
                <w:sz w:val="20"/>
                <w:szCs w:val="20"/>
                <w:lang w:val="fr-CA"/>
              </w:rPr>
            </w:pPr>
            <w:r w:rsidRPr="00BC108B">
              <w:rPr>
                <w:rStyle w:val="SCCCoramChar"/>
                <w:sz w:val="20"/>
                <w:szCs w:val="20"/>
              </w:rPr>
              <w:t>Abella, Karakatsanis and Côté JJ.</w:t>
            </w:r>
          </w:p>
          <w:p w:rsidR="00645BF5" w:rsidRPr="00BC108B" w:rsidRDefault="00645BF5" w:rsidP="00DF0FFF">
            <w:pPr>
              <w:rPr>
                <w:sz w:val="20"/>
                <w:szCs w:val="20"/>
                <w:u w:val="single"/>
                <w:lang w:val="fr-CA"/>
              </w:rPr>
            </w:pPr>
          </w:p>
        </w:tc>
      </w:tr>
      <w:tr w:rsidR="00645BF5" w:rsidRPr="0009493C" w:rsidTr="00AA42C0">
        <w:tc>
          <w:tcPr>
            <w:tcW w:w="9576" w:type="dxa"/>
            <w:gridSpan w:val="2"/>
          </w:tcPr>
          <w:p w:rsidR="00645BF5" w:rsidRPr="00BC108B" w:rsidRDefault="00645BF5" w:rsidP="00DF0FFF">
            <w:pPr>
              <w:pStyle w:val="SCCShortJudgment"/>
              <w:rPr>
                <w:szCs w:val="20"/>
              </w:rPr>
            </w:pPr>
            <w:r w:rsidRPr="00BC108B">
              <w:rPr>
                <w:szCs w:val="20"/>
              </w:rPr>
              <w:t>The motion for an extension of time to serve and file the application for leave to appeal is granted. All other motions are dismissed. The application for leave to appeal from the judgment of the Court of Appeal for British Columbia (Vancouver), Number CA040770, 2014 BCCA 294, dated July 22, 2014, is dismissed.</w:t>
            </w:r>
          </w:p>
          <w:p w:rsidR="00645BF5" w:rsidRPr="00BC108B" w:rsidRDefault="00645BF5" w:rsidP="00DF0FFF">
            <w:pPr>
              <w:pStyle w:val="SCCShortJudgment"/>
              <w:ind w:firstLine="0"/>
              <w:rPr>
                <w:szCs w:val="20"/>
              </w:rPr>
            </w:pPr>
          </w:p>
          <w:p w:rsidR="00645BF5" w:rsidRPr="00BC108B" w:rsidRDefault="00645BF5" w:rsidP="00DF0FFF">
            <w:pPr>
              <w:pStyle w:val="SCCShortJudgment"/>
              <w:rPr>
                <w:szCs w:val="20"/>
                <w:lang w:val="fr-CA"/>
              </w:rPr>
            </w:pPr>
            <w:r w:rsidRPr="00BC108B">
              <w:rPr>
                <w:szCs w:val="20"/>
                <w:lang w:val="fr-CA"/>
              </w:rPr>
              <w:lastRenderedPageBreak/>
              <w:t>La requête en prorogation du délai de signification et de dépôt de la demande d’autorisation d’appel est accueillie. Les autres requêtes sont rejetées.  La demande d’autorisation d’appel de l’arrêt de la Cour d’appel de la Colombie-Britannique (Vancouver), numéro CA040770, 2014 BCCA 294, daté du 22 juillet 2014, est rejetée.</w:t>
            </w:r>
          </w:p>
        </w:tc>
      </w:tr>
    </w:tbl>
    <w:p w:rsidR="0089171C" w:rsidRPr="00645BF5" w:rsidRDefault="0089171C" w:rsidP="0089171C">
      <w:pPr>
        <w:rPr>
          <w:sz w:val="20"/>
          <w:szCs w:val="20"/>
          <w:lang w:val="fr-CA"/>
        </w:rPr>
      </w:pPr>
    </w:p>
    <w:p w:rsidR="0089171C" w:rsidRPr="001B157C" w:rsidRDefault="0089171C" w:rsidP="0089171C">
      <w:pPr>
        <w:rPr>
          <w:sz w:val="20"/>
          <w:szCs w:val="20"/>
          <w:u w:val="single"/>
        </w:rPr>
      </w:pPr>
      <w:r w:rsidRPr="001B157C">
        <w:rPr>
          <w:sz w:val="20"/>
          <w:szCs w:val="20"/>
          <w:u w:val="single"/>
        </w:rPr>
        <w:t>CASE SUMMARY</w:t>
      </w:r>
    </w:p>
    <w:p w:rsidR="0089171C" w:rsidRDefault="0089171C" w:rsidP="0089171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85CC4" w:rsidRPr="009B556E" w:rsidTr="00C44A6F">
        <w:tc>
          <w:tcPr>
            <w:tcW w:w="5000" w:type="pct"/>
            <w:gridSpan w:val="3"/>
          </w:tcPr>
          <w:p w:rsidR="00D85CC4" w:rsidRPr="009B556E" w:rsidRDefault="00D85CC4" w:rsidP="00C44A6F">
            <w:pPr>
              <w:jc w:val="both"/>
              <w:rPr>
                <w:smallCaps/>
                <w:sz w:val="20"/>
              </w:rPr>
            </w:pPr>
            <w:r w:rsidRPr="009B556E">
              <w:rPr>
                <w:smallCaps/>
                <w:sz w:val="20"/>
              </w:rPr>
              <w:t>(Publication Ban in Case)</w:t>
            </w:r>
          </w:p>
          <w:p w:rsidR="00D85CC4" w:rsidRPr="009B556E" w:rsidRDefault="00D85CC4" w:rsidP="00C44A6F">
            <w:pPr>
              <w:jc w:val="both"/>
              <w:rPr>
                <w:i/>
                <w:sz w:val="20"/>
              </w:rPr>
            </w:pPr>
          </w:p>
          <w:p w:rsidR="00D85CC4" w:rsidRPr="009B556E" w:rsidRDefault="00D85CC4" w:rsidP="00C44A6F">
            <w:pPr>
              <w:jc w:val="both"/>
              <w:rPr>
                <w:sz w:val="20"/>
              </w:rPr>
            </w:pPr>
            <w:r w:rsidRPr="009B556E">
              <w:rPr>
                <w:i/>
                <w:sz w:val="20"/>
              </w:rPr>
              <w:t>Canadian Charter of Rights and Freedoms</w:t>
            </w:r>
            <w:r w:rsidRPr="009B556E">
              <w:rPr>
                <w:sz w:val="20"/>
              </w:rPr>
              <w:t xml:space="preserve"> – Freedom of conscience and religion – Freedom of expression – Right to bail – Criminal Law – Appeal – Leave to Appeal – Whether applicant raises a legal issue – Whether issue is of public importance.</w:t>
            </w:r>
          </w:p>
        </w:tc>
      </w:tr>
      <w:tr w:rsidR="00D85CC4" w:rsidRPr="009B556E" w:rsidTr="00C44A6F">
        <w:tc>
          <w:tcPr>
            <w:tcW w:w="5000" w:type="pct"/>
            <w:gridSpan w:val="3"/>
          </w:tcPr>
          <w:p w:rsidR="00D85CC4" w:rsidRPr="009B556E" w:rsidRDefault="00D85CC4" w:rsidP="00C44A6F">
            <w:pPr>
              <w:jc w:val="both"/>
              <w:rPr>
                <w:sz w:val="20"/>
              </w:rPr>
            </w:pPr>
          </w:p>
        </w:tc>
      </w:tr>
      <w:tr w:rsidR="00D85CC4" w:rsidRPr="009B556E" w:rsidTr="00C44A6F">
        <w:tc>
          <w:tcPr>
            <w:tcW w:w="5000" w:type="pct"/>
            <w:gridSpan w:val="3"/>
          </w:tcPr>
          <w:p w:rsidR="00D85CC4" w:rsidRPr="009B556E" w:rsidRDefault="00D85CC4" w:rsidP="00C44A6F">
            <w:pPr>
              <w:jc w:val="both"/>
              <w:rPr>
                <w:sz w:val="20"/>
              </w:rPr>
            </w:pPr>
            <w:r w:rsidRPr="009B556E">
              <w:rPr>
                <w:sz w:val="20"/>
              </w:rPr>
              <w:t xml:space="preserve">Mr. Staetter was charged with two counts of uttering threats and two counts of criminal harassment.  The Crown’s evidence included numerous threatening text messages from Mr. Staetter to the complainant and numerous phone messages left for the complainant and her father.  A psychiatrist testified that Mr. Staetter likely suffered a schizoaffective disorder. </w:t>
            </w:r>
          </w:p>
          <w:p w:rsidR="00D85CC4" w:rsidRPr="009B556E" w:rsidRDefault="00D85CC4" w:rsidP="00C44A6F">
            <w:pPr>
              <w:jc w:val="both"/>
              <w:rPr>
                <w:sz w:val="20"/>
              </w:rPr>
            </w:pPr>
          </w:p>
        </w:tc>
      </w:tr>
      <w:tr w:rsidR="00D85CC4" w:rsidRPr="009B556E" w:rsidTr="00C44A6F">
        <w:tc>
          <w:tcPr>
            <w:tcW w:w="2427" w:type="pct"/>
          </w:tcPr>
          <w:p w:rsidR="00D85CC4" w:rsidRPr="009B556E" w:rsidRDefault="00D85CC4" w:rsidP="00C44A6F">
            <w:pPr>
              <w:jc w:val="both"/>
              <w:rPr>
                <w:sz w:val="20"/>
              </w:rPr>
            </w:pPr>
            <w:r w:rsidRPr="009B556E">
              <w:rPr>
                <w:sz w:val="20"/>
              </w:rPr>
              <w:t>October 19, 2012</w:t>
            </w:r>
          </w:p>
          <w:p w:rsidR="00D85CC4" w:rsidRPr="009B556E" w:rsidRDefault="00D85CC4" w:rsidP="00C44A6F">
            <w:pPr>
              <w:jc w:val="both"/>
              <w:rPr>
                <w:sz w:val="20"/>
              </w:rPr>
            </w:pPr>
            <w:r w:rsidRPr="009B556E">
              <w:rPr>
                <w:sz w:val="20"/>
              </w:rPr>
              <w:t>Provincial Court of British Columbia</w:t>
            </w:r>
          </w:p>
          <w:p w:rsidR="00D85CC4" w:rsidRPr="009B556E" w:rsidRDefault="00D85CC4" w:rsidP="00C44A6F">
            <w:pPr>
              <w:jc w:val="both"/>
              <w:rPr>
                <w:sz w:val="20"/>
              </w:rPr>
            </w:pPr>
            <w:r w:rsidRPr="009B556E">
              <w:rPr>
                <w:sz w:val="20"/>
              </w:rPr>
              <w:t>(Challenger J.)</w:t>
            </w:r>
          </w:p>
          <w:p w:rsidR="00D85CC4" w:rsidRPr="009B556E" w:rsidRDefault="00D85CC4" w:rsidP="00C44A6F">
            <w:pPr>
              <w:jc w:val="both"/>
              <w:rPr>
                <w:sz w:val="20"/>
              </w:rPr>
            </w:pPr>
            <w:r w:rsidRPr="009B556E">
              <w:rPr>
                <w:sz w:val="20"/>
              </w:rPr>
              <w:t>2012 BCPC 413</w:t>
            </w:r>
          </w:p>
        </w:tc>
        <w:tc>
          <w:tcPr>
            <w:tcW w:w="243" w:type="pct"/>
          </w:tcPr>
          <w:p w:rsidR="00D85CC4" w:rsidRPr="009B556E" w:rsidRDefault="00D85CC4" w:rsidP="00C44A6F">
            <w:pPr>
              <w:jc w:val="both"/>
              <w:rPr>
                <w:sz w:val="20"/>
              </w:rPr>
            </w:pPr>
          </w:p>
        </w:tc>
        <w:tc>
          <w:tcPr>
            <w:tcW w:w="2330" w:type="pct"/>
          </w:tcPr>
          <w:p w:rsidR="00D85CC4" w:rsidRPr="009B556E" w:rsidRDefault="00D85CC4" w:rsidP="00C44A6F">
            <w:pPr>
              <w:jc w:val="both"/>
              <w:rPr>
                <w:sz w:val="20"/>
              </w:rPr>
            </w:pPr>
            <w:r w:rsidRPr="009B556E">
              <w:rPr>
                <w:sz w:val="20"/>
              </w:rPr>
              <w:t>Declaration applicant not criminally responsible for two counts uttering threats and one count criminal harassment by reason of mental disorder; Committal to psychiatric hospital</w:t>
            </w:r>
          </w:p>
          <w:p w:rsidR="00D85CC4" w:rsidRPr="009B556E" w:rsidRDefault="00D85CC4" w:rsidP="00C44A6F">
            <w:pPr>
              <w:jc w:val="both"/>
              <w:rPr>
                <w:sz w:val="20"/>
              </w:rPr>
            </w:pPr>
          </w:p>
        </w:tc>
      </w:tr>
      <w:tr w:rsidR="00D85CC4" w:rsidRPr="009B556E" w:rsidTr="00C44A6F">
        <w:tc>
          <w:tcPr>
            <w:tcW w:w="2427" w:type="pct"/>
          </w:tcPr>
          <w:p w:rsidR="00D85CC4" w:rsidRPr="009B556E" w:rsidRDefault="00D85CC4" w:rsidP="00C44A6F">
            <w:pPr>
              <w:jc w:val="both"/>
              <w:rPr>
                <w:sz w:val="20"/>
              </w:rPr>
            </w:pPr>
            <w:r w:rsidRPr="009B556E">
              <w:rPr>
                <w:sz w:val="20"/>
              </w:rPr>
              <w:t>November 27, 2012</w:t>
            </w:r>
          </w:p>
          <w:p w:rsidR="00D85CC4" w:rsidRPr="009B556E" w:rsidRDefault="00D85CC4" w:rsidP="00C44A6F">
            <w:pPr>
              <w:jc w:val="both"/>
              <w:rPr>
                <w:sz w:val="20"/>
              </w:rPr>
            </w:pPr>
            <w:r w:rsidRPr="009B556E">
              <w:rPr>
                <w:sz w:val="20"/>
              </w:rPr>
              <w:t>British Columbia Review Board</w:t>
            </w:r>
          </w:p>
          <w:p w:rsidR="00D85CC4" w:rsidRPr="009B556E" w:rsidRDefault="00D85CC4" w:rsidP="00C44A6F">
            <w:pPr>
              <w:jc w:val="both"/>
              <w:rPr>
                <w:sz w:val="20"/>
              </w:rPr>
            </w:pPr>
          </w:p>
        </w:tc>
        <w:tc>
          <w:tcPr>
            <w:tcW w:w="243" w:type="pct"/>
          </w:tcPr>
          <w:p w:rsidR="00D85CC4" w:rsidRPr="009B556E" w:rsidRDefault="00D85CC4" w:rsidP="00C44A6F">
            <w:pPr>
              <w:jc w:val="both"/>
              <w:rPr>
                <w:sz w:val="20"/>
              </w:rPr>
            </w:pPr>
          </w:p>
        </w:tc>
        <w:tc>
          <w:tcPr>
            <w:tcW w:w="2330" w:type="pct"/>
          </w:tcPr>
          <w:p w:rsidR="00D85CC4" w:rsidRPr="009B556E" w:rsidRDefault="00D85CC4" w:rsidP="00C44A6F">
            <w:pPr>
              <w:jc w:val="both"/>
              <w:rPr>
                <w:sz w:val="20"/>
              </w:rPr>
            </w:pPr>
            <w:r w:rsidRPr="009B556E">
              <w:rPr>
                <w:sz w:val="20"/>
              </w:rPr>
              <w:t>Custodial order</w:t>
            </w:r>
          </w:p>
        </w:tc>
      </w:tr>
      <w:tr w:rsidR="00D85CC4" w:rsidRPr="009B556E" w:rsidTr="00C44A6F">
        <w:tc>
          <w:tcPr>
            <w:tcW w:w="2427" w:type="pct"/>
          </w:tcPr>
          <w:p w:rsidR="00D85CC4" w:rsidRPr="009B556E" w:rsidRDefault="00D85CC4" w:rsidP="00C44A6F">
            <w:pPr>
              <w:jc w:val="both"/>
              <w:rPr>
                <w:sz w:val="20"/>
              </w:rPr>
            </w:pPr>
            <w:r w:rsidRPr="009B556E">
              <w:rPr>
                <w:sz w:val="20"/>
              </w:rPr>
              <w:t>March 8, 2013</w:t>
            </w:r>
          </w:p>
          <w:p w:rsidR="00D85CC4" w:rsidRPr="009B556E" w:rsidRDefault="00D85CC4" w:rsidP="00C44A6F">
            <w:pPr>
              <w:jc w:val="both"/>
              <w:rPr>
                <w:sz w:val="20"/>
              </w:rPr>
            </w:pPr>
            <w:r w:rsidRPr="009B556E">
              <w:rPr>
                <w:sz w:val="20"/>
              </w:rPr>
              <w:t>Supreme Court of British Columbia</w:t>
            </w:r>
          </w:p>
          <w:p w:rsidR="00D85CC4" w:rsidRPr="009B556E" w:rsidRDefault="00D85CC4" w:rsidP="00C44A6F">
            <w:pPr>
              <w:jc w:val="both"/>
              <w:rPr>
                <w:sz w:val="20"/>
              </w:rPr>
            </w:pPr>
            <w:r w:rsidRPr="009B556E">
              <w:rPr>
                <w:sz w:val="20"/>
              </w:rPr>
              <w:t>(Schultes J.)</w:t>
            </w:r>
          </w:p>
          <w:p w:rsidR="00D85CC4" w:rsidRPr="009B556E" w:rsidRDefault="00D85CC4" w:rsidP="00C44A6F">
            <w:pPr>
              <w:jc w:val="both"/>
              <w:rPr>
                <w:sz w:val="20"/>
              </w:rPr>
            </w:pPr>
            <w:r w:rsidRPr="009B556E">
              <w:rPr>
                <w:sz w:val="20"/>
              </w:rPr>
              <w:t>2013 BCSC 821</w:t>
            </w:r>
          </w:p>
          <w:p w:rsidR="00D85CC4" w:rsidRPr="009B556E" w:rsidRDefault="00D85CC4" w:rsidP="00C44A6F">
            <w:pPr>
              <w:jc w:val="both"/>
              <w:rPr>
                <w:sz w:val="20"/>
              </w:rPr>
            </w:pPr>
          </w:p>
        </w:tc>
        <w:tc>
          <w:tcPr>
            <w:tcW w:w="243" w:type="pct"/>
          </w:tcPr>
          <w:p w:rsidR="00D85CC4" w:rsidRPr="009B556E" w:rsidRDefault="00D85CC4" w:rsidP="00C44A6F">
            <w:pPr>
              <w:jc w:val="both"/>
              <w:rPr>
                <w:sz w:val="20"/>
              </w:rPr>
            </w:pPr>
          </w:p>
        </w:tc>
        <w:tc>
          <w:tcPr>
            <w:tcW w:w="2330" w:type="pct"/>
          </w:tcPr>
          <w:p w:rsidR="00D85CC4" w:rsidRPr="009B556E" w:rsidRDefault="00D85CC4" w:rsidP="00C44A6F">
            <w:pPr>
              <w:jc w:val="both"/>
              <w:rPr>
                <w:sz w:val="20"/>
              </w:rPr>
            </w:pPr>
            <w:r w:rsidRPr="009B556E">
              <w:rPr>
                <w:sz w:val="20"/>
              </w:rPr>
              <w:t>Extension of time to appeal from verdict of not criminally responsible by reason of mental disorder dismissed</w:t>
            </w:r>
          </w:p>
          <w:p w:rsidR="00D85CC4" w:rsidRPr="009B556E" w:rsidRDefault="00D85CC4" w:rsidP="00C44A6F">
            <w:pPr>
              <w:jc w:val="both"/>
              <w:rPr>
                <w:sz w:val="20"/>
              </w:rPr>
            </w:pPr>
          </w:p>
        </w:tc>
      </w:tr>
      <w:tr w:rsidR="00D85CC4" w:rsidRPr="009B556E" w:rsidTr="00C44A6F">
        <w:tc>
          <w:tcPr>
            <w:tcW w:w="2427" w:type="pct"/>
          </w:tcPr>
          <w:p w:rsidR="00D85CC4" w:rsidRPr="009B556E" w:rsidRDefault="00D85CC4" w:rsidP="00C44A6F">
            <w:pPr>
              <w:jc w:val="both"/>
              <w:rPr>
                <w:sz w:val="20"/>
              </w:rPr>
            </w:pPr>
            <w:r w:rsidRPr="009B556E">
              <w:rPr>
                <w:sz w:val="20"/>
              </w:rPr>
              <w:t>June 26, 2013</w:t>
            </w:r>
          </w:p>
          <w:p w:rsidR="00D85CC4" w:rsidRPr="009B556E" w:rsidRDefault="00D85CC4" w:rsidP="00C44A6F">
            <w:pPr>
              <w:jc w:val="both"/>
              <w:rPr>
                <w:sz w:val="20"/>
              </w:rPr>
            </w:pPr>
            <w:r w:rsidRPr="009B556E">
              <w:rPr>
                <w:sz w:val="20"/>
              </w:rPr>
              <w:t xml:space="preserve">Court of Appeal for British Columbia </w:t>
            </w:r>
          </w:p>
          <w:p w:rsidR="00D85CC4" w:rsidRPr="009B556E" w:rsidRDefault="00D85CC4" w:rsidP="00C44A6F">
            <w:pPr>
              <w:jc w:val="both"/>
              <w:rPr>
                <w:sz w:val="20"/>
              </w:rPr>
            </w:pPr>
            <w:r w:rsidRPr="009B556E">
              <w:rPr>
                <w:sz w:val="20"/>
              </w:rPr>
              <w:t>(Vancouver)</w:t>
            </w:r>
          </w:p>
          <w:p w:rsidR="00D85CC4" w:rsidRPr="009B556E" w:rsidRDefault="00D85CC4" w:rsidP="00C44A6F">
            <w:pPr>
              <w:jc w:val="both"/>
              <w:rPr>
                <w:sz w:val="20"/>
              </w:rPr>
            </w:pPr>
            <w:r w:rsidRPr="009B556E">
              <w:rPr>
                <w:sz w:val="20"/>
              </w:rPr>
              <w:t>(Lowry J., in chambers)</w:t>
            </w:r>
          </w:p>
          <w:p w:rsidR="00D85CC4" w:rsidRPr="009B556E" w:rsidRDefault="00D85CC4" w:rsidP="00C44A6F">
            <w:pPr>
              <w:jc w:val="both"/>
              <w:rPr>
                <w:sz w:val="20"/>
              </w:rPr>
            </w:pPr>
          </w:p>
        </w:tc>
        <w:tc>
          <w:tcPr>
            <w:tcW w:w="243" w:type="pct"/>
          </w:tcPr>
          <w:p w:rsidR="00D85CC4" w:rsidRPr="009B556E" w:rsidRDefault="00D85CC4" w:rsidP="00C44A6F">
            <w:pPr>
              <w:jc w:val="both"/>
              <w:rPr>
                <w:sz w:val="20"/>
              </w:rPr>
            </w:pPr>
          </w:p>
        </w:tc>
        <w:tc>
          <w:tcPr>
            <w:tcW w:w="2330" w:type="pct"/>
          </w:tcPr>
          <w:p w:rsidR="00D85CC4" w:rsidRPr="009B556E" w:rsidRDefault="00D85CC4" w:rsidP="00C44A6F">
            <w:pPr>
              <w:jc w:val="both"/>
              <w:rPr>
                <w:sz w:val="20"/>
              </w:rPr>
            </w:pPr>
            <w:r w:rsidRPr="009B556E">
              <w:rPr>
                <w:sz w:val="20"/>
              </w:rPr>
              <w:t>Application for leave to appeal dismissed</w:t>
            </w:r>
          </w:p>
          <w:p w:rsidR="00D85CC4" w:rsidRPr="009B556E" w:rsidRDefault="00D85CC4" w:rsidP="00C44A6F">
            <w:pPr>
              <w:jc w:val="both"/>
              <w:rPr>
                <w:sz w:val="20"/>
              </w:rPr>
            </w:pPr>
          </w:p>
        </w:tc>
      </w:tr>
      <w:tr w:rsidR="00D85CC4" w:rsidRPr="009B556E" w:rsidTr="00C44A6F">
        <w:tc>
          <w:tcPr>
            <w:tcW w:w="2427" w:type="pct"/>
          </w:tcPr>
          <w:p w:rsidR="00D85CC4" w:rsidRPr="009B556E" w:rsidRDefault="00D85CC4" w:rsidP="00C44A6F">
            <w:pPr>
              <w:jc w:val="both"/>
              <w:rPr>
                <w:sz w:val="20"/>
              </w:rPr>
            </w:pPr>
            <w:r w:rsidRPr="009B556E">
              <w:rPr>
                <w:sz w:val="20"/>
              </w:rPr>
              <w:t>July 22, 2014</w:t>
            </w:r>
          </w:p>
          <w:p w:rsidR="00D85CC4" w:rsidRPr="009B556E" w:rsidRDefault="00D85CC4" w:rsidP="00C44A6F">
            <w:pPr>
              <w:jc w:val="both"/>
              <w:rPr>
                <w:sz w:val="20"/>
              </w:rPr>
            </w:pPr>
            <w:r w:rsidRPr="009B556E">
              <w:rPr>
                <w:sz w:val="20"/>
              </w:rPr>
              <w:t xml:space="preserve">Court of Appeal for British Columbia </w:t>
            </w:r>
          </w:p>
          <w:p w:rsidR="00D85CC4" w:rsidRPr="009B556E" w:rsidRDefault="00D85CC4" w:rsidP="00C44A6F">
            <w:pPr>
              <w:jc w:val="both"/>
              <w:rPr>
                <w:sz w:val="20"/>
              </w:rPr>
            </w:pPr>
            <w:r w:rsidRPr="009B556E">
              <w:rPr>
                <w:sz w:val="20"/>
              </w:rPr>
              <w:t>(Vancouver)</w:t>
            </w:r>
          </w:p>
          <w:p w:rsidR="00D85CC4" w:rsidRPr="009B556E" w:rsidRDefault="00D85CC4" w:rsidP="00C44A6F">
            <w:pPr>
              <w:jc w:val="both"/>
              <w:rPr>
                <w:sz w:val="20"/>
              </w:rPr>
            </w:pPr>
            <w:r w:rsidRPr="009B556E">
              <w:rPr>
                <w:sz w:val="20"/>
              </w:rPr>
              <w:t>(Bauman, Smith, Stromberg-Stein JJ.A.)</w:t>
            </w:r>
          </w:p>
          <w:p w:rsidR="00D85CC4" w:rsidRPr="009B556E" w:rsidRDefault="00D85CC4" w:rsidP="00C44A6F">
            <w:pPr>
              <w:jc w:val="both"/>
              <w:rPr>
                <w:sz w:val="20"/>
              </w:rPr>
            </w:pPr>
            <w:r w:rsidRPr="009B556E">
              <w:rPr>
                <w:sz w:val="20"/>
              </w:rPr>
              <w:t>CA040770; 2014 BCCA 294</w:t>
            </w:r>
          </w:p>
          <w:p w:rsidR="00D85CC4" w:rsidRPr="009B556E" w:rsidRDefault="00D85CC4" w:rsidP="00C44A6F">
            <w:pPr>
              <w:jc w:val="both"/>
              <w:rPr>
                <w:sz w:val="20"/>
              </w:rPr>
            </w:pPr>
          </w:p>
        </w:tc>
        <w:tc>
          <w:tcPr>
            <w:tcW w:w="243" w:type="pct"/>
          </w:tcPr>
          <w:p w:rsidR="00D85CC4" w:rsidRPr="009B556E" w:rsidRDefault="00D85CC4" w:rsidP="00C44A6F">
            <w:pPr>
              <w:jc w:val="both"/>
              <w:rPr>
                <w:sz w:val="20"/>
              </w:rPr>
            </w:pPr>
          </w:p>
        </w:tc>
        <w:tc>
          <w:tcPr>
            <w:tcW w:w="2330" w:type="pct"/>
          </w:tcPr>
          <w:p w:rsidR="00D85CC4" w:rsidRPr="009B556E" w:rsidRDefault="00D85CC4" w:rsidP="00C44A6F">
            <w:pPr>
              <w:jc w:val="both"/>
              <w:rPr>
                <w:sz w:val="20"/>
              </w:rPr>
            </w:pPr>
            <w:r w:rsidRPr="009B556E">
              <w:rPr>
                <w:sz w:val="20"/>
              </w:rPr>
              <w:t>Application for extension of time to apply to vary decision and application to vary decision quashed; Application to appoint counsel dismissed</w:t>
            </w:r>
          </w:p>
          <w:p w:rsidR="00D85CC4" w:rsidRPr="009B556E" w:rsidRDefault="00D85CC4" w:rsidP="00C44A6F">
            <w:pPr>
              <w:jc w:val="both"/>
              <w:rPr>
                <w:sz w:val="20"/>
              </w:rPr>
            </w:pPr>
          </w:p>
        </w:tc>
      </w:tr>
      <w:tr w:rsidR="00D85CC4" w:rsidRPr="009B556E" w:rsidTr="00C44A6F">
        <w:tc>
          <w:tcPr>
            <w:tcW w:w="2427" w:type="pct"/>
          </w:tcPr>
          <w:p w:rsidR="00D85CC4" w:rsidRPr="009B556E" w:rsidRDefault="00D85CC4" w:rsidP="00C44A6F">
            <w:pPr>
              <w:jc w:val="both"/>
              <w:rPr>
                <w:sz w:val="20"/>
              </w:rPr>
            </w:pPr>
            <w:r w:rsidRPr="009B556E">
              <w:rPr>
                <w:sz w:val="20"/>
              </w:rPr>
              <w:t>November 4, 2014</w:t>
            </w:r>
          </w:p>
          <w:p w:rsidR="00D85CC4" w:rsidRPr="009B556E" w:rsidRDefault="00D85CC4" w:rsidP="00C44A6F">
            <w:pPr>
              <w:jc w:val="both"/>
              <w:rPr>
                <w:sz w:val="20"/>
              </w:rPr>
            </w:pPr>
            <w:r w:rsidRPr="009B556E">
              <w:rPr>
                <w:sz w:val="20"/>
              </w:rPr>
              <w:t>Supreme Court of Canada</w:t>
            </w:r>
          </w:p>
        </w:tc>
        <w:tc>
          <w:tcPr>
            <w:tcW w:w="243" w:type="pct"/>
          </w:tcPr>
          <w:p w:rsidR="00D85CC4" w:rsidRPr="009B556E" w:rsidRDefault="00D85CC4" w:rsidP="00C44A6F">
            <w:pPr>
              <w:jc w:val="both"/>
              <w:rPr>
                <w:sz w:val="20"/>
              </w:rPr>
            </w:pPr>
          </w:p>
        </w:tc>
        <w:tc>
          <w:tcPr>
            <w:tcW w:w="2330" w:type="pct"/>
          </w:tcPr>
          <w:p w:rsidR="00D85CC4" w:rsidRPr="009B556E" w:rsidRDefault="00D85CC4" w:rsidP="00C44A6F">
            <w:pPr>
              <w:jc w:val="both"/>
              <w:rPr>
                <w:sz w:val="20"/>
              </w:rPr>
            </w:pPr>
            <w:r w:rsidRPr="009B556E">
              <w:rPr>
                <w:sz w:val="20"/>
              </w:rPr>
              <w:t>Application for extension of time to serve and file application for leave to appeal and Application for leave to appeal filed</w:t>
            </w:r>
          </w:p>
        </w:tc>
      </w:tr>
    </w:tbl>
    <w:p w:rsidR="00D85CC4" w:rsidRDefault="00D85CC4" w:rsidP="0089171C">
      <w:pPr>
        <w:rPr>
          <w:sz w:val="20"/>
          <w:szCs w:val="20"/>
        </w:rPr>
      </w:pPr>
    </w:p>
    <w:p w:rsidR="0089171C" w:rsidRPr="00C50A5C" w:rsidRDefault="00D82946" w:rsidP="0089171C">
      <w:pPr>
        <w:rPr>
          <w:sz w:val="20"/>
          <w:szCs w:val="20"/>
        </w:rPr>
      </w:pPr>
      <w:r>
        <w:rPr>
          <w:sz w:val="20"/>
          <w:szCs w:val="20"/>
          <w:lang w:val="fr-CA"/>
        </w:rPr>
        <w:pict>
          <v:rect id="_x0000_i1042" style="width:2in;height:1pt" o:hrpct="0" o:hralign="center" o:hrstd="t" o:hrnoshade="t" o:hr="t" fillcolor="black [3213]" stroked="f"/>
        </w:pict>
      </w:r>
    </w:p>
    <w:p w:rsidR="00AA42C0" w:rsidRDefault="00AA42C0">
      <w:pPr>
        <w:rPr>
          <w:sz w:val="20"/>
          <w:szCs w:val="20"/>
        </w:rPr>
      </w:pPr>
      <w:r>
        <w:rPr>
          <w:sz w:val="20"/>
          <w:szCs w:val="20"/>
        </w:rPr>
        <w:br w:type="page"/>
      </w:r>
    </w:p>
    <w:p w:rsidR="0089171C" w:rsidRPr="001B157C" w:rsidRDefault="0089171C" w:rsidP="0089171C">
      <w:pPr>
        <w:rPr>
          <w:sz w:val="20"/>
          <w:szCs w:val="20"/>
          <w:u w:val="single"/>
          <w:lang w:val="fr-CA"/>
        </w:rPr>
      </w:pPr>
      <w:r w:rsidRPr="001B157C">
        <w:rPr>
          <w:sz w:val="20"/>
          <w:szCs w:val="20"/>
          <w:u w:val="single"/>
          <w:lang w:val="fr-CA"/>
        </w:rPr>
        <w:lastRenderedPageBreak/>
        <w:t>RÉSUMÉ DE L’AFFAIRE</w:t>
      </w:r>
    </w:p>
    <w:p w:rsidR="0089171C" w:rsidRDefault="0089171C" w:rsidP="0089171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85CC4" w:rsidRPr="0009493C" w:rsidTr="00C44A6F">
        <w:tc>
          <w:tcPr>
            <w:tcW w:w="5000" w:type="pct"/>
            <w:gridSpan w:val="3"/>
          </w:tcPr>
          <w:p w:rsidR="00D85CC4" w:rsidRPr="009B556E" w:rsidRDefault="00D85CC4" w:rsidP="00C44A6F">
            <w:pPr>
              <w:jc w:val="both"/>
              <w:rPr>
                <w:smallCaps/>
                <w:sz w:val="20"/>
                <w:lang w:val="fr-CA"/>
              </w:rPr>
            </w:pPr>
            <w:r w:rsidRPr="009B556E">
              <w:rPr>
                <w:smallCaps/>
                <w:sz w:val="20"/>
                <w:lang w:val="fr-CA"/>
              </w:rPr>
              <w:t>(Ordonnance de non-publication dans le dossier)</w:t>
            </w:r>
          </w:p>
          <w:p w:rsidR="00D85CC4" w:rsidRPr="009B556E" w:rsidRDefault="00D85CC4" w:rsidP="00C44A6F">
            <w:pPr>
              <w:jc w:val="both"/>
              <w:rPr>
                <w:i/>
                <w:sz w:val="20"/>
                <w:lang w:val="fr-CA"/>
              </w:rPr>
            </w:pPr>
          </w:p>
          <w:p w:rsidR="00D85CC4" w:rsidRPr="009B556E" w:rsidRDefault="00D85CC4" w:rsidP="00C44A6F">
            <w:pPr>
              <w:jc w:val="both"/>
              <w:rPr>
                <w:sz w:val="20"/>
                <w:lang w:val="fr-CA"/>
              </w:rPr>
            </w:pPr>
            <w:r w:rsidRPr="009B556E">
              <w:rPr>
                <w:i/>
                <w:sz w:val="20"/>
                <w:lang w:val="fr-CA"/>
              </w:rPr>
              <w:t>Charte canadienne des droits et libertés</w:t>
            </w:r>
            <w:r w:rsidRPr="009B556E">
              <w:rPr>
                <w:sz w:val="20"/>
                <w:lang w:val="fr-CA"/>
              </w:rPr>
              <w:t xml:space="preserve"> – Liberté de conscience et de religion – Liberté d’expression – Droit à la libération sous caution – Droit criminel – Appel – Autorisation d’appel – Le demandeur soulève-t-il une question de droit – L’affaire soulève-t-elle une question d’importance pour le public?</w:t>
            </w:r>
          </w:p>
        </w:tc>
      </w:tr>
      <w:tr w:rsidR="00D85CC4" w:rsidRPr="0009493C" w:rsidTr="00C44A6F">
        <w:tc>
          <w:tcPr>
            <w:tcW w:w="5000" w:type="pct"/>
            <w:gridSpan w:val="3"/>
          </w:tcPr>
          <w:p w:rsidR="00D85CC4" w:rsidRPr="009B556E" w:rsidRDefault="00D85CC4" w:rsidP="00C44A6F">
            <w:pPr>
              <w:jc w:val="both"/>
              <w:rPr>
                <w:sz w:val="20"/>
                <w:lang w:val="fr-CA"/>
              </w:rPr>
            </w:pPr>
          </w:p>
        </w:tc>
      </w:tr>
      <w:tr w:rsidR="00D85CC4" w:rsidRPr="0009493C" w:rsidTr="00C44A6F">
        <w:tc>
          <w:tcPr>
            <w:tcW w:w="5000" w:type="pct"/>
            <w:gridSpan w:val="3"/>
          </w:tcPr>
          <w:p w:rsidR="00D85CC4" w:rsidRPr="009B556E" w:rsidRDefault="00D85CC4" w:rsidP="00C44A6F">
            <w:pPr>
              <w:jc w:val="both"/>
              <w:rPr>
                <w:sz w:val="20"/>
                <w:lang w:val="fr-CA"/>
              </w:rPr>
            </w:pPr>
            <w:r w:rsidRPr="009B556E">
              <w:rPr>
                <w:sz w:val="20"/>
                <w:lang w:val="fr-CA"/>
              </w:rPr>
              <w:t xml:space="preserve">Monsieur Staetter </w:t>
            </w:r>
            <w:r w:rsidRPr="009B556E">
              <w:rPr>
                <w:color w:val="000000"/>
                <w:sz w:val="20"/>
                <w:lang w:val="fr-CA"/>
              </w:rPr>
              <w:t xml:space="preserve">a été inculpé de deux chefs d’avoir proféré des menaces et de </w:t>
            </w:r>
            <w:r w:rsidRPr="009B556E">
              <w:rPr>
                <w:sz w:val="20"/>
                <w:lang w:val="fr-CA"/>
              </w:rPr>
              <w:t xml:space="preserve">deux chefs de harcèlement criminel.  Le ministère public a notamment mis en preuve de nombreux messages textes menaçants que M. Staetter avaient fait parvenir à la plaignante et de nombreux messages téléphoniques laissés à la plaignante et au père de cette dernière.  Un psychiatre a témoigné que M. Staetter souffrait vraisemblablement d’un trouble schizo-affectif. </w:t>
            </w:r>
          </w:p>
          <w:p w:rsidR="00D85CC4" w:rsidRPr="009B556E" w:rsidRDefault="00D85CC4" w:rsidP="00C44A6F">
            <w:pPr>
              <w:jc w:val="both"/>
              <w:rPr>
                <w:sz w:val="20"/>
                <w:lang w:val="fr-CA"/>
              </w:rPr>
            </w:pPr>
          </w:p>
        </w:tc>
      </w:tr>
      <w:tr w:rsidR="00D85CC4" w:rsidRPr="0009493C" w:rsidTr="00C44A6F">
        <w:tc>
          <w:tcPr>
            <w:tcW w:w="2427" w:type="pct"/>
          </w:tcPr>
          <w:p w:rsidR="00D85CC4" w:rsidRPr="009B556E" w:rsidRDefault="00D85CC4" w:rsidP="00C44A6F">
            <w:pPr>
              <w:jc w:val="both"/>
              <w:rPr>
                <w:sz w:val="20"/>
                <w:lang w:val="fr-CA"/>
              </w:rPr>
            </w:pPr>
            <w:r w:rsidRPr="009B556E">
              <w:rPr>
                <w:sz w:val="20"/>
                <w:lang w:val="fr-CA"/>
              </w:rPr>
              <w:t>19 octobre 2012</w:t>
            </w:r>
          </w:p>
          <w:p w:rsidR="00D85CC4" w:rsidRPr="009B556E" w:rsidRDefault="00D85CC4" w:rsidP="00C44A6F">
            <w:pPr>
              <w:jc w:val="both"/>
              <w:rPr>
                <w:sz w:val="20"/>
                <w:lang w:val="fr-CA"/>
              </w:rPr>
            </w:pPr>
            <w:r w:rsidRPr="009B556E">
              <w:rPr>
                <w:sz w:val="20"/>
                <w:lang w:val="fr-CA"/>
              </w:rPr>
              <w:t>Cour provinciale de la Colombie-Britannique</w:t>
            </w:r>
          </w:p>
          <w:p w:rsidR="00D85CC4" w:rsidRPr="009B556E" w:rsidRDefault="00D85CC4" w:rsidP="00C44A6F">
            <w:pPr>
              <w:jc w:val="both"/>
              <w:rPr>
                <w:sz w:val="20"/>
                <w:lang w:val="fr-CA"/>
              </w:rPr>
            </w:pPr>
            <w:r w:rsidRPr="009B556E">
              <w:rPr>
                <w:sz w:val="20"/>
                <w:lang w:val="fr-CA"/>
              </w:rPr>
              <w:t>(Juge Challenger)</w:t>
            </w:r>
          </w:p>
          <w:p w:rsidR="00D85CC4" w:rsidRPr="009B556E" w:rsidRDefault="00D85CC4" w:rsidP="00C44A6F">
            <w:pPr>
              <w:jc w:val="both"/>
              <w:rPr>
                <w:sz w:val="20"/>
                <w:lang w:val="fr-CA"/>
              </w:rPr>
            </w:pPr>
            <w:r w:rsidRPr="009B556E">
              <w:rPr>
                <w:sz w:val="20"/>
                <w:lang w:val="fr-CA"/>
              </w:rPr>
              <w:t>2012 BCPC 413</w:t>
            </w:r>
          </w:p>
        </w:tc>
        <w:tc>
          <w:tcPr>
            <w:tcW w:w="243" w:type="pct"/>
          </w:tcPr>
          <w:p w:rsidR="00D85CC4" w:rsidRPr="009B556E" w:rsidRDefault="00D85CC4" w:rsidP="00C44A6F">
            <w:pPr>
              <w:jc w:val="both"/>
              <w:rPr>
                <w:sz w:val="20"/>
                <w:lang w:val="fr-CA"/>
              </w:rPr>
            </w:pPr>
          </w:p>
        </w:tc>
        <w:tc>
          <w:tcPr>
            <w:tcW w:w="2330" w:type="pct"/>
          </w:tcPr>
          <w:p w:rsidR="00D85CC4" w:rsidRPr="009B556E" w:rsidRDefault="00D85CC4" w:rsidP="00C44A6F">
            <w:pPr>
              <w:jc w:val="both"/>
              <w:rPr>
                <w:sz w:val="20"/>
                <w:lang w:val="fr-CA"/>
              </w:rPr>
            </w:pPr>
            <w:r w:rsidRPr="009B556E">
              <w:rPr>
                <w:sz w:val="20"/>
                <w:lang w:val="fr-CA"/>
              </w:rPr>
              <w:t>Jugement déclarant que le demandeur n’est pas criminellement responsable de deux chefs d’avoir proféré des menaces et d’un chef de harcèlement criminel pour cause de troubles mentaux; placement sous garde dans un hôpital psychiatrique</w:t>
            </w:r>
          </w:p>
          <w:p w:rsidR="00D85CC4" w:rsidRPr="009B556E" w:rsidRDefault="00D85CC4" w:rsidP="00C44A6F">
            <w:pPr>
              <w:jc w:val="both"/>
              <w:rPr>
                <w:sz w:val="20"/>
                <w:lang w:val="fr-CA"/>
              </w:rPr>
            </w:pPr>
          </w:p>
        </w:tc>
      </w:tr>
      <w:tr w:rsidR="00D85CC4" w:rsidRPr="0009493C" w:rsidTr="00C44A6F">
        <w:tc>
          <w:tcPr>
            <w:tcW w:w="2427" w:type="pct"/>
          </w:tcPr>
          <w:p w:rsidR="00D85CC4" w:rsidRPr="009B556E" w:rsidRDefault="00D85CC4" w:rsidP="00C44A6F">
            <w:pPr>
              <w:jc w:val="both"/>
              <w:rPr>
                <w:sz w:val="20"/>
                <w:lang w:val="fr-CA"/>
              </w:rPr>
            </w:pPr>
            <w:r w:rsidRPr="009B556E">
              <w:rPr>
                <w:sz w:val="20"/>
                <w:lang w:val="fr-CA"/>
              </w:rPr>
              <w:t>27 novembre 2012</w:t>
            </w:r>
          </w:p>
          <w:p w:rsidR="00D85CC4" w:rsidRPr="009B556E" w:rsidRDefault="00D85CC4" w:rsidP="00C44A6F">
            <w:pPr>
              <w:jc w:val="both"/>
              <w:rPr>
                <w:sz w:val="20"/>
                <w:lang w:val="fr-CA"/>
              </w:rPr>
            </w:pPr>
            <w:r w:rsidRPr="009B556E">
              <w:rPr>
                <w:sz w:val="20"/>
                <w:lang w:val="fr-CA"/>
              </w:rPr>
              <w:t>British Columbia Review Board</w:t>
            </w:r>
          </w:p>
          <w:p w:rsidR="00D85CC4" w:rsidRPr="009B556E" w:rsidRDefault="00D85CC4" w:rsidP="00C44A6F">
            <w:pPr>
              <w:jc w:val="both"/>
              <w:rPr>
                <w:sz w:val="20"/>
                <w:lang w:val="fr-CA"/>
              </w:rPr>
            </w:pPr>
          </w:p>
        </w:tc>
        <w:tc>
          <w:tcPr>
            <w:tcW w:w="243" w:type="pct"/>
          </w:tcPr>
          <w:p w:rsidR="00D85CC4" w:rsidRPr="009B556E" w:rsidRDefault="00D85CC4" w:rsidP="00C44A6F">
            <w:pPr>
              <w:jc w:val="both"/>
              <w:rPr>
                <w:sz w:val="20"/>
                <w:lang w:val="fr-CA"/>
              </w:rPr>
            </w:pPr>
          </w:p>
        </w:tc>
        <w:tc>
          <w:tcPr>
            <w:tcW w:w="2330" w:type="pct"/>
          </w:tcPr>
          <w:p w:rsidR="00D85CC4" w:rsidRPr="009B556E" w:rsidRDefault="00D85CC4" w:rsidP="00C44A6F">
            <w:pPr>
              <w:jc w:val="both"/>
              <w:rPr>
                <w:sz w:val="20"/>
                <w:lang w:val="fr-CA"/>
              </w:rPr>
            </w:pPr>
            <w:r w:rsidRPr="009B556E">
              <w:rPr>
                <w:sz w:val="20"/>
                <w:lang w:val="fr-CA"/>
              </w:rPr>
              <w:t>Ordonnance de placement sous garde</w:t>
            </w:r>
          </w:p>
        </w:tc>
      </w:tr>
      <w:tr w:rsidR="00D85CC4" w:rsidRPr="0009493C" w:rsidTr="00C44A6F">
        <w:tc>
          <w:tcPr>
            <w:tcW w:w="2427" w:type="pct"/>
          </w:tcPr>
          <w:p w:rsidR="00D85CC4" w:rsidRPr="009B556E" w:rsidRDefault="00D85CC4" w:rsidP="00C44A6F">
            <w:pPr>
              <w:jc w:val="both"/>
              <w:rPr>
                <w:sz w:val="20"/>
                <w:lang w:val="fr-CA"/>
              </w:rPr>
            </w:pPr>
            <w:r w:rsidRPr="009B556E">
              <w:rPr>
                <w:sz w:val="20"/>
                <w:lang w:val="fr-CA"/>
              </w:rPr>
              <w:t>8 mars 2013</w:t>
            </w:r>
          </w:p>
          <w:p w:rsidR="00D85CC4" w:rsidRPr="009B556E" w:rsidRDefault="00D85CC4" w:rsidP="00C44A6F">
            <w:pPr>
              <w:jc w:val="both"/>
              <w:rPr>
                <w:sz w:val="20"/>
                <w:lang w:val="fr-CA"/>
              </w:rPr>
            </w:pPr>
            <w:r w:rsidRPr="009B556E">
              <w:rPr>
                <w:sz w:val="20"/>
                <w:lang w:val="fr-CA"/>
              </w:rPr>
              <w:t>Cour suprême de la Colombie-Britannique</w:t>
            </w:r>
          </w:p>
          <w:p w:rsidR="00D85CC4" w:rsidRPr="009B556E" w:rsidRDefault="00D85CC4" w:rsidP="00C44A6F">
            <w:pPr>
              <w:jc w:val="both"/>
              <w:rPr>
                <w:sz w:val="20"/>
                <w:lang w:val="fr-CA"/>
              </w:rPr>
            </w:pPr>
            <w:r w:rsidRPr="009B556E">
              <w:rPr>
                <w:sz w:val="20"/>
                <w:lang w:val="fr-CA"/>
              </w:rPr>
              <w:t>(Juge Schultes)</w:t>
            </w:r>
          </w:p>
          <w:p w:rsidR="00D85CC4" w:rsidRPr="009B556E" w:rsidRDefault="00D85CC4" w:rsidP="00C44A6F">
            <w:pPr>
              <w:jc w:val="both"/>
              <w:rPr>
                <w:sz w:val="20"/>
                <w:lang w:val="fr-CA"/>
              </w:rPr>
            </w:pPr>
            <w:r w:rsidRPr="009B556E">
              <w:rPr>
                <w:sz w:val="20"/>
                <w:lang w:val="fr-CA"/>
              </w:rPr>
              <w:t>2013 BCSC 821</w:t>
            </w:r>
          </w:p>
          <w:p w:rsidR="00D85CC4" w:rsidRPr="009B556E" w:rsidRDefault="00D85CC4" w:rsidP="00C44A6F">
            <w:pPr>
              <w:jc w:val="both"/>
              <w:rPr>
                <w:sz w:val="20"/>
                <w:lang w:val="fr-CA"/>
              </w:rPr>
            </w:pPr>
          </w:p>
        </w:tc>
        <w:tc>
          <w:tcPr>
            <w:tcW w:w="243" w:type="pct"/>
          </w:tcPr>
          <w:p w:rsidR="00D85CC4" w:rsidRPr="009B556E" w:rsidRDefault="00D85CC4" w:rsidP="00C44A6F">
            <w:pPr>
              <w:jc w:val="both"/>
              <w:rPr>
                <w:sz w:val="20"/>
                <w:lang w:val="fr-CA"/>
              </w:rPr>
            </w:pPr>
          </w:p>
        </w:tc>
        <w:tc>
          <w:tcPr>
            <w:tcW w:w="2330" w:type="pct"/>
          </w:tcPr>
          <w:p w:rsidR="00D85CC4" w:rsidRPr="009B556E" w:rsidRDefault="00D85CC4" w:rsidP="00C44A6F">
            <w:pPr>
              <w:jc w:val="both"/>
              <w:rPr>
                <w:sz w:val="20"/>
                <w:lang w:val="fr-CA"/>
              </w:rPr>
            </w:pPr>
            <w:r w:rsidRPr="009B556E">
              <w:rPr>
                <w:sz w:val="20"/>
                <w:lang w:val="fr-CA"/>
              </w:rPr>
              <w:t xml:space="preserve">Rejet de la demande de prorogation du délai d’appel du verdict de non-responsabilité criminelle pour cause de troubles mentaux </w:t>
            </w:r>
          </w:p>
          <w:p w:rsidR="00D85CC4" w:rsidRPr="009B556E" w:rsidRDefault="00D85CC4" w:rsidP="00C44A6F">
            <w:pPr>
              <w:jc w:val="both"/>
              <w:rPr>
                <w:sz w:val="20"/>
                <w:lang w:val="fr-CA"/>
              </w:rPr>
            </w:pPr>
          </w:p>
        </w:tc>
      </w:tr>
      <w:tr w:rsidR="00D85CC4" w:rsidRPr="0009493C" w:rsidTr="00C44A6F">
        <w:tc>
          <w:tcPr>
            <w:tcW w:w="2427" w:type="pct"/>
          </w:tcPr>
          <w:p w:rsidR="00D85CC4" w:rsidRPr="009B556E" w:rsidRDefault="00D85CC4" w:rsidP="00C44A6F">
            <w:pPr>
              <w:jc w:val="both"/>
              <w:rPr>
                <w:sz w:val="20"/>
                <w:lang w:val="fr-CA"/>
              </w:rPr>
            </w:pPr>
            <w:r w:rsidRPr="009B556E">
              <w:rPr>
                <w:sz w:val="20"/>
                <w:lang w:val="fr-CA"/>
              </w:rPr>
              <w:t>26 juin 2013</w:t>
            </w:r>
          </w:p>
          <w:p w:rsidR="00D85CC4" w:rsidRPr="009B556E" w:rsidRDefault="00D85CC4" w:rsidP="00C44A6F">
            <w:pPr>
              <w:jc w:val="both"/>
              <w:rPr>
                <w:sz w:val="20"/>
                <w:lang w:val="fr-CA"/>
              </w:rPr>
            </w:pPr>
            <w:r w:rsidRPr="009B556E">
              <w:rPr>
                <w:sz w:val="20"/>
                <w:lang w:val="fr-CA"/>
              </w:rPr>
              <w:t>Cour d’appel de la Colombie-Britannique</w:t>
            </w:r>
          </w:p>
          <w:p w:rsidR="00D85CC4" w:rsidRPr="009B556E" w:rsidRDefault="00D85CC4" w:rsidP="00C44A6F">
            <w:pPr>
              <w:jc w:val="both"/>
              <w:rPr>
                <w:sz w:val="20"/>
                <w:lang w:val="fr-CA"/>
              </w:rPr>
            </w:pPr>
            <w:r w:rsidRPr="009B556E">
              <w:rPr>
                <w:sz w:val="20"/>
                <w:lang w:val="fr-CA"/>
              </w:rPr>
              <w:t>(Vancouver)</w:t>
            </w:r>
          </w:p>
          <w:p w:rsidR="00D85CC4" w:rsidRPr="009B556E" w:rsidRDefault="00D85CC4" w:rsidP="00C44A6F">
            <w:pPr>
              <w:jc w:val="both"/>
              <w:rPr>
                <w:sz w:val="20"/>
                <w:lang w:val="fr-CA"/>
              </w:rPr>
            </w:pPr>
            <w:r w:rsidRPr="009B556E">
              <w:rPr>
                <w:sz w:val="20"/>
                <w:lang w:val="fr-CA"/>
              </w:rPr>
              <w:t>(Juge Lowry, en son cabinet)</w:t>
            </w:r>
          </w:p>
          <w:p w:rsidR="00D85CC4" w:rsidRPr="009B556E" w:rsidRDefault="00D85CC4" w:rsidP="00C44A6F">
            <w:pPr>
              <w:jc w:val="both"/>
              <w:rPr>
                <w:sz w:val="20"/>
                <w:lang w:val="fr-CA"/>
              </w:rPr>
            </w:pPr>
          </w:p>
        </w:tc>
        <w:tc>
          <w:tcPr>
            <w:tcW w:w="243" w:type="pct"/>
          </w:tcPr>
          <w:p w:rsidR="00D85CC4" w:rsidRPr="009B556E" w:rsidRDefault="00D85CC4" w:rsidP="00C44A6F">
            <w:pPr>
              <w:jc w:val="both"/>
              <w:rPr>
                <w:sz w:val="20"/>
                <w:lang w:val="fr-CA"/>
              </w:rPr>
            </w:pPr>
          </w:p>
        </w:tc>
        <w:tc>
          <w:tcPr>
            <w:tcW w:w="2330" w:type="pct"/>
          </w:tcPr>
          <w:p w:rsidR="00D85CC4" w:rsidRPr="009B556E" w:rsidRDefault="00D85CC4" w:rsidP="00C44A6F">
            <w:pPr>
              <w:jc w:val="both"/>
              <w:rPr>
                <w:sz w:val="20"/>
                <w:lang w:val="fr-CA"/>
              </w:rPr>
            </w:pPr>
            <w:r w:rsidRPr="009B556E">
              <w:rPr>
                <w:sz w:val="20"/>
                <w:lang w:val="fr-CA"/>
              </w:rPr>
              <w:t>Rejet de la demande d’autorisation d’appel</w:t>
            </w:r>
          </w:p>
          <w:p w:rsidR="00D85CC4" w:rsidRPr="009B556E" w:rsidRDefault="00D85CC4" w:rsidP="00C44A6F">
            <w:pPr>
              <w:jc w:val="both"/>
              <w:rPr>
                <w:sz w:val="20"/>
                <w:lang w:val="fr-CA"/>
              </w:rPr>
            </w:pPr>
          </w:p>
        </w:tc>
      </w:tr>
      <w:tr w:rsidR="00D85CC4" w:rsidRPr="0009493C" w:rsidTr="00C44A6F">
        <w:tc>
          <w:tcPr>
            <w:tcW w:w="2427" w:type="pct"/>
          </w:tcPr>
          <w:p w:rsidR="00D85CC4" w:rsidRPr="009B556E" w:rsidRDefault="00D85CC4" w:rsidP="00C44A6F">
            <w:pPr>
              <w:jc w:val="both"/>
              <w:rPr>
                <w:sz w:val="20"/>
                <w:lang w:val="fr-CA"/>
              </w:rPr>
            </w:pPr>
            <w:r w:rsidRPr="009B556E">
              <w:rPr>
                <w:sz w:val="20"/>
                <w:lang w:val="fr-CA"/>
              </w:rPr>
              <w:t>22 juillet 2014</w:t>
            </w:r>
          </w:p>
          <w:p w:rsidR="00D85CC4" w:rsidRPr="009B556E" w:rsidRDefault="00D85CC4" w:rsidP="00C44A6F">
            <w:pPr>
              <w:jc w:val="both"/>
              <w:rPr>
                <w:sz w:val="20"/>
                <w:lang w:val="fr-CA"/>
              </w:rPr>
            </w:pPr>
            <w:r w:rsidRPr="009B556E">
              <w:rPr>
                <w:sz w:val="20"/>
                <w:lang w:val="fr-CA"/>
              </w:rPr>
              <w:t>Cour d’appel de la Colombie-Britannique</w:t>
            </w:r>
          </w:p>
          <w:p w:rsidR="00D85CC4" w:rsidRPr="009B556E" w:rsidRDefault="00D85CC4" w:rsidP="00C44A6F">
            <w:pPr>
              <w:jc w:val="both"/>
              <w:rPr>
                <w:sz w:val="20"/>
                <w:lang w:val="fr-CA"/>
              </w:rPr>
            </w:pPr>
            <w:r w:rsidRPr="009B556E">
              <w:rPr>
                <w:sz w:val="20"/>
                <w:lang w:val="fr-CA"/>
              </w:rPr>
              <w:t>(Vancouver)</w:t>
            </w:r>
          </w:p>
          <w:p w:rsidR="00D85CC4" w:rsidRPr="009B556E" w:rsidRDefault="00D85CC4" w:rsidP="00C44A6F">
            <w:pPr>
              <w:jc w:val="both"/>
              <w:rPr>
                <w:sz w:val="20"/>
                <w:lang w:val="fr-CA"/>
              </w:rPr>
            </w:pPr>
            <w:r w:rsidRPr="009B556E">
              <w:rPr>
                <w:sz w:val="20"/>
                <w:lang w:val="fr-CA"/>
              </w:rPr>
              <w:t>(Juges Bauman, Smith et Stromberg-Stein)</w:t>
            </w:r>
          </w:p>
          <w:p w:rsidR="00D85CC4" w:rsidRPr="009B556E" w:rsidRDefault="00D85CC4" w:rsidP="00C44A6F">
            <w:pPr>
              <w:jc w:val="both"/>
              <w:rPr>
                <w:sz w:val="20"/>
                <w:lang w:val="fr-CA"/>
              </w:rPr>
            </w:pPr>
            <w:r w:rsidRPr="009B556E">
              <w:rPr>
                <w:sz w:val="20"/>
                <w:lang w:val="fr-CA"/>
              </w:rPr>
              <w:t>CA040770; 2014 BCCA 294</w:t>
            </w:r>
          </w:p>
          <w:p w:rsidR="00D85CC4" w:rsidRPr="009B556E" w:rsidRDefault="00D85CC4" w:rsidP="00C44A6F">
            <w:pPr>
              <w:jc w:val="both"/>
              <w:rPr>
                <w:sz w:val="20"/>
                <w:lang w:val="fr-CA"/>
              </w:rPr>
            </w:pPr>
          </w:p>
        </w:tc>
        <w:tc>
          <w:tcPr>
            <w:tcW w:w="243" w:type="pct"/>
          </w:tcPr>
          <w:p w:rsidR="00D85CC4" w:rsidRPr="009B556E" w:rsidRDefault="00D85CC4" w:rsidP="00C44A6F">
            <w:pPr>
              <w:jc w:val="both"/>
              <w:rPr>
                <w:sz w:val="20"/>
                <w:lang w:val="fr-CA"/>
              </w:rPr>
            </w:pPr>
          </w:p>
        </w:tc>
        <w:tc>
          <w:tcPr>
            <w:tcW w:w="2330" w:type="pct"/>
          </w:tcPr>
          <w:p w:rsidR="00D85CC4" w:rsidRPr="009B556E" w:rsidRDefault="00D85CC4" w:rsidP="00C44A6F">
            <w:pPr>
              <w:jc w:val="both"/>
              <w:rPr>
                <w:sz w:val="20"/>
                <w:lang w:val="fr-CA"/>
              </w:rPr>
            </w:pPr>
            <w:r w:rsidRPr="009B556E">
              <w:rPr>
                <w:sz w:val="20"/>
                <w:lang w:val="fr-CA"/>
              </w:rPr>
              <w:t>Annulation de la demande de prorogation du délai de présentation d’une demande de modification de la décision; rejet de la requête en nomination d’un procureur</w:t>
            </w:r>
          </w:p>
          <w:p w:rsidR="00D85CC4" w:rsidRPr="009B556E" w:rsidRDefault="00D85CC4" w:rsidP="00C44A6F">
            <w:pPr>
              <w:jc w:val="both"/>
              <w:rPr>
                <w:sz w:val="20"/>
                <w:lang w:val="fr-CA"/>
              </w:rPr>
            </w:pPr>
          </w:p>
        </w:tc>
      </w:tr>
      <w:tr w:rsidR="00D85CC4" w:rsidRPr="0009493C" w:rsidTr="00C44A6F">
        <w:tc>
          <w:tcPr>
            <w:tcW w:w="2427" w:type="pct"/>
          </w:tcPr>
          <w:p w:rsidR="00D85CC4" w:rsidRPr="009B556E" w:rsidRDefault="00D85CC4" w:rsidP="00C44A6F">
            <w:pPr>
              <w:jc w:val="both"/>
              <w:rPr>
                <w:sz w:val="20"/>
                <w:lang w:val="fr-CA"/>
              </w:rPr>
            </w:pPr>
            <w:r w:rsidRPr="009B556E">
              <w:rPr>
                <w:sz w:val="20"/>
                <w:lang w:val="fr-CA"/>
              </w:rPr>
              <w:t>4 novembre 2014</w:t>
            </w:r>
          </w:p>
          <w:p w:rsidR="00D85CC4" w:rsidRPr="009B556E" w:rsidRDefault="00D85CC4" w:rsidP="00C44A6F">
            <w:pPr>
              <w:jc w:val="both"/>
              <w:rPr>
                <w:sz w:val="20"/>
                <w:lang w:val="fr-CA"/>
              </w:rPr>
            </w:pPr>
            <w:r w:rsidRPr="009B556E">
              <w:rPr>
                <w:sz w:val="20"/>
                <w:lang w:val="fr-CA"/>
              </w:rPr>
              <w:t>Cour suprême du Canada</w:t>
            </w:r>
          </w:p>
        </w:tc>
        <w:tc>
          <w:tcPr>
            <w:tcW w:w="243" w:type="pct"/>
          </w:tcPr>
          <w:p w:rsidR="00D85CC4" w:rsidRPr="009B556E" w:rsidRDefault="00D85CC4" w:rsidP="00C44A6F">
            <w:pPr>
              <w:jc w:val="both"/>
              <w:rPr>
                <w:sz w:val="20"/>
                <w:lang w:val="fr-CA"/>
              </w:rPr>
            </w:pPr>
          </w:p>
        </w:tc>
        <w:tc>
          <w:tcPr>
            <w:tcW w:w="2330" w:type="pct"/>
          </w:tcPr>
          <w:p w:rsidR="00D85CC4" w:rsidRPr="009B556E" w:rsidRDefault="00D85CC4" w:rsidP="00C44A6F">
            <w:pPr>
              <w:jc w:val="both"/>
              <w:rPr>
                <w:sz w:val="20"/>
                <w:lang w:val="fr-CA"/>
              </w:rPr>
            </w:pPr>
            <w:r w:rsidRPr="009B556E">
              <w:rPr>
                <w:sz w:val="20"/>
                <w:lang w:val="fr-CA"/>
              </w:rPr>
              <w:t xml:space="preserve">Dépôt de la demande de prorogation du délai de signification et de dépôt de la demande d’autorisation d’appel et de la demande d’autorisation d’appel </w:t>
            </w:r>
          </w:p>
        </w:tc>
      </w:tr>
    </w:tbl>
    <w:p w:rsidR="0089171C" w:rsidRPr="00D85CC4" w:rsidRDefault="0089171C" w:rsidP="0089171C">
      <w:pPr>
        <w:rPr>
          <w:sz w:val="20"/>
          <w:szCs w:val="20"/>
          <w:lang w:val="fr-CA"/>
        </w:rPr>
      </w:pPr>
    </w:p>
    <w:p w:rsidR="0089171C" w:rsidRDefault="00D82946" w:rsidP="0089171C">
      <w:pPr>
        <w:rPr>
          <w:sz w:val="20"/>
          <w:szCs w:val="20"/>
        </w:rPr>
      </w:pPr>
      <w:r>
        <w:rPr>
          <w:sz w:val="20"/>
          <w:szCs w:val="20"/>
          <w:lang w:val="fr-CA"/>
        </w:rPr>
        <w:pict>
          <v:rect id="_x0000_i1043" style="width:2in;height:1pt" o:hrpct="0" o:hralign="center" o:hrstd="t" o:hrnoshade="t" o:hr="t" fillcolor="black [3213]" stroked="f"/>
        </w:pict>
      </w:r>
    </w:p>
    <w:p w:rsidR="0089171C" w:rsidRDefault="0089171C" w:rsidP="0089171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645BF5" w:rsidRPr="00BC108B" w:rsidTr="00DF0FFF">
        <w:trPr>
          <w:cantSplit/>
        </w:trPr>
        <w:tc>
          <w:tcPr>
            <w:tcW w:w="1458" w:type="dxa"/>
          </w:tcPr>
          <w:p w:rsidR="00645BF5" w:rsidRPr="00BC108B" w:rsidRDefault="00645BF5" w:rsidP="00DF0FFF">
            <w:pPr>
              <w:rPr>
                <w:sz w:val="20"/>
                <w:szCs w:val="20"/>
              </w:rPr>
            </w:pPr>
            <w:r w:rsidRPr="00BC108B">
              <w:rPr>
                <w:rStyle w:val="SCCFileNumberChar"/>
                <w:sz w:val="20"/>
                <w:szCs w:val="20"/>
              </w:rPr>
              <w:t>36333</w:t>
            </w:r>
          </w:p>
          <w:p w:rsidR="00645BF5" w:rsidRPr="00BC108B" w:rsidRDefault="00645BF5" w:rsidP="00DF0FFF">
            <w:pPr>
              <w:rPr>
                <w:b/>
                <w:sz w:val="20"/>
                <w:szCs w:val="20"/>
                <w:lang w:val="fr-CA"/>
              </w:rPr>
            </w:pPr>
          </w:p>
        </w:tc>
        <w:tc>
          <w:tcPr>
            <w:tcW w:w="8118" w:type="dxa"/>
          </w:tcPr>
          <w:p w:rsidR="00645BF5" w:rsidRPr="00BC108B" w:rsidRDefault="00645BF5" w:rsidP="00DF0FFF">
            <w:pPr>
              <w:rPr>
                <w:sz w:val="20"/>
                <w:szCs w:val="20"/>
              </w:rPr>
            </w:pPr>
            <w:r w:rsidRPr="00BC108B">
              <w:rPr>
                <w:rStyle w:val="SCCLsocChar"/>
                <w:sz w:val="20"/>
                <w:szCs w:val="20"/>
                <w:lang w:val="en-CA"/>
              </w:rPr>
              <w:t>Her Majesty the Queen v. Chad Walsh</w:t>
            </w:r>
            <w:r w:rsidRPr="00BC108B">
              <w:rPr>
                <w:sz w:val="20"/>
                <w:szCs w:val="20"/>
              </w:rPr>
              <w:t xml:space="preserve"> (N.L.) (Criminal) (By Leave)</w:t>
            </w:r>
          </w:p>
          <w:p w:rsidR="00645BF5" w:rsidRPr="00BC108B" w:rsidRDefault="00645BF5" w:rsidP="00DF0FFF">
            <w:pPr>
              <w:rPr>
                <w:sz w:val="20"/>
                <w:szCs w:val="20"/>
              </w:rPr>
            </w:pPr>
          </w:p>
        </w:tc>
      </w:tr>
      <w:tr w:rsidR="00645BF5" w:rsidRPr="0009493C" w:rsidTr="00DF0FFF">
        <w:trPr>
          <w:cantSplit/>
        </w:trPr>
        <w:tc>
          <w:tcPr>
            <w:tcW w:w="1458" w:type="dxa"/>
          </w:tcPr>
          <w:p w:rsidR="00645BF5" w:rsidRPr="00BC108B" w:rsidRDefault="00645BF5" w:rsidP="00DF0FFF">
            <w:pPr>
              <w:rPr>
                <w:sz w:val="20"/>
                <w:szCs w:val="20"/>
              </w:rPr>
            </w:pPr>
            <w:r w:rsidRPr="00BC108B">
              <w:rPr>
                <w:sz w:val="20"/>
                <w:szCs w:val="20"/>
              </w:rPr>
              <w:t>Coram :</w:t>
            </w:r>
          </w:p>
        </w:tc>
        <w:tc>
          <w:tcPr>
            <w:tcW w:w="8118" w:type="dxa"/>
          </w:tcPr>
          <w:p w:rsidR="00645BF5" w:rsidRPr="00BC108B" w:rsidRDefault="00645BF5" w:rsidP="00DF0FFF">
            <w:pPr>
              <w:rPr>
                <w:sz w:val="20"/>
                <w:szCs w:val="20"/>
                <w:lang w:val="fr-CA"/>
              </w:rPr>
            </w:pPr>
            <w:r w:rsidRPr="00BC108B">
              <w:rPr>
                <w:rStyle w:val="SCCCoramChar"/>
                <w:sz w:val="20"/>
                <w:szCs w:val="20"/>
              </w:rPr>
              <w:t>Abella, Karakatsanis and Côté JJ.</w:t>
            </w:r>
          </w:p>
          <w:p w:rsidR="00645BF5" w:rsidRPr="00BC108B" w:rsidRDefault="00645BF5" w:rsidP="00DF0FFF">
            <w:pPr>
              <w:rPr>
                <w:sz w:val="20"/>
                <w:szCs w:val="20"/>
                <w:u w:val="single"/>
                <w:lang w:val="fr-CA"/>
              </w:rPr>
            </w:pPr>
          </w:p>
        </w:tc>
      </w:tr>
      <w:tr w:rsidR="00645BF5" w:rsidRPr="0009493C" w:rsidTr="00DF0FFF">
        <w:trPr>
          <w:cantSplit/>
        </w:trPr>
        <w:tc>
          <w:tcPr>
            <w:tcW w:w="9576" w:type="dxa"/>
            <w:gridSpan w:val="2"/>
          </w:tcPr>
          <w:p w:rsidR="00645BF5" w:rsidRPr="00BC108B" w:rsidRDefault="00645BF5" w:rsidP="00DF0FFF">
            <w:pPr>
              <w:pStyle w:val="SCCShortJudgment"/>
              <w:rPr>
                <w:szCs w:val="20"/>
              </w:rPr>
            </w:pPr>
            <w:r w:rsidRPr="00BC108B">
              <w:rPr>
                <w:szCs w:val="20"/>
              </w:rPr>
              <w:lastRenderedPageBreak/>
              <w:t>The application for leave to appeal from the judgment of the Supreme Court of Newfoundland and Labrador - Court of Appeal, Number 13/65, 2015 NLCA 3, dated January 21, 2015, is dismissed.</w:t>
            </w:r>
          </w:p>
          <w:p w:rsidR="00645BF5" w:rsidRPr="00BC108B" w:rsidRDefault="00645BF5" w:rsidP="00DF0FFF">
            <w:pPr>
              <w:pStyle w:val="SCCShortJudgment"/>
              <w:ind w:firstLine="0"/>
              <w:rPr>
                <w:szCs w:val="20"/>
              </w:rPr>
            </w:pPr>
          </w:p>
          <w:p w:rsidR="00645BF5" w:rsidRPr="00BC108B" w:rsidRDefault="00645BF5" w:rsidP="00DF0FFF">
            <w:pPr>
              <w:pStyle w:val="SCCShortJudgment"/>
              <w:rPr>
                <w:szCs w:val="20"/>
                <w:lang w:val="fr-CA"/>
              </w:rPr>
            </w:pPr>
            <w:r w:rsidRPr="00BC108B">
              <w:rPr>
                <w:szCs w:val="20"/>
                <w:lang w:val="fr-CA"/>
              </w:rPr>
              <w:t>La demande d’autorisation d’appel de l’arrêt de la Cour suprême de Terre-Neuve-et-Labrador - Cour d’appel, numéro 13/65, 2015 NLCA 3, daté du 21 janvier 2015, est rejetée.</w:t>
            </w:r>
          </w:p>
        </w:tc>
      </w:tr>
    </w:tbl>
    <w:p w:rsidR="0089171C" w:rsidRPr="00645BF5" w:rsidRDefault="0089171C" w:rsidP="0089171C">
      <w:pPr>
        <w:rPr>
          <w:sz w:val="20"/>
          <w:szCs w:val="20"/>
          <w:lang w:val="fr-CA"/>
        </w:rPr>
      </w:pPr>
    </w:p>
    <w:p w:rsidR="0089171C" w:rsidRPr="001B157C" w:rsidRDefault="0089171C" w:rsidP="0089171C">
      <w:pPr>
        <w:rPr>
          <w:sz w:val="20"/>
          <w:szCs w:val="20"/>
          <w:u w:val="single"/>
        </w:rPr>
      </w:pPr>
      <w:r w:rsidRPr="001B157C">
        <w:rPr>
          <w:sz w:val="20"/>
          <w:szCs w:val="20"/>
          <w:u w:val="single"/>
        </w:rPr>
        <w:t>CASE SUMMARY</w:t>
      </w:r>
    </w:p>
    <w:p w:rsidR="0089171C" w:rsidRDefault="0089171C" w:rsidP="0089171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85CC4" w:rsidRPr="009B556E" w:rsidTr="00C44A6F">
        <w:tc>
          <w:tcPr>
            <w:tcW w:w="5000" w:type="pct"/>
            <w:gridSpan w:val="3"/>
          </w:tcPr>
          <w:p w:rsidR="00D85CC4" w:rsidRPr="009B556E" w:rsidRDefault="00D85CC4" w:rsidP="00C44A6F">
            <w:pPr>
              <w:jc w:val="both"/>
              <w:rPr>
                <w:smallCaps/>
                <w:sz w:val="20"/>
              </w:rPr>
            </w:pPr>
            <w:r w:rsidRPr="009B556E">
              <w:rPr>
                <w:smallCaps/>
                <w:sz w:val="20"/>
              </w:rPr>
              <w:t>(Publication Ban in Case)</w:t>
            </w:r>
          </w:p>
          <w:p w:rsidR="00D85CC4" w:rsidRPr="009B556E" w:rsidRDefault="00D85CC4" w:rsidP="00C44A6F">
            <w:pPr>
              <w:jc w:val="both"/>
              <w:rPr>
                <w:sz w:val="20"/>
              </w:rPr>
            </w:pPr>
          </w:p>
        </w:tc>
      </w:tr>
      <w:tr w:rsidR="00D85CC4" w:rsidRPr="009B556E" w:rsidTr="00C44A6F">
        <w:tc>
          <w:tcPr>
            <w:tcW w:w="5000" w:type="pct"/>
            <w:gridSpan w:val="3"/>
          </w:tcPr>
          <w:p w:rsidR="00D85CC4" w:rsidRPr="009B556E" w:rsidRDefault="00D85CC4" w:rsidP="00C44A6F">
            <w:pPr>
              <w:jc w:val="both"/>
              <w:rPr>
                <w:sz w:val="20"/>
              </w:rPr>
            </w:pPr>
            <w:r w:rsidRPr="009B556E">
              <w:rPr>
                <w:sz w:val="20"/>
              </w:rPr>
              <w:t xml:space="preserve">Criminal law – Appeals – Deference – Offence – Elements of offence – Whether the Court of Appeal erred in law by failing to accord proper deference to the trial judge’s factual findings and assessment of credibility – Whether the Court of Appeal erred in its interpretation of the </w:t>
            </w:r>
            <w:r w:rsidRPr="009B556E">
              <w:rPr>
                <w:i/>
                <w:sz w:val="20"/>
              </w:rPr>
              <w:t>mens rea</w:t>
            </w:r>
            <w:r w:rsidRPr="009B556E">
              <w:rPr>
                <w:sz w:val="20"/>
              </w:rPr>
              <w:t xml:space="preserve"> for the offence of sexual assault.</w:t>
            </w:r>
          </w:p>
          <w:p w:rsidR="00D85CC4" w:rsidRPr="009B556E" w:rsidRDefault="00D85CC4" w:rsidP="00C44A6F">
            <w:pPr>
              <w:jc w:val="both"/>
              <w:rPr>
                <w:sz w:val="20"/>
              </w:rPr>
            </w:pPr>
          </w:p>
        </w:tc>
      </w:tr>
      <w:tr w:rsidR="00D85CC4" w:rsidRPr="009B556E" w:rsidTr="00C44A6F">
        <w:tc>
          <w:tcPr>
            <w:tcW w:w="5000" w:type="pct"/>
            <w:gridSpan w:val="3"/>
          </w:tcPr>
          <w:p w:rsidR="00D85CC4" w:rsidRPr="009B556E" w:rsidRDefault="00D85CC4" w:rsidP="00C44A6F">
            <w:pPr>
              <w:jc w:val="both"/>
              <w:rPr>
                <w:sz w:val="20"/>
              </w:rPr>
            </w:pPr>
            <w:r w:rsidRPr="009B556E">
              <w:rPr>
                <w:sz w:val="20"/>
              </w:rPr>
              <w:t>The applicant was convicted of sexual assault.  The Court of Appeal held that the trial judge erred by refusing to consider the application of the defence of mistake of fact in the circumstances of this case.  The appeal was allowed.  The conviction was set aside and a new trial was ordered.</w:t>
            </w:r>
          </w:p>
          <w:p w:rsidR="00D85CC4" w:rsidRPr="009B556E" w:rsidRDefault="00D85CC4" w:rsidP="00C44A6F">
            <w:pPr>
              <w:jc w:val="both"/>
              <w:rPr>
                <w:sz w:val="20"/>
              </w:rPr>
            </w:pPr>
          </w:p>
        </w:tc>
      </w:tr>
      <w:tr w:rsidR="00D85CC4" w:rsidRPr="009B556E" w:rsidTr="00C44A6F">
        <w:tc>
          <w:tcPr>
            <w:tcW w:w="2427" w:type="pct"/>
          </w:tcPr>
          <w:p w:rsidR="00D85CC4" w:rsidRPr="009B556E" w:rsidRDefault="00D85CC4" w:rsidP="00C44A6F">
            <w:pPr>
              <w:jc w:val="both"/>
              <w:rPr>
                <w:sz w:val="20"/>
              </w:rPr>
            </w:pPr>
            <w:r w:rsidRPr="009B556E">
              <w:rPr>
                <w:sz w:val="20"/>
              </w:rPr>
              <w:t>February 14, 2013</w:t>
            </w:r>
          </w:p>
          <w:p w:rsidR="00D85CC4" w:rsidRPr="009B556E" w:rsidRDefault="00D85CC4" w:rsidP="00C44A6F">
            <w:pPr>
              <w:jc w:val="both"/>
              <w:rPr>
                <w:sz w:val="20"/>
              </w:rPr>
            </w:pPr>
            <w:r w:rsidRPr="009B556E">
              <w:rPr>
                <w:sz w:val="20"/>
              </w:rPr>
              <w:t>Provincial Court of Newfoundland and Labrador</w:t>
            </w:r>
          </w:p>
          <w:p w:rsidR="00D85CC4" w:rsidRPr="009B556E" w:rsidRDefault="00D85CC4" w:rsidP="00C44A6F">
            <w:pPr>
              <w:jc w:val="both"/>
              <w:rPr>
                <w:sz w:val="20"/>
              </w:rPr>
            </w:pPr>
            <w:r w:rsidRPr="009B556E">
              <w:rPr>
                <w:sz w:val="20"/>
              </w:rPr>
              <w:t>(Flynn J.)</w:t>
            </w:r>
          </w:p>
          <w:p w:rsidR="00D85CC4" w:rsidRPr="009B556E" w:rsidRDefault="00D85CC4" w:rsidP="00C44A6F">
            <w:pPr>
              <w:jc w:val="both"/>
              <w:rPr>
                <w:sz w:val="20"/>
              </w:rPr>
            </w:pPr>
            <w:r w:rsidRPr="009B556E">
              <w:rPr>
                <w:sz w:val="20"/>
              </w:rPr>
              <w:t>2013 NLPC 0111A01852</w:t>
            </w:r>
          </w:p>
          <w:p w:rsidR="00D85CC4" w:rsidRPr="009B556E" w:rsidRDefault="00D85CC4" w:rsidP="00C44A6F">
            <w:pPr>
              <w:jc w:val="both"/>
              <w:rPr>
                <w:sz w:val="20"/>
              </w:rPr>
            </w:pPr>
          </w:p>
        </w:tc>
        <w:tc>
          <w:tcPr>
            <w:tcW w:w="243" w:type="pct"/>
          </w:tcPr>
          <w:p w:rsidR="00D85CC4" w:rsidRPr="009B556E" w:rsidRDefault="00D85CC4" w:rsidP="00C44A6F">
            <w:pPr>
              <w:jc w:val="both"/>
              <w:rPr>
                <w:sz w:val="20"/>
              </w:rPr>
            </w:pPr>
          </w:p>
        </w:tc>
        <w:tc>
          <w:tcPr>
            <w:tcW w:w="2330" w:type="pct"/>
          </w:tcPr>
          <w:p w:rsidR="00D85CC4" w:rsidRPr="009B556E" w:rsidRDefault="00D85CC4" w:rsidP="00C44A6F">
            <w:pPr>
              <w:jc w:val="both"/>
              <w:rPr>
                <w:sz w:val="20"/>
              </w:rPr>
            </w:pPr>
            <w:r w:rsidRPr="009B556E">
              <w:rPr>
                <w:sz w:val="20"/>
              </w:rPr>
              <w:t>Conviction: sexual assault</w:t>
            </w:r>
          </w:p>
          <w:p w:rsidR="00D85CC4" w:rsidRPr="009B556E" w:rsidRDefault="00D85CC4" w:rsidP="00C44A6F">
            <w:pPr>
              <w:jc w:val="both"/>
              <w:rPr>
                <w:sz w:val="20"/>
              </w:rPr>
            </w:pPr>
          </w:p>
        </w:tc>
      </w:tr>
      <w:tr w:rsidR="00D85CC4" w:rsidRPr="009B556E" w:rsidTr="00C44A6F">
        <w:tc>
          <w:tcPr>
            <w:tcW w:w="2427" w:type="pct"/>
          </w:tcPr>
          <w:p w:rsidR="00D85CC4" w:rsidRPr="009B556E" w:rsidRDefault="00D85CC4" w:rsidP="00C44A6F">
            <w:pPr>
              <w:jc w:val="both"/>
              <w:rPr>
                <w:sz w:val="20"/>
              </w:rPr>
            </w:pPr>
            <w:r w:rsidRPr="009B556E">
              <w:rPr>
                <w:sz w:val="20"/>
              </w:rPr>
              <w:t>January 21, 2015</w:t>
            </w:r>
          </w:p>
          <w:p w:rsidR="00D85CC4" w:rsidRPr="009B556E" w:rsidRDefault="00D85CC4" w:rsidP="00C44A6F">
            <w:pPr>
              <w:jc w:val="both"/>
              <w:rPr>
                <w:sz w:val="20"/>
              </w:rPr>
            </w:pPr>
            <w:r w:rsidRPr="009B556E">
              <w:rPr>
                <w:sz w:val="20"/>
              </w:rPr>
              <w:t xml:space="preserve">Supreme Court of Newfoundland and </w:t>
            </w:r>
          </w:p>
          <w:p w:rsidR="00D85CC4" w:rsidRPr="009B556E" w:rsidRDefault="00D85CC4" w:rsidP="00C44A6F">
            <w:pPr>
              <w:jc w:val="both"/>
              <w:rPr>
                <w:sz w:val="20"/>
              </w:rPr>
            </w:pPr>
            <w:r w:rsidRPr="009B556E">
              <w:rPr>
                <w:sz w:val="20"/>
              </w:rPr>
              <w:t>Labrador – Court of Appeal</w:t>
            </w:r>
          </w:p>
          <w:p w:rsidR="00D85CC4" w:rsidRPr="009B556E" w:rsidRDefault="00D85CC4" w:rsidP="00C44A6F">
            <w:pPr>
              <w:jc w:val="both"/>
              <w:rPr>
                <w:sz w:val="20"/>
              </w:rPr>
            </w:pPr>
            <w:r w:rsidRPr="009B556E">
              <w:rPr>
                <w:sz w:val="20"/>
              </w:rPr>
              <w:t>(Welsh, White, Harrington JJ.A.)</w:t>
            </w:r>
          </w:p>
          <w:p w:rsidR="00D85CC4" w:rsidRPr="009B556E" w:rsidRDefault="00D85CC4" w:rsidP="00C44A6F">
            <w:pPr>
              <w:jc w:val="both"/>
              <w:rPr>
                <w:sz w:val="20"/>
              </w:rPr>
            </w:pPr>
            <w:r w:rsidRPr="009B556E">
              <w:rPr>
                <w:sz w:val="20"/>
              </w:rPr>
              <w:t>2015 NLCA 3, 13/65</w:t>
            </w:r>
          </w:p>
          <w:p w:rsidR="00D85CC4" w:rsidRPr="009B556E" w:rsidRDefault="00D82946" w:rsidP="00C44A6F">
            <w:pPr>
              <w:jc w:val="both"/>
              <w:rPr>
                <w:sz w:val="20"/>
              </w:rPr>
            </w:pPr>
            <w:hyperlink r:id="rId34" w:history="1">
              <w:r w:rsidR="00D85CC4" w:rsidRPr="009B556E">
                <w:rPr>
                  <w:rFonts w:eastAsiaTheme="majorEastAsia"/>
                  <w:color w:val="0000FF"/>
                  <w:sz w:val="20"/>
                  <w:u w:val="single"/>
                </w:rPr>
                <w:t>http://canlii.ca/t/gg2h6</w:t>
              </w:r>
            </w:hyperlink>
          </w:p>
          <w:p w:rsidR="00D85CC4" w:rsidRPr="009B556E" w:rsidRDefault="00D85CC4" w:rsidP="00C44A6F">
            <w:pPr>
              <w:jc w:val="both"/>
              <w:rPr>
                <w:sz w:val="20"/>
              </w:rPr>
            </w:pPr>
          </w:p>
        </w:tc>
        <w:tc>
          <w:tcPr>
            <w:tcW w:w="243" w:type="pct"/>
          </w:tcPr>
          <w:p w:rsidR="00D85CC4" w:rsidRPr="009B556E" w:rsidRDefault="00D85CC4" w:rsidP="00C44A6F">
            <w:pPr>
              <w:jc w:val="both"/>
              <w:rPr>
                <w:sz w:val="20"/>
              </w:rPr>
            </w:pPr>
          </w:p>
        </w:tc>
        <w:tc>
          <w:tcPr>
            <w:tcW w:w="2330" w:type="pct"/>
          </w:tcPr>
          <w:p w:rsidR="00D85CC4" w:rsidRPr="009B556E" w:rsidRDefault="00D85CC4" w:rsidP="00C44A6F">
            <w:pPr>
              <w:jc w:val="both"/>
              <w:rPr>
                <w:sz w:val="20"/>
              </w:rPr>
            </w:pPr>
            <w:r w:rsidRPr="009B556E">
              <w:rPr>
                <w:sz w:val="20"/>
              </w:rPr>
              <w:t>Appeal allowed, conviction set aside, new trial ordered</w:t>
            </w:r>
          </w:p>
          <w:p w:rsidR="00D85CC4" w:rsidRPr="009B556E" w:rsidRDefault="00D85CC4" w:rsidP="00C44A6F">
            <w:pPr>
              <w:jc w:val="both"/>
              <w:rPr>
                <w:sz w:val="20"/>
              </w:rPr>
            </w:pPr>
          </w:p>
          <w:p w:rsidR="00D85CC4" w:rsidRPr="009B556E" w:rsidRDefault="00D85CC4" w:rsidP="00C44A6F">
            <w:pPr>
              <w:jc w:val="both"/>
              <w:rPr>
                <w:sz w:val="20"/>
              </w:rPr>
            </w:pPr>
          </w:p>
        </w:tc>
      </w:tr>
      <w:tr w:rsidR="00D85CC4" w:rsidRPr="009B556E" w:rsidTr="00C44A6F">
        <w:tc>
          <w:tcPr>
            <w:tcW w:w="2427" w:type="pct"/>
          </w:tcPr>
          <w:p w:rsidR="00D85CC4" w:rsidRPr="009B556E" w:rsidRDefault="00D85CC4" w:rsidP="00C44A6F">
            <w:pPr>
              <w:jc w:val="both"/>
              <w:rPr>
                <w:sz w:val="20"/>
              </w:rPr>
            </w:pPr>
            <w:r w:rsidRPr="009B556E">
              <w:rPr>
                <w:sz w:val="20"/>
              </w:rPr>
              <w:t>March 6, 2015</w:t>
            </w:r>
          </w:p>
          <w:p w:rsidR="00D85CC4" w:rsidRPr="009B556E" w:rsidRDefault="00D85CC4" w:rsidP="00C44A6F">
            <w:pPr>
              <w:jc w:val="both"/>
              <w:rPr>
                <w:sz w:val="20"/>
              </w:rPr>
            </w:pPr>
            <w:r w:rsidRPr="009B556E">
              <w:rPr>
                <w:sz w:val="20"/>
              </w:rPr>
              <w:t>Supreme Court of Canada</w:t>
            </w:r>
          </w:p>
        </w:tc>
        <w:tc>
          <w:tcPr>
            <w:tcW w:w="243" w:type="pct"/>
          </w:tcPr>
          <w:p w:rsidR="00D85CC4" w:rsidRPr="009B556E" w:rsidRDefault="00D85CC4" w:rsidP="00C44A6F">
            <w:pPr>
              <w:jc w:val="both"/>
              <w:rPr>
                <w:sz w:val="20"/>
              </w:rPr>
            </w:pPr>
          </w:p>
        </w:tc>
        <w:tc>
          <w:tcPr>
            <w:tcW w:w="2330" w:type="pct"/>
          </w:tcPr>
          <w:p w:rsidR="00D85CC4" w:rsidRPr="009B556E" w:rsidRDefault="00D85CC4" w:rsidP="00C44A6F">
            <w:pPr>
              <w:jc w:val="both"/>
              <w:rPr>
                <w:sz w:val="20"/>
              </w:rPr>
            </w:pPr>
            <w:r w:rsidRPr="009B556E">
              <w:rPr>
                <w:sz w:val="20"/>
              </w:rPr>
              <w:t>Application for leave to appeal filed</w:t>
            </w:r>
          </w:p>
          <w:p w:rsidR="00D85CC4" w:rsidRPr="009B556E" w:rsidRDefault="00D85CC4" w:rsidP="00C44A6F">
            <w:pPr>
              <w:jc w:val="both"/>
              <w:rPr>
                <w:sz w:val="20"/>
              </w:rPr>
            </w:pPr>
          </w:p>
        </w:tc>
      </w:tr>
    </w:tbl>
    <w:p w:rsidR="0089171C" w:rsidRDefault="0089171C" w:rsidP="0089171C">
      <w:pPr>
        <w:rPr>
          <w:sz w:val="20"/>
          <w:szCs w:val="20"/>
        </w:rPr>
      </w:pPr>
    </w:p>
    <w:p w:rsidR="0089171C" w:rsidRPr="00C50A5C" w:rsidRDefault="00D82946" w:rsidP="0089171C">
      <w:pPr>
        <w:rPr>
          <w:sz w:val="20"/>
          <w:szCs w:val="20"/>
        </w:rPr>
      </w:pPr>
      <w:r>
        <w:rPr>
          <w:sz w:val="20"/>
          <w:szCs w:val="20"/>
          <w:lang w:val="fr-CA"/>
        </w:rPr>
        <w:pict>
          <v:rect id="_x0000_i1044" style="width:2in;height:1pt" o:hrpct="0" o:hralign="center" o:hrstd="t" o:hrnoshade="t" o:hr="t" fillcolor="black [3213]" stroked="f"/>
        </w:pict>
      </w:r>
    </w:p>
    <w:p w:rsidR="0089171C" w:rsidRDefault="0089171C" w:rsidP="0089171C">
      <w:pPr>
        <w:rPr>
          <w:sz w:val="20"/>
          <w:szCs w:val="20"/>
        </w:rPr>
      </w:pPr>
    </w:p>
    <w:p w:rsidR="0089171C" w:rsidRPr="001B157C" w:rsidRDefault="0089171C" w:rsidP="0089171C">
      <w:pPr>
        <w:rPr>
          <w:sz w:val="20"/>
          <w:szCs w:val="20"/>
          <w:u w:val="single"/>
          <w:lang w:val="fr-CA"/>
        </w:rPr>
      </w:pPr>
      <w:r w:rsidRPr="001B157C">
        <w:rPr>
          <w:sz w:val="20"/>
          <w:szCs w:val="20"/>
          <w:u w:val="single"/>
          <w:lang w:val="fr-CA"/>
        </w:rPr>
        <w:t>RÉSUMÉ DE L’AFFAIRE</w:t>
      </w:r>
    </w:p>
    <w:p w:rsidR="0089171C" w:rsidRDefault="0089171C" w:rsidP="0089171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85CC4" w:rsidRPr="004C36D9" w:rsidTr="00C44A6F">
        <w:tc>
          <w:tcPr>
            <w:tcW w:w="5000" w:type="pct"/>
            <w:gridSpan w:val="3"/>
          </w:tcPr>
          <w:p w:rsidR="00D85CC4" w:rsidRPr="009B556E" w:rsidRDefault="00D85CC4" w:rsidP="00C44A6F">
            <w:pPr>
              <w:jc w:val="both"/>
              <w:rPr>
                <w:smallCaps/>
                <w:sz w:val="20"/>
                <w:lang w:val="fr-CA"/>
              </w:rPr>
            </w:pPr>
            <w:r w:rsidRPr="009B556E">
              <w:rPr>
                <w:smallCaps/>
                <w:sz w:val="20"/>
                <w:lang w:val="fr-CA"/>
              </w:rPr>
              <w:t>(Ordonnance de non-publication dans le dossier)</w:t>
            </w:r>
          </w:p>
          <w:p w:rsidR="00D85CC4" w:rsidRPr="009B556E" w:rsidRDefault="00D85CC4" w:rsidP="00C44A6F">
            <w:pPr>
              <w:jc w:val="both"/>
              <w:rPr>
                <w:sz w:val="20"/>
                <w:lang w:val="fr-CA"/>
              </w:rPr>
            </w:pPr>
          </w:p>
        </w:tc>
      </w:tr>
      <w:tr w:rsidR="00D85CC4" w:rsidRPr="004C36D9" w:rsidTr="00C44A6F">
        <w:tc>
          <w:tcPr>
            <w:tcW w:w="5000" w:type="pct"/>
            <w:gridSpan w:val="3"/>
          </w:tcPr>
          <w:p w:rsidR="00D85CC4" w:rsidRPr="009B556E" w:rsidRDefault="00D85CC4" w:rsidP="00C44A6F">
            <w:pPr>
              <w:jc w:val="both"/>
              <w:rPr>
                <w:sz w:val="20"/>
                <w:lang w:val="fr-CA"/>
              </w:rPr>
            </w:pPr>
            <w:r w:rsidRPr="009B556E">
              <w:rPr>
                <w:sz w:val="20"/>
                <w:lang w:val="fr-CA"/>
              </w:rPr>
              <w:t xml:space="preserve">Droit criminel – Appels – Déférence – Infraction – Éléments de l’infraction – La Cour d’appel a-t-elle commis une erreur de droit en ne faisant pas preuve de la déférence qui s’impose à l’endroit des conclusions de fait et de l’appréciation de la crédibilité du juge du procès? – La Cour d’appel a-t-elle commis une erreur dans son interprétation de la </w:t>
            </w:r>
            <w:r w:rsidRPr="009B556E">
              <w:rPr>
                <w:i/>
                <w:sz w:val="20"/>
                <w:lang w:val="fr-CA"/>
              </w:rPr>
              <w:t>mens rea</w:t>
            </w:r>
            <w:r w:rsidRPr="009B556E">
              <w:rPr>
                <w:sz w:val="20"/>
                <w:lang w:val="fr-CA"/>
              </w:rPr>
              <w:t xml:space="preserve"> de l’infraction d’agression sexuelle?</w:t>
            </w:r>
          </w:p>
          <w:p w:rsidR="00D85CC4" w:rsidRPr="009B556E" w:rsidRDefault="00D85CC4" w:rsidP="00C44A6F">
            <w:pPr>
              <w:jc w:val="both"/>
              <w:rPr>
                <w:sz w:val="20"/>
                <w:lang w:val="fr-CA"/>
              </w:rPr>
            </w:pPr>
          </w:p>
        </w:tc>
      </w:tr>
      <w:tr w:rsidR="00D85CC4" w:rsidRPr="004C36D9" w:rsidTr="00C44A6F">
        <w:tc>
          <w:tcPr>
            <w:tcW w:w="5000" w:type="pct"/>
            <w:gridSpan w:val="3"/>
          </w:tcPr>
          <w:p w:rsidR="00D85CC4" w:rsidRPr="009B556E" w:rsidRDefault="00D85CC4" w:rsidP="00C44A6F">
            <w:pPr>
              <w:jc w:val="both"/>
              <w:rPr>
                <w:sz w:val="20"/>
                <w:lang w:val="fr-CA"/>
              </w:rPr>
            </w:pPr>
            <w:r w:rsidRPr="009B556E">
              <w:rPr>
                <w:sz w:val="20"/>
                <w:lang w:val="fr-CA"/>
              </w:rPr>
              <w:t>Le demandeur a été déclaré coupable d’agression sexuelle.  La Cour d’appel a statué que le juge du procès avait commis une erreur en refusant de considérer l’application du moyen de défense de l’erreur de fait en l’espèce.  L’appel a été accueilli.  La déclaration de culpabilité a été annulée et un nouveau procès a été ordonné.</w:t>
            </w:r>
          </w:p>
          <w:p w:rsidR="00D85CC4" w:rsidRPr="009B556E" w:rsidRDefault="00D85CC4" w:rsidP="00C44A6F">
            <w:pPr>
              <w:jc w:val="both"/>
              <w:rPr>
                <w:sz w:val="20"/>
                <w:lang w:val="fr-CA"/>
              </w:rPr>
            </w:pPr>
          </w:p>
        </w:tc>
      </w:tr>
      <w:tr w:rsidR="00D85CC4" w:rsidRPr="009B556E" w:rsidTr="00AA42C0">
        <w:trPr>
          <w:cantSplit/>
        </w:trPr>
        <w:tc>
          <w:tcPr>
            <w:tcW w:w="2427" w:type="pct"/>
          </w:tcPr>
          <w:p w:rsidR="00D85CC4" w:rsidRPr="009B556E" w:rsidRDefault="00D85CC4" w:rsidP="00C44A6F">
            <w:pPr>
              <w:jc w:val="both"/>
              <w:rPr>
                <w:sz w:val="20"/>
                <w:lang w:val="fr-CA"/>
              </w:rPr>
            </w:pPr>
            <w:r w:rsidRPr="009B556E">
              <w:rPr>
                <w:sz w:val="20"/>
                <w:lang w:val="fr-CA"/>
              </w:rPr>
              <w:lastRenderedPageBreak/>
              <w:t>14 février 2013</w:t>
            </w:r>
          </w:p>
          <w:p w:rsidR="00D85CC4" w:rsidRPr="009B556E" w:rsidRDefault="00D85CC4" w:rsidP="00C44A6F">
            <w:pPr>
              <w:jc w:val="both"/>
              <w:rPr>
                <w:sz w:val="20"/>
                <w:lang w:val="fr-CA"/>
              </w:rPr>
            </w:pPr>
            <w:r w:rsidRPr="009B556E">
              <w:rPr>
                <w:sz w:val="20"/>
                <w:lang w:val="fr-CA"/>
              </w:rPr>
              <w:t>Cour provinciale de Terre-Neuve-et-Labrador</w:t>
            </w:r>
          </w:p>
          <w:p w:rsidR="00D85CC4" w:rsidRPr="009B556E" w:rsidRDefault="00D85CC4" w:rsidP="00C44A6F">
            <w:pPr>
              <w:jc w:val="both"/>
              <w:rPr>
                <w:sz w:val="20"/>
                <w:lang w:val="fr-CA"/>
              </w:rPr>
            </w:pPr>
            <w:r w:rsidRPr="009B556E">
              <w:rPr>
                <w:sz w:val="20"/>
                <w:lang w:val="fr-CA"/>
              </w:rPr>
              <w:t>(Juge Flynn)</w:t>
            </w:r>
          </w:p>
          <w:p w:rsidR="00D85CC4" w:rsidRPr="009B556E" w:rsidRDefault="00D85CC4" w:rsidP="00C44A6F">
            <w:pPr>
              <w:jc w:val="both"/>
              <w:rPr>
                <w:sz w:val="20"/>
                <w:lang w:val="fr-CA"/>
              </w:rPr>
            </w:pPr>
            <w:r w:rsidRPr="009B556E">
              <w:rPr>
                <w:sz w:val="20"/>
                <w:lang w:val="fr-CA"/>
              </w:rPr>
              <w:t>2013 NLPC 0111A01852</w:t>
            </w:r>
          </w:p>
          <w:p w:rsidR="00D85CC4" w:rsidRPr="009B556E" w:rsidRDefault="00D85CC4" w:rsidP="00C44A6F">
            <w:pPr>
              <w:jc w:val="both"/>
              <w:rPr>
                <w:sz w:val="20"/>
                <w:lang w:val="fr-CA"/>
              </w:rPr>
            </w:pPr>
          </w:p>
        </w:tc>
        <w:tc>
          <w:tcPr>
            <w:tcW w:w="243" w:type="pct"/>
          </w:tcPr>
          <w:p w:rsidR="00D85CC4" w:rsidRPr="009B556E" w:rsidRDefault="00D85CC4" w:rsidP="00C44A6F">
            <w:pPr>
              <w:jc w:val="both"/>
              <w:rPr>
                <w:sz w:val="20"/>
                <w:lang w:val="fr-CA"/>
              </w:rPr>
            </w:pPr>
          </w:p>
        </w:tc>
        <w:tc>
          <w:tcPr>
            <w:tcW w:w="2330" w:type="pct"/>
          </w:tcPr>
          <w:p w:rsidR="00D85CC4" w:rsidRPr="009B556E" w:rsidRDefault="00D85CC4" w:rsidP="00C44A6F">
            <w:pPr>
              <w:jc w:val="both"/>
              <w:rPr>
                <w:sz w:val="20"/>
                <w:lang w:val="fr-CA"/>
              </w:rPr>
            </w:pPr>
            <w:r w:rsidRPr="009B556E">
              <w:rPr>
                <w:sz w:val="20"/>
                <w:lang w:val="fr-CA"/>
              </w:rPr>
              <w:t>Déclaration de culpabilité : agression sexuelle</w:t>
            </w:r>
          </w:p>
          <w:p w:rsidR="00D85CC4" w:rsidRPr="009B556E" w:rsidRDefault="00D85CC4" w:rsidP="00C44A6F">
            <w:pPr>
              <w:jc w:val="both"/>
              <w:rPr>
                <w:sz w:val="20"/>
                <w:lang w:val="fr-CA"/>
              </w:rPr>
            </w:pPr>
          </w:p>
          <w:p w:rsidR="00D85CC4" w:rsidRPr="009B556E" w:rsidRDefault="00D85CC4" w:rsidP="00C44A6F">
            <w:pPr>
              <w:jc w:val="both"/>
              <w:rPr>
                <w:sz w:val="20"/>
                <w:lang w:val="fr-CA"/>
              </w:rPr>
            </w:pPr>
          </w:p>
        </w:tc>
      </w:tr>
      <w:tr w:rsidR="00D85CC4" w:rsidRPr="004C36D9" w:rsidTr="00AA42C0">
        <w:trPr>
          <w:cantSplit/>
        </w:trPr>
        <w:tc>
          <w:tcPr>
            <w:tcW w:w="2427" w:type="pct"/>
          </w:tcPr>
          <w:p w:rsidR="00D85CC4" w:rsidRPr="009B556E" w:rsidRDefault="00D85CC4" w:rsidP="00C44A6F">
            <w:pPr>
              <w:jc w:val="both"/>
              <w:rPr>
                <w:sz w:val="20"/>
                <w:lang w:val="fr-CA"/>
              </w:rPr>
            </w:pPr>
            <w:r w:rsidRPr="009B556E">
              <w:rPr>
                <w:sz w:val="20"/>
                <w:lang w:val="fr-CA"/>
              </w:rPr>
              <w:t>21 janvier 2015</w:t>
            </w:r>
          </w:p>
          <w:p w:rsidR="00D85CC4" w:rsidRPr="009B556E" w:rsidRDefault="00D85CC4" w:rsidP="00C44A6F">
            <w:pPr>
              <w:jc w:val="both"/>
              <w:rPr>
                <w:sz w:val="20"/>
                <w:lang w:val="fr-CA"/>
              </w:rPr>
            </w:pPr>
            <w:r w:rsidRPr="009B556E">
              <w:rPr>
                <w:sz w:val="20"/>
                <w:lang w:val="fr-CA"/>
              </w:rPr>
              <w:t>Cour suprême de Terre-Neuve-et-Labrador – Cour d’appel</w:t>
            </w:r>
          </w:p>
          <w:p w:rsidR="00D85CC4" w:rsidRPr="009B556E" w:rsidRDefault="00D85CC4" w:rsidP="00C44A6F">
            <w:pPr>
              <w:jc w:val="both"/>
              <w:rPr>
                <w:sz w:val="20"/>
              </w:rPr>
            </w:pPr>
            <w:r w:rsidRPr="009B556E">
              <w:rPr>
                <w:sz w:val="20"/>
              </w:rPr>
              <w:t>(Juges Welsh, White et Harrington)</w:t>
            </w:r>
          </w:p>
          <w:p w:rsidR="00D85CC4" w:rsidRPr="009B556E" w:rsidRDefault="00D85CC4" w:rsidP="00C44A6F">
            <w:pPr>
              <w:jc w:val="both"/>
              <w:rPr>
                <w:sz w:val="20"/>
              </w:rPr>
            </w:pPr>
            <w:r w:rsidRPr="009B556E">
              <w:rPr>
                <w:sz w:val="20"/>
              </w:rPr>
              <w:t>2015 NLCA 3, 13/65</w:t>
            </w:r>
          </w:p>
          <w:p w:rsidR="00D85CC4" w:rsidRPr="009B556E" w:rsidRDefault="00D82946" w:rsidP="00C44A6F">
            <w:pPr>
              <w:jc w:val="both"/>
              <w:rPr>
                <w:sz w:val="20"/>
              </w:rPr>
            </w:pPr>
            <w:hyperlink r:id="rId35" w:history="1">
              <w:r w:rsidR="00D85CC4" w:rsidRPr="009B556E">
                <w:rPr>
                  <w:rFonts w:eastAsiaTheme="majorEastAsia"/>
                  <w:color w:val="0000FF"/>
                  <w:sz w:val="20"/>
                  <w:u w:val="single"/>
                </w:rPr>
                <w:t>http://canlii.ca/t/gg2h6</w:t>
              </w:r>
            </w:hyperlink>
          </w:p>
          <w:p w:rsidR="00D85CC4" w:rsidRPr="009B556E" w:rsidRDefault="00D85CC4" w:rsidP="00C44A6F">
            <w:pPr>
              <w:jc w:val="both"/>
              <w:rPr>
                <w:sz w:val="20"/>
              </w:rPr>
            </w:pPr>
          </w:p>
        </w:tc>
        <w:tc>
          <w:tcPr>
            <w:tcW w:w="243" w:type="pct"/>
          </w:tcPr>
          <w:p w:rsidR="00D85CC4" w:rsidRPr="009B556E" w:rsidRDefault="00D85CC4" w:rsidP="00C44A6F">
            <w:pPr>
              <w:jc w:val="both"/>
              <w:rPr>
                <w:sz w:val="20"/>
              </w:rPr>
            </w:pPr>
          </w:p>
        </w:tc>
        <w:tc>
          <w:tcPr>
            <w:tcW w:w="2330" w:type="pct"/>
          </w:tcPr>
          <w:p w:rsidR="00D85CC4" w:rsidRPr="009B556E" w:rsidRDefault="00D85CC4" w:rsidP="00C44A6F">
            <w:pPr>
              <w:jc w:val="both"/>
              <w:rPr>
                <w:sz w:val="20"/>
                <w:lang w:val="fr-CA"/>
              </w:rPr>
            </w:pPr>
            <w:r w:rsidRPr="009B556E">
              <w:rPr>
                <w:sz w:val="20"/>
                <w:lang w:val="fr-CA"/>
              </w:rPr>
              <w:t>Arrêt accueillant l’appel, annulant la déclaration de culpabilité et ordonnant la tenue d’un nouveau procès</w:t>
            </w:r>
          </w:p>
          <w:p w:rsidR="00D85CC4" w:rsidRPr="009B556E" w:rsidRDefault="00D85CC4" w:rsidP="00C44A6F">
            <w:pPr>
              <w:jc w:val="both"/>
              <w:rPr>
                <w:sz w:val="20"/>
                <w:lang w:val="fr-CA"/>
              </w:rPr>
            </w:pPr>
          </w:p>
          <w:p w:rsidR="00D85CC4" w:rsidRPr="009B556E" w:rsidRDefault="00D85CC4" w:rsidP="00C44A6F">
            <w:pPr>
              <w:jc w:val="both"/>
              <w:rPr>
                <w:sz w:val="20"/>
                <w:lang w:val="fr-CA"/>
              </w:rPr>
            </w:pPr>
          </w:p>
        </w:tc>
      </w:tr>
      <w:tr w:rsidR="00D85CC4" w:rsidRPr="004C36D9" w:rsidTr="00AA42C0">
        <w:trPr>
          <w:cantSplit/>
        </w:trPr>
        <w:tc>
          <w:tcPr>
            <w:tcW w:w="2427" w:type="pct"/>
          </w:tcPr>
          <w:p w:rsidR="00D85CC4" w:rsidRPr="009B556E" w:rsidRDefault="00D85CC4" w:rsidP="00C44A6F">
            <w:pPr>
              <w:jc w:val="both"/>
              <w:rPr>
                <w:sz w:val="20"/>
                <w:lang w:val="fr-CA"/>
              </w:rPr>
            </w:pPr>
            <w:r w:rsidRPr="009B556E">
              <w:rPr>
                <w:sz w:val="20"/>
                <w:lang w:val="fr-CA"/>
              </w:rPr>
              <w:t>6 mars 2015</w:t>
            </w:r>
          </w:p>
          <w:p w:rsidR="00D85CC4" w:rsidRPr="009B556E" w:rsidRDefault="00D85CC4" w:rsidP="00C44A6F">
            <w:pPr>
              <w:jc w:val="both"/>
              <w:rPr>
                <w:sz w:val="20"/>
                <w:lang w:val="fr-CA"/>
              </w:rPr>
            </w:pPr>
            <w:r w:rsidRPr="009B556E">
              <w:rPr>
                <w:sz w:val="20"/>
                <w:lang w:val="fr-CA"/>
              </w:rPr>
              <w:t>Cour suprême du Canada</w:t>
            </w:r>
          </w:p>
        </w:tc>
        <w:tc>
          <w:tcPr>
            <w:tcW w:w="243" w:type="pct"/>
          </w:tcPr>
          <w:p w:rsidR="00D85CC4" w:rsidRPr="009B556E" w:rsidRDefault="00D85CC4" w:rsidP="00C44A6F">
            <w:pPr>
              <w:jc w:val="both"/>
              <w:rPr>
                <w:sz w:val="20"/>
                <w:lang w:val="fr-CA"/>
              </w:rPr>
            </w:pPr>
          </w:p>
        </w:tc>
        <w:tc>
          <w:tcPr>
            <w:tcW w:w="2330" w:type="pct"/>
          </w:tcPr>
          <w:p w:rsidR="00D85CC4" w:rsidRPr="009B556E" w:rsidRDefault="00D85CC4" w:rsidP="00C44A6F">
            <w:pPr>
              <w:jc w:val="both"/>
              <w:rPr>
                <w:sz w:val="20"/>
                <w:lang w:val="fr-CA"/>
              </w:rPr>
            </w:pPr>
            <w:r w:rsidRPr="009B556E">
              <w:rPr>
                <w:sz w:val="20"/>
                <w:lang w:val="fr-CA"/>
              </w:rPr>
              <w:t>Dépôt de la demande d’autorisation d’appel</w:t>
            </w:r>
          </w:p>
          <w:p w:rsidR="00D85CC4" w:rsidRPr="009B556E" w:rsidRDefault="00D85CC4" w:rsidP="00C44A6F">
            <w:pPr>
              <w:jc w:val="both"/>
              <w:rPr>
                <w:sz w:val="20"/>
                <w:lang w:val="fr-CA"/>
              </w:rPr>
            </w:pPr>
          </w:p>
        </w:tc>
      </w:tr>
    </w:tbl>
    <w:p w:rsidR="0089171C" w:rsidRPr="00D85CC4" w:rsidRDefault="0089171C" w:rsidP="0089171C">
      <w:pPr>
        <w:rPr>
          <w:sz w:val="20"/>
          <w:szCs w:val="20"/>
          <w:lang w:val="fr-CA"/>
        </w:rPr>
      </w:pPr>
    </w:p>
    <w:p w:rsidR="0089171C" w:rsidRDefault="00D82946" w:rsidP="0089171C">
      <w:pPr>
        <w:rPr>
          <w:sz w:val="20"/>
          <w:szCs w:val="20"/>
          <w:lang w:val="fr-CA"/>
        </w:rPr>
      </w:pPr>
      <w:r>
        <w:rPr>
          <w:sz w:val="20"/>
          <w:szCs w:val="20"/>
          <w:lang w:val="fr-CA"/>
        </w:rPr>
        <w:pict>
          <v:rect id="_x0000_i1045" style="width:2in;height:1pt" o:hrpct="0" o:hralign="center" o:hrstd="t" o:hrnoshade="t" o:hr="t" fillcolor="black [3213]" stroked="f"/>
        </w:pict>
      </w:r>
    </w:p>
    <w:p w:rsidR="0089171C" w:rsidRDefault="0089171C" w:rsidP="0089171C">
      <w:pPr>
        <w:rPr>
          <w:sz w:val="20"/>
          <w:szCs w:val="20"/>
          <w:lang w:val="fr-CA"/>
        </w:rPr>
      </w:pPr>
    </w:p>
    <w:p w:rsidR="0089171C" w:rsidRDefault="0089171C" w:rsidP="0089171C">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3863F7" w:rsidRPr="003863F7" w:rsidRDefault="003863F7" w:rsidP="003863F7">
      <w:pPr>
        <w:tabs>
          <w:tab w:val="left" w:pos="-1440"/>
          <w:tab w:val="left" w:pos="-720"/>
        </w:tabs>
        <w:jc w:val="both"/>
        <w:rPr>
          <w:rFonts w:eastAsia="Times New Roman" w:cs="Times New Roman"/>
          <w:sz w:val="20"/>
          <w:szCs w:val="20"/>
          <w:lang w:val="fr-CA" w:eastAsia="en-CA"/>
        </w:rPr>
      </w:pPr>
      <w:r w:rsidRPr="003863F7">
        <w:rPr>
          <w:rFonts w:eastAsia="Times New Roman" w:cs="Times New Roman"/>
          <w:sz w:val="20"/>
          <w:szCs w:val="20"/>
          <w:lang w:val="fr-CA" w:eastAsia="en-CA"/>
        </w:rPr>
        <w:t>Revised May 25, 2015 / Révisée le 25 mai 2015</w:t>
      </w:r>
    </w:p>
    <w:p w:rsidR="003863F7" w:rsidRPr="003863F7" w:rsidRDefault="003863F7" w:rsidP="003863F7">
      <w:pPr>
        <w:tabs>
          <w:tab w:val="left" w:pos="-1440"/>
          <w:tab w:val="left" w:pos="-720"/>
        </w:tabs>
        <w:jc w:val="both"/>
        <w:rPr>
          <w:rFonts w:eastAsia="Times New Roman" w:cs="Times New Roman"/>
          <w:sz w:val="20"/>
          <w:szCs w:val="20"/>
          <w:lang w:eastAsia="en-CA"/>
        </w:rPr>
      </w:pPr>
      <w:r w:rsidRPr="003863F7">
        <w:rPr>
          <w:rFonts w:eastAsia="Times New Roman" w:cs="Times New Roman"/>
          <w:sz w:val="20"/>
          <w:szCs w:val="20"/>
          <w:lang w:val="fr-CA" w:eastAsia="en-CA"/>
        </w:rPr>
        <w:t>28</w:t>
      </w:r>
      <w:r w:rsidRPr="003863F7">
        <w:rPr>
          <w:rFonts w:eastAsia="Times New Roman" w:cs="Times New Roman"/>
          <w:sz w:val="20"/>
          <w:szCs w:val="20"/>
          <w:lang w:eastAsia="en-CA"/>
        </w:rPr>
        <w:t>.04.2015</w:t>
      </w:r>
    </w:p>
    <w:p w:rsidR="003863F7" w:rsidRPr="003863F7" w:rsidRDefault="003863F7" w:rsidP="003863F7">
      <w:pPr>
        <w:tabs>
          <w:tab w:val="left" w:pos="-1440"/>
          <w:tab w:val="left" w:pos="-720"/>
        </w:tabs>
        <w:jc w:val="both"/>
        <w:rPr>
          <w:rFonts w:eastAsia="Times New Roman" w:cs="Times New Roman"/>
          <w:sz w:val="20"/>
          <w:szCs w:val="20"/>
          <w:lang w:eastAsia="en-CA"/>
        </w:rPr>
      </w:pPr>
    </w:p>
    <w:p w:rsidR="003863F7" w:rsidRPr="003863F7" w:rsidRDefault="003863F7" w:rsidP="003863F7">
      <w:pPr>
        <w:tabs>
          <w:tab w:val="left" w:pos="-1440"/>
          <w:tab w:val="left" w:pos="-720"/>
        </w:tabs>
        <w:jc w:val="both"/>
        <w:rPr>
          <w:rFonts w:eastAsia="Times New Roman" w:cs="Times New Roman"/>
          <w:sz w:val="20"/>
          <w:szCs w:val="20"/>
          <w:lang w:eastAsia="en-CA"/>
        </w:rPr>
      </w:pPr>
      <w:r w:rsidRPr="003863F7">
        <w:rPr>
          <w:rFonts w:eastAsia="Times New Roman" w:cs="Times New Roman"/>
          <w:sz w:val="20"/>
          <w:szCs w:val="20"/>
          <w:lang w:eastAsia="en-CA"/>
        </w:rPr>
        <w:t>Before / Devant:   THE REGISTRAR / LE REGISTRAIRE</w:t>
      </w:r>
    </w:p>
    <w:p w:rsidR="003863F7" w:rsidRPr="003863F7" w:rsidRDefault="003863F7" w:rsidP="003863F7">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3863F7" w:rsidRPr="004C36D9" w:rsidTr="00C44A6F">
        <w:tc>
          <w:tcPr>
            <w:tcW w:w="4338" w:type="dxa"/>
          </w:tcPr>
          <w:p w:rsidR="003863F7" w:rsidRPr="003863F7" w:rsidRDefault="00DA5C5B" w:rsidP="003863F7">
            <w:pPr>
              <w:tabs>
                <w:tab w:val="left" w:pos="-1440"/>
                <w:tab w:val="left" w:pos="-720"/>
              </w:tabs>
              <w:jc w:val="both"/>
            </w:pPr>
            <w:r w:rsidRPr="003863F7">
              <w:rPr>
                <w:szCs w:val="24"/>
                <w:lang w:val="en-US"/>
              </w:rPr>
              <w:fldChar w:fldCharType="begin"/>
            </w:r>
            <w:r w:rsidR="003863F7" w:rsidRPr="003863F7">
              <w:rPr>
                <w:szCs w:val="24"/>
                <w:lang w:val="en-US"/>
              </w:rPr>
              <w:instrText xml:space="preserve"> SEQ CHAPTER \h \r 1</w:instrText>
            </w:r>
            <w:r w:rsidRPr="003863F7">
              <w:rPr>
                <w:szCs w:val="24"/>
                <w:lang w:val="en-US"/>
              </w:rPr>
              <w:fldChar w:fldCharType="end"/>
            </w:r>
            <w:r w:rsidR="003863F7" w:rsidRPr="003863F7">
              <w:rPr>
                <w:b/>
                <w:bCs/>
                <w:lang w:val="en-US"/>
              </w:rPr>
              <w:t xml:space="preserve">Motion to seal </w:t>
            </w:r>
          </w:p>
        </w:tc>
        <w:tc>
          <w:tcPr>
            <w:tcW w:w="1170" w:type="dxa"/>
          </w:tcPr>
          <w:p w:rsidR="003863F7" w:rsidRPr="003863F7" w:rsidRDefault="003863F7" w:rsidP="003863F7">
            <w:pPr>
              <w:tabs>
                <w:tab w:val="left" w:pos="-1440"/>
                <w:tab w:val="left" w:pos="-720"/>
              </w:tabs>
              <w:jc w:val="both"/>
            </w:pPr>
          </w:p>
          <w:p w:rsidR="003863F7" w:rsidRPr="003863F7" w:rsidRDefault="003863F7" w:rsidP="003863F7">
            <w:pPr>
              <w:tabs>
                <w:tab w:val="left" w:pos="-1440"/>
                <w:tab w:val="left" w:pos="-720"/>
              </w:tabs>
              <w:jc w:val="both"/>
            </w:pPr>
          </w:p>
          <w:p w:rsidR="003863F7" w:rsidRPr="003863F7" w:rsidRDefault="003863F7" w:rsidP="003863F7">
            <w:pPr>
              <w:tabs>
                <w:tab w:val="left" w:pos="-1440"/>
                <w:tab w:val="left" w:pos="-720"/>
              </w:tabs>
              <w:jc w:val="both"/>
            </w:pPr>
          </w:p>
        </w:tc>
        <w:tc>
          <w:tcPr>
            <w:tcW w:w="4327" w:type="dxa"/>
          </w:tcPr>
          <w:p w:rsidR="003863F7" w:rsidRPr="003863F7" w:rsidRDefault="00DA5C5B" w:rsidP="003863F7">
            <w:pPr>
              <w:tabs>
                <w:tab w:val="left" w:pos="-1440"/>
                <w:tab w:val="left" w:pos="-720"/>
              </w:tabs>
              <w:jc w:val="both"/>
              <w:rPr>
                <w:lang w:val="fr-CA"/>
              </w:rPr>
            </w:pPr>
            <w:r w:rsidRPr="003863F7">
              <w:rPr>
                <w:szCs w:val="24"/>
                <w:lang w:val="en-US"/>
              </w:rPr>
              <w:fldChar w:fldCharType="begin"/>
            </w:r>
            <w:r w:rsidR="003863F7" w:rsidRPr="003863F7">
              <w:rPr>
                <w:szCs w:val="24"/>
                <w:lang w:val="fr-CA"/>
              </w:rPr>
              <w:instrText xml:space="preserve"> SEQ CHAPTER \h \r 1</w:instrText>
            </w:r>
            <w:r w:rsidRPr="003863F7">
              <w:rPr>
                <w:szCs w:val="24"/>
                <w:lang w:val="en-US"/>
              </w:rPr>
              <w:fldChar w:fldCharType="end"/>
            </w:r>
            <w:r w:rsidR="003863F7" w:rsidRPr="003863F7">
              <w:rPr>
                <w:b/>
                <w:bCs/>
                <w:lang w:val="fr-CA"/>
              </w:rPr>
              <w:t>Requête visant la mise sous scellés d’un document</w:t>
            </w:r>
          </w:p>
        </w:tc>
      </w:tr>
      <w:tr w:rsidR="003863F7" w:rsidRPr="003863F7" w:rsidTr="00C44A6F">
        <w:tc>
          <w:tcPr>
            <w:tcW w:w="4338" w:type="dxa"/>
          </w:tcPr>
          <w:p w:rsidR="003863F7" w:rsidRPr="003863F7" w:rsidRDefault="003863F7" w:rsidP="003863F7">
            <w:pPr>
              <w:tabs>
                <w:tab w:val="left" w:pos="-1440"/>
                <w:tab w:val="left" w:pos="-720"/>
              </w:tabs>
              <w:jc w:val="both"/>
            </w:pPr>
            <w:r w:rsidRPr="003863F7">
              <w:t>Larry Peter Klippenstein</w:t>
            </w:r>
          </w:p>
          <w:p w:rsidR="003863F7" w:rsidRPr="003863F7" w:rsidRDefault="003863F7" w:rsidP="003863F7">
            <w:pPr>
              <w:tabs>
                <w:tab w:val="left" w:pos="-1440"/>
                <w:tab w:val="left" w:pos="-720"/>
              </w:tabs>
              <w:jc w:val="both"/>
            </w:pPr>
          </w:p>
          <w:p w:rsidR="003863F7" w:rsidRPr="003863F7" w:rsidRDefault="003863F7" w:rsidP="003863F7">
            <w:pPr>
              <w:tabs>
                <w:tab w:val="left" w:pos="-1440"/>
                <w:tab w:val="left" w:pos="-720"/>
              </w:tabs>
              <w:jc w:val="both"/>
            </w:pPr>
            <w:r w:rsidRPr="003863F7">
              <w:tab/>
              <w:t>v. (36219)</w:t>
            </w:r>
          </w:p>
          <w:p w:rsidR="003863F7" w:rsidRPr="003863F7" w:rsidRDefault="003863F7" w:rsidP="003863F7">
            <w:pPr>
              <w:tabs>
                <w:tab w:val="left" w:pos="-1440"/>
                <w:tab w:val="left" w:pos="-720"/>
              </w:tabs>
              <w:jc w:val="both"/>
            </w:pPr>
          </w:p>
          <w:p w:rsidR="003863F7" w:rsidRPr="003863F7" w:rsidRDefault="003863F7" w:rsidP="003863F7">
            <w:pPr>
              <w:tabs>
                <w:tab w:val="left" w:pos="-1440"/>
                <w:tab w:val="left" w:pos="-720"/>
              </w:tabs>
              <w:jc w:val="both"/>
            </w:pPr>
            <w:r w:rsidRPr="003863F7">
              <w:t>Her Majesty the Queen (F.C.)</w:t>
            </w:r>
          </w:p>
        </w:tc>
        <w:tc>
          <w:tcPr>
            <w:tcW w:w="1170" w:type="dxa"/>
          </w:tcPr>
          <w:p w:rsidR="003863F7" w:rsidRPr="003863F7" w:rsidRDefault="003863F7" w:rsidP="003863F7">
            <w:pPr>
              <w:tabs>
                <w:tab w:val="left" w:pos="-1440"/>
                <w:tab w:val="left" w:pos="-720"/>
              </w:tabs>
              <w:jc w:val="both"/>
            </w:pPr>
          </w:p>
        </w:tc>
        <w:tc>
          <w:tcPr>
            <w:tcW w:w="4327" w:type="dxa"/>
          </w:tcPr>
          <w:p w:rsidR="003863F7" w:rsidRPr="003863F7" w:rsidRDefault="003863F7" w:rsidP="003863F7">
            <w:pPr>
              <w:tabs>
                <w:tab w:val="left" w:pos="-1440"/>
                <w:tab w:val="left" w:pos="-720"/>
              </w:tabs>
              <w:jc w:val="both"/>
            </w:pPr>
          </w:p>
        </w:tc>
      </w:tr>
    </w:tbl>
    <w:p w:rsidR="003863F7" w:rsidRPr="003863F7" w:rsidRDefault="003863F7" w:rsidP="003863F7">
      <w:pPr>
        <w:tabs>
          <w:tab w:val="left" w:pos="-1440"/>
          <w:tab w:val="left" w:pos="-720"/>
        </w:tabs>
        <w:jc w:val="both"/>
        <w:rPr>
          <w:rFonts w:eastAsia="Times New Roman" w:cs="Times New Roman"/>
          <w:sz w:val="20"/>
          <w:szCs w:val="20"/>
          <w:lang w:eastAsia="en-CA"/>
        </w:rPr>
      </w:pPr>
    </w:p>
    <w:p w:rsidR="003863F7" w:rsidRPr="003863F7" w:rsidRDefault="003863F7" w:rsidP="003863F7">
      <w:pPr>
        <w:tabs>
          <w:tab w:val="left" w:pos="-1440"/>
          <w:tab w:val="left" w:pos="-720"/>
        </w:tabs>
        <w:jc w:val="both"/>
        <w:rPr>
          <w:rFonts w:eastAsia="Times New Roman" w:cs="Times New Roman"/>
          <w:sz w:val="20"/>
          <w:szCs w:val="20"/>
          <w:lang w:val="fr-CA" w:eastAsia="en-CA"/>
        </w:rPr>
      </w:pPr>
      <w:r w:rsidRPr="003863F7">
        <w:rPr>
          <w:rFonts w:eastAsia="Times New Roman" w:cs="Times New Roman"/>
          <w:b/>
          <w:sz w:val="20"/>
          <w:szCs w:val="20"/>
          <w:lang w:val="fr-CA" w:eastAsia="en-CA"/>
        </w:rPr>
        <w:t>GRANTED IN PART / ACCORDÉE EN PARTIE</w:t>
      </w:r>
    </w:p>
    <w:p w:rsidR="003863F7" w:rsidRPr="003863F7" w:rsidRDefault="003863F7" w:rsidP="003863F7">
      <w:pPr>
        <w:tabs>
          <w:tab w:val="left" w:pos="-1440"/>
          <w:tab w:val="left" w:pos="-720"/>
        </w:tabs>
        <w:jc w:val="both"/>
        <w:rPr>
          <w:rFonts w:eastAsia="Times New Roman" w:cs="Times New Roman"/>
          <w:sz w:val="20"/>
          <w:szCs w:val="20"/>
          <w:lang w:val="fr-CA" w:eastAsia="en-CA"/>
        </w:rPr>
      </w:pPr>
    </w:p>
    <w:p w:rsidR="003863F7" w:rsidRPr="003863F7" w:rsidRDefault="003863F7" w:rsidP="003863F7">
      <w:pPr>
        <w:jc w:val="both"/>
        <w:rPr>
          <w:rFonts w:eastAsia="Times New Roman" w:cs="Times New Roman"/>
          <w:sz w:val="20"/>
          <w:szCs w:val="20"/>
          <w:lang w:val="en-US" w:eastAsia="en-CA"/>
        </w:rPr>
      </w:pPr>
      <w:r w:rsidRPr="003863F7">
        <w:rPr>
          <w:rFonts w:eastAsia="Times New Roman" w:cs="Times New Roman"/>
          <w:b/>
          <w:sz w:val="20"/>
          <w:szCs w:val="20"/>
          <w:lang w:val="en-US" w:eastAsia="en-CA"/>
        </w:rPr>
        <w:t>UPON APPLICATION</w:t>
      </w:r>
      <w:r w:rsidRPr="003863F7">
        <w:rPr>
          <w:rFonts w:eastAsia="Times New Roman" w:cs="Times New Roman"/>
          <w:sz w:val="20"/>
          <w:szCs w:val="20"/>
          <w:lang w:val="en-US" w:eastAsia="en-CA"/>
        </w:rPr>
        <w:t xml:space="preserve"> by the applicant for an order sealing the file and other miscellaneous remedies;</w:t>
      </w:r>
    </w:p>
    <w:p w:rsidR="003863F7" w:rsidRPr="003863F7" w:rsidRDefault="003863F7" w:rsidP="003863F7">
      <w:pPr>
        <w:jc w:val="both"/>
        <w:rPr>
          <w:rFonts w:eastAsia="Times New Roman" w:cs="Times New Roman"/>
          <w:sz w:val="20"/>
          <w:szCs w:val="20"/>
          <w:lang w:val="en-US" w:eastAsia="en-CA"/>
        </w:rPr>
      </w:pPr>
    </w:p>
    <w:p w:rsidR="003863F7" w:rsidRPr="003863F7" w:rsidRDefault="003863F7" w:rsidP="003863F7">
      <w:pPr>
        <w:jc w:val="both"/>
        <w:rPr>
          <w:rFonts w:eastAsia="Times New Roman" w:cs="Times New Roman"/>
          <w:sz w:val="20"/>
          <w:szCs w:val="20"/>
          <w:lang w:val="en-US" w:eastAsia="en-CA"/>
        </w:rPr>
      </w:pPr>
      <w:r w:rsidRPr="003863F7">
        <w:rPr>
          <w:rFonts w:eastAsia="Times New Roman" w:cs="Times New Roman"/>
          <w:b/>
          <w:sz w:val="20"/>
          <w:szCs w:val="20"/>
          <w:lang w:val="en-US" w:eastAsia="en-CA"/>
        </w:rPr>
        <w:t>AND THE MATERIAL FILED</w:t>
      </w:r>
      <w:r w:rsidRPr="003863F7">
        <w:rPr>
          <w:rFonts w:eastAsia="Times New Roman" w:cs="Times New Roman"/>
          <w:sz w:val="20"/>
          <w:szCs w:val="20"/>
          <w:lang w:val="en-US" w:eastAsia="en-CA"/>
        </w:rPr>
        <w:t xml:space="preserve"> having been read;</w:t>
      </w:r>
    </w:p>
    <w:p w:rsidR="003863F7" w:rsidRPr="003863F7" w:rsidRDefault="003863F7" w:rsidP="003863F7">
      <w:pPr>
        <w:jc w:val="both"/>
        <w:rPr>
          <w:rFonts w:eastAsia="Times New Roman" w:cs="Times New Roman"/>
          <w:sz w:val="20"/>
          <w:szCs w:val="20"/>
          <w:lang w:val="en-US" w:eastAsia="en-CA"/>
        </w:rPr>
      </w:pPr>
    </w:p>
    <w:p w:rsidR="003863F7" w:rsidRPr="003863F7" w:rsidRDefault="003863F7" w:rsidP="003863F7">
      <w:pPr>
        <w:jc w:val="both"/>
        <w:rPr>
          <w:rFonts w:eastAsia="Times New Roman" w:cs="Times New Roman"/>
          <w:b/>
          <w:sz w:val="20"/>
          <w:szCs w:val="20"/>
          <w:lang w:val="en-US" w:eastAsia="en-CA"/>
        </w:rPr>
      </w:pPr>
      <w:r w:rsidRPr="003863F7">
        <w:rPr>
          <w:rFonts w:eastAsia="Times New Roman" w:cs="Times New Roman"/>
          <w:b/>
          <w:sz w:val="20"/>
          <w:szCs w:val="20"/>
          <w:lang w:val="en-US" w:eastAsia="en-CA"/>
        </w:rPr>
        <w:t>IT IS HEREBY ORDERED THAT:</w:t>
      </w:r>
    </w:p>
    <w:p w:rsidR="003863F7" w:rsidRPr="003863F7" w:rsidRDefault="003863F7" w:rsidP="003863F7">
      <w:pPr>
        <w:jc w:val="both"/>
        <w:rPr>
          <w:rFonts w:eastAsia="Times New Roman" w:cs="Times New Roman"/>
          <w:sz w:val="20"/>
          <w:szCs w:val="20"/>
          <w:lang w:val="en-US" w:eastAsia="en-CA"/>
        </w:rPr>
      </w:pPr>
    </w:p>
    <w:p w:rsidR="003863F7" w:rsidRPr="003863F7" w:rsidRDefault="003863F7" w:rsidP="003863F7">
      <w:pPr>
        <w:jc w:val="both"/>
        <w:rPr>
          <w:rFonts w:eastAsia="Times New Roman" w:cs="Times New Roman"/>
          <w:sz w:val="20"/>
          <w:szCs w:val="20"/>
          <w:lang w:val="en-US" w:eastAsia="en-CA"/>
        </w:rPr>
      </w:pPr>
      <w:r w:rsidRPr="003863F7">
        <w:rPr>
          <w:rFonts w:eastAsia="Times New Roman" w:cs="Times New Roman"/>
          <w:sz w:val="20"/>
          <w:szCs w:val="20"/>
          <w:lang w:val="en-US" w:eastAsia="en-CA"/>
        </w:rPr>
        <w:t>The motion to seal</w:t>
      </w:r>
      <w:r w:rsidRPr="003863F7">
        <w:rPr>
          <w:rFonts w:eastAsia="Times New Roman" w:cs="Times New Roman"/>
          <w:color w:val="FF0000"/>
          <w:sz w:val="20"/>
          <w:szCs w:val="20"/>
          <w:lang w:val="en-US" w:eastAsia="en-CA"/>
        </w:rPr>
        <w:t xml:space="preserve"> </w:t>
      </w:r>
      <w:r w:rsidRPr="003863F7">
        <w:rPr>
          <w:rFonts w:eastAsia="Times New Roman" w:cs="Times New Roman"/>
          <w:sz w:val="20"/>
          <w:szCs w:val="20"/>
          <w:lang w:val="en-US" w:eastAsia="en-CA"/>
        </w:rPr>
        <w:t>is granted in part. The application for leave to appeal and the reply filed by the applicant are sealed.</w:t>
      </w:r>
    </w:p>
    <w:p w:rsidR="003863F7" w:rsidRPr="003863F7" w:rsidRDefault="003863F7" w:rsidP="003863F7">
      <w:pPr>
        <w:jc w:val="both"/>
        <w:rPr>
          <w:rFonts w:eastAsia="Times New Roman" w:cs="Times New Roman"/>
          <w:sz w:val="20"/>
          <w:szCs w:val="20"/>
          <w:lang w:val="en-US" w:eastAsia="en-CA"/>
        </w:rPr>
      </w:pPr>
    </w:p>
    <w:p w:rsidR="003863F7" w:rsidRPr="003863F7" w:rsidRDefault="003863F7" w:rsidP="003863F7">
      <w:pPr>
        <w:jc w:val="both"/>
        <w:rPr>
          <w:rFonts w:eastAsia="Times New Roman" w:cs="Times New Roman"/>
          <w:bCs/>
          <w:sz w:val="20"/>
          <w:szCs w:val="20"/>
          <w:lang w:eastAsia="en-CA"/>
        </w:rPr>
      </w:pPr>
      <w:r w:rsidRPr="003863F7">
        <w:rPr>
          <w:rFonts w:eastAsia="Times New Roman" w:cs="Times New Roman"/>
          <w:sz w:val="20"/>
          <w:szCs w:val="20"/>
          <w:lang w:val="en-US" w:eastAsia="en-CA"/>
        </w:rPr>
        <w:t>The motion for miscellaneous remedies is dismissed.</w:t>
      </w:r>
    </w:p>
    <w:p w:rsidR="003863F7" w:rsidRPr="003863F7" w:rsidRDefault="003863F7" w:rsidP="003863F7">
      <w:pPr>
        <w:spacing w:line="233" w:lineRule="auto"/>
        <w:jc w:val="both"/>
        <w:rPr>
          <w:rFonts w:eastAsia="Times New Roman" w:cs="Times New Roman"/>
          <w:bCs/>
          <w:sz w:val="20"/>
          <w:szCs w:val="20"/>
          <w:lang w:eastAsia="en-CA"/>
        </w:rPr>
      </w:pPr>
    </w:p>
    <w:p w:rsidR="003863F7" w:rsidRPr="003863F7" w:rsidRDefault="003863F7" w:rsidP="003863F7">
      <w:pPr>
        <w:spacing w:line="233" w:lineRule="auto"/>
        <w:jc w:val="both"/>
        <w:rPr>
          <w:rFonts w:eastAsia="Times New Roman" w:cs="Times New Roman"/>
          <w:bCs/>
          <w:sz w:val="20"/>
          <w:szCs w:val="20"/>
          <w:lang w:eastAsia="en-CA"/>
        </w:rPr>
      </w:pPr>
    </w:p>
    <w:p w:rsidR="003863F7" w:rsidRPr="003863F7" w:rsidRDefault="003863F7" w:rsidP="003863F7">
      <w:pPr>
        <w:spacing w:line="233" w:lineRule="auto"/>
        <w:jc w:val="both"/>
        <w:rPr>
          <w:rFonts w:eastAsia="Times New Roman" w:cs="Times New Roman"/>
          <w:bCs/>
          <w:sz w:val="20"/>
          <w:szCs w:val="20"/>
          <w:lang w:eastAsia="en-CA"/>
        </w:rPr>
      </w:pPr>
    </w:p>
    <w:p w:rsidR="003863F7" w:rsidRPr="003863F7" w:rsidRDefault="003863F7" w:rsidP="003863F7">
      <w:pPr>
        <w:spacing w:line="233" w:lineRule="auto"/>
        <w:jc w:val="both"/>
        <w:rPr>
          <w:rFonts w:eastAsia="Times New Roman" w:cs="Times New Roman"/>
          <w:bCs/>
          <w:sz w:val="20"/>
          <w:szCs w:val="20"/>
          <w:lang w:val="fr-CA" w:eastAsia="en-CA"/>
        </w:rPr>
      </w:pPr>
      <w:r w:rsidRPr="003863F7">
        <w:rPr>
          <w:rFonts w:eastAsia="Times New Roman" w:cs="Times New Roman"/>
          <w:b/>
          <w:bCs/>
          <w:sz w:val="20"/>
          <w:szCs w:val="20"/>
          <w:lang w:val="fr-CA" w:eastAsia="en-CA"/>
        </w:rPr>
        <w:t>À LA SUITE DE LA DEMANDE</w:t>
      </w:r>
      <w:r w:rsidRPr="003863F7">
        <w:rPr>
          <w:rFonts w:eastAsia="Times New Roman" w:cs="Times New Roman"/>
          <w:bCs/>
          <w:sz w:val="20"/>
          <w:szCs w:val="20"/>
          <w:lang w:val="fr-CA" w:eastAsia="en-CA"/>
        </w:rPr>
        <w:t xml:space="preserve"> du demandeur visant la mise sous scellés du dossier ainsi que diverses mesures; </w:t>
      </w:r>
    </w:p>
    <w:p w:rsidR="003863F7" w:rsidRPr="003863F7" w:rsidRDefault="003863F7" w:rsidP="003863F7">
      <w:pPr>
        <w:spacing w:line="233" w:lineRule="auto"/>
        <w:jc w:val="both"/>
        <w:rPr>
          <w:rFonts w:eastAsia="Times New Roman" w:cs="Times New Roman"/>
          <w:bCs/>
          <w:sz w:val="20"/>
          <w:szCs w:val="20"/>
          <w:lang w:val="fr-CA" w:eastAsia="en-CA"/>
        </w:rPr>
      </w:pPr>
    </w:p>
    <w:p w:rsidR="003863F7" w:rsidRPr="003863F7" w:rsidRDefault="003863F7" w:rsidP="003863F7">
      <w:pPr>
        <w:spacing w:line="233" w:lineRule="auto"/>
        <w:jc w:val="both"/>
        <w:rPr>
          <w:rFonts w:eastAsia="Times New Roman" w:cs="Times New Roman"/>
          <w:bCs/>
          <w:sz w:val="20"/>
          <w:szCs w:val="20"/>
          <w:lang w:val="fr-CA" w:eastAsia="en-CA"/>
        </w:rPr>
      </w:pPr>
      <w:r w:rsidRPr="003863F7">
        <w:rPr>
          <w:rFonts w:eastAsia="Times New Roman" w:cs="Times New Roman"/>
          <w:b/>
          <w:bCs/>
          <w:sz w:val="20"/>
          <w:szCs w:val="20"/>
          <w:lang w:val="fr-CA" w:eastAsia="en-CA"/>
        </w:rPr>
        <w:t>ET APRÈS EXAMEN</w:t>
      </w:r>
      <w:r w:rsidRPr="003863F7">
        <w:rPr>
          <w:rFonts w:eastAsia="Times New Roman" w:cs="Times New Roman"/>
          <w:bCs/>
          <w:sz w:val="20"/>
          <w:szCs w:val="20"/>
          <w:lang w:val="fr-CA" w:eastAsia="en-CA"/>
        </w:rPr>
        <w:t xml:space="preserve"> des documents déposés; </w:t>
      </w:r>
    </w:p>
    <w:p w:rsidR="003863F7" w:rsidRPr="003863F7" w:rsidRDefault="003863F7" w:rsidP="003863F7">
      <w:pPr>
        <w:spacing w:line="233" w:lineRule="auto"/>
        <w:jc w:val="both"/>
        <w:rPr>
          <w:rFonts w:eastAsia="Times New Roman" w:cs="Times New Roman"/>
          <w:bCs/>
          <w:sz w:val="20"/>
          <w:szCs w:val="20"/>
          <w:lang w:val="fr-CA" w:eastAsia="en-CA"/>
        </w:rPr>
      </w:pPr>
    </w:p>
    <w:p w:rsidR="003863F7" w:rsidRPr="003863F7" w:rsidRDefault="003863F7" w:rsidP="003863F7">
      <w:pPr>
        <w:spacing w:line="233" w:lineRule="auto"/>
        <w:jc w:val="both"/>
        <w:rPr>
          <w:rFonts w:eastAsia="Times New Roman" w:cs="Times New Roman"/>
          <w:b/>
          <w:bCs/>
          <w:sz w:val="20"/>
          <w:szCs w:val="20"/>
          <w:lang w:val="fr-CA" w:eastAsia="en-CA"/>
        </w:rPr>
      </w:pPr>
      <w:r w:rsidRPr="003863F7">
        <w:rPr>
          <w:rFonts w:eastAsia="Times New Roman" w:cs="Times New Roman"/>
          <w:b/>
          <w:bCs/>
          <w:sz w:val="20"/>
          <w:szCs w:val="20"/>
          <w:lang w:val="fr-CA" w:eastAsia="en-CA"/>
        </w:rPr>
        <w:t xml:space="preserve">IL EST ORDONNÉ CE QUI SUIT : </w:t>
      </w:r>
    </w:p>
    <w:p w:rsidR="003863F7" w:rsidRPr="003863F7" w:rsidRDefault="003863F7" w:rsidP="003863F7">
      <w:pPr>
        <w:spacing w:line="233" w:lineRule="auto"/>
        <w:jc w:val="both"/>
        <w:rPr>
          <w:rFonts w:eastAsia="Times New Roman" w:cs="Times New Roman"/>
          <w:bCs/>
          <w:sz w:val="20"/>
          <w:szCs w:val="20"/>
          <w:lang w:val="fr-CA" w:eastAsia="en-CA"/>
        </w:rPr>
      </w:pPr>
    </w:p>
    <w:p w:rsidR="003863F7" w:rsidRPr="003863F7" w:rsidRDefault="003863F7" w:rsidP="003863F7">
      <w:pPr>
        <w:spacing w:line="233" w:lineRule="auto"/>
        <w:jc w:val="both"/>
        <w:rPr>
          <w:rFonts w:eastAsia="Times New Roman" w:cs="Times New Roman"/>
          <w:bCs/>
          <w:sz w:val="20"/>
          <w:szCs w:val="20"/>
          <w:lang w:val="fr-CA" w:eastAsia="en-CA"/>
        </w:rPr>
      </w:pPr>
      <w:r w:rsidRPr="003863F7">
        <w:rPr>
          <w:rFonts w:eastAsia="Times New Roman" w:cs="Times New Roman"/>
          <w:bCs/>
          <w:sz w:val="20"/>
          <w:szCs w:val="20"/>
          <w:lang w:val="fr-CA" w:eastAsia="en-CA"/>
        </w:rPr>
        <w:t>La requête pour mise sous scellés est accueillie en partie. La demande d’autorisation d’appel et la réplique déposées par le demandeur sont mises sous scellés.</w:t>
      </w:r>
    </w:p>
    <w:p w:rsidR="003863F7" w:rsidRPr="003863F7" w:rsidRDefault="003863F7" w:rsidP="003863F7">
      <w:pPr>
        <w:spacing w:line="233" w:lineRule="auto"/>
        <w:jc w:val="both"/>
        <w:rPr>
          <w:rFonts w:eastAsia="Times New Roman" w:cs="Times New Roman"/>
          <w:bCs/>
          <w:sz w:val="20"/>
          <w:szCs w:val="20"/>
          <w:lang w:val="fr-CA" w:eastAsia="en-CA"/>
        </w:rPr>
      </w:pPr>
    </w:p>
    <w:p w:rsidR="003863F7" w:rsidRPr="003863F7" w:rsidRDefault="003863F7" w:rsidP="003863F7">
      <w:pPr>
        <w:spacing w:line="233" w:lineRule="auto"/>
        <w:jc w:val="both"/>
        <w:rPr>
          <w:rFonts w:eastAsia="Times New Roman" w:cs="Times New Roman"/>
          <w:bCs/>
          <w:sz w:val="20"/>
          <w:szCs w:val="20"/>
          <w:lang w:val="fr-CA" w:eastAsia="en-CA"/>
        </w:rPr>
      </w:pPr>
      <w:r w:rsidRPr="003863F7">
        <w:rPr>
          <w:rFonts w:eastAsia="Times New Roman" w:cs="Times New Roman"/>
          <w:bCs/>
          <w:sz w:val="20"/>
          <w:szCs w:val="20"/>
          <w:lang w:val="fr-CA" w:eastAsia="en-CA"/>
        </w:rPr>
        <w:t xml:space="preserve">La requête visant diverses mesures est rejetée. </w:t>
      </w:r>
    </w:p>
    <w:p w:rsidR="003863F7" w:rsidRPr="003863F7" w:rsidRDefault="003863F7" w:rsidP="003863F7">
      <w:pPr>
        <w:tabs>
          <w:tab w:val="left" w:pos="-1440"/>
          <w:tab w:val="left" w:pos="-720"/>
        </w:tabs>
        <w:jc w:val="both"/>
        <w:rPr>
          <w:rFonts w:eastAsia="Times New Roman" w:cs="Times New Roman"/>
          <w:sz w:val="20"/>
          <w:szCs w:val="20"/>
          <w:lang w:val="fr-CA" w:eastAsia="en-CA"/>
        </w:rPr>
      </w:pPr>
    </w:p>
    <w:p w:rsidR="003863F7" w:rsidRPr="003863F7" w:rsidRDefault="00D82946" w:rsidP="003863F7">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48" style="width:2in;height:1pt" o:hrpct="0" o:hralign="center" o:hrstd="t" o:hrnoshade="t" o:hr="t" fillcolor="black [3213]" stroked="f"/>
        </w:pict>
      </w:r>
    </w:p>
    <w:p w:rsidR="003863F7" w:rsidRPr="003863F7" w:rsidRDefault="003863F7" w:rsidP="003863F7">
      <w:pPr>
        <w:tabs>
          <w:tab w:val="left" w:pos="-1440"/>
          <w:tab w:val="left" w:pos="-720"/>
        </w:tabs>
        <w:jc w:val="both"/>
        <w:rPr>
          <w:rFonts w:eastAsia="Times New Roman" w:cs="Times New Roman"/>
          <w:sz w:val="20"/>
          <w:szCs w:val="20"/>
          <w:lang w:val="fr-CA" w:eastAsia="en-CA"/>
        </w:rPr>
      </w:pPr>
    </w:p>
    <w:p w:rsidR="003863F7" w:rsidRPr="003863F7" w:rsidRDefault="003863F7" w:rsidP="003863F7">
      <w:pPr>
        <w:tabs>
          <w:tab w:val="left" w:pos="-1440"/>
          <w:tab w:val="left" w:pos="-720"/>
        </w:tabs>
        <w:jc w:val="both"/>
        <w:rPr>
          <w:rFonts w:eastAsia="Times New Roman" w:cs="Times New Roman"/>
          <w:sz w:val="20"/>
          <w:szCs w:val="20"/>
          <w:lang w:eastAsia="en-CA"/>
        </w:rPr>
      </w:pPr>
      <w:r w:rsidRPr="003863F7">
        <w:rPr>
          <w:rFonts w:eastAsia="Times New Roman" w:cs="Times New Roman"/>
          <w:sz w:val="20"/>
          <w:szCs w:val="20"/>
          <w:lang w:eastAsia="en-CA"/>
        </w:rPr>
        <w:t>27.05.2015</w:t>
      </w:r>
    </w:p>
    <w:p w:rsidR="003863F7" w:rsidRPr="003863F7" w:rsidRDefault="003863F7" w:rsidP="003863F7">
      <w:pPr>
        <w:tabs>
          <w:tab w:val="left" w:pos="-1440"/>
          <w:tab w:val="left" w:pos="-720"/>
        </w:tabs>
        <w:jc w:val="both"/>
        <w:rPr>
          <w:rFonts w:eastAsia="Times New Roman" w:cs="Times New Roman"/>
          <w:sz w:val="20"/>
          <w:szCs w:val="20"/>
          <w:lang w:eastAsia="en-CA"/>
        </w:rPr>
      </w:pPr>
    </w:p>
    <w:p w:rsidR="003863F7" w:rsidRPr="003863F7" w:rsidRDefault="003863F7" w:rsidP="003863F7">
      <w:pPr>
        <w:tabs>
          <w:tab w:val="left" w:pos="-1440"/>
          <w:tab w:val="left" w:pos="-720"/>
        </w:tabs>
        <w:jc w:val="both"/>
        <w:rPr>
          <w:rFonts w:eastAsia="Times New Roman" w:cs="Times New Roman"/>
          <w:sz w:val="20"/>
          <w:szCs w:val="20"/>
          <w:lang w:eastAsia="en-CA"/>
        </w:rPr>
      </w:pPr>
      <w:r w:rsidRPr="003863F7">
        <w:rPr>
          <w:rFonts w:eastAsia="Times New Roman" w:cs="Times New Roman"/>
          <w:sz w:val="20"/>
          <w:szCs w:val="20"/>
          <w:lang w:eastAsia="en-CA"/>
        </w:rPr>
        <w:t>Before / Devant:   THE DEPUTY REGISTRAR / LE REGISTRAIRE ADJOINT</w:t>
      </w:r>
    </w:p>
    <w:p w:rsidR="003863F7" w:rsidRPr="003863F7" w:rsidRDefault="003863F7" w:rsidP="003863F7">
      <w:pPr>
        <w:tabs>
          <w:tab w:val="left" w:pos="-1440"/>
          <w:tab w:val="left" w:pos="-720"/>
        </w:tabs>
        <w:jc w:val="both"/>
        <w:rPr>
          <w:rFonts w:eastAsia="Times New Roman" w:cs="Times New Roman"/>
          <w:sz w:val="20"/>
          <w:szCs w:val="20"/>
          <w:lang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3863F7" w:rsidRPr="003863F7" w:rsidTr="00C44A6F">
        <w:trPr>
          <w:trHeight w:val="151"/>
        </w:trPr>
        <w:tc>
          <w:tcPr>
            <w:tcW w:w="4338" w:type="dxa"/>
          </w:tcPr>
          <w:p w:rsidR="003863F7" w:rsidRPr="003863F7" w:rsidRDefault="00DA5C5B" w:rsidP="003863F7">
            <w:pPr>
              <w:tabs>
                <w:tab w:val="left" w:pos="-1440"/>
                <w:tab w:val="left" w:pos="-720"/>
              </w:tabs>
              <w:jc w:val="both"/>
              <w:rPr>
                <w:lang w:val="fr-CA"/>
              </w:rPr>
            </w:pPr>
            <w:r w:rsidRPr="003863F7">
              <w:rPr>
                <w:lang w:val="en-US"/>
              </w:rPr>
              <w:fldChar w:fldCharType="begin"/>
            </w:r>
            <w:r w:rsidR="003863F7" w:rsidRPr="003863F7">
              <w:rPr>
                <w:lang w:val="fr-CA"/>
              </w:rPr>
              <w:instrText xml:space="preserve"> SEQ CHAPTER \h \r 1</w:instrText>
            </w:r>
            <w:r w:rsidRPr="003863F7">
              <w:rPr>
                <w:lang w:val="en-US"/>
              </w:rPr>
              <w:fldChar w:fldCharType="end"/>
            </w:r>
            <w:r w:rsidR="003863F7" w:rsidRPr="003863F7">
              <w:rPr>
                <w:b/>
                <w:bCs/>
                <w:lang w:val="fr-CA"/>
              </w:rPr>
              <w:t>Miscellaneous motion</w:t>
            </w:r>
          </w:p>
          <w:p w:rsidR="003863F7" w:rsidRPr="003863F7" w:rsidRDefault="00DA5C5B" w:rsidP="003863F7">
            <w:pPr>
              <w:tabs>
                <w:tab w:val="left" w:pos="-1440"/>
                <w:tab w:val="left" w:pos="-720"/>
              </w:tabs>
              <w:jc w:val="both"/>
              <w:rPr>
                <w:lang w:val="fr-CA"/>
              </w:rPr>
            </w:pPr>
            <w:r w:rsidRPr="003863F7">
              <w:rPr>
                <w:lang w:val="en-US"/>
              </w:rPr>
              <w:fldChar w:fldCharType="begin"/>
            </w:r>
            <w:r w:rsidR="003863F7" w:rsidRPr="003863F7">
              <w:rPr>
                <w:lang w:val="fr-CA"/>
              </w:rPr>
              <w:instrText xml:space="preserve"> SEQ CHAPTER \h \r 1</w:instrText>
            </w:r>
            <w:r w:rsidRPr="003863F7">
              <w:rPr>
                <w:lang w:val="en-US"/>
              </w:rPr>
              <w:fldChar w:fldCharType="end"/>
            </w:r>
          </w:p>
        </w:tc>
        <w:tc>
          <w:tcPr>
            <w:tcW w:w="1170" w:type="dxa"/>
          </w:tcPr>
          <w:p w:rsidR="003863F7" w:rsidRPr="003863F7" w:rsidRDefault="003863F7" w:rsidP="003863F7">
            <w:pPr>
              <w:jc w:val="both"/>
              <w:rPr>
                <w:lang w:val="fr-CA"/>
              </w:rPr>
            </w:pPr>
          </w:p>
          <w:p w:rsidR="003863F7" w:rsidRPr="003863F7" w:rsidRDefault="003863F7" w:rsidP="003863F7">
            <w:pPr>
              <w:jc w:val="both"/>
              <w:rPr>
                <w:lang w:val="fr-CA"/>
              </w:rPr>
            </w:pPr>
          </w:p>
        </w:tc>
        <w:tc>
          <w:tcPr>
            <w:tcW w:w="4327" w:type="dxa"/>
          </w:tcPr>
          <w:p w:rsidR="003863F7" w:rsidRPr="003863F7" w:rsidRDefault="00DA5C5B" w:rsidP="003863F7">
            <w:pPr>
              <w:jc w:val="both"/>
              <w:rPr>
                <w:b/>
                <w:lang w:val="fr-CA"/>
              </w:rPr>
            </w:pPr>
            <w:r w:rsidRPr="003863F7">
              <w:rPr>
                <w:lang w:val="en-US"/>
              </w:rPr>
              <w:fldChar w:fldCharType="begin"/>
            </w:r>
            <w:r w:rsidR="003863F7" w:rsidRPr="003863F7">
              <w:rPr>
                <w:lang w:val="fr-CA"/>
              </w:rPr>
              <w:instrText xml:space="preserve"> SEQ CHAPTER \h \r 1</w:instrText>
            </w:r>
            <w:r w:rsidRPr="003863F7">
              <w:rPr>
                <w:lang w:val="en-US"/>
              </w:rPr>
              <w:fldChar w:fldCharType="end"/>
            </w:r>
            <w:r w:rsidR="003863F7" w:rsidRPr="003863F7">
              <w:rPr>
                <w:b/>
                <w:bCs/>
                <w:lang w:val="fr-CA"/>
              </w:rPr>
              <w:t>Requête diverse</w:t>
            </w:r>
          </w:p>
          <w:p w:rsidR="003863F7" w:rsidRPr="003863F7" w:rsidRDefault="00DA5C5B" w:rsidP="003863F7">
            <w:pPr>
              <w:jc w:val="both"/>
              <w:rPr>
                <w:b/>
                <w:lang w:val="fr-CA"/>
              </w:rPr>
            </w:pPr>
            <w:r w:rsidRPr="003863F7">
              <w:rPr>
                <w:b/>
                <w:lang w:val="en-US"/>
              </w:rPr>
              <w:fldChar w:fldCharType="begin"/>
            </w:r>
            <w:r w:rsidR="003863F7" w:rsidRPr="003863F7">
              <w:rPr>
                <w:b/>
                <w:lang w:val="fr-CA"/>
              </w:rPr>
              <w:instrText xml:space="preserve"> SEQ CHAPTER \h \r 1</w:instrText>
            </w:r>
            <w:r w:rsidRPr="003863F7">
              <w:rPr>
                <w:b/>
                <w:lang w:val="en-US"/>
              </w:rPr>
              <w:fldChar w:fldCharType="end"/>
            </w:r>
            <w:r w:rsidRPr="003863F7">
              <w:rPr>
                <w:b/>
                <w:lang w:val="en-US"/>
              </w:rPr>
              <w:fldChar w:fldCharType="begin"/>
            </w:r>
            <w:r w:rsidR="003863F7" w:rsidRPr="003863F7">
              <w:rPr>
                <w:b/>
                <w:lang w:val="fr-CA"/>
              </w:rPr>
              <w:instrText xml:space="preserve"> SEQ CHAPTER \h \r 1</w:instrText>
            </w:r>
            <w:r w:rsidRPr="003863F7">
              <w:rPr>
                <w:b/>
                <w:lang w:val="en-US"/>
              </w:rPr>
              <w:fldChar w:fldCharType="end"/>
            </w:r>
          </w:p>
        </w:tc>
      </w:tr>
      <w:tr w:rsidR="003863F7" w:rsidRPr="004C36D9" w:rsidTr="00C44A6F">
        <w:trPr>
          <w:trHeight w:val="150"/>
        </w:trPr>
        <w:tc>
          <w:tcPr>
            <w:tcW w:w="4338" w:type="dxa"/>
          </w:tcPr>
          <w:p w:rsidR="003863F7" w:rsidRPr="003863F7" w:rsidRDefault="003863F7" w:rsidP="003863F7">
            <w:pPr>
              <w:tabs>
                <w:tab w:val="left" w:pos="-1440"/>
                <w:tab w:val="left" w:pos="-720"/>
              </w:tabs>
              <w:jc w:val="both"/>
              <w:rPr>
                <w:lang w:val="fr-CA"/>
              </w:rPr>
            </w:pPr>
            <w:r w:rsidRPr="003863F7">
              <w:rPr>
                <w:lang w:val="fr-CA"/>
              </w:rPr>
              <w:t>François Deraspe</w:t>
            </w:r>
          </w:p>
          <w:p w:rsidR="003863F7" w:rsidRPr="003863F7" w:rsidRDefault="003863F7" w:rsidP="003863F7">
            <w:pPr>
              <w:tabs>
                <w:tab w:val="left" w:pos="-1440"/>
                <w:tab w:val="left" w:pos="-720"/>
              </w:tabs>
              <w:jc w:val="both"/>
              <w:rPr>
                <w:lang w:val="fr-CA"/>
              </w:rPr>
            </w:pPr>
          </w:p>
          <w:p w:rsidR="003863F7" w:rsidRPr="003863F7" w:rsidRDefault="003863F7" w:rsidP="003863F7">
            <w:pPr>
              <w:tabs>
                <w:tab w:val="left" w:pos="-1440"/>
                <w:tab w:val="left" w:pos="-720"/>
              </w:tabs>
              <w:jc w:val="both"/>
              <w:rPr>
                <w:lang w:val="fr-CA"/>
              </w:rPr>
            </w:pPr>
            <w:r w:rsidRPr="003863F7">
              <w:rPr>
                <w:lang w:val="fr-CA"/>
              </w:rPr>
              <w:tab/>
              <w:t>c. (36295)</w:t>
            </w:r>
          </w:p>
          <w:p w:rsidR="003863F7" w:rsidRPr="003863F7" w:rsidRDefault="003863F7" w:rsidP="003863F7">
            <w:pPr>
              <w:tabs>
                <w:tab w:val="left" w:pos="-1440"/>
                <w:tab w:val="left" w:pos="-720"/>
              </w:tabs>
              <w:jc w:val="both"/>
              <w:rPr>
                <w:lang w:val="fr-CA"/>
              </w:rPr>
            </w:pPr>
          </w:p>
          <w:p w:rsidR="003863F7" w:rsidRPr="003863F7" w:rsidRDefault="003863F7" w:rsidP="003863F7">
            <w:pPr>
              <w:tabs>
                <w:tab w:val="left" w:pos="-1440"/>
                <w:tab w:val="left" w:pos="-720"/>
              </w:tabs>
              <w:jc w:val="both"/>
              <w:rPr>
                <w:lang w:val="fr-CA"/>
              </w:rPr>
            </w:pPr>
            <w:r w:rsidRPr="003863F7">
              <w:rPr>
                <w:lang w:val="fr-CA"/>
              </w:rPr>
              <w:t>Zinc électrolytique du Canada corporation ltée et autres (Qc)</w:t>
            </w:r>
          </w:p>
        </w:tc>
        <w:tc>
          <w:tcPr>
            <w:tcW w:w="1170" w:type="dxa"/>
          </w:tcPr>
          <w:p w:rsidR="003863F7" w:rsidRPr="003863F7" w:rsidRDefault="003863F7" w:rsidP="003863F7">
            <w:pPr>
              <w:jc w:val="both"/>
              <w:rPr>
                <w:lang w:val="fr-CA"/>
              </w:rPr>
            </w:pPr>
          </w:p>
        </w:tc>
        <w:tc>
          <w:tcPr>
            <w:tcW w:w="4327" w:type="dxa"/>
          </w:tcPr>
          <w:p w:rsidR="003863F7" w:rsidRPr="003863F7" w:rsidRDefault="003863F7" w:rsidP="003863F7">
            <w:pPr>
              <w:jc w:val="both"/>
              <w:rPr>
                <w:lang w:val="fr-CA"/>
              </w:rPr>
            </w:pPr>
          </w:p>
        </w:tc>
      </w:tr>
    </w:tbl>
    <w:p w:rsidR="003863F7" w:rsidRPr="003863F7" w:rsidRDefault="003863F7" w:rsidP="003863F7">
      <w:pPr>
        <w:tabs>
          <w:tab w:val="left" w:pos="-1440"/>
          <w:tab w:val="left" w:pos="-720"/>
        </w:tabs>
        <w:jc w:val="both"/>
        <w:rPr>
          <w:rFonts w:eastAsia="Times New Roman" w:cs="Times New Roman"/>
          <w:sz w:val="20"/>
          <w:szCs w:val="20"/>
          <w:lang w:val="fr-CA" w:eastAsia="en-CA"/>
        </w:rPr>
      </w:pPr>
    </w:p>
    <w:p w:rsidR="003863F7" w:rsidRPr="003863F7" w:rsidRDefault="003863F7" w:rsidP="003863F7">
      <w:pPr>
        <w:tabs>
          <w:tab w:val="left" w:pos="-1440"/>
          <w:tab w:val="left" w:pos="-720"/>
        </w:tabs>
        <w:jc w:val="both"/>
        <w:rPr>
          <w:rFonts w:eastAsia="Times New Roman" w:cs="Times New Roman"/>
          <w:b/>
          <w:sz w:val="20"/>
          <w:szCs w:val="20"/>
          <w:lang w:val="fr-CA" w:eastAsia="en-CA"/>
        </w:rPr>
      </w:pPr>
      <w:r w:rsidRPr="003863F7">
        <w:rPr>
          <w:rFonts w:eastAsia="Times New Roman" w:cs="Times New Roman"/>
          <w:b/>
          <w:sz w:val="20"/>
          <w:szCs w:val="20"/>
          <w:lang w:val="fr-CA" w:eastAsia="en-CA"/>
        </w:rPr>
        <w:lastRenderedPageBreak/>
        <w:t>GRANTED / ACCORDÉE</w:t>
      </w:r>
    </w:p>
    <w:p w:rsidR="003863F7" w:rsidRPr="003863F7" w:rsidRDefault="003863F7" w:rsidP="003863F7">
      <w:pPr>
        <w:tabs>
          <w:tab w:val="left" w:pos="-1440"/>
          <w:tab w:val="left" w:pos="-720"/>
        </w:tabs>
        <w:jc w:val="both"/>
        <w:rPr>
          <w:rFonts w:eastAsia="Times New Roman" w:cs="Times New Roman"/>
          <w:sz w:val="20"/>
          <w:szCs w:val="20"/>
          <w:lang w:val="fr-CA" w:eastAsia="en-CA"/>
        </w:rPr>
      </w:pPr>
    </w:p>
    <w:p w:rsidR="003863F7" w:rsidRPr="003863F7" w:rsidRDefault="003863F7" w:rsidP="003863F7">
      <w:pPr>
        <w:spacing w:line="233" w:lineRule="auto"/>
        <w:jc w:val="both"/>
        <w:rPr>
          <w:rFonts w:eastAsia="Times New Roman" w:cs="Times New Roman"/>
          <w:sz w:val="20"/>
          <w:szCs w:val="20"/>
          <w:lang w:val="fr-CA" w:eastAsia="en-CA"/>
        </w:rPr>
      </w:pPr>
      <w:r w:rsidRPr="003863F7">
        <w:rPr>
          <w:rFonts w:eastAsia="Times New Roman" w:cs="Times New Roman"/>
          <w:b/>
          <w:bCs/>
          <w:sz w:val="20"/>
          <w:szCs w:val="20"/>
          <w:lang w:val="fr-CA" w:eastAsia="en-CA"/>
        </w:rPr>
        <w:t xml:space="preserve">À LA SUITE DE LA DEMANDE </w:t>
      </w:r>
      <w:r w:rsidRPr="003863F7">
        <w:rPr>
          <w:rFonts w:eastAsia="Times New Roman" w:cs="Times New Roman"/>
          <w:bCs/>
          <w:sz w:val="20"/>
          <w:szCs w:val="20"/>
          <w:lang w:val="fr-CA" w:eastAsia="en-CA"/>
        </w:rPr>
        <w:t xml:space="preserve">présentée par le demandeur en vertu du paragraphe 32(2) des </w:t>
      </w:r>
      <w:r w:rsidRPr="003863F7">
        <w:rPr>
          <w:rFonts w:eastAsia="Times New Roman" w:cs="Times New Roman"/>
          <w:bCs/>
          <w:i/>
          <w:sz w:val="20"/>
          <w:szCs w:val="20"/>
          <w:lang w:val="fr-CA" w:eastAsia="en-CA"/>
        </w:rPr>
        <w:t>Règles de la Cour suprême du Canada</w:t>
      </w:r>
      <w:r w:rsidRPr="003863F7">
        <w:rPr>
          <w:rFonts w:eastAsia="Times New Roman" w:cs="Times New Roman"/>
          <w:bCs/>
          <w:sz w:val="20"/>
          <w:szCs w:val="20"/>
          <w:lang w:val="fr-CA" w:eastAsia="en-CA"/>
        </w:rPr>
        <w:t>, sollicitant la permission de soumettre</w:t>
      </w:r>
      <w:r w:rsidRPr="003863F7">
        <w:rPr>
          <w:rFonts w:eastAsia="Times New Roman" w:cs="Times New Roman"/>
          <w:sz w:val="20"/>
          <w:szCs w:val="20"/>
          <w:lang w:val="fr-CA" w:eastAsia="en-CA"/>
        </w:rPr>
        <w:t xml:space="preserve"> une r</w:t>
      </w:r>
      <w:r w:rsidRPr="003863F7">
        <w:rPr>
          <w:rFonts w:eastAsia="Times New Roman" w:cs="Times New Roman"/>
          <w:bCs/>
          <w:sz w:val="20"/>
          <w:szCs w:val="20"/>
          <w:lang w:val="fr-CA" w:eastAsia="en-CA"/>
        </w:rPr>
        <w:t>equête pour permission de déposer un avis assermenté du demandeur en dénonciation d’une fraude commise à l’égard de l’administration de la justice canadienne</w:t>
      </w:r>
      <w:r w:rsidRPr="003863F7">
        <w:rPr>
          <w:rFonts w:eastAsia="Times New Roman" w:cs="Times New Roman"/>
          <w:sz w:val="20"/>
          <w:szCs w:val="20"/>
          <w:lang w:val="fr-CA" w:eastAsia="en-CA"/>
        </w:rPr>
        <w:t>;</w:t>
      </w:r>
    </w:p>
    <w:p w:rsidR="003863F7" w:rsidRPr="003863F7" w:rsidRDefault="003863F7" w:rsidP="003863F7">
      <w:pPr>
        <w:spacing w:line="233" w:lineRule="auto"/>
        <w:jc w:val="both"/>
        <w:rPr>
          <w:rFonts w:eastAsia="Times New Roman" w:cs="Times New Roman"/>
          <w:sz w:val="20"/>
          <w:szCs w:val="20"/>
          <w:lang w:val="fr-CA" w:eastAsia="en-CA"/>
        </w:rPr>
      </w:pPr>
    </w:p>
    <w:p w:rsidR="003863F7" w:rsidRPr="003863F7" w:rsidRDefault="003863F7" w:rsidP="003863F7">
      <w:pPr>
        <w:spacing w:line="233" w:lineRule="auto"/>
        <w:jc w:val="both"/>
        <w:rPr>
          <w:rFonts w:eastAsia="Times New Roman" w:cs="Times New Roman"/>
          <w:sz w:val="20"/>
          <w:szCs w:val="20"/>
          <w:lang w:val="fr-CA" w:eastAsia="en-CA"/>
        </w:rPr>
      </w:pPr>
      <w:r w:rsidRPr="003863F7">
        <w:rPr>
          <w:rFonts w:eastAsia="Times New Roman" w:cs="Times New Roman"/>
          <w:b/>
          <w:bCs/>
          <w:sz w:val="20"/>
          <w:szCs w:val="20"/>
          <w:lang w:val="fr-CA" w:eastAsia="en-CA"/>
        </w:rPr>
        <w:t xml:space="preserve">ET APRÈS EXAMEN </w:t>
      </w:r>
      <w:r w:rsidRPr="003863F7">
        <w:rPr>
          <w:rFonts w:eastAsia="Times New Roman" w:cs="Times New Roman"/>
          <w:bCs/>
          <w:sz w:val="20"/>
          <w:szCs w:val="20"/>
          <w:lang w:val="fr-CA" w:eastAsia="en-CA"/>
        </w:rPr>
        <w:t>des documents déposés</w:t>
      </w:r>
      <w:r w:rsidRPr="003863F7">
        <w:rPr>
          <w:rFonts w:eastAsia="Times New Roman" w:cs="Times New Roman"/>
          <w:sz w:val="20"/>
          <w:szCs w:val="20"/>
          <w:lang w:val="fr-CA" w:eastAsia="en-CA"/>
        </w:rPr>
        <w:t>;</w:t>
      </w:r>
    </w:p>
    <w:p w:rsidR="003863F7" w:rsidRPr="003863F7" w:rsidRDefault="003863F7" w:rsidP="003863F7">
      <w:pPr>
        <w:spacing w:line="233" w:lineRule="auto"/>
        <w:jc w:val="both"/>
        <w:rPr>
          <w:rFonts w:eastAsia="Times New Roman" w:cs="Times New Roman"/>
          <w:sz w:val="20"/>
          <w:szCs w:val="20"/>
          <w:lang w:val="fr-CA" w:eastAsia="en-CA"/>
        </w:rPr>
      </w:pPr>
    </w:p>
    <w:p w:rsidR="003863F7" w:rsidRPr="003863F7" w:rsidRDefault="003863F7" w:rsidP="003863F7">
      <w:pPr>
        <w:spacing w:line="233" w:lineRule="auto"/>
        <w:jc w:val="both"/>
        <w:rPr>
          <w:rFonts w:eastAsia="Times New Roman" w:cs="Times New Roman"/>
          <w:sz w:val="20"/>
          <w:szCs w:val="20"/>
          <w:lang w:val="fr-CA" w:eastAsia="en-CA"/>
        </w:rPr>
      </w:pPr>
      <w:r w:rsidRPr="003863F7">
        <w:rPr>
          <w:rFonts w:eastAsia="Times New Roman" w:cs="Times New Roman"/>
          <w:b/>
          <w:bCs/>
          <w:sz w:val="20"/>
          <w:szCs w:val="20"/>
          <w:lang w:val="fr-CA" w:eastAsia="en-CA"/>
        </w:rPr>
        <w:t>IL EST ORDONNÉ CE QUI SUIT :</w:t>
      </w:r>
    </w:p>
    <w:p w:rsidR="003863F7" w:rsidRPr="003863F7" w:rsidRDefault="003863F7" w:rsidP="003863F7">
      <w:pPr>
        <w:spacing w:line="233" w:lineRule="auto"/>
        <w:jc w:val="both"/>
        <w:rPr>
          <w:rFonts w:eastAsia="Times New Roman" w:cs="Times New Roman"/>
          <w:sz w:val="20"/>
          <w:szCs w:val="20"/>
          <w:lang w:val="fr-CA" w:eastAsia="en-CA"/>
        </w:rPr>
      </w:pPr>
    </w:p>
    <w:p w:rsidR="003863F7" w:rsidRPr="003863F7" w:rsidRDefault="003863F7" w:rsidP="003863F7">
      <w:pPr>
        <w:spacing w:line="233" w:lineRule="auto"/>
        <w:jc w:val="both"/>
        <w:rPr>
          <w:rFonts w:eastAsia="Times New Roman" w:cs="Times New Roman"/>
          <w:sz w:val="20"/>
          <w:szCs w:val="20"/>
          <w:lang w:val="fr-CA" w:eastAsia="en-CA"/>
        </w:rPr>
      </w:pPr>
      <w:r w:rsidRPr="003863F7">
        <w:rPr>
          <w:rFonts w:eastAsia="Times New Roman" w:cs="Times New Roman"/>
          <w:sz w:val="20"/>
          <w:szCs w:val="20"/>
          <w:lang w:val="fr-CA" w:eastAsia="en-CA"/>
        </w:rPr>
        <w:t>La requête est accueillie.</w:t>
      </w:r>
    </w:p>
    <w:p w:rsidR="003863F7" w:rsidRPr="003863F7" w:rsidRDefault="003863F7" w:rsidP="003863F7">
      <w:pPr>
        <w:spacing w:line="233" w:lineRule="auto"/>
        <w:ind w:firstLine="720"/>
        <w:jc w:val="both"/>
        <w:rPr>
          <w:rFonts w:eastAsia="Times New Roman" w:cs="Times New Roman"/>
          <w:sz w:val="20"/>
          <w:szCs w:val="20"/>
          <w:lang w:val="fr-CA" w:eastAsia="en-CA"/>
        </w:rPr>
      </w:pPr>
    </w:p>
    <w:p w:rsidR="003863F7" w:rsidRPr="003863F7" w:rsidRDefault="003863F7" w:rsidP="003863F7">
      <w:pPr>
        <w:spacing w:line="233" w:lineRule="auto"/>
        <w:jc w:val="both"/>
        <w:rPr>
          <w:rFonts w:eastAsia="Times New Roman" w:cs="Times New Roman"/>
          <w:sz w:val="20"/>
          <w:szCs w:val="20"/>
          <w:lang w:val="fr-CA" w:eastAsia="en-CA"/>
        </w:rPr>
      </w:pPr>
      <w:r w:rsidRPr="003863F7">
        <w:rPr>
          <w:rFonts w:eastAsia="Times New Roman" w:cs="Times New Roman"/>
          <w:sz w:val="20"/>
          <w:szCs w:val="20"/>
          <w:lang w:val="fr-CA" w:eastAsia="en-CA"/>
        </w:rPr>
        <w:t>La requête subséquente du demandeur, le cas échéant, devra être signifiée et déposée au plus tard le 29 mai 2015.</w:t>
      </w:r>
    </w:p>
    <w:p w:rsidR="003863F7" w:rsidRPr="003863F7" w:rsidRDefault="003863F7" w:rsidP="003863F7">
      <w:pPr>
        <w:spacing w:line="233" w:lineRule="auto"/>
        <w:ind w:firstLine="720"/>
        <w:jc w:val="both"/>
        <w:rPr>
          <w:rFonts w:eastAsia="Times New Roman" w:cs="Times New Roman"/>
          <w:sz w:val="20"/>
          <w:szCs w:val="20"/>
          <w:lang w:val="fr-CA" w:eastAsia="en-CA"/>
        </w:rPr>
      </w:pPr>
    </w:p>
    <w:p w:rsidR="003863F7" w:rsidRPr="003863F7" w:rsidRDefault="003863F7" w:rsidP="003863F7">
      <w:pPr>
        <w:spacing w:line="233" w:lineRule="auto"/>
        <w:jc w:val="both"/>
        <w:rPr>
          <w:rFonts w:eastAsia="Times New Roman" w:cs="Times New Roman"/>
          <w:sz w:val="20"/>
          <w:szCs w:val="20"/>
          <w:lang w:val="fr-CA" w:eastAsia="en-CA"/>
        </w:rPr>
      </w:pPr>
      <w:r w:rsidRPr="003863F7">
        <w:rPr>
          <w:rFonts w:eastAsia="Times New Roman" w:cs="Times New Roman"/>
          <w:sz w:val="20"/>
          <w:szCs w:val="20"/>
          <w:lang w:val="fr-CA" w:eastAsia="en-CA"/>
        </w:rPr>
        <w:t>Les réponses des intimées, le cas échéant, devront être signifiées et déposées au plus tard le 2 juin 2015.</w:t>
      </w:r>
    </w:p>
    <w:p w:rsidR="003863F7" w:rsidRPr="003863F7" w:rsidRDefault="003863F7" w:rsidP="003863F7">
      <w:pPr>
        <w:spacing w:line="233" w:lineRule="auto"/>
        <w:ind w:firstLine="720"/>
        <w:jc w:val="both"/>
        <w:rPr>
          <w:rFonts w:eastAsia="Times New Roman" w:cs="Times New Roman"/>
          <w:sz w:val="20"/>
          <w:szCs w:val="20"/>
          <w:lang w:val="fr-CA" w:eastAsia="en-CA"/>
        </w:rPr>
      </w:pPr>
    </w:p>
    <w:p w:rsidR="003863F7" w:rsidRPr="003863F7" w:rsidRDefault="003863F7" w:rsidP="003863F7">
      <w:pPr>
        <w:spacing w:line="233" w:lineRule="auto"/>
        <w:jc w:val="both"/>
        <w:rPr>
          <w:rFonts w:eastAsia="Times New Roman" w:cs="Times New Roman"/>
          <w:sz w:val="20"/>
          <w:szCs w:val="20"/>
          <w:lang w:val="fr-CA" w:eastAsia="en-CA"/>
        </w:rPr>
      </w:pPr>
      <w:r w:rsidRPr="003863F7">
        <w:rPr>
          <w:rFonts w:eastAsia="Times New Roman" w:cs="Times New Roman"/>
          <w:sz w:val="20"/>
          <w:szCs w:val="20"/>
          <w:lang w:val="fr-CA" w:eastAsia="en-CA"/>
        </w:rPr>
        <w:t>La réplique aux réponses, le cas échéant, devra être signifiée et déposée au plus tard le 3 juin 2015, à midi.</w:t>
      </w:r>
    </w:p>
    <w:p w:rsidR="003863F7" w:rsidRPr="003863F7" w:rsidRDefault="003863F7" w:rsidP="003863F7">
      <w:pPr>
        <w:tabs>
          <w:tab w:val="left" w:pos="-1440"/>
          <w:tab w:val="left" w:pos="-720"/>
        </w:tabs>
        <w:jc w:val="both"/>
        <w:rPr>
          <w:rFonts w:eastAsia="Times New Roman" w:cs="Times New Roman"/>
          <w:sz w:val="20"/>
          <w:szCs w:val="20"/>
          <w:lang w:val="fr-CA" w:eastAsia="en-CA"/>
        </w:rPr>
      </w:pPr>
    </w:p>
    <w:p w:rsidR="003863F7" w:rsidRPr="003863F7" w:rsidRDefault="003863F7" w:rsidP="003863F7">
      <w:pPr>
        <w:tabs>
          <w:tab w:val="left" w:pos="-1440"/>
          <w:tab w:val="left" w:pos="-720"/>
        </w:tabs>
        <w:jc w:val="both"/>
        <w:rPr>
          <w:rFonts w:eastAsia="Times New Roman" w:cs="Times New Roman"/>
          <w:sz w:val="20"/>
          <w:szCs w:val="20"/>
          <w:lang w:val="fr-CA" w:eastAsia="en-CA"/>
        </w:rPr>
      </w:pPr>
    </w:p>
    <w:p w:rsidR="003863F7" w:rsidRPr="003863F7" w:rsidRDefault="003863F7" w:rsidP="003863F7">
      <w:pPr>
        <w:tabs>
          <w:tab w:val="left" w:pos="-1440"/>
          <w:tab w:val="left" w:pos="-720"/>
        </w:tabs>
        <w:jc w:val="both"/>
        <w:rPr>
          <w:rFonts w:eastAsia="Times New Roman" w:cs="Times New Roman"/>
          <w:sz w:val="20"/>
          <w:szCs w:val="20"/>
          <w:lang w:val="fr-CA" w:eastAsia="en-CA"/>
        </w:rPr>
      </w:pPr>
    </w:p>
    <w:p w:rsidR="003863F7" w:rsidRPr="003863F7" w:rsidRDefault="003863F7" w:rsidP="003863F7">
      <w:pPr>
        <w:spacing w:line="233" w:lineRule="auto"/>
        <w:jc w:val="both"/>
        <w:rPr>
          <w:rFonts w:eastAsia="Times New Roman" w:cs="Times New Roman"/>
          <w:sz w:val="20"/>
          <w:szCs w:val="20"/>
          <w:lang w:eastAsia="en-CA"/>
        </w:rPr>
      </w:pPr>
      <w:r w:rsidRPr="003863F7">
        <w:rPr>
          <w:rFonts w:eastAsia="Times New Roman" w:cs="Times New Roman"/>
          <w:b/>
          <w:bCs/>
          <w:sz w:val="20"/>
          <w:szCs w:val="20"/>
          <w:lang w:eastAsia="en-CA"/>
        </w:rPr>
        <w:t xml:space="preserve">UPON APPLICATION </w:t>
      </w:r>
      <w:r w:rsidRPr="003863F7">
        <w:rPr>
          <w:rFonts w:eastAsia="Times New Roman" w:cs="Times New Roman"/>
          <w:bCs/>
          <w:sz w:val="20"/>
          <w:szCs w:val="20"/>
          <w:lang w:eastAsia="en-CA"/>
        </w:rPr>
        <w:t xml:space="preserve">by the applicant under Rule 32(2) of the </w:t>
      </w:r>
      <w:r w:rsidRPr="003863F7">
        <w:rPr>
          <w:rFonts w:eastAsia="Times New Roman" w:cs="Times New Roman"/>
          <w:bCs/>
          <w:i/>
          <w:sz w:val="20"/>
          <w:szCs w:val="20"/>
          <w:lang w:eastAsia="en-CA"/>
        </w:rPr>
        <w:t>Rules of the Supreme Court of Canada</w:t>
      </w:r>
      <w:r w:rsidRPr="003863F7">
        <w:rPr>
          <w:rFonts w:eastAsia="Times New Roman" w:cs="Times New Roman"/>
          <w:bCs/>
          <w:sz w:val="20"/>
          <w:szCs w:val="20"/>
          <w:lang w:eastAsia="en-CA"/>
        </w:rPr>
        <w:t xml:space="preserve"> for leave to make a motion for leave to file a sworn notice by the applicant denouncing a fraud on the administration of justice in Canada</w:t>
      </w:r>
      <w:r w:rsidRPr="003863F7">
        <w:rPr>
          <w:rFonts w:eastAsia="Times New Roman" w:cs="Times New Roman"/>
          <w:sz w:val="20"/>
          <w:szCs w:val="20"/>
          <w:lang w:eastAsia="en-CA"/>
        </w:rPr>
        <w:t>;</w:t>
      </w:r>
    </w:p>
    <w:p w:rsidR="003863F7" w:rsidRPr="003863F7" w:rsidRDefault="003863F7" w:rsidP="003863F7">
      <w:pPr>
        <w:spacing w:line="233" w:lineRule="auto"/>
        <w:jc w:val="both"/>
        <w:rPr>
          <w:rFonts w:eastAsia="Times New Roman" w:cs="Times New Roman"/>
          <w:sz w:val="20"/>
          <w:szCs w:val="20"/>
          <w:lang w:eastAsia="en-CA"/>
        </w:rPr>
      </w:pPr>
    </w:p>
    <w:p w:rsidR="003863F7" w:rsidRPr="003863F7" w:rsidRDefault="003863F7" w:rsidP="003863F7">
      <w:pPr>
        <w:spacing w:line="233" w:lineRule="auto"/>
        <w:jc w:val="both"/>
        <w:rPr>
          <w:rFonts w:eastAsia="Times New Roman" w:cs="Times New Roman"/>
          <w:sz w:val="20"/>
          <w:szCs w:val="20"/>
          <w:lang w:eastAsia="en-CA"/>
        </w:rPr>
      </w:pPr>
      <w:r w:rsidRPr="003863F7">
        <w:rPr>
          <w:rFonts w:eastAsia="Times New Roman" w:cs="Times New Roman"/>
          <w:b/>
          <w:bCs/>
          <w:sz w:val="20"/>
          <w:szCs w:val="20"/>
          <w:lang w:eastAsia="en-CA"/>
        </w:rPr>
        <w:t xml:space="preserve">AND THE MATERIAL FILED </w:t>
      </w:r>
      <w:r w:rsidRPr="003863F7">
        <w:rPr>
          <w:rFonts w:eastAsia="Times New Roman" w:cs="Times New Roman"/>
          <w:bCs/>
          <w:sz w:val="20"/>
          <w:szCs w:val="20"/>
          <w:lang w:eastAsia="en-CA"/>
        </w:rPr>
        <w:t>having been read</w:t>
      </w:r>
      <w:r w:rsidRPr="003863F7">
        <w:rPr>
          <w:rFonts w:eastAsia="Times New Roman" w:cs="Times New Roman"/>
          <w:sz w:val="20"/>
          <w:szCs w:val="20"/>
          <w:lang w:eastAsia="en-CA"/>
        </w:rPr>
        <w:t>;</w:t>
      </w:r>
    </w:p>
    <w:p w:rsidR="003863F7" w:rsidRPr="003863F7" w:rsidRDefault="003863F7" w:rsidP="003863F7">
      <w:pPr>
        <w:spacing w:line="233" w:lineRule="auto"/>
        <w:jc w:val="both"/>
        <w:rPr>
          <w:rFonts w:eastAsia="Times New Roman" w:cs="Times New Roman"/>
          <w:sz w:val="20"/>
          <w:szCs w:val="20"/>
          <w:lang w:eastAsia="en-CA"/>
        </w:rPr>
      </w:pPr>
    </w:p>
    <w:p w:rsidR="003863F7" w:rsidRPr="003863F7" w:rsidRDefault="003863F7" w:rsidP="003863F7">
      <w:pPr>
        <w:spacing w:line="233" w:lineRule="auto"/>
        <w:jc w:val="both"/>
        <w:rPr>
          <w:rFonts w:eastAsia="Times New Roman" w:cs="Times New Roman"/>
          <w:sz w:val="20"/>
          <w:szCs w:val="20"/>
          <w:lang w:eastAsia="en-CA"/>
        </w:rPr>
      </w:pPr>
      <w:r w:rsidRPr="003863F7">
        <w:rPr>
          <w:rFonts w:eastAsia="Times New Roman" w:cs="Times New Roman"/>
          <w:b/>
          <w:bCs/>
          <w:sz w:val="20"/>
          <w:szCs w:val="20"/>
          <w:lang w:eastAsia="en-CA"/>
        </w:rPr>
        <w:t>IT IS HEREBY ORDERED THAT:</w:t>
      </w:r>
    </w:p>
    <w:p w:rsidR="003863F7" w:rsidRPr="003863F7" w:rsidRDefault="003863F7" w:rsidP="003863F7">
      <w:pPr>
        <w:spacing w:line="233" w:lineRule="auto"/>
        <w:jc w:val="both"/>
        <w:rPr>
          <w:rFonts w:eastAsia="Times New Roman" w:cs="Times New Roman"/>
          <w:sz w:val="20"/>
          <w:szCs w:val="20"/>
          <w:lang w:eastAsia="en-CA"/>
        </w:rPr>
      </w:pPr>
    </w:p>
    <w:p w:rsidR="003863F7" w:rsidRPr="003863F7" w:rsidRDefault="003863F7" w:rsidP="003863F7">
      <w:pPr>
        <w:spacing w:line="233" w:lineRule="auto"/>
        <w:jc w:val="both"/>
        <w:rPr>
          <w:rFonts w:eastAsia="Times New Roman" w:cs="Times New Roman"/>
          <w:sz w:val="20"/>
          <w:szCs w:val="20"/>
          <w:lang w:eastAsia="en-CA"/>
        </w:rPr>
      </w:pPr>
      <w:r w:rsidRPr="003863F7">
        <w:rPr>
          <w:rFonts w:eastAsia="Times New Roman" w:cs="Times New Roman"/>
          <w:sz w:val="20"/>
          <w:szCs w:val="20"/>
          <w:lang w:eastAsia="en-CA"/>
        </w:rPr>
        <w:t>The motion is granted.</w:t>
      </w:r>
    </w:p>
    <w:p w:rsidR="003863F7" w:rsidRPr="003863F7" w:rsidRDefault="003863F7" w:rsidP="003863F7">
      <w:pPr>
        <w:spacing w:line="233" w:lineRule="auto"/>
        <w:ind w:firstLine="720"/>
        <w:jc w:val="both"/>
        <w:rPr>
          <w:rFonts w:eastAsia="Times New Roman" w:cs="Times New Roman"/>
          <w:sz w:val="20"/>
          <w:szCs w:val="20"/>
          <w:lang w:eastAsia="en-CA"/>
        </w:rPr>
      </w:pPr>
    </w:p>
    <w:p w:rsidR="003863F7" w:rsidRPr="003863F7" w:rsidRDefault="003863F7" w:rsidP="003863F7">
      <w:pPr>
        <w:spacing w:line="233" w:lineRule="auto"/>
        <w:jc w:val="both"/>
        <w:rPr>
          <w:rFonts w:eastAsia="Times New Roman" w:cs="Times New Roman"/>
          <w:sz w:val="20"/>
          <w:szCs w:val="20"/>
          <w:lang w:eastAsia="en-CA"/>
        </w:rPr>
      </w:pPr>
      <w:r w:rsidRPr="003863F7">
        <w:rPr>
          <w:rFonts w:eastAsia="Times New Roman" w:cs="Times New Roman"/>
          <w:sz w:val="20"/>
          <w:szCs w:val="20"/>
          <w:lang w:eastAsia="en-CA"/>
        </w:rPr>
        <w:t>The subsequent motion of the applicant, if any, shall be served and filed on or before May 29, 2015.</w:t>
      </w:r>
    </w:p>
    <w:p w:rsidR="003863F7" w:rsidRPr="003863F7" w:rsidRDefault="003863F7" w:rsidP="003863F7">
      <w:pPr>
        <w:spacing w:line="233" w:lineRule="auto"/>
        <w:ind w:firstLine="720"/>
        <w:jc w:val="both"/>
        <w:rPr>
          <w:rFonts w:eastAsia="Times New Roman" w:cs="Times New Roman"/>
          <w:sz w:val="20"/>
          <w:szCs w:val="20"/>
          <w:lang w:eastAsia="en-CA"/>
        </w:rPr>
      </w:pPr>
    </w:p>
    <w:p w:rsidR="003863F7" w:rsidRPr="003863F7" w:rsidRDefault="003863F7" w:rsidP="003863F7">
      <w:pPr>
        <w:spacing w:line="233" w:lineRule="auto"/>
        <w:jc w:val="both"/>
        <w:rPr>
          <w:rFonts w:eastAsia="Times New Roman" w:cs="Times New Roman"/>
          <w:sz w:val="20"/>
          <w:szCs w:val="20"/>
          <w:lang w:eastAsia="en-CA"/>
        </w:rPr>
      </w:pPr>
      <w:r w:rsidRPr="003863F7">
        <w:rPr>
          <w:rFonts w:eastAsia="Times New Roman" w:cs="Times New Roman"/>
          <w:sz w:val="20"/>
          <w:szCs w:val="20"/>
          <w:lang w:eastAsia="en-CA"/>
        </w:rPr>
        <w:t>The responses of the respondents, if any, shall be served on or before June 2, 2015.</w:t>
      </w:r>
    </w:p>
    <w:p w:rsidR="003863F7" w:rsidRPr="003863F7" w:rsidRDefault="003863F7" w:rsidP="003863F7">
      <w:pPr>
        <w:spacing w:line="233" w:lineRule="auto"/>
        <w:ind w:firstLine="720"/>
        <w:jc w:val="both"/>
        <w:rPr>
          <w:rFonts w:eastAsia="Times New Roman" w:cs="Times New Roman"/>
          <w:sz w:val="20"/>
          <w:szCs w:val="20"/>
          <w:lang w:eastAsia="en-CA"/>
        </w:rPr>
      </w:pPr>
    </w:p>
    <w:p w:rsidR="003863F7" w:rsidRPr="003863F7" w:rsidRDefault="003863F7" w:rsidP="003863F7">
      <w:pPr>
        <w:spacing w:line="233" w:lineRule="auto"/>
        <w:jc w:val="both"/>
        <w:rPr>
          <w:rFonts w:eastAsia="Times New Roman" w:cs="Times New Roman"/>
          <w:sz w:val="20"/>
          <w:szCs w:val="20"/>
          <w:lang w:eastAsia="en-CA"/>
        </w:rPr>
      </w:pPr>
      <w:r w:rsidRPr="003863F7">
        <w:rPr>
          <w:rFonts w:eastAsia="Times New Roman" w:cs="Times New Roman"/>
          <w:sz w:val="20"/>
          <w:szCs w:val="20"/>
          <w:lang w:eastAsia="en-CA"/>
        </w:rPr>
        <w:t>The reply to the responses, if any, shall be served and filed no later than 12:00 noon on June 3, 2015.</w:t>
      </w:r>
    </w:p>
    <w:p w:rsidR="003863F7" w:rsidRPr="003863F7" w:rsidRDefault="003863F7" w:rsidP="003863F7">
      <w:pPr>
        <w:tabs>
          <w:tab w:val="left" w:pos="-1440"/>
          <w:tab w:val="left" w:pos="-720"/>
        </w:tabs>
        <w:jc w:val="both"/>
        <w:rPr>
          <w:rFonts w:eastAsia="Times New Roman" w:cs="Times New Roman"/>
          <w:sz w:val="20"/>
          <w:szCs w:val="20"/>
          <w:lang w:eastAsia="en-CA"/>
        </w:rPr>
      </w:pPr>
    </w:p>
    <w:p w:rsidR="003863F7" w:rsidRPr="003863F7" w:rsidRDefault="00D82946" w:rsidP="003863F7">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49" style="width:2in;height:1pt" o:hrpct="0" o:hralign="center" o:hrstd="t" o:hrnoshade="t" o:hr="t" fillcolor="black [3213]" stroked="f"/>
        </w:pict>
      </w:r>
    </w:p>
    <w:p w:rsidR="003863F7" w:rsidRPr="003863F7" w:rsidRDefault="003863F7" w:rsidP="003863F7">
      <w:pPr>
        <w:tabs>
          <w:tab w:val="left" w:pos="-1440"/>
          <w:tab w:val="left" w:pos="-720"/>
        </w:tabs>
        <w:jc w:val="both"/>
        <w:rPr>
          <w:rFonts w:eastAsia="Times New Roman" w:cs="Times New Roman"/>
          <w:sz w:val="20"/>
          <w:szCs w:val="20"/>
          <w:lang w:eastAsia="en-CA"/>
        </w:rPr>
      </w:pPr>
    </w:p>
    <w:p w:rsidR="003863F7" w:rsidRPr="003863F7" w:rsidRDefault="003863F7" w:rsidP="003863F7">
      <w:pPr>
        <w:tabs>
          <w:tab w:val="left" w:pos="-1440"/>
          <w:tab w:val="left" w:pos="-720"/>
        </w:tabs>
        <w:jc w:val="both"/>
        <w:rPr>
          <w:rFonts w:eastAsia="Times New Roman" w:cs="Times New Roman"/>
          <w:sz w:val="20"/>
          <w:szCs w:val="20"/>
          <w:lang w:val="fr-CA" w:eastAsia="en-CA"/>
        </w:rPr>
      </w:pPr>
      <w:r w:rsidRPr="003863F7">
        <w:rPr>
          <w:rFonts w:eastAsia="Times New Roman" w:cs="Times New Roman"/>
          <w:sz w:val="20"/>
          <w:szCs w:val="20"/>
          <w:lang w:val="fr-CA" w:eastAsia="en-CA"/>
        </w:rPr>
        <w:t>28.05.2015</w:t>
      </w:r>
    </w:p>
    <w:p w:rsidR="003863F7" w:rsidRPr="003863F7" w:rsidRDefault="003863F7" w:rsidP="003863F7">
      <w:pPr>
        <w:tabs>
          <w:tab w:val="left" w:pos="-1440"/>
          <w:tab w:val="left" w:pos="-720"/>
        </w:tabs>
        <w:jc w:val="both"/>
        <w:rPr>
          <w:rFonts w:eastAsia="Times New Roman" w:cs="Times New Roman"/>
          <w:sz w:val="20"/>
          <w:szCs w:val="20"/>
          <w:lang w:val="fr-CA" w:eastAsia="en-CA"/>
        </w:rPr>
      </w:pPr>
    </w:p>
    <w:p w:rsidR="003863F7" w:rsidRPr="003863F7" w:rsidRDefault="003863F7" w:rsidP="003863F7">
      <w:pPr>
        <w:tabs>
          <w:tab w:val="left" w:pos="-1440"/>
          <w:tab w:val="left" w:pos="-720"/>
        </w:tabs>
        <w:jc w:val="both"/>
        <w:rPr>
          <w:rFonts w:eastAsia="Times New Roman" w:cs="Times New Roman"/>
          <w:sz w:val="20"/>
          <w:szCs w:val="20"/>
          <w:lang w:val="fr-CA" w:eastAsia="en-CA"/>
        </w:rPr>
      </w:pPr>
      <w:r w:rsidRPr="003863F7">
        <w:rPr>
          <w:rFonts w:eastAsia="Times New Roman" w:cs="Times New Roman"/>
          <w:sz w:val="20"/>
          <w:szCs w:val="20"/>
          <w:lang w:val="fr-CA" w:eastAsia="en-CA"/>
        </w:rPr>
        <w:t>Before / Devant :   THE CHIEF JUSTICE / LA JUGE EN CHEF</w:t>
      </w:r>
    </w:p>
    <w:p w:rsidR="003863F7" w:rsidRPr="003863F7" w:rsidRDefault="003863F7" w:rsidP="003863F7">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3863F7" w:rsidRPr="004C36D9" w:rsidTr="00C44A6F">
        <w:tc>
          <w:tcPr>
            <w:tcW w:w="4338" w:type="dxa"/>
          </w:tcPr>
          <w:p w:rsidR="003863F7" w:rsidRPr="003863F7" w:rsidRDefault="00DA5C5B" w:rsidP="003863F7">
            <w:pPr>
              <w:tabs>
                <w:tab w:val="left" w:pos="-1440"/>
                <w:tab w:val="left" w:pos="-720"/>
              </w:tabs>
              <w:jc w:val="both"/>
              <w:rPr>
                <w:b/>
              </w:rPr>
            </w:pPr>
            <w:r w:rsidRPr="003863F7">
              <w:rPr>
                <w:lang w:val="en-US"/>
              </w:rPr>
              <w:fldChar w:fldCharType="begin"/>
            </w:r>
            <w:r w:rsidR="003863F7" w:rsidRPr="003863F7">
              <w:rPr>
                <w:lang w:val="en-US"/>
              </w:rPr>
              <w:instrText xml:space="preserve"> SEQ CHAPTER \h \r 1</w:instrText>
            </w:r>
            <w:r w:rsidRPr="003863F7">
              <w:rPr>
                <w:lang w:val="en-US"/>
              </w:rPr>
              <w:fldChar w:fldCharType="end"/>
            </w:r>
            <w:r w:rsidR="003863F7" w:rsidRPr="003863F7">
              <w:rPr>
                <w:b/>
                <w:bCs/>
                <w:lang w:val="en-US"/>
              </w:rPr>
              <w:t>Motion to state constitutional questions</w:t>
            </w:r>
          </w:p>
        </w:tc>
        <w:tc>
          <w:tcPr>
            <w:tcW w:w="1170" w:type="dxa"/>
          </w:tcPr>
          <w:p w:rsidR="003863F7" w:rsidRPr="003863F7" w:rsidRDefault="003863F7" w:rsidP="003863F7">
            <w:pPr>
              <w:tabs>
                <w:tab w:val="left" w:pos="-1440"/>
                <w:tab w:val="left" w:pos="-720"/>
              </w:tabs>
              <w:jc w:val="both"/>
            </w:pPr>
          </w:p>
          <w:p w:rsidR="003863F7" w:rsidRPr="003863F7" w:rsidRDefault="003863F7" w:rsidP="003863F7">
            <w:pPr>
              <w:tabs>
                <w:tab w:val="left" w:pos="-1440"/>
                <w:tab w:val="left" w:pos="-720"/>
              </w:tabs>
              <w:jc w:val="both"/>
            </w:pPr>
          </w:p>
          <w:p w:rsidR="003863F7" w:rsidRPr="003863F7" w:rsidRDefault="003863F7" w:rsidP="003863F7">
            <w:pPr>
              <w:tabs>
                <w:tab w:val="left" w:pos="-1440"/>
                <w:tab w:val="left" w:pos="-720"/>
              </w:tabs>
              <w:jc w:val="both"/>
            </w:pPr>
          </w:p>
        </w:tc>
        <w:tc>
          <w:tcPr>
            <w:tcW w:w="4327" w:type="dxa"/>
          </w:tcPr>
          <w:p w:rsidR="003863F7" w:rsidRPr="003863F7" w:rsidRDefault="00DA5C5B" w:rsidP="003863F7">
            <w:pPr>
              <w:tabs>
                <w:tab w:val="left" w:pos="-1440"/>
                <w:tab w:val="left" w:pos="-720"/>
              </w:tabs>
              <w:jc w:val="both"/>
              <w:rPr>
                <w:lang w:val="fr-CA"/>
              </w:rPr>
            </w:pPr>
            <w:r w:rsidRPr="003863F7">
              <w:rPr>
                <w:lang w:val="en-US"/>
              </w:rPr>
              <w:fldChar w:fldCharType="begin"/>
            </w:r>
            <w:r w:rsidR="003863F7" w:rsidRPr="003863F7">
              <w:rPr>
                <w:lang w:val="fr-CA"/>
              </w:rPr>
              <w:instrText xml:space="preserve"> SEQ CHAPTER \h \r 1</w:instrText>
            </w:r>
            <w:r w:rsidRPr="003863F7">
              <w:rPr>
                <w:lang w:val="en-US"/>
              </w:rPr>
              <w:fldChar w:fldCharType="end"/>
            </w:r>
            <w:r w:rsidR="003863F7" w:rsidRPr="003863F7">
              <w:rPr>
                <w:b/>
                <w:bCs/>
                <w:lang w:val="fr-CA"/>
              </w:rPr>
              <w:t>Requête en formulation de questions constitutionnelles</w:t>
            </w:r>
            <w:r w:rsidRPr="003863F7">
              <w:rPr>
                <w:lang w:val="en-US"/>
              </w:rPr>
              <w:fldChar w:fldCharType="begin"/>
            </w:r>
            <w:r w:rsidR="003863F7" w:rsidRPr="003863F7">
              <w:rPr>
                <w:lang w:val="fr-CA"/>
              </w:rPr>
              <w:instrText xml:space="preserve"> SEQ CHAPTER \h \r 1</w:instrText>
            </w:r>
            <w:r w:rsidRPr="003863F7">
              <w:rPr>
                <w:lang w:val="en-US"/>
              </w:rPr>
              <w:fldChar w:fldCharType="end"/>
            </w:r>
            <w:r w:rsidRPr="003863F7">
              <w:rPr>
                <w:lang w:val="en-US"/>
              </w:rPr>
              <w:fldChar w:fldCharType="begin"/>
            </w:r>
            <w:r w:rsidR="003863F7" w:rsidRPr="003863F7">
              <w:rPr>
                <w:lang w:val="fr-CA"/>
              </w:rPr>
              <w:instrText xml:space="preserve"> SEQ CHAPTER \h \r 1</w:instrText>
            </w:r>
            <w:r w:rsidRPr="003863F7">
              <w:rPr>
                <w:lang w:val="en-US"/>
              </w:rPr>
              <w:fldChar w:fldCharType="end"/>
            </w:r>
            <w:r w:rsidRPr="003863F7">
              <w:rPr>
                <w:lang w:val="en-US"/>
              </w:rPr>
              <w:fldChar w:fldCharType="begin"/>
            </w:r>
            <w:r w:rsidR="003863F7" w:rsidRPr="003863F7">
              <w:rPr>
                <w:lang w:val="fr-CA"/>
              </w:rPr>
              <w:instrText xml:space="preserve"> SEQ CHAPTER \h \r 1</w:instrText>
            </w:r>
            <w:r w:rsidRPr="003863F7">
              <w:rPr>
                <w:lang w:val="en-US"/>
              </w:rPr>
              <w:fldChar w:fldCharType="end"/>
            </w:r>
          </w:p>
        </w:tc>
      </w:tr>
      <w:tr w:rsidR="003863F7" w:rsidRPr="003863F7" w:rsidTr="00C44A6F">
        <w:tc>
          <w:tcPr>
            <w:tcW w:w="4338" w:type="dxa"/>
          </w:tcPr>
          <w:p w:rsidR="003863F7" w:rsidRPr="003863F7" w:rsidRDefault="003863F7" w:rsidP="003863F7">
            <w:pPr>
              <w:tabs>
                <w:tab w:val="left" w:pos="-1440"/>
                <w:tab w:val="left" w:pos="-720"/>
              </w:tabs>
              <w:jc w:val="both"/>
            </w:pPr>
            <w:r w:rsidRPr="003863F7">
              <w:t>K.R.J.</w:t>
            </w:r>
          </w:p>
          <w:p w:rsidR="003863F7" w:rsidRPr="003863F7" w:rsidRDefault="003863F7" w:rsidP="003863F7">
            <w:pPr>
              <w:tabs>
                <w:tab w:val="left" w:pos="-1440"/>
                <w:tab w:val="left" w:pos="-720"/>
              </w:tabs>
              <w:jc w:val="both"/>
            </w:pPr>
          </w:p>
          <w:p w:rsidR="003863F7" w:rsidRPr="003863F7" w:rsidRDefault="003863F7" w:rsidP="003863F7">
            <w:pPr>
              <w:tabs>
                <w:tab w:val="left" w:pos="-1440"/>
                <w:tab w:val="left" w:pos="-720"/>
              </w:tabs>
              <w:jc w:val="both"/>
            </w:pPr>
            <w:r w:rsidRPr="003863F7">
              <w:tab/>
              <w:t>v. (36200)</w:t>
            </w:r>
          </w:p>
          <w:p w:rsidR="003863F7" w:rsidRPr="003863F7" w:rsidRDefault="003863F7" w:rsidP="003863F7">
            <w:pPr>
              <w:tabs>
                <w:tab w:val="left" w:pos="-1440"/>
                <w:tab w:val="left" w:pos="-720"/>
              </w:tabs>
              <w:jc w:val="both"/>
            </w:pPr>
          </w:p>
          <w:p w:rsidR="003863F7" w:rsidRPr="003863F7" w:rsidRDefault="003863F7" w:rsidP="003863F7">
            <w:pPr>
              <w:tabs>
                <w:tab w:val="left" w:pos="-1440"/>
                <w:tab w:val="left" w:pos="-720"/>
              </w:tabs>
              <w:jc w:val="both"/>
            </w:pPr>
            <w:r w:rsidRPr="003863F7">
              <w:t>Her Majesty the Queen (Crim.) (B.C.)</w:t>
            </w:r>
          </w:p>
        </w:tc>
        <w:tc>
          <w:tcPr>
            <w:tcW w:w="1170" w:type="dxa"/>
          </w:tcPr>
          <w:p w:rsidR="003863F7" w:rsidRPr="003863F7" w:rsidRDefault="003863F7" w:rsidP="003863F7">
            <w:pPr>
              <w:tabs>
                <w:tab w:val="left" w:pos="-1440"/>
                <w:tab w:val="left" w:pos="-720"/>
              </w:tabs>
              <w:jc w:val="both"/>
            </w:pPr>
          </w:p>
        </w:tc>
        <w:tc>
          <w:tcPr>
            <w:tcW w:w="4327" w:type="dxa"/>
          </w:tcPr>
          <w:p w:rsidR="003863F7" w:rsidRPr="003863F7" w:rsidRDefault="003863F7" w:rsidP="003863F7">
            <w:pPr>
              <w:tabs>
                <w:tab w:val="left" w:pos="-1440"/>
                <w:tab w:val="left" w:pos="-720"/>
              </w:tabs>
              <w:jc w:val="both"/>
            </w:pPr>
          </w:p>
        </w:tc>
      </w:tr>
    </w:tbl>
    <w:p w:rsidR="003863F7" w:rsidRPr="003863F7" w:rsidRDefault="003863F7" w:rsidP="003863F7">
      <w:pPr>
        <w:tabs>
          <w:tab w:val="left" w:pos="-1440"/>
          <w:tab w:val="left" w:pos="-720"/>
        </w:tabs>
        <w:jc w:val="both"/>
        <w:rPr>
          <w:rFonts w:eastAsia="Times New Roman" w:cs="Times New Roman"/>
          <w:sz w:val="20"/>
          <w:szCs w:val="20"/>
          <w:lang w:eastAsia="en-CA"/>
        </w:rPr>
      </w:pPr>
    </w:p>
    <w:p w:rsidR="003863F7" w:rsidRPr="003863F7" w:rsidRDefault="003863F7" w:rsidP="003863F7">
      <w:pPr>
        <w:tabs>
          <w:tab w:val="left" w:pos="-1440"/>
          <w:tab w:val="left" w:pos="-720"/>
        </w:tabs>
        <w:jc w:val="both"/>
        <w:rPr>
          <w:rFonts w:eastAsia="Times New Roman" w:cs="Times New Roman"/>
          <w:b/>
          <w:sz w:val="20"/>
          <w:szCs w:val="20"/>
          <w:lang w:val="fr-CA" w:eastAsia="en-CA"/>
        </w:rPr>
      </w:pPr>
      <w:r w:rsidRPr="003863F7">
        <w:rPr>
          <w:rFonts w:eastAsia="Times New Roman" w:cs="Times New Roman"/>
          <w:b/>
          <w:sz w:val="20"/>
          <w:szCs w:val="20"/>
          <w:lang w:val="fr-CA" w:eastAsia="en-CA"/>
        </w:rPr>
        <w:t>GRANTED / ACCORDÉE</w:t>
      </w:r>
    </w:p>
    <w:p w:rsidR="003863F7" w:rsidRPr="003863F7" w:rsidRDefault="003863F7" w:rsidP="003863F7">
      <w:pPr>
        <w:tabs>
          <w:tab w:val="left" w:pos="-1440"/>
          <w:tab w:val="left" w:pos="-720"/>
        </w:tabs>
        <w:jc w:val="both"/>
        <w:rPr>
          <w:rFonts w:eastAsia="Times New Roman" w:cs="Times New Roman"/>
          <w:sz w:val="20"/>
          <w:szCs w:val="20"/>
          <w:lang w:eastAsia="en-CA"/>
        </w:rPr>
      </w:pPr>
    </w:p>
    <w:p w:rsidR="003863F7" w:rsidRPr="003863F7" w:rsidRDefault="003863F7" w:rsidP="003863F7">
      <w:pPr>
        <w:jc w:val="both"/>
        <w:rPr>
          <w:rFonts w:eastAsia="Times New Roman" w:cs="Times New Roman"/>
          <w:sz w:val="20"/>
          <w:szCs w:val="20"/>
          <w:lang w:val="en-US" w:eastAsia="en-CA"/>
        </w:rPr>
      </w:pPr>
      <w:r w:rsidRPr="003863F7">
        <w:rPr>
          <w:rFonts w:eastAsia="Times New Roman" w:cs="Times New Roman"/>
          <w:b/>
          <w:bCs/>
          <w:sz w:val="20"/>
          <w:szCs w:val="20"/>
          <w:lang w:val="en-US" w:eastAsia="en-CA"/>
        </w:rPr>
        <w:t>UPON APPLICATION</w:t>
      </w:r>
      <w:r w:rsidRPr="003863F7">
        <w:rPr>
          <w:rFonts w:eastAsia="Times New Roman" w:cs="Times New Roman"/>
          <w:sz w:val="20"/>
          <w:szCs w:val="20"/>
          <w:lang w:val="en-US" w:eastAsia="en-CA"/>
        </w:rPr>
        <w:t xml:space="preserve"> by the appellant </w:t>
      </w:r>
      <w:r w:rsidR="00DA5C5B" w:rsidRPr="003863F7">
        <w:rPr>
          <w:rFonts w:eastAsia="Times New Roman" w:cs="Times New Roman"/>
          <w:sz w:val="20"/>
          <w:szCs w:val="20"/>
          <w:lang w:eastAsia="en-CA"/>
        </w:rPr>
        <w:fldChar w:fldCharType="begin"/>
      </w:r>
      <w:r w:rsidRPr="003863F7">
        <w:rPr>
          <w:rFonts w:eastAsia="Times New Roman" w:cs="Times New Roman"/>
          <w:sz w:val="20"/>
          <w:szCs w:val="20"/>
          <w:lang w:eastAsia="en-CA"/>
        </w:rPr>
        <w:instrText xml:space="preserve"> SEQ CHAPTER \h \r 1</w:instrText>
      </w:r>
      <w:r w:rsidR="00DA5C5B" w:rsidRPr="003863F7">
        <w:rPr>
          <w:rFonts w:eastAsia="Times New Roman" w:cs="Times New Roman"/>
          <w:sz w:val="20"/>
          <w:szCs w:val="20"/>
          <w:lang w:eastAsia="en-CA"/>
        </w:rPr>
        <w:fldChar w:fldCharType="end"/>
      </w:r>
      <w:r w:rsidRPr="003863F7">
        <w:rPr>
          <w:rFonts w:eastAsia="Times New Roman" w:cs="Times New Roman"/>
          <w:sz w:val="20"/>
          <w:szCs w:val="20"/>
          <w:lang w:eastAsia="en-CA"/>
        </w:rPr>
        <w:t xml:space="preserve">for an order stating constitutional questions </w:t>
      </w:r>
      <w:r w:rsidRPr="003863F7">
        <w:rPr>
          <w:rFonts w:eastAsia="Times New Roman" w:cs="Times New Roman"/>
          <w:sz w:val="20"/>
          <w:szCs w:val="20"/>
          <w:lang w:val="en-US" w:eastAsia="en-CA"/>
        </w:rPr>
        <w:t>in the above appeal;</w:t>
      </w:r>
    </w:p>
    <w:p w:rsidR="003863F7" w:rsidRPr="003863F7" w:rsidRDefault="003863F7" w:rsidP="003863F7">
      <w:pPr>
        <w:jc w:val="both"/>
        <w:rPr>
          <w:rFonts w:eastAsia="Times New Roman" w:cs="Times New Roman"/>
          <w:sz w:val="20"/>
          <w:szCs w:val="20"/>
          <w:lang w:val="en-US" w:eastAsia="en-CA"/>
        </w:rPr>
      </w:pPr>
    </w:p>
    <w:p w:rsidR="003863F7" w:rsidRPr="003863F7" w:rsidRDefault="003863F7" w:rsidP="003863F7">
      <w:pPr>
        <w:jc w:val="both"/>
        <w:rPr>
          <w:rFonts w:eastAsia="Times New Roman" w:cs="Times New Roman"/>
          <w:sz w:val="20"/>
          <w:szCs w:val="20"/>
          <w:lang w:val="en-US" w:eastAsia="en-CA"/>
        </w:rPr>
      </w:pPr>
      <w:r w:rsidRPr="003863F7">
        <w:rPr>
          <w:rFonts w:eastAsia="Times New Roman" w:cs="Times New Roman"/>
          <w:b/>
          <w:bCs/>
          <w:sz w:val="20"/>
          <w:szCs w:val="20"/>
          <w:lang w:val="en-US" w:eastAsia="en-CA"/>
        </w:rPr>
        <w:t>AND THE MATERIAL FILED</w:t>
      </w:r>
      <w:r w:rsidRPr="003863F7">
        <w:rPr>
          <w:rFonts w:eastAsia="Times New Roman" w:cs="Times New Roman"/>
          <w:sz w:val="20"/>
          <w:szCs w:val="20"/>
          <w:lang w:val="en-US" w:eastAsia="en-CA"/>
        </w:rPr>
        <w:t xml:space="preserve"> having been read;</w:t>
      </w:r>
    </w:p>
    <w:p w:rsidR="003863F7" w:rsidRPr="003863F7" w:rsidRDefault="003863F7" w:rsidP="003863F7">
      <w:pPr>
        <w:jc w:val="both"/>
        <w:rPr>
          <w:rFonts w:eastAsia="Times New Roman" w:cs="Times New Roman"/>
          <w:sz w:val="20"/>
          <w:szCs w:val="20"/>
          <w:lang w:val="en-US" w:eastAsia="en-CA"/>
        </w:rPr>
      </w:pPr>
    </w:p>
    <w:p w:rsidR="003863F7" w:rsidRPr="003863F7" w:rsidRDefault="003863F7" w:rsidP="003863F7">
      <w:pPr>
        <w:jc w:val="both"/>
        <w:rPr>
          <w:rFonts w:eastAsia="Times New Roman" w:cs="Times New Roman"/>
          <w:bCs/>
          <w:sz w:val="20"/>
          <w:szCs w:val="20"/>
          <w:lang w:val="en-US" w:eastAsia="en-CA"/>
        </w:rPr>
      </w:pPr>
      <w:r w:rsidRPr="003863F7">
        <w:rPr>
          <w:rFonts w:eastAsia="Times New Roman" w:cs="Times New Roman"/>
          <w:b/>
          <w:bCs/>
          <w:sz w:val="20"/>
          <w:szCs w:val="20"/>
          <w:lang w:val="en-US" w:eastAsia="en-CA"/>
        </w:rPr>
        <w:t>IT IS HEREBY ORDERED THAT THE CONSTITUTIONAL QUESTIONS BE STATED AS FOLLOWS:</w:t>
      </w:r>
    </w:p>
    <w:p w:rsidR="003863F7" w:rsidRPr="003863F7" w:rsidRDefault="003863F7" w:rsidP="003863F7">
      <w:pPr>
        <w:jc w:val="both"/>
        <w:rPr>
          <w:rFonts w:eastAsia="Times New Roman" w:cs="Times New Roman"/>
          <w:bCs/>
          <w:sz w:val="20"/>
          <w:szCs w:val="20"/>
          <w:lang w:val="en-US" w:eastAsia="en-CA"/>
        </w:rPr>
      </w:pPr>
    </w:p>
    <w:p w:rsidR="003863F7" w:rsidRPr="003863F7" w:rsidRDefault="003863F7" w:rsidP="003863F7">
      <w:pPr>
        <w:numPr>
          <w:ilvl w:val="0"/>
          <w:numId w:val="7"/>
        </w:numPr>
        <w:autoSpaceDE w:val="0"/>
        <w:autoSpaceDN w:val="0"/>
        <w:adjustRightInd w:val="0"/>
        <w:contextualSpacing/>
        <w:jc w:val="both"/>
        <w:rPr>
          <w:rFonts w:cs="Times New Roman"/>
          <w:sz w:val="20"/>
          <w:szCs w:val="20"/>
        </w:rPr>
      </w:pPr>
      <w:r w:rsidRPr="003863F7">
        <w:rPr>
          <w:rFonts w:cs="Times New Roman"/>
          <w:sz w:val="20"/>
          <w:szCs w:val="20"/>
        </w:rPr>
        <w:t>Does the retrospective operation of ss. 161(1)(</w:t>
      </w:r>
      <w:r w:rsidRPr="003863F7">
        <w:rPr>
          <w:rFonts w:cs="Times New Roman"/>
          <w:iCs/>
          <w:sz w:val="20"/>
          <w:szCs w:val="20"/>
        </w:rPr>
        <w:t>c</w:t>
      </w:r>
      <w:r w:rsidRPr="003863F7">
        <w:rPr>
          <w:rFonts w:cs="Times New Roman"/>
          <w:sz w:val="20"/>
          <w:szCs w:val="20"/>
        </w:rPr>
        <w:t>) and (</w:t>
      </w:r>
      <w:r w:rsidRPr="003863F7">
        <w:rPr>
          <w:rFonts w:cs="Times New Roman"/>
          <w:iCs/>
          <w:sz w:val="20"/>
          <w:szCs w:val="20"/>
        </w:rPr>
        <w:t>d</w:t>
      </w:r>
      <w:r w:rsidRPr="003863F7">
        <w:rPr>
          <w:rFonts w:cs="Times New Roman"/>
          <w:sz w:val="20"/>
          <w:szCs w:val="20"/>
        </w:rPr>
        <w:t xml:space="preserve">) of the </w:t>
      </w:r>
      <w:r w:rsidRPr="003863F7">
        <w:rPr>
          <w:rFonts w:cs="Times New Roman"/>
          <w:i/>
          <w:iCs/>
          <w:sz w:val="20"/>
          <w:szCs w:val="20"/>
        </w:rPr>
        <w:t xml:space="preserve">Criminal Code, </w:t>
      </w:r>
      <w:r w:rsidRPr="003863F7">
        <w:rPr>
          <w:rFonts w:cs="Times New Roman"/>
          <w:sz w:val="20"/>
          <w:szCs w:val="20"/>
        </w:rPr>
        <w:t xml:space="preserve">R.S.C. 1985 c. C-46, as enacted by s. 16 of the </w:t>
      </w:r>
      <w:r w:rsidRPr="003863F7">
        <w:rPr>
          <w:rFonts w:cs="Times New Roman"/>
          <w:i/>
          <w:iCs/>
          <w:sz w:val="20"/>
          <w:szCs w:val="20"/>
        </w:rPr>
        <w:t>Safe Streets and Communities Act</w:t>
      </w:r>
      <w:r w:rsidRPr="003863F7">
        <w:rPr>
          <w:rFonts w:cs="Times New Roman"/>
          <w:sz w:val="20"/>
          <w:szCs w:val="20"/>
        </w:rPr>
        <w:t>, S.C. 2012, c. 1, infringe s. 11(</w:t>
      </w:r>
      <w:r w:rsidRPr="003863F7">
        <w:rPr>
          <w:rFonts w:cs="Times New Roman"/>
          <w:iCs/>
          <w:sz w:val="20"/>
          <w:szCs w:val="20"/>
        </w:rPr>
        <w:t>i</w:t>
      </w:r>
      <w:r w:rsidRPr="003863F7">
        <w:rPr>
          <w:rFonts w:cs="Times New Roman"/>
          <w:sz w:val="20"/>
          <w:szCs w:val="20"/>
        </w:rPr>
        <w:t xml:space="preserve">) of the </w:t>
      </w:r>
      <w:r w:rsidRPr="003863F7">
        <w:rPr>
          <w:rFonts w:cs="Times New Roman"/>
          <w:i/>
          <w:iCs/>
          <w:sz w:val="20"/>
          <w:szCs w:val="20"/>
        </w:rPr>
        <w:t>Canadian Charter of Rights and Freedoms</w:t>
      </w:r>
      <w:r w:rsidRPr="003863F7">
        <w:rPr>
          <w:rFonts w:cs="Times New Roman"/>
          <w:sz w:val="20"/>
          <w:szCs w:val="20"/>
        </w:rPr>
        <w:t>?</w:t>
      </w:r>
    </w:p>
    <w:p w:rsidR="003863F7" w:rsidRPr="003863F7" w:rsidRDefault="003863F7" w:rsidP="003863F7">
      <w:pPr>
        <w:ind w:left="720"/>
        <w:contextualSpacing/>
        <w:jc w:val="both"/>
        <w:rPr>
          <w:rFonts w:cs="Times New Roman"/>
          <w:sz w:val="20"/>
          <w:szCs w:val="20"/>
        </w:rPr>
      </w:pPr>
    </w:p>
    <w:p w:rsidR="003863F7" w:rsidRPr="003863F7" w:rsidRDefault="003863F7" w:rsidP="003863F7">
      <w:pPr>
        <w:numPr>
          <w:ilvl w:val="0"/>
          <w:numId w:val="7"/>
        </w:numPr>
        <w:autoSpaceDE w:val="0"/>
        <w:autoSpaceDN w:val="0"/>
        <w:adjustRightInd w:val="0"/>
        <w:contextualSpacing/>
        <w:jc w:val="both"/>
        <w:rPr>
          <w:rFonts w:cs="Times New Roman"/>
          <w:sz w:val="20"/>
          <w:szCs w:val="20"/>
        </w:rPr>
      </w:pPr>
      <w:r w:rsidRPr="003863F7">
        <w:rPr>
          <w:rFonts w:cs="Times New Roman"/>
          <w:sz w:val="20"/>
          <w:szCs w:val="20"/>
        </w:rPr>
        <w:t xml:space="preserve">If so, is the infringement a reasonable limit prescribed by law as can be demonstrably justified in a free and democratic society under section 1 of the </w:t>
      </w:r>
      <w:r w:rsidRPr="003863F7">
        <w:rPr>
          <w:rFonts w:cs="Times New Roman"/>
          <w:i/>
          <w:sz w:val="20"/>
          <w:szCs w:val="20"/>
        </w:rPr>
        <w:t>Canadian Charter of Rights and Freedoms</w:t>
      </w:r>
      <w:r w:rsidRPr="003863F7">
        <w:rPr>
          <w:rFonts w:cs="Times New Roman"/>
          <w:sz w:val="20"/>
          <w:szCs w:val="20"/>
        </w:rPr>
        <w:t>?</w:t>
      </w:r>
    </w:p>
    <w:p w:rsidR="003863F7" w:rsidRPr="003863F7" w:rsidRDefault="003863F7" w:rsidP="003863F7">
      <w:pPr>
        <w:ind w:left="720"/>
        <w:contextualSpacing/>
        <w:jc w:val="both"/>
        <w:rPr>
          <w:rFonts w:cs="Times New Roman"/>
          <w:sz w:val="20"/>
          <w:szCs w:val="20"/>
        </w:rPr>
      </w:pPr>
    </w:p>
    <w:p w:rsidR="003863F7" w:rsidRPr="003863F7" w:rsidRDefault="003863F7" w:rsidP="003863F7">
      <w:pPr>
        <w:jc w:val="both"/>
        <w:rPr>
          <w:rFonts w:eastAsia="Times New Roman" w:cs="Times New Roman"/>
          <w:b/>
          <w:sz w:val="20"/>
          <w:szCs w:val="20"/>
          <w:lang w:val="en-US" w:eastAsia="en-CA"/>
        </w:rPr>
      </w:pPr>
      <w:r w:rsidRPr="003863F7">
        <w:rPr>
          <w:rFonts w:eastAsia="Times New Roman" w:cs="Times New Roman"/>
          <w:b/>
          <w:sz w:val="20"/>
          <w:szCs w:val="20"/>
          <w:lang w:val="en-US" w:eastAsia="en-CA"/>
        </w:rPr>
        <w:t>IT IS HEREBY FURTHER ORDERED THAT:</w:t>
      </w:r>
    </w:p>
    <w:p w:rsidR="003863F7" w:rsidRPr="003863F7" w:rsidRDefault="003863F7" w:rsidP="003863F7">
      <w:pPr>
        <w:jc w:val="both"/>
        <w:rPr>
          <w:rFonts w:eastAsia="Times New Roman" w:cs="Times New Roman"/>
          <w:sz w:val="20"/>
          <w:szCs w:val="20"/>
          <w:lang w:val="en-US" w:eastAsia="en-CA"/>
        </w:rPr>
      </w:pPr>
    </w:p>
    <w:p w:rsidR="003863F7" w:rsidRPr="003863F7" w:rsidRDefault="003863F7" w:rsidP="003863F7">
      <w:pPr>
        <w:numPr>
          <w:ilvl w:val="0"/>
          <w:numId w:val="8"/>
        </w:numPr>
        <w:autoSpaceDE w:val="0"/>
        <w:autoSpaceDN w:val="0"/>
        <w:adjustRightInd w:val="0"/>
        <w:contextualSpacing/>
        <w:jc w:val="both"/>
        <w:rPr>
          <w:rFonts w:cs="Times New Roman"/>
          <w:sz w:val="20"/>
          <w:szCs w:val="20"/>
        </w:rPr>
      </w:pPr>
      <w:r w:rsidRPr="003863F7">
        <w:rPr>
          <w:rFonts w:cs="Times New Roman"/>
          <w:sz w:val="20"/>
          <w:szCs w:val="20"/>
        </w:rPr>
        <w:t>The respondent shall serve and file a Motion to Adduce New Evidence, with all new evidence and submissions addressing stated constitutional question two (2), no later than eight (8) weeks from the date of this order;</w:t>
      </w:r>
    </w:p>
    <w:p w:rsidR="003863F7" w:rsidRPr="003863F7" w:rsidRDefault="003863F7" w:rsidP="003863F7">
      <w:pPr>
        <w:ind w:left="720"/>
        <w:contextualSpacing/>
        <w:jc w:val="both"/>
        <w:rPr>
          <w:rFonts w:cs="Times New Roman"/>
          <w:sz w:val="20"/>
          <w:szCs w:val="20"/>
        </w:rPr>
      </w:pPr>
    </w:p>
    <w:p w:rsidR="003863F7" w:rsidRPr="003863F7" w:rsidRDefault="003863F7" w:rsidP="003863F7">
      <w:pPr>
        <w:numPr>
          <w:ilvl w:val="0"/>
          <w:numId w:val="8"/>
        </w:numPr>
        <w:autoSpaceDE w:val="0"/>
        <w:autoSpaceDN w:val="0"/>
        <w:adjustRightInd w:val="0"/>
        <w:contextualSpacing/>
        <w:jc w:val="both"/>
        <w:rPr>
          <w:rFonts w:cs="Times New Roman"/>
          <w:sz w:val="20"/>
          <w:szCs w:val="20"/>
        </w:rPr>
      </w:pPr>
      <w:r w:rsidRPr="003863F7">
        <w:rPr>
          <w:rFonts w:cs="Times New Roman"/>
          <w:sz w:val="20"/>
          <w:szCs w:val="20"/>
        </w:rPr>
        <w:t xml:space="preserve">The appellant shall serve and file a Response to the Motion to Adduce New Evidence, with all new evidence and submissions addressing stated constitutional question two (2), no later than four (4) weeks from service of the Motion to Adduce New Evidence; </w:t>
      </w:r>
    </w:p>
    <w:p w:rsidR="003863F7" w:rsidRPr="003863F7" w:rsidRDefault="003863F7" w:rsidP="003863F7">
      <w:pPr>
        <w:ind w:left="720"/>
        <w:contextualSpacing/>
        <w:jc w:val="both"/>
        <w:rPr>
          <w:rFonts w:cs="Times New Roman"/>
          <w:sz w:val="20"/>
          <w:szCs w:val="20"/>
        </w:rPr>
      </w:pPr>
    </w:p>
    <w:p w:rsidR="003863F7" w:rsidRPr="003863F7" w:rsidRDefault="003863F7" w:rsidP="003863F7">
      <w:pPr>
        <w:numPr>
          <w:ilvl w:val="0"/>
          <w:numId w:val="8"/>
        </w:numPr>
        <w:autoSpaceDE w:val="0"/>
        <w:autoSpaceDN w:val="0"/>
        <w:adjustRightInd w:val="0"/>
        <w:contextualSpacing/>
        <w:jc w:val="both"/>
        <w:rPr>
          <w:rFonts w:cs="Times New Roman"/>
          <w:sz w:val="20"/>
          <w:szCs w:val="20"/>
        </w:rPr>
      </w:pPr>
      <w:r w:rsidRPr="003863F7">
        <w:rPr>
          <w:rFonts w:cs="Times New Roman"/>
          <w:sz w:val="20"/>
          <w:szCs w:val="20"/>
        </w:rPr>
        <w:t>The respondent shall serve and file a Reply to the Response to the Motion to Adduce New Evidence, no later than two (2) weeks from service of the Response to the Motion to Adduce New Evidence; and</w:t>
      </w:r>
    </w:p>
    <w:p w:rsidR="003863F7" w:rsidRPr="003863F7" w:rsidRDefault="003863F7" w:rsidP="003863F7">
      <w:pPr>
        <w:ind w:left="720"/>
        <w:contextualSpacing/>
        <w:jc w:val="both"/>
        <w:rPr>
          <w:rFonts w:cs="Times New Roman"/>
          <w:sz w:val="20"/>
          <w:szCs w:val="20"/>
        </w:rPr>
      </w:pPr>
    </w:p>
    <w:p w:rsidR="003863F7" w:rsidRPr="003863F7" w:rsidRDefault="003863F7" w:rsidP="003863F7">
      <w:pPr>
        <w:numPr>
          <w:ilvl w:val="0"/>
          <w:numId w:val="8"/>
        </w:numPr>
        <w:autoSpaceDE w:val="0"/>
        <w:autoSpaceDN w:val="0"/>
        <w:adjustRightInd w:val="0"/>
        <w:contextualSpacing/>
        <w:jc w:val="both"/>
        <w:rPr>
          <w:rFonts w:cs="Times New Roman"/>
          <w:sz w:val="20"/>
          <w:szCs w:val="20"/>
        </w:rPr>
      </w:pPr>
      <w:r w:rsidRPr="003863F7">
        <w:rPr>
          <w:rFonts w:cs="Times New Roman"/>
          <w:sz w:val="20"/>
          <w:szCs w:val="20"/>
        </w:rPr>
        <w:t>The Motion to Adduce New Evidence shall be referred to the panel seized with hearing the appeal, without prejudice to the right of the respondent to argue that constitutional question two (2) should not be answered.</w:t>
      </w:r>
    </w:p>
    <w:p w:rsidR="003863F7" w:rsidRPr="003863F7" w:rsidRDefault="003863F7" w:rsidP="003863F7">
      <w:pPr>
        <w:ind w:left="709" w:hanging="709"/>
        <w:jc w:val="both"/>
        <w:rPr>
          <w:rFonts w:eastAsia="Times New Roman" w:cs="Times New Roman"/>
          <w:b/>
          <w:bCs/>
          <w:sz w:val="20"/>
          <w:szCs w:val="20"/>
          <w:lang w:val="en-US" w:eastAsia="en-CA"/>
        </w:rPr>
      </w:pPr>
    </w:p>
    <w:p w:rsidR="003863F7" w:rsidRPr="003863F7" w:rsidRDefault="003863F7" w:rsidP="003863F7">
      <w:pPr>
        <w:jc w:val="both"/>
        <w:rPr>
          <w:rFonts w:eastAsia="Times New Roman" w:cs="Times New Roman"/>
          <w:sz w:val="20"/>
          <w:szCs w:val="20"/>
          <w:lang w:val="en-US" w:eastAsia="en-CA"/>
        </w:rPr>
      </w:pPr>
      <w:r w:rsidRPr="003863F7">
        <w:rPr>
          <w:rFonts w:eastAsia="Times New Roman" w:cs="Times New Roman"/>
          <w:sz w:val="20"/>
          <w:szCs w:val="20"/>
          <w:lang w:val="en-US" w:eastAsia="en-CA"/>
        </w:rPr>
        <w:t xml:space="preserve">Any attorney general who intervenes pursuant to par. 61(4) of the </w:t>
      </w:r>
      <w:r w:rsidRPr="003863F7">
        <w:rPr>
          <w:rFonts w:eastAsia="Times New Roman" w:cs="Times New Roman"/>
          <w:i/>
          <w:sz w:val="20"/>
          <w:szCs w:val="20"/>
          <w:lang w:val="en-US" w:eastAsia="en-CA"/>
        </w:rPr>
        <w:t>Rules of the Supreme Court of Canada</w:t>
      </w:r>
      <w:r w:rsidRPr="003863F7">
        <w:rPr>
          <w:rFonts w:eastAsia="Times New Roman" w:cs="Times New Roman"/>
          <w:sz w:val="20"/>
          <w:szCs w:val="20"/>
          <w:lang w:val="en-US" w:eastAsia="en-CA"/>
        </w:rPr>
        <w:t xml:space="preserve"> shall pay the appellant and respondent the costs of any additional disbursements they incur as a result of the intervention.</w:t>
      </w:r>
    </w:p>
    <w:p w:rsidR="003863F7" w:rsidRPr="003863F7" w:rsidRDefault="003863F7" w:rsidP="003863F7">
      <w:pPr>
        <w:jc w:val="both"/>
        <w:rPr>
          <w:rFonts w:eastAsia="Times New Roman" w:cs="Times New Roman"/>
          <w:bCs/>
          <w:sz w:val="20"/>
          <w:szCs w:val="20"/>
          <w:lang w:val="en-US" w:eastAsia="en-CA"/>
        </w:rPr>
      </w:pPr>
    </w:p>
    <w:p w:rsidR="003863F7" w:rsidRPr="003863F7" w:rsidRDefault="003863F7" w:rsidP="003863F7">
      <w:pPr>
        <w:jc w:val="both"/>
        <w:rPr>
          <w:rFonts w:eastAsia="Times New Roman" w:cs="Times New Roman"/>
          <w:bCs/>
          <w:sz w:val="20"/>
          <w:szCs w:val="20"/>
          <w:lang w:val="en-US" w:eastAsia="en-CA"/>
        </w:rPr>
      </w:pPr>
    </w:p>
    <w:p w:rsidR="003863F7" w:rsidRPr="003863F7" w:rsidRDefault="003863F7" w:rsidP="003863F7">
      <w:pPr>
        <w:jc w:val="both"/>
        <w:rPr>
          <w:rFonts w:eastAsia="Times New Roman" w:cs="Times New Roman"/>
          <w:bCs/>
          <w:sz w:val="20"/>
          <w:szCs w:val="20"/>
          <w:lang w:val="en-US" w:eastAsia="en-CA"/>
        </w:rPr>
      </w:pPr>
    </w:p>
    <w:p w:rsidR="003863F7" w:rsidRPr="003863F7" w:rsidRDefault="003863F7" w:rsidP="003863F7">
      <w:pPr>
        <w:jc w:val="both"/>
        <w:rPr>
          <w:rFonts w:eastAsia="Times New Roman" w:cs="Times New Roman"/>
          <w:sz w:val="20"/>
          <w:szCs w:val="20"/>
          <w:lang w:val="fr-CA" w:eastAsia="en-CA"/>
        </w:rPr>
      </w:pPr>
      <w:r w:rsidRPr="003863F7">
        <w:rPr>
          <w:rFonts w:eastAsia="Times New Roman" w:cs="Times New Roman"/>
          <w:b/>
          <w:bCs/>
          <w:sz w:val="20"/>
          <w:szCs w:val="20"/>
          <w:lang w:val="fr-CA" w:eastAsia="en-CA"/>
        </w:rPr>
        <w:t>À LA SUITE DE LA DEMANDE</w:t>
      </w:r>
      <w:r w:rsidRPr="003863F7">
        <w:rPr>
          <w:rFonts w:eastAsia="Times New Roman" w:cs="Times New Roman"/>
          <w:sz w:val="20"/>
          <w:szCs w:val="20"/>
          <w:lang w:val="fr-CA" w:eastAsia="en-CA"/>
        </w:rPr>
        <w:t xml:space="preserve"> de l’appelant visant à obtenir la formulation de questions constitutionnelles dans l’appel susmentionné;</w:t>
      </w:r>
    </w:p>
    <w:p w:rsidR="003863F7" w:rsidRPr="003863F7" w:rsidRDefault="003863F7" w:rsidP="003863F7">
      <w:pPr>
        <w:jc w:val="both"/>
        <w:rPr>
          <w:rFonts w:eastAsia="Times New Roman" w:cs="Times New Roman"/>
          <w:sz w:val="20"/>
          <w:szCs w:val="20"/>
          <w:lang w:val="fr-CA" w:eastAsia="en-CA"/>
        </w:rPr>
      </w:pPr>
    </w:p>
    <w:p w:rsidR="003863F7" w:rsidRPr="003863F7" w:rsidRDefault="003863F7" w:rsidP="003863F7">
      <w:pPr>
        <w:jc w:val="both"/>
        <w:rPr>
          <w:rFonts w:eastAsia="Times New Roman" w:cs="Times New Roman"/>
          <w:sz w:val="20"/>
          <w:szCs w:val="20"/>
          <w:lang w:val="fr-CA" w:eastAsia="en-CA"/>
        </w:rPr>
      </w:pPr>
      <w:r w:rsidRPr="003863F7">
        <w:rPr>
          <w:rFonts w:eastAsia="Times New Roman" w:cs="Times New Roman"/>
          <w:b/>
          <w:bCs/>
          <w:sz w:val="20"/>
          <w:szCs w:val="20"/>
          <w:lang w:val="fr-CA" w:eastAsia="en-CA"/>
        </w:rPr>
        <w:t>ET APRÈS AVOIR LU</w:t>
      </w:r>
      <w:r w:rsidRPr="003863F7">
        <w:rPr>
          <w:rFonts w:eastAsia="Times New Roman" w:cs="Times New Roman"/>
          <w:sz w:val="20"/>
          <w:szCs w:val="20"/>
          <w:lang w:val="fr-CA" w:eastAsia="en-CA"/>
        </w:rPr>
        <w:t xml:space="preserve"> la documentation déposée;</w:t>
      </w:r>
    </w:p>
    <w:p w:rsidR="003863F7" w:rsidRPr="003863F7" w:rsidRDefault="003863F7" w:rsidP="003863F7">
      <w:pPr>
        <w:jc w:val="both"/>
        <w:rPr>
          <w:rFonts w:eastAsia="Times New Roman" w:cs="Times New Roman"/>
          <w:sz w:val="20"/>
          <w:szCs w:val="20"/>
          <w:lang w:val="fr-CA" w:eastAsia="en-CA"/>
        </w:rPr>
      </w:pPr>
    </w:p>
    <w:p w:rsidR="003863F7" w:rsidRPr="003863F7" w:rsidRDefault="003863F7" w:rsidP="003863F7">
      <w:pPr>
        <w:jc w:val="both"/>
        <w:rPr>
          <w:rFonts w:eastAsia="Times New Roman" w:cs="Times New Roman"/>
          <w:b/>
          <w:bCs/>
          <w:sz w:val="20"/>
          <w:szCs w:val="20"/>
          <w:lang w:val="fr-CA" w:eastAsia="en-CA"/>
        </w:rPr>
      </w:pPr>
      <w:r w:rsidRPr="003863F7">
        <w:rPr>
          <w:rFonts w:eastAsia="Times New Roman" w:cs="Times New Roman"/>
          <w:b/>
          <w:bCs/>
          <w:sz w:val="20"/>
          <w:szCs w:val="20"/>
          <w:lang w:val="fr-CA" w:eastAsia="en-CA"/>
        </w:rPr>
        <w:t>LES QUESTIONS CONSTITUTIONNELLES SUIVANTES SONT FORMULÉES :</w:t>
      </w:r>
    </w:p>
    <w:p w:rsidR="003863F7" w:rsidRPr="003863F7" w:rsidRDefault="003863F7" w:rsidP="003863F7">
      <w:pPr>
        <w:jc w:val="both"/>
        <w:rPr>
          <w:rFonts w:eastAsia="Times New Roman" w:cs="Times New Roman"/>
          <w:b/>
          <w:bCs/>
          <w:sz w:val="20"/>
          <w:szCs w:val="20"/>
          <w:lang w:val="fr-CA" w:eastAsia="en-CA"/>
        </w:rPr>
      </w:pPr>
    </w:p>
    <w:p w:rsidR="003863F7" w:rsidRPr="003863F7" w:rsidRDefault="003863F7" w:rsidP="003863F7">
      <w:pPr>
        <w:numPr>
          <w:ilvl w:val="0"/>
          <w:numId w:val="9"/>
        </w:numPr>
        <w:autoSpaceDE w:val="0"/>
        <w:autoSpaceDN w:val="0"/>
        <w:adjustRightInd w:val="0"/>
        <w:contextualSpacing/>
        <w:jc w:val="both"/>
        <w:rPr>
          <w:rFonts w:cs="Times New Roman"/>
          <w:sz w:val="20"/>
          <w:szCs w:val="20"/>
          <w:lang w:val="fr-CA"/>
        </w:rPr>
      </w:pPr>
      <w:r w:rsidRPr="003863F7">
        <w:rPr>
          <w:rFonts w:cs="Times New Roman"/>
          <w:sz w:val="20"/>
          <w:szCs w:val="20"/>
          <w:lang w:val="fr-CA"/>
        </w:rPr>
        <w:t>L’application rétroactive des al. 161(1)</w:t>
      </w:r>
      <w:r w:rsidRPr="003863F7">
        <w:rPr>
          <w:rFonts w:cs="Times New Roman"/>
          <w:i/>
          <w:sz w:val="20"/>
          <w:szCs w:val="20"/>
          <w:lang w:val="fr-CA"/>
        </w:rPr>
        <w:t>c</w:t>
      </w:r>
      <w:r w:rsidRPr="003863F7">
        <w:rPr>
          <w:rFonts w:cs="Times New Roman"/>
          <w:sz w:val="20"/>
          <w:szCs w:val="20"/>
          <w:lang w:val="fr-CA"/>
        </w:rPr>
        <w:t xml:space="preserve">) et </w:t>
      </w:r>
      <w:r w:rsidRPr="003863F7">
        <w:rPr>
          <w:rFonts w:cs="Times New Roman"/>
          <w:i/>
          <w:sz w:val="20"/>
          <w:szCs w:val="20"/>
          <w:lang w:val="fr-CA"/>
        </w:rPr>
        <w:t>d</w:t>
      </w:r>
      <w:r w:rsidRPr="003863F7">
        <w:rPr>
          <w:rFonts w:cs="Times New Roman"/>
          <w:sz w:val="20"/>
          <w:szCs w:val="20"/>
          <w:lang w:val="fr-CA"/>
        </w:rPr>
        <w:t xml:space="preserve">) du </w:t>
      </w:r>
      <w:r w:rsidRPr="003863F7">
        <w:rPr>
          <w:rFonts w:cs="Times New Roman"/>
          <w:i/>
          <w:sz w:val="20"/>
          <w:szCs w:val="20"/>
          <w:lang w:val="fr-CA"/>
        </w:rPr>
        <w:t>Code criminel</w:t>
      </w:r>
      <w:r w:rsidRPr="003863F7">
        <w:rPr>
          <w:rFonts w:cs="Times New Roman"/>
          <w:sz w:val="20"/>
          <w:szCs w:val="20"/>
          <w:lang w:val="fr-CA"/>
        </w:rPr>
        <w:t>, L.R.C. 1985, c. C</w:t>
      </w:r>
      <w:r w:rsidRPr="003863F7">
        <w:rPr>
          <w:rFonts w:cs="Times New Roman"/>
          <w:sz w:val="20"/>
          <w:szCs w:val="20"/>
          <w:lang w:val="fr-CA"/>
        </w:rPr>
        <w:noBreakHyphen/>
        <w:t xml:space="preserve">46, édictés par l’art. 16 de la </w:t>
      </w:r>
      <w:r w:rsidRPr="003863F7">
        <w:rPr>
          <w:rFonts w:cs="Times New Roman"/>
          <w:i/>
          <w:sz w:val="20"/>
          <w:szCs w:val="20"/>
          <w:lang w:val="fr-CA"/>
        </w:rPr>
        <w:t>Loi sur la sécurité des rues et des communautés</w:t>
      </w:r>
      <w:r w:rsidRPr="003863F7">
        <w:rPr>
          <w:rFonts w:cs="Times New Roman"/>
          <w:sz w:val="20"/>
          <w:szCs w:val="20"/>
          <w:lang w:val="fr-CA"/>
        </w:rPr>
        <w:t>, L.C. 2012, c. 1, constitue</w:t>
      </w:r>
      <w:r w:rsidRPr="003863F7">
        <w:rPr>
          <w:rFonts w:cs="Times New Roman"/>
          <w:sz w:val="20"/>
          <w:szCs w:val="20"/>
          <w:lang w:val="fr-CA"/>
        </w:rPr>
        <w:noBreakHyphen/>
        <w:t>t</w:t>
      </w:r>
      <w:r w:rsidRPr="003863F7">
        <w:rPr>
          <w:rFonts w:cs="Times New Roman"/>
          <w:sz w:val="20"/>
          <w:szCs w:val="20"/>
          <w:lang w:val="fr-CA"/>
        </w:rPr>
        <w:noBreakHyphen/>
        <w:t>elle une violation de l’al. 11</w:t>
      </w:r>
      <w:r w:rsidRPr="003863F7">
        <w:rPr>
          <w:rFonts w:cs="Times New Roman"/>
          <w:i/>
          <w:sz w:val="20"/>
          <w:szCs w:val="20"/>
          <w:lang w:val="fr-CA"/>
        </w:rPr>
        <w:t>i</w:t>
      </w:r>
      <w:r w:rsidRPr="003863F7">
        <w:rPr>
          <w:rFonts w:cs="Times New Roman"/>
          <w:sz w:val="20"/>
          <w:szCs w:val="20"/>
          <w:lang w:val="fr-CA"/>
        </w:rPr>
        <w:t xml:space="preserve">) de la </w:t>
      </w:r>
      <w:r w:rsidRPr="003863F7">
        <w:rPr>
          <w:rFonts w:cs="Times New Roman"/>
          <w:i/>
          <w:sz w:val="20"/>
          <w:szCs w:val="20"/>
          <w:lang w:val="fr-CA"/>
        </w:rPr>
        <w:t>Charte canadienne des droits et libertés</w:t>
      </w:r>
      <w:r w:rsidRPr="003863F7">
        <w:rPr>
          <w:rFonts w:cs="Times New Roman"/>
          <w:sz w:val="20"/>
          <w:szCs w:val="20"/>
          <w:lang w:val="fr-CA"/>
        </w:rPr>
        <w:t>?</w:t>
      </w:r>
    </w:p>
    <w:p w:rsidR="003863F7" w:rsidRPr="003863F7" w:rsidRDefault="003863F7" w:rsidP="003863F7">
      <w:pPr>
        <w:contextualSpacing/>
        <w:jc w:val="both"/>
        <w:rPr>
          <w:rFonts w:cs="Times New Roman"/>
          <w:sz w:val="20"/>
          <w:szCs w:val="20"/>
          <w:lang w:val="fr-CA"/>
        </w:rPr>
      </w:pPr>
    </w:p>
    <w:p w:rsidR="003863F7" w:rsidRPr="003863F7" w:rsidRDefault="003863F7" w:rsidP="003863F7">
      <w:pPr>
        <w:numPr>
          <w:ilvl w:val="0"/>
          <w:numId w:val="9"/>
        </w:numPr>
        <w:autoSpaceDE w:val="0"/>
        <w:autoSpaceDN w:val="0"/>
        <w:adjustRightInd w:val="0"/>
        <w:contextualSpacing/>
        <w:jc w:val="both"/>
        <w:rPr>
          <w:rFonts w:cs="Times New Roman"/>
          <w:sz w:val="20"/>
          <w:szCs w:val="20"/>
          <w:lang w:val="fr-CA"/>
        </w:rPr>
      </w:pPr>
      <w:r w:rsidRPr="003863F7">
        <w:rPr>
          <w:rFonts w:cs="Times New Roman"/>
          <w:sz w:val="20"/>
          <w:szCs w:val="20"/>
          <w:lang w:val="fr-CA"/>
        </w:rPr>
        <w:t>Dans l’affirmative, s’agit</w:t>
      </w:r>
      <w:r w:rsidRPr="003863F7">
        <w:rPr>
          <w:rFonts w:cs="Times New Roman"/>
          <w:sz w:val="20"/>
          <w:szCs w:val="20"/>
          <w:lang w:val="fr-CA"/>
        </w:rPr>
        <w:noBreakHyphen/>
        <w:t xml:space="preserve">il d’une restriction apportée par une règle de droit dans des limites raisonnables et dont la justification peut se démontrer dans une société libre et démocratique au regard de l’article premier de la </w:t>
      </w:r>
      <w:r w:rsidRPr="003863F7">
        <w:rPr>
          <w:rFonts w:cs="Times New Roman"/>
          <w:i/>
          <w:sz w:val="20"/>
          <w:szCs w:val="20"/>
          <w:lang w:val="fr-CA"/>
        </w:rPr>
        <w:t>Charte canadienne des droits et libertés</w:t>
      </w:r>
      <w:r w:rsidRPr="003863F7">
        <w:rPr>
          <w:rFonts w:cs="Times New Roman"/>
          <w:sz w:val="20"/>
          <w:szCs w:val="20"/>
          <w:lang w:val="fr-CA"/>
        </w:rPr>
        <w:t>?</w:t>
      </w:r>
    </w:p>
    <w:p w:rsidR="003863F7" w:rsidRPr="003863F7" w:rsidRDefault="003863F7" w:rsidP="003863F7">
      <w:pPr>
        <w:ind w:left="720"/>
        <w:contextualSpacing/>
        <w:jc w:val="both"/>
        <w:rPr>
          <w:rFonts w:cs="Times New Roman"/>
          <w:sz w:val="20"/>
          <w:szCs w:val="20"/>
          <w:lang w:val="fr-CA"/>
        </w:rPr>
      </w:pPr>
    </w:p>
    <w:p w:rsidR="003863F7" w:rsidRPr="003863F7" w:rsidRDefault="003863F7" w:rsidP="003863F7">
      <w:pPr>
        <w:jc w:val="both"/>
        <w:rPr>
          <w:rFonts w:eastAsia="Times New Roman" w:cs="Times New Roman"/>
          <w:b/>
          <w:sz w:val="20"/>
          <w:szCs w:val="20"/>
          <w:lang w:val="fr-CA" w:eastAsia="en-CA"/>
        </w:rPr>
      </w:pPr>
      <w:r w:rsidRPr="003863F7">
        <w:rPr>
          <w:rFonts w:eastAsia="Times New Roman" w:cs="Times New Roman"/>
          <w:b/>
          <w:sz w:val="20"/>
          <w:szCs w:val="20"/>
          <w:lang w:val="fr-CA" w:eastAsia="en-CA"/>
        </w:rPr>
        <w:t>IL EST EN OUTRE ORDONNÉ QUE:</w:t>
      </w:r>
    </w:p>
    <w:p w:rsidR="003863F7" w:rsidRPr="003863F7" w:rsidRDefault="003863F7" w:rsidP="003863F7">
      <w:pPr>
        <w:jc w:val="both"/>
        <w:rPr>
          <w:rFonts w:eastAsia="Times New Roman" w:cs="Times New Roman"/>
          <w:sz w:val="20"/>
          <w:szCs w:val="20"/>
          <w:lang w:val="fr-CA" w:eastAsia="en-CA"/>
        </w:rPr>
      </w:pPr>
    </w:p>
    <w:p w:rsidR="003863F7" w:rsidRPr="003863F7" w:rsidRDefault="003863F7" w:rsidP="003863F7">
      <w:pPr>
        <w:numPr>
          <w:ilvl w:val="0"/>
          <w:numId w:val="10"/>
        </w:numPr>
        <w:autoSpaceDE w:val="0"/>
        <w:autoSpaceDN w:val="0"/>
        <w:adjustRightInd w:val="0"/>
        <w:contextualSpacing/>
        <w:jc w:val="both"/>
        <w:rPr>
          <w:rFonts w:cs="Times New Roman"/>
          <w:sz w:val="20"/>
          <w:szCs w:val="20"/>
          <w:lang w:val="fr-CA"/>
        </w:rPr>
      </w:pPr>
      <w:r w:rsidRPr="003863F7">
        <w:rPr>
          <w:rFonts w:cs="Times New Roman"/>
          <w:sz w:val="20"/>
          <w:szCs w:val="20"/>
          <w:lang w:val="fr-CA"/>
        </w:rPr>
        <w:t>L’intimée signifiera et déposera une demande visant la présentation de nouveaux éléments de preuve, de pair avec les nouveaux éléments de preuve et les observations se rapportant à la deuxième question constitutionnelle formulée, au plus tard huit (8) semaines à partir de la date de la présente ordonnance;</w:t>
      </w:r>
    </w:p>
    <w:p w:rsidR="003863F7" w:rsidRPr="003863F7" w:rsidRDefault="003863F7" w:rsidP="003863F7">
      <w:pPr>
        <w:contextualSpacing/>
        <w:jc w:val="both"/>
        <w:rPr>
          <w:rFonts w:cs="Times New Roman"/>
          <w:sz w:val="20"/>
          <w:szCs w:val="20"/>
          <w:lang w:val="fr-CA"/>
        </w:rPr>
      </w:pPr>
    </w:p>
    <w:p w:rsidR="003863F7" w:rsidRPr="003863F7" w:rsidRDefault="003863F7" w:rsidP="003863F7">
      <w:pPr>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lang w:val="fr-CA"/>
        </w:rPr>
      </w:pPr>
      <w:r w:rsidRPr="003863F7">
        <w:rPr>
          <w:rFonts w:cs="Times New Roman"/>
          <w:sz w:val="20"/>
          <w:szCs w:val="20"/>
          <w:lang w:val="fr-CA"/>
        </w:rPr>
        <w:t>L’appelant signifiera et déposera sa réponse à la demande visant la présentation de nouveaux éléments de preuve, de pair avec les nouveaux éléments de preuve et les observations se rapportant à la deuxième question constitutionnelle formulée, au plus tard quatre (4) semaines après la signification de la demande;</w:t>
      </w:r>
    </w:p>
    <w:p w:rsidR="003863F7" w:rsidRPr="003863F7" w:rsidRDefault="003863F7" w:rsidP="003863F7">
      <w:pPr>
        <w:contextualSpacing/>
        <w:jc w:val="both"/>
        <w:rPr>
          <w:rFonts w:cs="Times New Roman"/>
          <w:sz w:val="20"/>
          <w:szCs w:val="20"/>
          <w:lang w:val="fr-CA"/>
        </w:rPr>
      </w:pPr>
    </w:p>
    <w:p w:rsidR="003863F7" w:rsidRPr="003863F7" w:rsidRDefault="003863F7" w:rsidP="003863F7">
      <w:pPr>
        <w:numPr>
          <w:ilvl w:val="0"/>
          <w:numId w:val="10"/>
        </w:numPr>
        <w:autoSpaceDE w:val="0"/>
        <w:autoSpaceDN w:val="0"/>
        <w:adjustRightInd w:val="0"/>
        <w:contextualSpacing/>
        <w:jc w:val="both"/>
        <w:rPr>
          <w:rFonts w:cs="Times New Roman"/>
          <w:sz w:val="20"/>
          <w:szCs w:val="20"/>
          <w:lang w:val="fr-CA"/>
        </w:rPr>
      </w:pPr>
      <w:r w:rsidRPr="003863F7">
        <w:rPr>
          <w:rFonts w:cs="Times New Roman"/>
          <w:sz w:val="20"/>
          <w:szCs w:val="20"/>
          <w:lang w:val="fr-CA"/>
        </w:rPr>
        <w:t>L’intimée signifiera et déposera sa réplique à la réponse au plus tard deux (2) semaines après la signification de celle-ci;</w:t>
      </w:r>
    </w:p>
    <w:p w:rsidR="003863F7" w:rsidRPr="003863F7" w:rsidRDefault="003863F7" w:rsidP="003863F7">
      <w:pPr>
        <w:spacing w:line="0" w:lineRule="atLeast"/>
        <w:jc w:val="both"/>
        <w:rPr>
          <w:rFonts w:eastAsia="Times New Roman" w:cs="Times New Roman"/>
          <w:sz w:val="20"/>
          <w:szCs w:val="20"/>
          <w:lang w:val="fr-CA" w:eastAsia="en-CA"/>
        </w:rPr>
      </w:pPr>
    </w:p>
    <w:p w:rsidR="003863F7" w:rsidRPr="003863F7" w:rsidRDefault="003863F7" w:rsidP="003863F7">
      <w:pPr>
        <w:widowControl w:val="0"/>
        <w:numPr>
          <w:ilvl w:val="0"/>
          <w:numId w:val="10"/>
        </w:numPr>
        <w:spacing w:line="0" w:lineRule="atLeast"/>
        <w:contextualSpacing/>
        <w:jc w:val="both"/>
        <w:rPr>
          <w:rFonts w:cs="Times New Roman"/>
          <w:sz w:val="20"/>
          <w:szCs w:val="20"/>
          <w:lang w:val="fr-CA"/>
        </w:rPr>
      </w:pPr>
      <w:r w:rsidRPr="003863F7">
        <w:rPr>
          <w:rFonts w:cs="Times New Roman"/>
          <w:sz w:val="20"/>
          <w:szCs w:val="20"/>
          <w:lang w:val="fr-CA"/>
        </w:rPr>
        <w:t>La demande visant la présentation de nouveaux éléments de preuve sera soumise à l’examen de la formation saisie du pourvoi sous réserve du droit de l’intimée de faire valoir qu’il n’y a pas lieu de répondre à la deuxième question constitutionnelle.</w:t>
      </w:r>
    </w:p>
    <w:p w:rsidR="003863F7" w:rsidRPr="003863F7" w:rsidRDefault="003863F7" w:rsidP="003863F7">
      <w:pPr>
        <w:jc w:val="both"/>
        <w:rPr>
          <w:rFonts w:eastAsia="Times New Roman" w:cs="Times New Roman"/>
          <w:sz w:val="20"/>
          <w:szCs w:val="20"/>
          <w:lang w:val="fr-CA" w:eastAsia="en-CA"/>
        </w:rPr>
      </w:pPr>
    </w:p>
    <w:p w:rsidR="003863F7" w:rsidRPr="003863F7" w:rsidRDefault="003863F7" w:rsidP="003863F7">
      <w:pPr>
        <w:jc w:val="both"/>
        <w:rPr>
          <w:rFonts w:eastAsia="Times New Roman" w:cs="Times New Roman"/>
          <w:sz w:val="20"/>
          <w:szCs w:val="20"/>
          <w:lang w:val="fr-FR" w:eastAsia="en-CA"/>
        </w:rPr>
      </w:pPr>
      <w:r w:rsidRPr="003863F7">
        <w:rPr>
          <w:rFonts w:eastAsia="Times New Roman" w:cs="Times New Roman"/>
          <w:sz w:val="20"/>
          <w:szCs w:val="20"/>
          <w:lang w:val="fr-CA" w:eastAsia="en-CA"/>
        </w:rPr>
        <w:t>T</w:t>
      </w:r>
      <w:r w:rsidRPr="003863F7">
        <w:rPr>
          <w:rFonts w:eastAsia="Times New Roman" w:cs="Times New Roman"/>
          <w:sz w:val="20"/>
          <w:szCs w:val="20"/>
          <w:lang w:val="fr-FR" w:eastAsia="en-CA"/>
        </w:rPr>
        <w:t xml:space="preserve">out procureur général qui interviendra en vertu du par. 61(4) des </w:t>
      </w:r>
      <w:r w:rsidRPr="003863F7">
        <w:rPr>
          <w:rFonts w:eastAsia="Times New Roman" w:cs="Times New Roman"/>
          <w:i/>
          <w:iCs/>
          <w:sz w:val="20"/>
          <w:szCs w:val="20"/>
          <w:lang w:val="fr-FR" w:eastAsia="en-CA"/>
        </w:rPr>
        <w:t>Règles de la Cour suprême du Canada</w:t>
      </w:r>
      <w:r w:rsidRPr="003863F7">
        <w:rPr>
          <w:rFonts w:eastAsia="Times New Roman" w:cs="Times New Roman"/>
          <w:sz w:val="20"/>
          <w:szCs w:val="20"/>
          <w:lang w:val="fr-FR" w:eastAsia="en-CA"/>
        </w:rPr>
        <w:t xml:space="preserve"> sera tenu de payer à l’appelant et à l’intimée les dépens supplémentaires résultant de son intervention.</w:t>
      </w:r>
    </w:p>
    <w:p w:rsidR="003863F7" w:rsidRPr="003863F7" w:rsidRDefault="003863F7" w:rsidP="003863F7">
      <w:pPr>
        <w:tabs>
          <w:tab w:val="left" w:pos="-1440"/>
          <w:tab w:val="left" w:pos="-720"/>
        </w:tabs>
        <w:jc w:val="both"/>
        <w:rPr>
          <w:rFonts w:eastAsia="Times New Roman" w:cs="Times New Roman"/>
          <w:sz w:val="20"/>
          <w:szCs w:val="20"/>
          <w:lang w:val="fr-FR" w:eastAsia="en-CA"/>
        </w:rPr>
      </w:pPr>
    </w:p>
    <w:p w:rsidR="003863F7" w:rsidRPr="003863F7" w:rsidRDefault="00D82946" w:rsidP="003863F7">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50" style="width:2in;height:1pt" o:hrpct="0" o:hralign="center" o:hrstd="t" o:hrnoshade="t" o:hr="t" fillcolor="black [3213]" stroked="f"/>
        </w:pict>
      </w:r>
    </w:p>
    <w:p w:rsidR="003863F7" w:rsidRPr="003863F7" w:rsidRDefault="003863F7" w:rsidP="003863F7">
      <w:pPr>
        <w:tabs>
          <w:tab w:val="left" w:pos="-1440"/>
          <w:tab w:val="left" w:pos="-720"/>
        </w:tabs>
        <w:jc w:val="both"/>
        <w:rPr>
          <w:rFonts w:eastAsia="Times New Roman" w:cs="Times New Roman"/>
          <w:sz w:val="20"/>
          <w:szCs w:val="20"/>
          <w:lang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4C36D9"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130B0E" w:rsidTr="005F1ED8">
        <w:trPr>
          <w:cantSplit/>
        </w:trPr>
        <w:tc>
          <w:tcPr>
            <w:tcW w:w="2206" w:type="pct"/>
            <w:tcMar>
              <w:left w:w="0" w:type="dxa"/>
              <w:right w:w="0" w:type="dxa"/>
            </w:tcMar>
          </w:tcPr>
          <w:p w:rsidR="0086340B" w:rsidRPr="003B3977" w:rsidRDefault="0086340B" w:rsidP="005F1ED8">
            <w:pPr>
              <w:rPr>
                <w:sz w:val="20"/>
                <w:szCs w:val="20"/>
              </w:rPr>
            </w:pPr>
            <w:r>
              <w:rPr>
                <w:sz w:val="20"/>
                <w:szCs w:val="20"/>
              </w:rPr>
              <w:t>2</w:t>
            </w:r>
            <w:r w:rsidR="00F66BC4">
              <w:rPr>
                <w:sz w:val="20"/>
                <w:szCs w:val="20"/>
              </w:rPr>
              <w:t>0</w:t>
            </w:r>
            <w:r w:rsidRPr="003B3977">
              <w:rPr>
                <w:sz w:val="20"/>
                <w:szCs w:val="20"/>
              </w:rPr>
              <w:t>.</w:t>
            </w:r>
            <w:r w:rsidR="00F66BC4">
              <w:rPr>
                <w:sz w:val="20"/>
                <w:szCs w:val="20"/>
              </w:rPr>
              <w:t>05</w:t>
            </w:r>
            <w:r w:rsidRPr="003B3977">
              <w:rPr>
                <w:sz w:val="20"/>
                <w:szCs w:val="20"/>
              </w:rPr>
              <w:t>.201</w:t>
            </w:r>
            <w:r w:rsidR="00F66BC4">
              <w:rPr>
                <w:sz w:val="20"/>
                <w:szCs w:val="20"/>
              </w:rPr>
              <w:t>5</w:t>
            </w:r>
          </w:p>
          <w:p w:rsidR="0086340B" w:rsidRPr="003B3977" w:rsidRDefault="0086340B" w:rsidP="005F1ED8">
            <w:pPr>
              <w:rPr>
                <w:sz w:val="20"/>
                <w:szCs w:val="20"/>
              </w:rPr>
            </w:pPr>
          </w:p>
          <w:p w:rsidR="0086340B" w:rsidRPr="003B3977" w:rsidRDefault="00F66BC4" w:rsidP="005F1ED8">
            <w:pPr>
              <w:rPr>
                <w:b/>
                <w:sz w:val="20"/>
                <w:szCs w:val="20"/>
              </w:rPr>
            </w:pPr>
            <w:r w:rsidRPr="003B3977">
              <w:rPr>
                <w:b/>
                <w:sz w:val="20"/>
                <w:szCs w:val="20"/>
              </w:rPr>
              <w:t>Her Majesty the Queen</w:t>
            </w:r>
          </w:p>
          <w:p w:rsidR="0086340B" w:rsidRPr="003B3977" w:rsidRDefault="0086340B" w:rsidP="005F1ED8">
            <w:pPr>
              <w:rPr>
                <w:b/>
                <w:sz w:val="20"/>
                <w:szCs w:val="20"/>
              </w:rPr>
            </w:pPr>
          </w:p>
          <w:p w:rsidR="0086340B" w:rsidRPr="003B3977" w:rsidRDefault="0086340B" w:rsidP="005F1ED8">
            <w:pPr>
              <w:rPr>
                <w:b/>
                <w:sz w:val="20"/>
                <w:szCs w:val="20"/>
              </w:rPr>
            </w:pPr>
            <w:r w:rsidRPr="003B3977">
              <w:rPr>
                <w:b/>
                <w:sz w:val="20"/>
                <w:szCs w:val="20"/>
              </w:rPr>
              <w:tab/>
              <w:t>v. (36</w:t>
            </w:r>
            <w:r w:rsidR="00F66BC4">
              <w:rPr>
                <w:b/>
                <w:sz w:val="20"/>
                <w:szCs w:val="20"/>
              </w:rPr>
              <w:t>4</w:t>
            </w:r>
            <w:r>
              <w:rPr>
                <w:b/>
                <w:sz w:val="20"/>
                <w:szCs w:val="20"/>
              </w:rPr>
              <w:t>5</w:t>
            </w:r>
            <w:r w:rsidR="00F66BC4">
              <w:rPr>
                <w:b/>
                <w:sz w:val="20"/>
                <w:szCs w:val="20"/>
              </w:rPr>
              <w:t>0</w:t>
            </w:r>
            <w:r w:rsidRPr="003B3977">
              <w:rPr>
                <w:b/>
                <w:sz w:val="20"/>
                <w:szCs w:val="20"/>
              </w:rPr>
              <w:t>)</w:t>
            </w:r>
          </w:p>
          <w:p w:rsidR="0086340B" w:rsidRPr="003B3977" w:rsidRDefault="0086340B" w:rsidP="005F1ED8">
            <w:pPr>
              <w:rPr>
                <w:b/>
                <w:sz w:val="20"/>
                <w:szCs w:val="20"/>
              </w:rPr>
            </w:pPr>
          </w:p>
          <w:p w:rsidR="0086340B" w:rsidRPr="003B3977" w:rsidRDefault="00F66BC4" w:rsidP="005F1ED8">
            <w:pPr>
              <w:rPr>
                <w:b/>
                <w:sz w:val="20"/>
                <w:szCs w:val="20"/>
              </w:rPr>
            </w:pPr>
            <w:r>
              <w:rPr>
                <w:b/>
                <w:sz w:val="20"/>
                <w:szCs w:val="20"/>
              </w:rPr>
              <w:t xml:space="preserve">D.L.W. </w:t>
            </w:r>
            <w:r w:rsidR="0086340B" w:rsidRPr="003B3977">
              <w:rPr>
                <w:b/>
                <w:sz w:val="20"/>
                <w:szCs w:val="20"/>
              </w:rPr>
              <w:t>(</w:t>
            </w:r>
            <w:r>
              <w:rPr>
                <w:b/>
                <w:sz w:val="20"/>
                <w:szCs w:val="20"/>
              </w:rPr>
              <w:t>B</w:t>
            </w:r>
            <w:r w:rsidR="0086340B">
              <w:rPr>
                <w:b/>
                <w:sz w:val="20"/>
                <w:szCs w:val="20"/>
              </w:rPr>
              <w:t>.</w:t>
            </w:r>
            <w:r>
              <w:rPr>
                <w:b/>
                <w:sz w:val="20"/>
                <w:szCs w:val="20"/>
              </w:rPr>
              <w:t>C</w:t>
            </w:r>
            <w:r w:rsidR="0086340B" w:rsidRPr="003B3977">
              <w:rPr>
                <w:b/>
                <w:sz w:val="20"/>
                <w:szCs w:val="20"/>
              </w:rPr>
              <w:t>.)</w:t>
            </w:r>
          </w:p>
          <w:p w:rsidR="0086340B" w:rsidRPr="003B3977" w:rsidRDefault="0086340B" w:rsidP="005F1ED8">
            <w:pPr>
              <w:rPr>
                <w:sz w:val="20"/>
                <w:szCs w:val="20"/>
              </w:rPr>
            </w:pPr>
          </w:p>
          <w:p w:rsidR="0086340B" w:rsidRPr="003B3977" w:rsidRDefault="0086340B" w:rsidP="005F1ED8">
            <w:pPr>
              <w:rPr>
                <w:sz w:val="20"/>
                <w:szCs w:val="20"/>
              </w:rPr>
            </w:pPr>
            <w:r w:rsidRPr="003B3977">
              <w:rPr>
                <w:sz w:val="20"/>
                <w:szCs w:val="20"/>
              </w:rPr>
              <w:t>(As of Right)</w:t>
            </w:r>
          </w:p>
          <w:p w:rsidR="0086340B" w:rsidRPr="003B3977" w:rsidRDefault="0086340B" w:rsidP="005F1ED8">
            <w:pPr>
              <w:rPr>
                <w:sz w:val="20"/>
                <w:szCs w:val="20"/>
              </w:rPr>
            </w:pPr>
          </w:p>
          <w:p w:rsidR="0086340B" w:rsidRPr="003B3977" w:rsidRDefault="00D82946" w:rsidP="005F1ED8">
            <w:pPr>
              <w:rPr>
                <w:sz w:val="20"/>
                <w:szCs w:val="20"/>
              </w:rPr>
            </w:pPr>
            <w:r>
              <w:rPr>
                <w:sz w:val="20"/>
                <w:szCs w:val="20"/>
                <w:lang w:val="fr-CA"/>
              </w:rPr>
              <w:pict>
                <v:rect id="_x0000_i1053"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F66BC4" w:rsidRDefault="0086340B" w:rsidP="005F1ED8">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48"/>
          <w:headerReference w:type="default" r:id="rId49"/>
          <w:footerReference w:type="even" r:id="rId50"/>
          <w:footerReference w:type="default" r:id="rId51"/>
          <w:headerReference w:type="first" r:id="rId52"/>
          <w:footerReference w:type="first" r:id="rId53"/>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4C36D9"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C42C54" w:rsidRDefault="0052229C" w:rsidP="0052229C">
      <w:pPr>
        <w:rPr>
          <w:b/>
          <w:sz w:val="20"/>
          <w:szCs w:val="20"/>
          <w:lang w:val="fr-CA"/>
        </w:rPr>
      </w:pPr>
      <w:r w:rsidRPr="00C42C54">
        <w:rPr>
          <w:b/>
          <w:sz w:val="20"/>
          <w:szCs w:val="20"/>
          <w:lang w:val="fr-CA"/>
        </w:rPr>
        <w:t>JU</w:t>
      </w:r>
      <w:r w:rsidR="00484E81">
        <w:rPr>
          <w:b/>
          <w:sz w:val="20"/>
          <w:szCs w:val="20"/>
          <w:lang w:val="fr-CA"/>
        </w:rPr>
        <w:t>NE</w:t>
      </w:r>
      <w:r w:rsidRPr="00C42C54">
        <w:rPr>
          <w:b/>
          <w:sz w:val="20"/>
          <w:szCs w:val="20"/>
          <w:lang w:val="fr-CA"/>
        </w:rPr>
        <w:t xml:space="preserve"> </w:t>
      </w:r>
      <w:r w:rsidR="008B6002">
        <w:rPr>
          <w:b/>
          <w:sz w:val="20"/>
          <w:szCs w:val="20"/>
          <w:lang w:val="fr-CA"/>
        </w:rPr>
        <w:t>4</w:t>
      </w:r>
      <w:r w:rsidRPr="00C42C54">
        <w:rPr>
          <w:b/>
          <w:sz w:val="20"/>
          <w:szCs w:val="20"/>
          <w:lang w:val="fr-CA"/>
        </w:rPr>
        <w:t>, 201</w:t>
      </w:r>
      <w:r w:rsidR="00484E81">
        <w:rPr>
          <w:b/>
          <w:sz w:val="20"/>
          <w:szCs w:val="20"/>
          <w:lang w:val="fr-CA"/>
        </w:rPr>
        <w:t>5</w:t>
      </w:r>
      <w:r w:rsidRPr="00C42C54">
        <w:rPr>
          <w:b/>
          <w:sz w:val="20"/>
          <w:szCs w:val="20"/>
          <w:lang w:val="fr-CA"/>
        </w:rPr>
        <w:t xml:space="preserve"> / LE </w:t>
      </w:r>
      <w:r w:rsidR="008B6002">
        <w:rPr>
          <w:b/>
          <w:sz w:val="20"/>
          <w:szCs w:val="20"/>
          <w:lang w:val="fr-CA"/>
        </w:rPr>
        <w:t>4</w:t>
      </w:r>
      <w:r w:rsidRPr="00C42C54">
        <w:rPr>
          <w:b/>
          <w:sz w:val="20"/>
          <w:szCs w:val="20"/>
          <w:lang w:val="fr-CA"/>
        </w:rPr>
        <w:t xml:space="preserve"> J</w:t>
      </w:r>
      <w:r w:rsidR="00484E81">
        <w:rPr>
          <w:b/>
          <w:sz w:val="20"/>
          <w:szCs w:val="20"/>
          <w:lang w:val="fr-CA"/>
        </w:rPr>
        <w:t>UI</w:t>
      </w:r>
      <w:r w:rsidRPr="00C42C54">
        <w:rPr>
          <w:b/>
          <w:sz w:val="20"/>
          <w:szCs w:val="20"/>
          <w:lang w:val="fr-CA"/>
        </w:rPr>
        <w:t>N 201</w:t>
      </w:r>
      <w:r w:rsidR="00484E81">
        <w:rPr>
          <w:b/>
          <w:sz w:val="20"/>
          <w:szCs w:val="20"/>
          <w:lang w:val="fr-CA"/>
        </w:rPr>
        <w:t>5</w:t>
      </w:r>
    </w:p>
    <w:p w:rsidR="0052229C" w:rsidRDefault="0052229C" w:rsidP="0052229C">
      <w:pPr>
        <w:rPr>
          <w:sz w:val="20"/>
          <w:szCs w:val="20"/>
          <w:lang w:val="fr-CA"/>
        </w:rPr>
      </w:pPr>
    </w:p>
    <w:p w:rsidR="004C36D9" w:rsidRPr="009D736C" w:rsidRDefault="00DA5C5B" w:rsidP="004C36D9">
      <w:pPr>
        <w:ind w:left="1440" w:hanging="1440"/>
        <w:jc w:val="both"/>
        <w:rPr>
          <w:rFonts w:eastAsia="Calibri"/>
          <w:sz w:val="20"/>
          <w:szCs w:val="20"/>
        </w:rPr>
      </w:pPr>
      <w:r w:rsidRPr="009D736C">
        <w:rPr>
          <w:rFonts w:eastAsia="Calibri"/>
          <w:b/>
          <w:sz w:val="20"/>
          <w:szCs w:val="20"/>
        </w:rPr>
        <w:fldChar w:fldCharType="begin"/>
      </w:r>
      <w:r w:rsidR="004C36D9" w:rsidRPr="009D736C">
        <w:rPr>
          <w:rFonts w:eastAsia="Calibri"/>
          <w:b/>
          <w:sz w:val="20"/>
          <w:szCs w:val="20"/>
        </w:rPr>
        <w:instrText xml:space="preserve"> SEQ CHAPTER \h \r 1</w:instrText>
      </w:r>
      <w:r w:rsidRPr="009D736C">
        <w:rPr>
          <w:rFonts w:eastAsia="Calibri"/>
          <w:b/>
          <w:sz w:val="20"/>
          <w:szCs w:val="20"/>
        </w:rPr>
        <w:fldChar w:fldCharType="end"/>
      </w:r>
      <w:r w:rsidR="004C36D9" w:rsidRPr="009D736C">
        <w:rPr>
          <w:rFonts w:eastAsia="Calibri"/>
          <w:b/>
          <w:sz w:val="20"/>
          <w:szCs w:val="20"/>
        </w:rPr>
        <w:t>35866</w:t>
      </w:r>
      <w:r w:rsidR="004C36D9" w:rsidRPr="009D736C">
        <w:rPr>
          <w:rFonts w:eastAsia="Calibri"/>
          <w:sz w:val="20"/>
          <w:szCs w:val="20"/>
        </w:rPr>
        <w:tab/>
      </w:r>
      <w:r w:rsidR="004C36D9" w:rsidRPr="009D736C">
        <w:rPr>
          <w:rFonts w:eastAsia="Calibri"/>
          <w:b/>
          <w:sz w:val="20"/>
          <w:szCs w:val="20"/>
          <w:u w:val="single"/>
        </w:rPr>
        <w:t>Her Majesty The Queen v. Paul Francis Tatton – and – Criminal Lawyers’ Association (Ontario)</w:t>
      </w:r>
      <w:r w:rsidR="004C36D9" w:rsidRPr="009D736C">
        <w:rPr>
          <w:rFonts w:eastAsia="Calibri"/>
          <w:b/>
          <w:sz w:val="20"/>
          <w:szCs w:val="20"/>
        </w:rPr>
        <w:t xml:space="preserve"> </w:t>
      </w:r>
      <w:r w:rsidR="004C36D9" w:rsidRPr="009D736C">
        <w:rPr>
          <w:rFonts w:eastAsia="Calibri"/>
          <w:iCs/>
          <w:sz w:val="20"/>
          <w:szCs w:val="20"/>
        </w:rPr>
        <w:t>(Ont.)</w:t>
      </w:r>
    </w:p>
    <w:p w:rsidR="004C36D9" w:rsidRPr="009D736C" w:rsidRDefault="004C36D9" w:rsidP="004C36D9">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szCs w:val="20"/>
        </w:rPr>
      </w:pPr>
      <w:r w:rsidRPr="009D736C">
        <w:rPr>
          <w:rFonts w:eastAsia="Calibri"/>
          <w:b/>
          <w:sz w:val="20"/>
          <w:szCs w:val="20"/>
        </w:rPr>
        <w:t>2015 SCC 33 / 2015 CSC 33</w:t>
      </w:r>
    </w:p>
    <w:p w:rsidR="004C36D9" w:rsidRPr="009D736C" w:rsidRDefault="004C36D9" w:rsidP="004C36D9">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szCs w:val="20"/>
        </w:rPr>
      </w:pPr>
    </w:p>
    <w:p w:rsidR="004C36D9" w:rsidRPr="009D736C" w:rsidRDefault="004C36D9" w:rsidP="004C36D9">
      <w:pPr>
        <w:ind w:left="1440" w:hanging="1440"/>
        <w:rPr>
          <w:rFonts w:eastAsia="Calibri"/>
          <w:sz w:val="20"/>
          <w:szCs w:val="20"/>
          <w:u w:val="single"/>
        </w:rPr>
      </w:pPr>
      <w:r w:rsidRPr="009D736C">
        <w:rPr>
          <w:rFonts w:eastAsia="Calibri"/>
          <w:sz w:val="20"/>
          <w:szCs w:val="20"/>
        </w:rPr>
        <w:t>Coram:</w:t>
      </w:r>
      <w:r w:rsidRPr="009D736C">
        <w:rPr>
          <w:rFonts w:eastAsia="Calibri"/>
          <w:sz w:val="20"/>
          <w:szCs w:val="20"/>
        </w:rPr>
        <w:tab/>
      </w:r>
      <w:r w:rsidRPr="009D736C">
        <w:rPr>
          <w:rFonts w:eastAsia="Calibri"/>
          <w:sz w:val="20"/>
          <w:szCs w:val="20"/>
          <w:u w:val="single"/>
        </w:rPr>
        <w:t>McLachlin C.J. and Abella, Rothstein, Cromwell, Moldaver, Wagner and Gascon JJ.</w:t>
      </w:r>
    </w:p>
    <w:p w:rsidR="004C36D9" w:rsidRPr="009D736C" w:rsidRDefault="004C36D9" w:rsidP="004C36D9">
      <w:pPr>
        <w:ind w:left="1440" w:hanging="1440"/>
        <w:jc w:val="both"/>
        <w:rPr>
          <w:rFonts w:eastAsia="Calibri"/>
          <w:sz w:val="20"/>
          <w:szCs w:val="20"/>
          <w:u w:val="single"/>
        </w:rPr>
      </w:pPr>
    </w:p>
    <w:p w:rsidR="004C36D9" w:rsidRPr="009D736C" w:rsidRDefault="004C36D9" w:rsidP="004C36D9">
      <w:pPr>
        <w:jc w:val="both"/>
        <w:rPr>
          <w:rFonts w:eastAsia="Calibri"/>
          <w:sz w:val="20"/>
          <w:szCs w:val="20"/>
        </w:rPr>
      </w:pPr>
      <w:r w:rsidRPr="009D736C">
        <w:rPr>
          <w:rFonts w:eastAsia="Calibri"/>
          <w:sz w:val="20"/>
          <w:szCs w:val="20"/>
        </w:rPr>
        <w:t xml:space="preserve">The appeal from the judgment </w:t>
      </w:r>
      <w:bookmarkStart w:id="2" w:name="BM_1_"/>
      <w:bookmarkEnd w:id="2"/>
      <w:r w:rsidRPr="009D736C">
        <w:rPr>
          <w:rFonts w:eastAsia="Calibri"/>
          <w:sz w:val="20"/>
          <w:szCs w:val="20"/>
        </w:rPr>
        <w:t>of the Court of Appeal for Ontario, Number C57550, 2014 ONCA 273, dated April 8, 2014, heard on December 9, 2014, is allowed, the acquittal set aside and a new trial ordered.</w:t>
      </w:r>
    </w:p>
    <w:p w:rsidR="004C36D9" w:rsidRPr="009D736C" w:rsidRDefault="004C36D9" w:rsidP="004C36D9">
      <w:pPr>
        <w:jc w:val="both"/>
        <w:rPr>
          <w:rFonts w:eastAsia="Calibri"/>
          <w:sz w:val="20"/>
          <w:szCs w:val="20"/>
        </w:rPr>
      </w:pPr>
    </w:p>
    <w:p w:rsidR="004C36D9" w:rsidRPr="009D736C" w:rsidRDefault="004C36D9" w:rsidP="004C36D9">
      <w:pPr>
        <w:jc w:val="both"/>
        <w:rPr>
          <w:rFonts w:eastAsia="Calibri"/>
          <w:sz w:val="20"/>
          <w:szCs w:val="20"/>
          <w:lang w:val="fr-CA"/>
        </w:rPr>
      </w:pPr>
      <w:r w:rsidRPr="009D736C">
        <w:rPr>
          <w:rFonts w:eastAsia="Calibri"/>
          <w:sz w:val="20"/>
          <w:szCs w:val="20"/>
          <w:lang w:val="fr-CA"/>
        </w:rPr>
        <w:t>L’appel interjeté contre l’arrêt de la Cour d’appel de l’Ontario, numéro C57550, 2014 ONCA 273, en date du 8 avril 2014, entendu le 9 décembre 2014, est accueilli, le verdict d’acquittement est annulé et la tenue d’un nouveau procès est ordonnée.</w:t>
      </w:r>
    </w:p>
    <w:p w:rsidR="004C36D9" w:rsidRDefault="004C36D9" w:rsidP="0052229C">
      <w:pPr>
        <w:rPr>
          <w:sz w:val="20"/>
          <w:szCs w:val="20"/>
          <w:lang w:val="fr-CA"/>
        </w:rPr>
      </w:pPr>
    </w:p>
    <w:p w:rsidR="0052229C" w:rsidRPr="003B3977" w:rsidRDefault="00D82946" w:rsidP="0052229C">
      <w:pPr>
        <w:spacing w:line="0" w:lineRule="atLeast"/>
        <w:rPr>
          <w:sz w:val="20"/>
          <w:szCs w:val="20"/>
        </w:rPr>
      </w:pPr>
      <w:r>
        <w:rPr>
          <w:b/>
          <w:sz w:val="20"/>
          <w:szCs w:val="20"/>
        </w:rPr>
        <w:pict>
          <v:rect id="_x0000_i1056"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54"/>
          <w:headerReference w:type="default" r:id="rId55"/>
          <w:footerReference w:type="even" r:id="rId56"/>
          <w:footerReference w:type="default" r:id="rId57"/>
          <w:headerReference w:type="first" r:id="rId58"/>
          <w:footerReference w:type="first" r:id="rId59"/>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484E81" w:rsidRPr="00CD07E5" w:rsidRDefault="00484E81" w:rsidP="00484E81">
      <w:pPr>
        <w:jc w:val="both"/>
        <w:rPr>
          <w:sz w:val="20"/>
          <w:szCs w:val="20"/>
          <w:lang w:val="en-GB"/>
        </w:rPr>
      </w:pPr>
      <w:r w:rsidRPr="00484E81">
        <w:rPr>
          <w:i/>
          <w:sz w:val="20"/>
          <w:szCs w:val="20"/>
        </w:rPr>
        <w:t>Her Majesty the Queen v. Paul Francis Tatton</w:t>
      </w:r>
      <w:r w:rsidRPr="00484E81">
        <w:rPr>
          <w:sz w:val="20"/>
          <w:szCs w:val="20"/>
        </w:rPr>
        <w:t xml:space="preserve"> (Ont.) </w:t>
      </w:r>
      <w:r w:rsidRPr="00CD07E5">
        <w:rPr>
          <w:sz w:val="20"/>
          <w:szCs w:val="20"/>
          <w:lang w:val="en-GB"/>
        </w:rPr>
        <w:t>(</w:t>
      </w:r>
      <w:hyperlink r:id="rId60" w:history="1">
        <w:r w:rsidRPr="00CD07E5">
          <w:rPr>
            <w:rStyle w:val="Hyperlink"/>
            <w:sz w:val="20"/>
            <w:szCs w:val="20"/>
            <w:lang w:val="en-GB"/>
          </w:rPr>
          <w:t>35866</w:t>
        </w:r>
      </w:hyperlink>
      <w:r w:rsidRPr="00CD07E5">
        <w:rPr>
          <w:sz w:val="20"/>
          <w:szCs w:val="20"/>
          <w:lang w:val="en-GB"/>
        </w:rPr>
        <w:t>)</w:t>
      </w:r>
    </w:p>
    <w:p w:rsidR="00C44A6F" w:rsidRPr="00C44A6F" w:rsidRDefault="00C44A6F" w:rsidP="00C44A6F">
      <w:pPr>
        <w:jc w:val="both"/>
        <w:outlineLvl w:val="0"/>
        <w:rPr>
          <w:b/>
          <w:sz w:val="20"/>
          <w:szCs w:val="20"/>
        </w:rPr>
      </w:pPr>
      <w:r w:rsidRPr="00981BE5">
        <w:rPr>
          <w:b/>
          <w:sz w:val="20"/>
          <w:szCs w:val="20"/>
        </w:rPr>
        <w:t xml:space="preserve">Indexed as: </w:t>
      </w:r>
      <w:r w:rsidRPr="00C44A6F">
        <w:rPr>
          <w:rStyle w:val="SCCAppellantForIndexChar"/>
          <w:rFonts w:eastAsiaTheme="minorHAnsi"/>
          <w:sz w:val="20"/>
          <w:lang w:val="en-CA"/>
        </w:rPr>
        <w:t>R.</w:t>
      </w:r>
      <w:r w:rsidRPr="00981BE5">
        <w:rPr>
          <w:b/>
          <w:sz w:val="20"/>
          <w:szCs w:val="20"/>
        </w:rPr>
        <w:t xml:space="preserve"> </w:t>
      </w:r>
      <w:r w:rsidRPr="00981BE5">
        <w:rPr>
          <w:b/>
          <w:i/>
          <w:sz w:val="20"/>
          <w:szCs w:val="20"/>
        </w:rPr>
        <w:t>v.</w:t>
      </w:r>
      <w:r w:rsidRPr="00981BE5">
        <w:rPr>
          <w:b/>
          <w:sz w:val="20"/>
          <w:szCs w:val="20"/>
        </w:rPr>
        <w:t xml:space="preserve"> </w:t>
      </w:r>
      <w:r w:rsidRPr="00981BE5">
        <w:rPr>
          <w:rStyle w:val="SCCRespondentForIndexChar"/>
          <w:rFonts w:eastAsiaTheme="minorHAnsi"/>
          <w:sz w:val="20"/>
        </w:rPr>
        <w:t>Tatton</w:t>
      </w:r>
      <w:r>
        <w:rPr>
          <w:rStyle w:val="SCCRespondentForIndexChar"/>
          <w:rFonts w:eastAsiaTheme="minorHAnsi"/>
          <w:sz w:val="20"/>
        </w:rPr>
        <w:t xml:space="preserve"> / </w:t>
      </w:r>
      <w:r w:rsidRPr="00C44A6F">
        <w:rPr>
          <w:b/>
          <w:sz w:val="20"/>
          <w:szCs w:val="20"/>
        </w:rPr>
        <w:t>Répertorié : </w:t>
      </w:r>
      <w:r w:rsidRPr="00C44A6F">
        <w:rPr>
          <w:rStyle w:val="SCCAppellantForIndexChar"/>
          <w:rFonts w:eastAsiaTheme="minorHAnsi"/>
          <w:sz w:val="20"/>
          <w:lang w:val="en-CA"/>
        </w:rPr>
        <w:t>R.</w:t>
      </w:r>
      <w:r w:rsidRPr="00C44A6F">
        <w:rPr>
          <w:b/>
          <w:sz w:val="20"/>
          <w:szCs w:val="20"/>
        </w:rPr>
        <w:t xml:space="preserve"> </w:t>
      </w:r>
      <w:r w:rsidRPr="00C44A6F">
        <w:rPr>
          <w:b/>
          <w:i/>
          <w:sz w:val="20"/>
          <w:szCs w:val="20"/>
        </w:rPr>
        <w:t>c.</w:t>
      </w:r>
      <w:r w:rsidRPr="00C44A6F">
        <w:rPr>
          <w:b/>
          <w:sz w:val="20"/>
          <w:szCs w:val="20"/>
        </w:rPr>
        <w:t xml:space="preserve"> </w:t>
      </w:r>
      <w:r w:rsidRPr="00C44A6F">
        <w:rPr>
          <w:rStyle w:val="SCCRespondentForIndexChar"/>
          <w:rFonts w:eastAsiaTheme="minorHAnsi"/>
          <w:sz w:val="20"/>
        </w:rPr>
        <w:t>Tatton</w:t>
      </w:r>
    </w:p>
    <w:p w:rsidR="0052229C" w:rsidRPr="00484E81" w:rsidRDefault="0052229C" w:rsidP="0052229C">
      <w:pPr>
        <w:pStyle w:val="SCCSystemYear"/>
        <w:jc w:val="both"/>
        <w:rPr>
          <w:sz w:val="20"/>
        </w:rPr>
      </w:pPr>
      <w:r w:rsidRPr="00484E81">
        <w:rPr>
          <w:sz w:val="20"/>
        </w:rPr>
        <w:t>Neutral citation:  201</w:t>
      </w:r>
      <w:r w:rsidR="00020DC3" w:rsidRPr="00484E81">
        <w:rPr>
          <w:sz w:val="20"/>
        </w:rPr>
        <w:t>5</w:t>
      </w:r>
      <w:r w:rsidRPr="00484E81">
        <w:rPr>
          <w:sz w:val="20"/>
        </w:rPr>
        <w:t xml:space="preserve"> SCC </w:t>
      </w:r>
      <w:r w:rsidR="00484E81" w:rsidRPr="00484E81">
        <w:rPr>
          <w:sz w:val="20"/>
        </w:rPr>
        <w:t>33</w:t>
      </w:r>
      <w:r w:rsidRPr="00484E81">
        <w:rPr>
          <w:sz w:val="20"/>
        </w:rPr>
        <w:t xml:space="preserve"> / Référence neutre : 201</w:t>
      </w:r>
      <w:r w:rsidR="00020DC3" w:rsidRPr="00484E81">
        <w:rPr>
          <w:sz w:val="20"/>
        </w:rPr>
        <w:t>5</w:t>
      </w:r>
      <w:r w:rsidRPr="00484E81">
        <w:rPr>
          <w:sz w:val="20"/>
        </w:rPr>
        <w:t xml:space="preserve"> CSC </w:t>
      </w:r>
      <w:r w:rsidR="00484E81" w:rsidRPr="00484E81">
        <w:rPr>
          <w:sz w:val="20"/>
        </w:rPr>
        <w:t>33</w:t>
      </w:r>
    </w:p>
    <w:p w:rsidR="0052229C" w:rsidRPr="00484E81" w:rsidRDefault="0052229C" w:rsidP="0052229C">
      <w:pPr>
        <w:rPr>
          <w:rFonts w:cs="Times New Roman"/>
          <w:sz w:val="20"/>
          <w:szCs w:val="20"/>
          <w:lang w:val="fr-CA"/>
        </w:rPr>
      </w:pPr>
      <w:r w:rsidRPr="00484E81">
        <w:rPr>
          <w:rFonts w:cs="Times New Roman"/>
          <w:sz w:val="20"/>
          <w:szCs w:val="20"/>
          <w:lang w:val="fr-CA"/>
        </w:rPr>
        <w:t xml:space="preserve">Hearing:  </w:t>
      </w:r>
      <w:r w:rsidR="00C44A6F">
        <w:rPr>
          <w:rFonts w:cs="Times New Roman"/>
          <w:sz w:val="20"/>
          <w:szCs w:val="20"/>
          <w:lang w:val="fr-CA"/>
        </w:rPr>
        <w:t>Decembe</w:t>
      </w:r>
      <w:r w:rsidRPr="00484E81">
        <w:rPr>
          <w:rFonts w:cs="Times New Roman"/>
          <w:sz w:val="20"/>
          <w:szCs w:val="20"/>
          <w:lang w:val="fr-CA"/>
        </w:rPr>
        <w:t xml:space="preserve">r </w:t>
      </w:r>
      <w:r w:rsidR="00C44A6F">
        <w:rPr>
          <w:rFonts w:cs="Times New Roman"/>
          <w:sz w:val="20"/>
          <w:szCs w:val="20"/>
          <w:lang w:val="fr-CA"/>
        </w:rPr>
        <w:t>9</w:t>
      </w:r>
      <w:r w:rsidRPr="00484E81">
        <w:rPr>
          <w:rFonts w:cs="Times New Roman"/>
          <w:sz w:val="20"/>
          <w:szCs w:val="20"/>
          <w:lang w:val="fr-CA"/>
        </w:rPr>
        <w:t>, 201</w:t>
      </w:r>
      <w:r w:rsidR="00020DC3" w:rsidRPr="00484E81">
        <w:rPr>
          <w:rFonts w:cs="Times New Roman"/>
          <w:sz w:val="20"/>
          <w:szCs w:val="20"/>
          <w:lang w:val="fr-CA"/>
        </w:rPr>
        <w:t>4</w:t>
      </w:r>
      <w:r w:rsidRPr="00484E81">
        <w:rPr>
          <w:rFonts w:cs="Times New Roman"/>
          <w:sz w:val="20"/>
          <w:szCs w:val="20"/>
          <w:lang w:val="fr-CA"/>
        </w:rPr>
        <w:t xml:space="preserve"> / Judgment:  J</w:t>
      </w:r>
      <w:r w:rsidR="00484E81" w:rsidRPr="00484E81">
        <w:rPr>
          <w:rFonts w:cs="Times New Roman"/>
          <w:sz w:val="20"/>
          <w:szCs w:val="20"/>
          <w:lang w:val="fr-CA"/>
        </w:rPr>
        <w:t>u</w:t>
      </w:r>
      <w:r w:rsidRPr="00484E81">
        <w:rPr>
          <w:rFonts w:cs="Times New Roman"/>
          <w:sz w:val="20"/>
          <w:szCs w:val="20"/>
          <w:lang w:val="fr-CA"/>
        </w:rPr>
        <w:t>n</w:t>
      </w:r>
      <w:r w:rsidR="00484E81" w:rsidRPr="00484E81">
        <w:rPr>
          <w:rFonts w:cs="Times New Roman"/>
          <w:sz w:val="20"/>
          <w:szCs w:val="20"/>
          <w:lang w:val="fr-CA"/>
        </w:rPr>
        <w:t>e</w:t>
      </w:r>
      <w:r w:rsidRPr="00484E81">
        <w:rPr>
          <w:rFonts w:cs="Times New Roman"/>
          <w:sz w:val="20"/>
          <w:szCs w:val="20"/>
          <w:lang w:val="fr-CA"/>
        </w:rPr>
        <w:t xml:space="preserve"> </w:t>
      </w:r>
      <w:r w:rsidR="00484E81" w:rsidRPr="00484E81">
        <w:rPr>
          <w:rFonts w:cs="Times New Roman"/>
          <w:sz w:val="20"/>
          <w:szCs w:val="20"/>
          <w:lang w:val="fr-CA"/>
        </w:rPr>
        <w:t>4</w:t>
      </w:r>
      <w:r w:rsidRPr="00484E81">
        <w:rPr>
          <w:rFonts w:cs="Times New Roman"/>
          <w:sz w:val="20"/>
          <w:szCs w:val="20"/>
          <w:lang w:val="fr-CA"/>
        </w:rPr>
        <w:t>, 201</w:t>
      </w:r>
      <w:r w:rsidR="00020DC3" w:rsidRPr="00484E81">
        <w:rPr>
          <w:rFonts w:cs="Times New Roman"/>
          <w:sz w:val="20"/>
          <w:szCs w:val="20"/>
          <w:lang w:val="fr-CA"/>
        </w:rPr>
        <w:t>5</w:t>
      </w:r>
    </w:p>
    <w:p w:rsidR="0052229C" w:rsidRPr="003B3977" w:rsidRDefault="0052229C" w:rsidP="0052229C">
      <w:pPr>
        <w:rPr>
          <w:rFonts w:cs="Times New Roman"/>
          <w:sz w:val="20"/>
          <w:szCs w:val="20"/>
          <w:lang w:val="fr-CA"/>
        </w:rPr>
      </w:pPr>
      <w:r w:rsidRPr="003B3977">
        <w:rPr>
          <w:rFonts w:cs="Times New Roman"/>
          <w:sz w:val="20"/>
          <w:szCs w:val="20"/>
          <w:lang w:val="fr-CA"/>
        </w:rPr>
        <w:t xml:space="preserve">Audition : Le </w:t>
      </w:r>
      <w:r w:rsidR="00C44A6F">
        <w:rPr>
          <w:rFonts w:cs="Times New Roman"/>
          <w:sz w:val="20"/>
          <w:szCs w:val="20"/>
          <w:lang w:val="fr-CA"/>
        </w:rPr>
        <w:t>9 décemb</w:t>
      </w:r>
      <w:r w:rsidRPr="003B3977">
        <w:rPr>
          <w:rFonts w:cs="Times New Roman"/>
          <w:sz w:val="20"/>
          <w:szCs w:val="20"/>
          <w:lang w:val="fr-CA"/>
        </w:rPr>
        <w:t>r</w:t>
      </w:r>
      <w:r w:rsidR="00C44A6F">
        <w:rPr>
          <w:rFonts w:cs="Times New Roman"/>
          <w:sz w:val="20"/>
          <w:szCs w:val="20"/>
          <w:lang w:val="fr-CA"/>
        </w:rPr>
        <w:t>e</w:t>
      </w:r>
      <w:r w:rsidRPr="003B3977">
        <w:rPr>
          <w:rFonts w:cs="Times New Roman"/>
          <w:sz w:val="20"/>
          <w:szCs w:val="20"/>
          <w:lang w:val="fr-CA"/>
        </w:rPr>
        <w:t xml:space="preserve"> 201</w:t>
      </w:r>
      <w:r w:rsidR="00020DC3">
        <w:rPr>
          <w:rFonts w:cs="Times New Roman"/>
          <w:sz w:val="20"/>
          <w:szCs w:val="20"/>
          <w:lang w:val="fr-CA"/>
        </w:rPr>
        <w:t>4</w:t>
      </w:r>
      <w:r w:rsidRPr="003B3977">
        <w:rPr>
          <w:rFonts w:cs="Times New Roman"/>
          <w:sz w:val="20"/>
          <w:szCs w:val="20"/>
          <w:lang w:val="fr-CA"/>
        </w:rPr>
        <w:t xml:space="preserve"> / Jugement : Le </w:t>
      </w:r>
      <w:r w:rsidR="00484E81">
        <w:rPr>
          <w:rFonts w:cs="Times New Roman"/>
          <w:sz w:val="20"/>
          <w:szCs w:val="20"/>
          <w:lang w:val="fr-CA"/>
        </w:rPr>
        <w:t>4</w:t>
      </w:r>
      <w:r>
        <w:rPr>
          <w:rFonts w:cs="Times New Roman"/>
          <w:sz w:val="20"/>
          <w:szCs w:val="20"/>
          <w:lang w:val="fr-CA"/>
        </w:rPr>
        <w:t xml:space="preserve"> j</w:t>
      </w:r>
      <w:r w:rsidR="00484E81">
        <w:rPr>
          <w:rFonts w:cs="Times New Roman"/>
          <w:sz w:val="20"/>
          <w:szCs w:val="20"/>
          <w:lang w:val="fr-CA"/>
        </w:rPr>
        <w:t>ui</w:t>
      </w:r>
      <w:r>
        <w:rPr>
          <w:rFonts w:cs="Times New Roman"/>
          <w:sz w:val="20"/>
          <w:szCs w:val="20"/>
          <w:lang w:val="fr-CA"/>
        </w:rPr>
        <w:t>n</w:t>
      </w:r>
      <w:r w:rsidRPr="003B3977">
        <w:rPr>
          <w:rFonts w:cs="Times New Roman"/>
          <w:sz w:val="20"/>
          <w:szCs w:val="20"/>
          <w:lang w:val="fr-CA"/>
        </w:rPr>
        <w:t xml:space="preserve"> 201</w:t>
      </w:r>
      <w:r w:rsidR="00020DC3">
        <w:rPr>
          <w:rFonts w:cs="Times New Roman"/>
          <w:sz w:val="20"/>
          <w:szCs w:val="20"/>
          <w:lang w:val="fr-CA"/>
        </w:rPr>
        <w:t>5</w:t>
      </w:r>
    </w:p>
    <w:p w:rsidR="005C6840" w:rsidRPr="003B3977" w:rsidRDefault="00D82946" w:rsidP="005C6840">
      <w:pPr>
        <w:rPr>
          <w:rFonts w:cs="Times New Roman"/>
          <w:sz w:val="20"/>
          <w:szCs w:val="20"/>
          <w:lang w:val="fr-CA"/>
        </w:rPr>
      </w:pPr>
      <w:r>
        <w:rPr>
          <w:rFonts w:cs="Times New Roman"/>
          <w:i/>
          <w:sz w:val="20"/>
          <w:szCs w:val="20"/>
        </w:rPr>
        <w:pict>
          <v:rect id="_x0000_i1059"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C44A6F" w:rsidRPr="00981BE5" w:rsidRDefault="00C44A6F" w:rsidP="00C44A6F">
      <w:pPr>
        <w:jc w:val="both"/>
        <w:rPr>
          <w:sz w:val="20"/>
          <w:szCs w:val="20"/>
        </w:rPr>
      </w:pPr>
      <w:r w:rsidRPr="00981BE5">
        <w:rPr>
          <w:sz w:val="20"/>
          <w:szCs w:val="20"/>
        </w:rPr>
        <w:t>Present: McLachlin C.J. and Abella, Rothstein, Cromwell, Moldaver, Wagner and Gascon JJ.</w:t>
      </w:r>
    </w:p>
    <w:p w:rsidR="00C44A6F" w:rsidRDefault="00C44A6F" w:rsidP="00C44A6F">
      <w:pPr>
        <w:pStyle w:val="SCCLowerCourtNameLowercase"/>
        <w:spacing w:line="240" w:lineRule="auto"/>
        <w:outlineLvl w:val="0"/>
        <w:rPr>
          <w:sz w:val="20"/>
        </w:rPr>
      </w:pPr>
    </w:p>
    <w:p w:rsidR="00C44A6F" w:rsidRPr="00981BE5" w:rsidRDefault="00C44A6F" w:rsidP="00C44A6F">
      <w:pPr>
        <w:pStyle w:val="SCCNormalDoubleSpacing"/>
        <w:spacing w:line="240" w:lineRule="auto"/>
        <w:rPr>
          <w:rStyle w:val="italic1"/>
          <w:sz w:val="20"/>
        </w:rPr>
      </w:pPr>
      <w:r w:rsidRPr="00981BE5">
        <w:rPr>
          <w:sz w:val="20"/>
        </w:rPr>
        <w:tab/>
      </w:r>
      <w:r w:rsidRPr="00981BE5">
        <w:rPr>
          <w:i/>
          <w:sz w:val="20"/>
        </w:rPr>
        <w:t xml:space="preserve">Criminal law </w:t>
      </w:r>
      <w:r w:rsidRPr="00981BE5">
        <w:rPr>
          <w:rStyle w:val="italic1"/>
          <w:sz w:val="20"/>
        </w:rPr>
        <w:t xml:space="preserve">— </w:t>
      </w:r>
      <w:r w:rsidRPr="00981BE5">
        <w:rPr>
          <w:i/>
          <w:sz w:val="20"/>
        </w:rPr>
        <w:t xml:space="preserve">Arson </w:t>
      </w:r>
      <w:r w:rsidRPr="00981BE5">
        <w:rPr>
          <w:rStyle w:val="italic1"/>
          <w:sz w:val="20"/>
        </w:rPr>
        <w:t xml:space="preserve">— Defences — Intoxication — </w:t>
      </w:r>
      <w:r w:rsidRPr="00981BE5">
        <w:rPr>
          <w:i/>
          <w:sz w:val="20"/>
        </w:rPr>
        <w:t>Accused relying on self</w:t>
      </w:r>
      <w:r w:rsidRPr="00981BE5">
        <w:rPr>
          <w:i/>
          <w:sz w:val="20"/>
        </w:rPr>
        <w:noBreakHyphen/>
        <w:t xml:space="preserve">induced intoxication </w:t>
      </w:r>
      <w:r w:rsidRPr="00981BE5">
        <w:rPr>
          <w:rStyle w:val="italic1"/>
          <w:sz w:val="20"/>
        </w:rPr>
        <w:t>as excuse for committing</w:t>
      </w:r>
      <w:r w:rsidRPr="00981BE5">
        <w:rPr>
          <w:i/>
          <w:sz w:val="20"/>
        </w:rPr>
        <w:t xml:space="preserve"> arson </w:t>
      </w:r>
      <w:r w:rsidRPr="00981BE5">
        <w:rPr>
          <w:rStyle w:val="italic1"/>
          <w:sz w:val="20"/>
        </w:rPr>
        <w:t>— Self</w:t>
      </w:r>
      <w:r w:rsidRPr="00981BE5">
        <w:rPr>
          <w:rStyle w:val="italic1"/>
          <w:sz w:val="20"/>
        </w:rPr>
        <w:noBreakHyphen/>
        <w:t xml:space="preserve">induced intoxication short of automatism cannot be relied upon as excuse for general intent offence — </w:t>
      </w:r>
      <w:r w:rsidRPr="00981BE5">
        <w:rPr>
          <w:i/>
          <w:sz w:val="20"/>
        </w:rPr>
        <w:t xml:space="preserve">Whether arson is general or specific intent offence </w:t>
      </w:r>
      <w:r w:rsidRPr="00981BE5">
        <w:rPr>
          <w:rStyle w:val="italic1"/>
          <w:sz w:val="20"/>
        </w:rPr>
        <w:t>—</w:t>
      </w:r>
      <w:r w:rsidRPr="00981BE5">
        <w:rPr>
          <w:i/>
          <w:sz w:val="20"/>
        </w:rPr>
        <w:t xml:space="preserve"> If arson is general intent offence, whether trial judge’s classification of arson as specific intent offence had material bearing on verdict of acquittal </w:t>
      </w:r>
      <w:r w:rsidRPr="00981BE5">
        <w:rPr>
          <w:rStyle w:val="italic1"/>
          <w:sz w:val="20"/>
        </w:rPr>
        <w:t>— Criminal Code, R.S.C. 1985, c. C</w:t>
      </w:r>
      <w:r w:rsidRPr="00981BE5">
        <w:rPr>
          <w:rStyle w:val="italic1"/>
          <w:sz w:val="20"/>
        </w:rPr>
        <w:noBreakHyphen/>
        <w:t>46, s. 434.</w:t>
      </w:r>
    </w:p>
    <w:p w:rsidR="00C44A6F" w:rsidRDefault="00C44A6F" w:rsidP="00C44A6F">
      <w:pPr>
        <w:pStyle w:val="SCCNormalDoubleSpacing"/>
        <w:spacing w:line="240" w:lineRule="auto"/>
        <w:rPr>
          <w:sz w:val="20"/>
        </w:rPr>
      </w:pPr>
    </w:p>
    <w:p w:rsidR="00C44A6F" w:rsidRPr="00981BE5" w:rsidRDefault="00C44A6F" w:rsidP="00C44A6F">
      <w:pPr>
        <w:pStyle w:val="SCCNormalDoubleSpacing"/>
        <w:spacing w:line="240" w:lineRule="auto"/>
        <w:rPr>
          <w:sz w:val="20"/>
        </w:rPr>
      </w:pPr>
      <w:r w:rsidRPr="00981BE5">
        <w:rPr>
          <w:sz w:val="20"/>
        </w:rPr>
        <w:tab/>
        <w:t xml:space="preserve">T </w:t>
      </w:r>
      <w:r w:rsidRPr="00981BE5">
        <w:rPr>
          <w:sz w:val="20"/>
          <w:lang w:val="en-US"/>
        </w:rPr>
        <w:t>caused</w:t>
      </w:r>
      <w:r w:rsidRPr="00981BE5">
        <w:rPr>
          <w:sz w:val="20"/>
        </w:rPr>
        <w:t xml:space="preserve"> a fire that destroyed the contents of his ex</w:t>
      </w:r>
      <w:r w:rsidRPr="00981BE5">
        <w:rPr>
          <w:sz w:val="20"/>
        </w:rPr>
        <w:noBreakHyphen/>
        <w:t>girlfriend’s home. In a highly intoxicated state, he placed a pan with oil on a stove, set the burner to high, and left the house to get a coffee. When he returned approximately 20 minutes later, the house was on fire. T was charged with arson contrary to s. 434 of the</w:t>
      </w:r>
      <w:r w:rsidRPr="00981BE5">
        <w:rPr>
          <w:i/>
          <w:sz w:val="20"/>
        </w:rPr>
        <w:t xml:space="preserve"> Criminal Code</w:t>
      </w:r>
      <w:r w:rsidRPr="00981BE5">
        <w:rPr>
          <w:sz w:val="20"/>
        </w:rPr>
        <w:t>. At trial, T claimed that the fire was an accident. The trial judge determined that s. 434 was a specific intent offence, meaning that T could rely on self</w:t>
      </w:r>
      <w:r w:rsidRPr="00981BE5">
        <w:rPr>
          <w:sz w:val="20"/>
        </w:rPr>
        <w:noBreakHyphen/>
        <w:t>induced intoxication as a defence. T was acquitted. A majority of the Court of Appeal upheld the acquittal.</w:t>
      </w:r>
    </w:p>
    <w:p w:rsidR="00C44A6F" w:rsidRDefault="00C44A6F" w:rsidP="00C44A6F">
      <w:pPr>
        <w:pStyle w:val="SCCNormalDoubleSpacing"/>
        <w:spacing w:line="240" w:lineRule="auto"/>
        <w:rPr>
          <w:i/>
          <w:sz w:val="20"/>
        </w:rPr>
      </w:pPr>
    </w:p>
    <w:p w:rsidR="00C44A6F" w:rsidRPr="00981BE5" w:rsidRDefault="00C44A6F" w:rsidP="00C44A6F">
      <w:pPr>
        <w:pStyle w:val="SCCNormalDoubleSpacing"/>
        <w:spacing w:line="240" w:lineRule="auto"/>
        <w:rPr>
          <w:sz w:val="20"/>
        </w:rPr>
      </w:pPr>
      <w:r w:rsidRPr="00981BE5">
        <w:rPr>
          <w:i/>
          <w:sz w:val="20"/>
        </w:rPr>
        <w:tab/>
        <w:t>Held</w:t>
      </w:r>
      <w:r w:rsidRPr="00981BE5">
        <w:rPr>
          <w:sz w:val="20"/>
        </w:rPr>
        <w:t xml:space="preserve">: The </w:t>
      </w:r>
      <w:r w:rsidRPr="00981BE5">
        <w:rPr>
          <w:sz w:val="20"/>
          <w:lang w:val="en-US"/>
        </w:rPr>
        <w:t>appeal</w:t>
      </w:r>
      <w:r w:rsidRPr="00981BE5">
        <w:rPr>
          <w:sz w:val="20"/>
        </w:rPr>
        <w:t xml:space="preserve"> should be allowed, the acquittal set aside and a new trial ordered.</w:t>
      </w:r>
    </w:p>
    <w:p w:rsidR="00C44A6F" w:rsidRDefault="00C44A6F" w:rsidP="00C44A6F">
      <w:pPr>
        <w:pStyle w:val="SCCNormalDoubleSpacing"/>
        <w:spacing w:line="240" w:lineRule="auto"/>
        <w:rPr>
          <w:sz w:val="20"/>
        </w:rPr>
      </w:pPr>
    </w:p>
    <w:p w:rsidR="00C44A6F" w:rsidRPr="00981BE5" w:rsidRDefault="00C44A6F" w:rsidP="00C44A6F">
      <w:pPr>
        <w:pStyle w:val="SCCNormalDoubleSpacing"/>
        <w:spacing w:line="240" w:lineRule="auto"/>
        <w:rPr>
          <w:sz w:val="20"/>
          <w:lang w:val="en-US"/>
        </w:rPr>
      </w:pPr>
      <w:r w:rsidRPr="00981BE5">
        <w:rPr>
          <w:sz w:val="20"/>
        </w:rPr>
        <w:tab/>
        <w:t xml:space="preserve">The </w:t>
      </w:r>
      <w:r w:rsidRPr="00981BE5">
        <w:rPr>
          <w:sz w:val="20"/>
          <w:lang w:val="en-US"/>
        </w:rPr>
        <w:t>classification</w:t>
      </w:r>
      <w:r w:rsidRPr="00981BE5">
        <w:rPr>
          <w:sz w:val="20"/>
        </w:rPr>
        <w:t xml:space="preserve"> of an offence as one involving general or specific intent has important consequences for the accused because the law does not allow offenders to rely on self</w:t>
      </w:r>
      <w:r w:rsidRPr="00981BE5">
        <w:rPr>
          <w:sz w:val="20"/>
        </w:rPr>
        <w:noBreakHyphen/>
        <w:t xml:space="preserve">induced intoxication falling short of automatism as an excuse for general intent offences. The analysis of whether an offence is one of general intent or specific intent must start with a determination of the mental element of the offence. This is an exercise in statutory interpretation and should not be turned into a factual assessment. The next question is whether the crime is one of general or specific intent. Where the jurisprudence has already determined the appropriate classification of the offence in a satisfactory manner, the task is straightforward. Otherwise, there are two main considerations — the </w:t>
      </w:r>
      <w:r w:rsidRPr="00981BE5">
        <w:rPr>
          <w:sz w:val="20"/>
          <w:lang w:val="en-US"/>
        </w:rPr>
        <w:t xml:space="preserve">importance of the mental element and the social policy underlying the offence. </w:t>
      </w:r>
    </w:p>
    <w:p w:rsidR="00C44A6F" w:rsidRDefault="00C44A6F" w:rsidP="00C44A6F">
      <w:pPr>
        <w:pStyle w:val="SCCNormalDoubleSpacing"/>
        <w:spacing w:line="240" w:lineRule="auto"/>
        <w:rPr>
          <w:sz w:val="20"/>
          <w:lang w:val="en-US"/>
        </w:rPr>
      </w:pPr>
    </w:p>
    <w:p w:rsidR="00C44A6F" w:rsidRPr="00981BE5" w:rsidRDefault="00C44A6F" w:rsidP="00C44A6F">
      <w:pPr>
        <w:pStyle w:val="SCCNormalDoubleSpacing"/>
        <w:spacing w:line="240" w:lineRule="auto"/>
        <w:rPr>
          <w:b/>
          <w:i/>
          <w:sz w:val="20"/>
        </w:rPr>
      </w:pPr>
      <w:r w:rsidRPr="00981BE5">
        <w:rPr>
          <w:sz w:val="20"/>
          <w:lang w:val="en-US"/>
        </w:rPr>
        <w:tab/>
        <w:t xml:space="preserve">The importance of the mental element refers to the complexity of the thought and reasoning </w:t>
      </w:r>
      <w:r w:rsidRPr="00981BE5">
        <w:rPr>
          <w:sz w:val="20"/>
        </w:rPr>
        <w:t>processes that are required for any given offence.</w:t>
      </w:r>
      <w:r w:rsidRPr="00981BE5">
        <w:rPr>
          <w:sz w:val="20"/>
          <w:lang w:val="en-US"/>
        </w:rPr>
        <w:t xml:space="preserve"> For general intent offences, the mental element simply relates to the performance of the illegal act. </w:t>
      </w:r>
      <w:r w:rsidRPr="00981BE5">
        <w:rPr>
          <w:sz w:val="20"/>
        </w:rPr>
        <w:t xml:space="preserve">Such crimes </w:t>
      </w:r>
      <w:r w:rsidRPr="00981BE5">
        <w:rPr>
          <w:sz w:val="20"/>
          <w:lang w:val="en-US"/>
        </w:rPr>
        <w:t xml:space="preserve">do not require an intent to bring about certain consequences that are external to the </w:t>
      </w:r>
      <w:r w:rsidRPr="00981BE5">
        <w:rPr>
          <w:i/>
          <w:sz w:val="20"/>
          <w:lang w:val="en-US"/>
        </w:rPr>
        <w:t>actus reus</w:t>
      </w:r>
      <w:r w:rsidRPr="00981BE5">
        <w:rPr>
          <w:sz w:val="20"/>
          <w:lang w:val="en-US"/>
        </w:rPr>
        <w:t>. Nor do they require actual knowledge of certain circumstances or consequences, to the extent that such knowledge is the product of complex thought and reasoning processes. General intent crimes</w:t>
      </w:r>
      <w:r w:rsidRPr="00981BE5">
        <w:rPr>
          <w:sz w:val="20"/>
        </w:rPr>
        <w:t xml:space="preserve"> involve such minimal mental acuity that it is difficult to see how intoxication short of automatism could deprive the accused of the low level of intent required.</w:t>
      </w:r>
      <w:r w:rsidRPr="00981BE5">
        <w:rPr>
          <w:sz w:val="20"/>
          <w:lang w:val="en-US"/>
        </w:rPr>
        <w:t xml:space="preserve"> In contrast, specific intent offences involve a heightened mental element. </w:t>
      </w:r>
      <w:r w:rsidRPr="00981BE5">
        <w:rPr>
          <w:sz w:val="20"/>
        </w:rPr>
        <w:t xml:space="preserve">That element may take the form of an ulterior purpose or it may entail actual knowledge of certain circumstances or consequences, where the knowledge is the product of more complex thought and reasoning processes. Alternatively, it may involve intent to bring about certain consequences, </w:t>
      </w:r>
      <w:r w:rsidRPr="00981BE5">
        <w:rPr>
          <w:sz w:val="20"/>
          <w:lang w:val="en-US"/>
        </w:rPr>
        <w:t>if the formation of that intent involves more complex thought and reasoning processes. Because of the more complicated thought and reasoning processes required for specific intent crimes, one can more readily understand how intoxication short of automatism may negate the required mental element.</w:t>
      </w:r>
    </w:p>
    <w:p w:rsidR="00C44A6F" w:rsidRDefault="00C44A6F" w:rsidP="00C44A6F">
      <w:pPr>
        <w:pStyle w:val="SCCNormalDoubleSpacing"/>
        <w:spacing w:line="240" w:lineRule="auto"/>
        <w:rPr>
          <w:sz w:val="20"/>
        </w:rPr>
      </w:pPr>
    </w:p>
    <w:p w:rsidR="00C44A6F" w:rsidRPr="00981BE5" w:rsidRDefault="00C44A6F" w:rsidP="00C44A6F">
      <w:pPr>
        <w:pStyle w:val="SCCNormalDoubleSpacing"/>
        <w:spacing w:line="240" w:lineRule="auto"/>
        <w:rPr>
          <w:sz w:val="20"/>
          <w:lang w:val="en-US"/>
        </w:rPr>
      </w:pPr>
      <w:r w:rsidRPr="00981BE5">
        <w:rPr>
          <w:sz w:val="20"/>
        </w:rPr>
        <w:tab/>
        <w:t xml:space="preserve">When this </w:t>
      </w:r>
      <w:r w:rsidRPr="00981BE5">
        <w:rPr>
          <w:sz w:val="20"/>
          <w:lang w:val="en-US"/>
        </w:rPr>
        <w:t>analysis</w:t>
      </w:r>
      <w:r w:rsidRPr="00981BE5">
        <w:rPr>
          <w:sz w:val="20"/>
        </w:rPr>
        <w:t xml:space="preserve"> fails to yield a clear answer, one should turn to policy considerations. In the main, the policy assessment will focus on whether alcohol consumption is habitually associated with the crime in question. If it is, then allowing an accused to rely on intoxication as a defence would seem counterintuitive. But, where self</w:t>
      </w:r>
      <w:r w:rsidRPr="00981BE5">
        <w:rPr>
          <w:sz w:val="20"/>
        </w:rPr>
        <w:noBreakHyphen/>
        <w:t>induced intoxication rarely, if ever, plays a role in the commission of a particular crime, preventing an accused from relying on it makes less sense from a policy perspective. Without setting out a general rule, alcohol habitually plays a role in crimes involving violent or unruly conduct and in crimes involving damage to property. Although there are exceptions to this general proposition, the prevalence of alcohol in these crimes means that there are likely to be strong policy reasons militating against an intoxication</w:t>
      </w:r>
      <w:r w:rsidRPr="00981BE5">
        <w:rPr>
          <w:sz w:val="20"/>
        </w:rPr>
        <w:noBreakHyphen/>
        <w:t>based defence. O</w:t>
      </w:r>
      <w:r w:rsidRPr="00981BE5">
        <w:rPr>
          <w:sz w:val="20"/>
          <w:lang w:val="en-US"/>
        </w:rPr>
        <w:t>ther residual policy considerations may also come into play. The presence of a lesser included general intent offence in the main offence may be relevant. The presence of judicial sentencing discretion may also be a factor to consider.</w:t>
      </w:r>
    </w:p>
    <w:p w:rsidR="00C44A6F" w:rsidRDefault="00C44A6F" w:rsidP="00C44A6F">
      <w:pPr>
        <w:pStyle w:val="SCCNormalDoubleSpacing"/>
        <w:spacing w:line="240" w:lineRule="auto"/>
        <w:rPr>
          <w:sz w:val="20"/>
        </w:rPr>
      </w:pPr>
    </w:p>
    <w:p w:rsidR="00C44A6F" w:rsidRPr="00981BE5" w:rsidRDefault="00C44A6F" w:rsidP="00C44A6F">
      <w:pPr>
        <w:pStyle w:val="SCCNormalDoubleSpacing"/>
        <w:spacing w:line="240" w:lineRule="auto"/>
        <w:rPr>
          <w:sz w:val="20"/>
        </w:rPr>
      </w:pPr>
      <w:r w:rsidRPr="00981BE5">
        <w:rPr>
          <w:sz w:val="20"/>
        </w:rPr>
        <w:tab/>
        <w:t xml:space="preserve">The </w:t>
      </w:r>
      <w:r w:rsidRPr="00981BE5">
        <w:rPr>
          <w:sz w:val="20"/>
          <w:lang w:val="en-US"/>
        </w:rPr>
        <w:t>offence</w:t>
      </w:r>
      <w:r w:rsidRPr="00981BE5">
        <w:rPr>
          <w:sz w:val="20"/>
        </w:rPr>
        <w:t xml:space="preserve"> of arson in s. 434 of the </w:t>
      </w:r>
      <w:r w:rsidRPr="00981BE5">
        <w:rPr>
          <w:i/>
          <w:sz w:val="20"/>
        </w:rPr>
        <w:t xml:space="preserve">Criminal Code </w:t>
      </w:r>
      <w:r w:rsidRPr="00981BE5">
        <w:rPr>
          <w:sz w:val="20"/>
        </w:rPr>
        <w:t xml:space="preserve">is a general intent offence for which intoxication falling short of automatism is not available as a defence. The </w:t>
      </w:r>
      <w:r w:rsidRPr="00981BE5">
        <w:rPr>
          <w:i/>
          <w:sz w:val="20"/>
        </w:rPr>
        <w:t xml:space="preserve">actus reus </w:t>
      </w:r>
      <w:r w:rsidRPr="00981BE5">
        <w:rPr>
          <w:sz w:val="20"/>
        </w:rPr>
        <w:t>is the damaging of property by fire. The mental element</w:t>
      </w:r>
      <w:r w:rsidRPr="00981BE5">
        <w:rPr>
          <w:i/>
          <w:sz w:val="20"/>
        </w:rPr>
        <w:t xml:space="preserve"> </w:t>
      </w:r>
      <w:r w:rsidRPr="00981BE5">
        <w:rPr>
          <w:sz w:val="20"/>
        </w:rPr>
        <w:t>is the intentional or reckless performance of the illegal act. No additional knowledge or purpose is needed. No complex thought or reasoning processes are required. It is difficult to see how intoxication short of automatism would prevent an accused from foreseeing the risk of causing damage to someone else’s property by fire. There is no need to resort to policy considerations to determine the appropriate classification of the offence. Had it been necessary to do so, the same conclusion would have been reached. Damage to property is often associated with alcohol consumption and it would erode the policy underlying the offence of causing damage to property by fire if an accused could rely on self</w:t>
      </w:r>
      <w:r w:rsidRPr="00981BE5">
        <w:rPr>
          <w:sz w:val="20"/>
        </w:rPr>
        <w:noBreakHyphen/>
        <w:t>induced intoxication as a defence.</w:t>
      </w:r>
    </w:p>
    <w:p w:rsidR="00C44A6F" w:rsidRDefault="00C44A6F" w:rsidP="00C44A6F">
      <w:pPr>
        <w:pStyle w:val="SCCNormalDoubleSpacing"/>
        <w:spacing w:line="240" w:lineRule="auto"/>
        <w:rPr>
          <w:sz w:val="20"/>
        </w:rPr>
      </w:pPr>
    </w:p>
    <w:p w:rsidR="00C44A6F" w:rsidRPr="00981BE5" w:rsidRDefault="00C44A6F" w:rsidP="00C44A6F">
      <w:pPr>
        <w:pStyle w:val="SCCNormalDoubleSpacing"/>
        <w:spacing w:line="240" w:lineRule="auto"/>
        <w:rPr>
          <w:sz w:val="20"/>
        </w:rPr>
      </w:pPr>
      <w:r w:rsidRPr="00981BE5">
        <w:rPr>
          <w:sz w:val="20"/>
        </w:rPr>
        <w:tab/>
        <w:t xml:space="preserve">The </w:t>
      </w:r>
      <w:r w:rsidRPr="00981BE5">
        <w:rPr>
          <w:sz w:val="20"/>
          <w:lang w:val="en-US"/>
        </w:rPr>
        <w:t>criminal</w:t>
      </w:r>
      <w:r w:rsidRPr="00981BE5">
        <w:rPr>
          <w:sz w:val="20"/>
        </w:rPr>
        <w:t xml:space="preserve"> act in s. 434 of the </w:t>
      </w:r>
      <w:r w:rsidRPr="00981BE5">
        <w:rPr>
          <w:i/>
          <w:sz w:val="20"/>
        </w:rPr>
        <w:t xml:space="preserve">Criminal Code </w:t>
      </w:r>
      <w:r w:rsidRPr="00981BE5">
        <w:rPr>
          <w:sz w:val="20"/>
        </w:rPr>
        <w:t xml:space="preserve">is the causing of damage to property. The fire is simply the mechanism by which the damage must be caused. In assessing the issue of intent, the trier of fact must consider all of the surrounding circumstances. The manner in which the fire started is likely to be an important consideration. Specifically, was the fire set accidentally, negligently, recklessly, or intentionally? However, the determinative question is not how the fire was started. Rather, the end game involves looking at all of the surrounding circumstances to determine whether it can be inferred that the accused intended to damage someone else’s property or was reckless whether damage ensued or not. </w:t>
      </w:r>
    </w:p>
    <w:p w:rsidR="00C44A6F" w:rsidRDefault="00C44A6F" w:rsidP="00C44A6F">
      <w:pPr>
        <w:pStyle w:val="SCCNormalDoubleSpacing"/>
        <w:spacing w:line="240" w:lineRule="auto"/>
        <w:rPr>
          <w:sz w:val="20"/>
        </w:rPr>
      </w:pPr>
    </w:p>
    <w:p w:rsidR="00C44A6F" w:rsidRDefault="00C44A6F" w:rsidP="00C44A6F">
      <w:pPr>
        <w:pStyle w:val="SCCNormalDoubleSpacing"/>
        <w:spacing w:line="240" w:lineRule="auto"/>
        <w:rPr>
          <w:sz w:val="20"/>
        </w:rPr>
      </w:pPr>
      <w:r w:rsidRPr="00981BE5">
        <w:rPr>
          <w:sz w:val="20"/>
        </w:rPr>
        <w:tab/>
        <w:t xml:space="preserve">In </w:t>
      </w:r>
      <w:r w:rsidRPr="00981BE5">
        <w:rPr>
          <w:sz w:val="20"/>
          <w:lang w:val="en-US"/>
        </w:rPr>
        <w:t>this</w:t>
      </w:r>
      <w:r w:rsidRPr="00981BE5">
        <w:rPr>
          <w:sz w:val="20"/>
        </w:rPr>
        <w:t xml:space="preserve"> case, it is apparent that T’s intoxication played a material role in the acquittal. In his reasons, the trial judge concentrated on the cause of the fire and he stated that to resolve this issue, he must determine whether T’s intoxication could be considered. His decision to acquit was influenced by his erroneous belief that he could take into account T’s state of intoxication. A new trial is required because the trial judge’s critical findings of fact were tainted by his belief that self</w:t>
      </w:r>
      <w:r w:rsidRPr="00981BE5">
        <w:rPr>
          <w:sz w:val="20"/>
        </w:rPr>
        <w:noBreakHyphen/>
        <w:t>induced intoxication was relevant to the issue of intent.</w:t>
      </w:r>
    </w:p>
    <w:p w:rsidR="00C44A6F" w:rsidRDefault="00C44A6F" w:rsidP="00C44A6F">
      <w:pPr>
        <w:pStyle w:val="SCCNormalDoubleSpacing"/>
        <w:spacing w:line="240" w:lineRule="auto"/>
        <w:rPr>
          <w:sz w:val="20"/>
        </w:rPr>
      </w:pPr>
    </w:p>
    <w:p w:rsidR="00C44A6F" w:rsidRPr="00981BE5" w:rsidRDefault="00C44A6F" w:rsidP="00C44A6F">
      <w:pPr>
        <w:pStyle w:val="SCCNormalDoubleSpacing"/>
        <w:spacing w:line="240" w:lineRule="auto"/>
        <w:rPr>
          <w:sz w:val="20"/>
        </w:rPr>
      </w:pPr>
      <w:r w:rsidRPr="00981BE5">
        <w:rPr>
          <w:sz w:val="20"/>
        </w:rPr>
        <w:tab/>
        <w:t>APPEAL from a judgment of the Ontario Court of Appeal (Goudge, Rensburg and Pardu JJ.A.), 2014 ONCA 273, 10 C.R. (7th) 108, 319 O.A.C. 10, [2014] O.J. No. 1683 (QL), 2014 CarswellOnt 4373 (WL Can.), upholding the acquittal on a charge of arson entered by Tausendfreund J. Appeal allowed.</w:t>
      </w:r>
    </w:p>
    <w:p w:rsidR="00C44A6F" w:rsidRDefault="00C44A6F" w:rsidP="00C44A6F">
      <w:pPr>
        <w:pStyle w:val="SCCNormalDoubleSpacing"/>
        <w:spacing w:line="240" w:lineRule="auto"/>
        <w:outlineLvl w:val="0"/>
        <w:rPr>
          <w:rStyle w:val="SCCCounselNameChar"/>
          <w:sz w:val="20"/>
        </w:rPr>
      </w:pPr>
    </w:p>
    <w:p w:rsidR="00C44A6F" w:rsidRPr="00981BE5" w:rsidRDefault="00C44A6F" w:rsidP="00C44A6F">
      <w:pPr>
        <w:pStyle w:val="SCCNormalDoubleSpacing"/>
        <w:spacing w:line="240" w:lineRule="auto"/>
        <w:outlineLvl w:val="0"/>
        <w:rPr>
          <w:sz w:val="20"/>
        </w:rPr>
      </w:pPr>
      <w:r w:rsidRPr="00981BE5">
        <w:rPr>
          <w:rStyle w:val="SCCCounselNameChar"/>
          <w:sz w:val="20"/>
        </w:rPr>
        <w:tab/>
        <w:t>Randy Schwartz,</w:t>
      </w:r>
      <w:r w:rsidRPr="00C44A6F">
        <w:rPr>
          <w:rStyle w:val="SCCCounselSeparatorChar"/>
          <w:sz w:val="20"/>
          <w:lang w:val="en-CA"/>
        </w:rPr>
        <w:t xml:space="preserve"> </w:t>
      </w:r>
      <w:r w:rsidRPr="00981BE5">
        <w:rPr>
          <w:rStyle w:val="SCCCounselPartyRoleChar"/>
          <w:sz w:val="20"/>
        </w:rPr>
        <w:t>for the appellant.</w:t>
      </w:r>
    </w:p>
    <w:p w:rsidR="00C44A6F" w:rsidRDefault="00C44A6F" w:rsidP="00C44A6F">
      <w:pPr>
        <w:pStyle w:val="SCCNormalDoubleSpacing"/>
        <w:spacing w:line="240" w:lineRule="auto"/>
        <w:outlineLvl w:val="0"/>
        <w:rPr>
          <w:rStyle w:val="SCCCounselNameChar"/>
          <w:sz w:val="20"/>
        </w:rPr>
      </w:pPr>
    </w:p>
    <w:p w:rsidR="00C44A6F" w:rsidRPr="00981BE5" w:rsidRDefault="00C44A6F" w:rsidP="00C44A6F">
      <w:pPr>
        <w:pStyle w:val="SCCNormalDoubleSpacing"/>
        <w:spacing w:line="240" w:lineRule="auto"/>
        <w:outlineLvl w:val="0"/>
        <w:rPr>
          <w:sz w:val="20"/>
        </w:rPr>
      </w:pPr>
      <w:r w:rsidRPr="00981BE5">
        <w:rPr>
          <w:rStyle w:val="SCCCounselNameChar"/>
          <w:sz w:val="20"/>
        </w:rPr>
        <w:tab/>
        <w:t>J. Douglas Grenkie, Q.C.,</w:t>
      </w:r>
      <w:r w:rsidRPr="00C44A6F">
        <w:rPr>
          <w:rStyle w:val="SCCCounselSeparatorChar"/>
          <w:sz w:val="20"/>
          <w:lang w:val="en-CA"/>
        </w:rPr>
        <w:t xml:space="preserve"> and </w:t>
      </w:r>
      <w:r w:rsidRPr="00981BE5">
        <w:rPr>
          <w:rStyle w:val="SCCCounselNameChar"/>
          <w:sz w:val="20"/>
        </w:rPr>
        <w:t>William James Webber</w:t>
      </w:r>
      <w:r w:rsidRPr="00981BE5">
        <w:rPr>
          <w:rStyle w:val="SCCCounselPartyRoleChar"/>
          <w:sz w:val="20"/>
        </w:rPr>
        <w:t>, for the respondent.</w:t>
      </w:r>
    </w:p>
    <w:p w:rsidR="00C44A6F" w:rsidRDefault="00C44A6F" w:rsidP="00C44A6F">
      <w:pPr>
        <w:pStyle w:val="SCCNormalDoubleSpacing"/>
        <w:spacing w:line="240" w:lineRule="auto"/>
        <w:rPr>
          <w:rStyle w:val="SCCCounselNameChar"/>
          <w:sz w:val="20"/>
        </w:rPr>
      </w:pPr>
    </w:p>
    <w:p w:rsidR="00C44A6F" w:rsidRPr="00981BE5" w:rsidRDefault="00C44A6F" w:rsidP="00C44A6F">
      <w:pPr>
        <w:pStyle w:val="SCCNormalDoubleSpacing"/>
        <w:spacing w:line="240" w:lineRule="auto"/>
        <w:rPr>
          <w:sz w:val="20"/>
        </w:rPr>
      </w:pPr>
      <w:r w:rsidRPr="00981BE5">
        <w:rPr>
          <w:rStyle w:val="SCCCounselNameChar"/>
          <w:sz w:val="20"/>
        </w:rPr>
        <w:tab/>
        <w:t>Anil K. Kapoor</w:t>
      </w:r>
      <w:r w:rsidRPr="00981BE5">
        <w:rPr>
          <w:rStyle w:val="SCCCounselPartyRoleChar"/>
          <w:sz w:val="20"/>
        </w:rPr>
        <w:t xml:space="preserve"> and </w:t>
      </w:r>
      <w:r w:rsidRPr="00981BE5">
        <w:rPr>
          <w:i/>
          <w:sz w:val="20"/>
        </w:rPr>
        <w:t>Lindsay E. Trevelyan</w:t>
      </w:r>
      <w:r w:rsidRPr="00981BE5">
        <w:rPr>
          <w:sz w:val="20"/>
        </w:rPr>
        <w:t>,</w:t>
      </w:r>
      <w:r w:rsidRPr="00981BE5">
        <w:rPr>
          <w:rStyle w:val="SCCCounselPartyRoleChar"/>
          <w:sz w:val="20"/>
        </w:rPr>
        <w:t xml:space="preserve"> for the intervener the Criminal Lawyers’ Association (Ontario).</w:t>
      </w:r>
    </w:p>
    <w:p w:rsidR="00C44A6F" w:rsidRDefault="00C44A6F" w:rsidP="00C44A6F">
      <w:pPr>
        <w:pStyle w:val="SCCLawFirm"/>
        <w:spacing w:line="240" w:lineRule="auto"/>
        <w:outlineLvl w:val="0"/>
        <w:rPr>
          <w:sz w:val="20"/>
        </w:rPr>
      </w:pPr>
    </w:p>
    <w:p w:rsidR="00C44A6F" w:rsidRPr="00981BE5" w:rsidRDefault="00C44A6F" w:rsidP="00C44A6F">
      <w:pPr>
        <w:pStyle w:val="SCCLawFirm"/>
        <w:spacing w:line="240" w:lineRule="auto"/>
        <w:outlineLvl w:val="0"/>
        <w:rPr>
          <w:sz w:val="20"/>
        </w:rPr>
      </w:pPr>
      <w:r w:rsidRPr="00981BE5">
        <w:rPr>
          <w:sz w:val="20"/>
        </w:rPr>
        <w:tab/>
        <w:t>Solicitor for the appellant: Attorney General of Ontario, Toronto.</w:t>
      </w:r>
    </w:p>
    <w:p w:rsidR="00C44A6F" w:rsidRDefault="00C44A6F" w:rsidP="00C44A6F">
      <w:pPr>
        <w:pStyle w:val="SCCLawFirm"/>
        <w:spacing w:line="240" w:lineRule="auto"/>
        <w:rPr>
          <w:sz w:val="20"/>
        </w:rPr>
      </w:pPr>
    </w:p>
    <w:p w:rsidR="00C44A6F" w:rsidRPr="00981BE5" w:rsidRDefault="00C44A6F" w:rsidP="00C44A6F">
      <w:pPr>
        <w:pStyle w:val="SCCLawFirm"/>
        <w:spacing w:line="240" w:lineRule="auto"/>
        <w:rPr>
          <w:sz w:val="20"/>
        </w:rPr>
      </w:pPr>
      <w:r w:rsidRPr="00981BE5">
        <w:rPr>
          <w:sz w:val="20"/>
        </w:rPr>
        <w:tab/>
        <w:t>Solicitors for the respondent: Gorrell, Greinkie &amp; Rémillard, Morrisburg.</w:t>
      </w:r>
    </w:p>
    <w:p w:rsidR="00C44A6F" w:rsidRDefault="00C44A6F" w:rsidP="00C44A6F">
      <w:pPr>
        <w:pStyle w:val="SCCLawFirm"/>
        <w:spacing w:line="240" w:lineRule="auto"/>
        <w:rPr>
          <w:sz w:val="20"/>
        </w:rPr>
      </w:pPr>
    </w:p>
    <w:p w:rsidR="00C44A6F" w:rsidRDefault="00C44A6F" w:rsidP="00C44A6F">
      <w:pPr>
        <w:pStyle w:val="SCCLawFirm"/>
        <w:spacing w:line="240" w:lineRule="auto"/>
        <w:rPr>
          <w:sz w:val="20"/>
        </w:rPr>
      </w:pPr>
      <w:r w:rsidRPr="00981BE5">
        <w:rPr>
          <w:sz w:val="20"/>
        </w:rPr>
        <w:tab/>
        <w:t>Solicitors for the intervener the Criminal Lawyers’ Association (Ontario): Kapoor Barristers, Toronto.</w:t>
      </w:r>
    </w:p>
    <w:p w:rsidR="0052229C" w:rsidRPr="00C44A6F" w:rsidRDefault="0052229C" w:rsidP="0052229C">
      <w:pPr>
        <w:rPr>
          <w:rFonts w:cs="Times New Roman"/>
          <w:sz w:val="20"/>
          <w:szCs w:val="20"/>
          <w:lang w:val="fr-CA"/>
        </w:rPr>
      </w:pPr>
      <w:r w:rsidRPr="00C44A6F">
        <w:rPr>
          <w:rFonts w:cs="Times New Roman"/>
          <w:sz w:val="20"/>
          <w:szCs w:val="20"/>
          <w:lang w:val="fr-CA"/>
        </w:rPr>
        <w:t>________________________</w:t>
      </w:r>
    </w:p>
    <w:p w:rsidR="0052229C" w:rsidRPr="00C44A6F" w:rsidRDefault="0052229C" w:rsidP="0052229C">
      <w:pPr>
        <w:rPr>
          <w:rFonts w:cs="Times New Roman"/>
          <w:sz w:val="20"/>
          <w:szCs w:val="20"/>
          <w:lang w:val="fr-CA"/>
        </w:rPr>
      </w:pPr>
    </w:p>
    <w:p w:rsidR="00C44A6F" w:rsidRPr="006E0B9E" w:rsidRDefault="00C44A6F" w:rsidP="00C44A6F">
      <w:pPr>
        <w:jc w:val="both"/>
        <w:rPr>
          <w:sz w:val="20"/>
          <w:szCs w:val="20"/>
          <w:lang w:val="fr-CA"/>
        </w:rPr>
      </w:pPr>
      <w:r w:rsidRPr="006E0B9E">
        <w:rPr>
          <w:sz w:val="20"/>
          <w:szCs w:val="20"/>
          <w:lang w:val="fr-CA"/>
        </w:rPr>
        <w:t>Présents : La juge en chef McLachlin et les juges Abella, Rothstein, Cromwell, Moldaver, Wagner et Gascon.</w:t>
      </w:r>
    </w:p>
    <w:p w:rsidR="00C44A6F" w:rsidRDefault="00C44A6F" w:rsidP="00C44A6F">
      <w:pPr>
        <w:jc w:val="both"/>
        <w:outlineLvl w:val="0"/>
        <w:rPr>
          <w:smallCaps/>
          <w:sz w:val="20"/>
          <w:lang w:val="fr-CA"/>
        </w:rPr>
      </w:pPr>
    </w:p>
    <w:p w:rsidR="00C44A6F" w:rsidRPr="006E0B9E" w:rsidRDefault="00C44A6F" w:rsidP="00C44A6F">
      <w:pPr>
        <w:pStyle w:val="SCCNormalDoubleSpacing"/>
        <w:spacing w:line="240" w:lineRule="auto"/>
        <w:rPr>
          <w:i/>
          <w:sz w:val="20"/>
          <w:lang w:val="fr-CA"/>
        </w:rPr>
      </w:pPr>
      <w:r w:rsidRPr="006E0B9E">
        <w:rPr>
          <w:sz w:val="20"/>
          <w:lang w:val="fr-CA"/>
        </w:rPr>
        <w:tab/>
      </w:r>
      <w:r w:rsidRPr="006E0B9E">
        <w:rPr>
          <w:i/>
          <w:sz w:val="20"/>
          <w:lang w:val="fr-CA"/>
        </w:rPr>
        <w:t>Droit criminel — Incendie criminel — Moyens de défense — Intoxication — Accusé invoquant l’intoxication volontaire pour excuser la perpétration d’un incendie criminel — L’accusé ne peut invoquer l’intoxication volontaire sans automatisme pour excuser la perpétration d’infractions d’intention générale — L’infraction d’incendie criminel est</w:t>
      </w:r>
      <w:r w:rsidRPr="006E0B9E">
        <w:rPr>
          <w:i/>
          <w:sz w:val="20"/>
          <w:lang w:val="fr-CA"/>
        </w:rPr>
        <w:noBreakHyphen/>
        <w:t>elle une infraction d’intention générale ou d’intention spécifique? — Si l’infraction d’incendie criminel est une infraction d’intention générale, la décision du juge du procès de la qualifier d’infraction d’intention spécifique a</w:t>
      </w:r>
      <w:r w:rsidRPr="006E0B9E">
        <w:rPr>
          <w:i/>
          <w:sz w:val="20"/>
          <w:lang w:val="fr-CA"/>
        </w:rPr>
        <w:noBreakHyphen/>
        <w:t>t</w:t>
      </w:r>
      <w:r w:rsidRPr="006E0B9E">
        <w:rPr>
          <w:i/>
          <w:sz w:val="20"/>
          <w:lang w:val="fr-CA"/>
        </w:rPr>
        <w:noBreakHyphen/>
        <w:t>elle eu une incidence significative sur le verdict d’acquittement? — Code criminel, L.R.C. 1985, ch. C</w:t>
      </w:r>
      <w:r w:rsidRPr="006E0B9E">
        <w:rPr>
          <w:i/>
          <w:sz w:val="20"/>
          <w:lang w:val="fr-CA"/>
        </w:rPr>
        <w:noBreakHyphen/>
        <w:t>46, art. 434.</w:t>
      </w:r>
    </w:p>
    <w:p w:rsidR="00C44A6F" w:rsidRDefault="00C44A6F" w:rsidP="00C44A6F">
      <w:pPr>
        <w:pStyle w:val="SCCNormalDoubleSpacing"/>
        <w:spacing w:line="240" w:lineRule="auto"/>
        <w:rPr>
          <w:sz w:val="20"/>
          <w:lang w:val="fr-CA"/>
        </w:rPr>
      </w:pPr>
    </w:p>
    <w:p w:rsidR="00C44A6F" w:rsidRPr="006E0B9E" w:rsidRDefault="00C44A6F" w:rsidP="00C44A6F">
      <w:pPr>
        <w:pStyle w:val="SCCNormalDoubleSpacing"/>
        <w:spacing w:line="240" w:lineRule="auto"/>
        <w:rPr>
          <w:sz w:val="20"/>
          <w:lang w:val="fr-CA"/>
        </w:rPr>
      </w:pPr>
      <w:r w:rsidRPr="006E0B9E">
        <w:rPr>
          <w:sz w:val="20"/>
          <w:lang w:val="fr-CA"/>
        </w:rPr>
        <w:tab/>
        <w:t>T a causé un incendie qui a détruit l’intérieur de la résidence de son ex</w:t>
      </w:r>
      <w:r w:rsidRPr="006E0B9E">
        <w:rPr>
          <w:sz w:val="20"/>
          <w:lang w:val="fr-CA"/>
        </w:rPr>
        <w:noBreakHyphen/>
        <w:t xml:space="preserve">petite amie. Alors qu’il était dans un état d’ébriété avancé, il a placé sur la cuisinière une poêle à frire contenant de l’huile, a allumé le rond à feu « élevé » et est sorti pour aller chercher un café. À son retour une vingtaine de minutes plus tard, la maison était la proie des flammes. T a été accusé d’incendie criminel en vertu de l’art. 434 du </w:t>
      </w:r>
      <w:r w:rsidRPr="006E0B9E">
        <w:rPr>
          <w:i/>
          <w:sz w:val="20"/>
          <w:lang w:val="fr-CA"/>
        </w:rPr>
        <w:t>Code criminel</w:t>
      </w:r>
      <w:r w:rsidRPr="006E0B9E">
        <w:rPr>
          <w:sz w:val="20"/>
          <w:lang w:val="fr-CA"/>
        </w:rPr>
        <w:t>. Au procès, T a affirmé que l’incendie était accidentel. Le juge du procès a conclu que l’art. 434 créait une infraction d’intention spécifique, ce qui signifiait que T pouvait invoquer l’intoxication volontaire en défense. T a été acquitté. La Cour d’appel de l’Ontario à la majorité a confirmé l’acquittement.</w:t>
      </w:r>
    </w:p>
    <w:p w:rsidR="00C44A6F" w:rsidRDefault="00C44A6F" w:rsidP="00C44A6F">
      <w:pPr>
        <w:pStyle w:val="SCCNormalDoubleSpacing"/>
        <w:spacing w:line="240" w:lineRule="auto"/>
        <w:rPr>
          <w:sz w:val="20"/>
          <w:lang w:val="fr-CA"/>
        </w:rPr>
      </w:pPr>
    </w:p>
    <w:p w:rsidR="00C44A6F" w:rsidRPr="006E0B9E" w:rsidRDefault="00C44A6F" w:rsidP="00C44A6F">
      <w:pPr>
        <w:pStyle w:val="SCCNormalDoubleSpacing"/>
        <w:spacing w:line="240" w:lineRule="auto"/>
        <w:rPr>
          <w:sz w:val="20"/>
          <w:lang w:val="fr-CA"/>
        </w:rPr>
      </w:pPr>
      <w:r w:rsidRPr="006E0B9E">
        <w:rPr>
          <w:sz w:val="20"/>
          <w:lang w:val="fr-CA"/>
        </w:rPr>
        <w:tab/>
      </w:r>
      <w:r w:rsidRPr="006E0B9E">
        <w:rPr>
          <w:i/>
          <w:sz w:val="20"/>
          <w:lang w:val="fr-CA"/>
        </w:rPr>
        <w:t>Arrêt</w:t>
      </w:r>
      <w:r w:rsidRPr="006E0B9E">
        <w:rPr>
          <w:sz w:val="20"/>
          <w:lang w:val="fr-CA"/>
        </w:rPr>
        <w:t> : Le pourvoi est accueilli, l’acquittement est annulé et un nouveau procès est ordonné.</w:t>
      </w:r>
    </w:p>
    <w:p w:rsidR="00C44A6F" w:rsidRDefault="00C44A6F" w:rsidP="00C44A6F">
      <w:pPr>
        <w:pStyle w:val="SCCNormalDoubleSpacing"/>
        <w:spacing w:line="240" w:lineRule="auto"/>
        <w:rPr>
          <w:sz w:val="20"/>
          <w:lang w:val="fr-CA"/>
        </w:rPr>
      </w:pPr>
    </w:p>
    <w:p w:rsidR="00C44A6F" w:rsidRPr="006E0B9E" w:rsidRDefault="00C44A6F" w:rsidP="00C44A6F">
      <w:pPr>
        <w:pStyle w:val="SCCNormalDoubleSpacing"/>
        <w:spacing w:line="240" w:lineRule="auto"/>
        <w:rPr>
          <w:sz w:val="20"/>
          <w:lang w:val="fr-CA"/>
        </w:rPr>
      </w:pPr>
      <w:r w:rsidRPr="006E0B9E">
        <w:rPr>
          <w:sz w:val="20"/>
          <w:lang w:val="fr-CA"/>
        </w:rPr>
        <w:tab/>
        <w:t xml:space="preserve">La qualification d’une infraction en infraction d’intention générale ou d’intention spécifique a d’importantes conséquences pour l’accusé parce que le droit ne permet pas aux contrevenants d’invoquer une intoxication volontaire sans automatisme pour excuser la perpétration d’infractions d’intention générale. Pour établir si une infraction est une infraction d’intention générale ou d’intention spécifique, il faut tout d’abord en déterminer l’élément moral. Cette analyse relève de l’interprétation des lois et ne doit pas se transformer en un examen des faits. Il faut se demander ensuite s’il s’agit d’un crime d’intention générale ou spécifique. Lorsque l’infraction a déjà été qualifiée de façon satisfaisante dans la jurisprudence, la tâche est simple. Sinon, deux facteurs principaux doivent être considérés </w:t>
      </w:r>
      <w:r w:rsidRPr="006E0B9E">
        <w:rPr>
          <w:i/>
          <w:sz w:val="20"/>
          <w:lang w:val="fr-CA"/>
        </w:rPr>
        <w:t>—</w:t>
      </w:r>
      <w:r w:rsidRPr="006E0B9E">
        <w:rPr>
          <w:sz w:val="20"/>
          <w:lang w:val="fr-CA"/>
        </w:rPr>
        <w:t xml:space="preserve"> l’importance de l’élément moral et la politique sociale qui sous</w:t>
      </w:r>
      <w:r w:rsidRPr="006E0B9E">
        <w:rPr>
          <w:sz w:val="20"/>
          <w:lang w:val="fr-CA"/>
        </w:rPr>
        <w:noBreakHyphen/>
        <w:t>tend la création de l’infraction.</w:t>
      </w:r>
    </w:p>
    <w:p w:rsidR="00C44A6F" w:rsidRDefault="00C44A6F" w:rsidP="00C44A6F">
      <w:pPr>
        <w:pStyle w:val="SCCNormalDoubleSpacing"/>
        <w:spacing w:line="240" w:lineRule="auto"/>
        <w:rPr>
          <w:sz w:val="20"/>
          <w:lang w:val="fr-CA"/>
        </w:rPr>
      </w:pPr>
    </w:p>
    <w:p w:rsidR="00C44A6F" w:rsidRPr="006E0B9E" w:rsidRDefault="00C44A6F" w:rsidP="00C44A6F">
      <w:pPr>
        <w:pStyle w:val="SCCNormalDoubleSpacing"/>
        <w:spacing w:line="240" w:lineRule="auto"/>
        <w:rPr>
          <w:sz w:val="20"/>
          <w:lang w:val="fr-CA"/>
        </w:rPr>
      </w:pPr>
      <w:r w:rsidRPr="006E0B9E">
        <w:rPr>
          <w:sz w:val="20"/>
          <w:lang w:val="fr-CA"/>
        </w:rPr>
        <w:tab/>
        <w:t>L’importance de l’élément moral a trait à la complexité des processus de pensée et de raisonnement que requiert chaque infraction. Dans le cas des infractions d’intention générale, l’élément moral se rattache simplement à la perpétration de l’acte illégal. De tels crimes n’exigent pas l’existence d’une intention de faire survenir certaines conséquences étrangères à l’</w:t>
      </w:r>
      <w:r w:rsidRPr="006E0B9E">
        <w:rPr>
          <w:i/>
          <w:iCs/>
          <w:sz w:val="20"/>
          <w:lang w:val="fr-CA"/>
        </w:rPr>
        <w:t>actus reus</w:t>
      </w:r>
      <w:r w:rsidRPr="006E0B9E">
        <w:rPr>
          <w:iCs/>
          <w:sz w:val="20"/>
          <w:lang w:val="fr-CA"/>
        </w:rPr>
        <w:t xml:space="preserve">. Ils </w:t>
      </w:r>
      <w:r w:rsidRPr="006E0B9E">
        <w:rPr>
          <w:sz w:val="20"/>
          <w:lang w:val="fr-CA"/>
        </w:rPr>
        <w:t>n’exigent pas non plus la connaissance effective de certaines circonstances ou conséquences, dans la mesure où cette connaissance est le produit de processus de pensée et de raisonnement complexes. Les crimes d’intention générale comportent un degré d’acuité mentale si peu élevé qu’il est difficile de concevoir que l’intoxication sans automatisme puisse priver l’accusé du faible degré d’intention exigé. Par contre, les infractions d’intention spécifique supposent un élément moral plus élevé. Cet élément peut prendre la forme d’une intention cachée, ou requérir la connaissance effective de certains faits ou de certaines conséquences, où cette connaissance est le fruit de processus de pensée et de raisonnement plus complexes. À titre subsidiaire, il peut supposer l’intention de faire survenir certaines conséquences, si la formation de cette intention implique des processus de pensée et de raisonnement plus complexes. En raison des processus de pensée et de raisonnement plus complexes que nécessitent les crimes d’intention spécifique, on peut plus aisément comprendre comment l’intoxication sans automatisme peut réduire à néant l’élément moral requis.</w:t>
      </w:r>
    </w:p>
    <w:p w:rsidR="00C44A6F" w:rsidRDefault="00C44A6F" w:rsidP="00C44A6F">
      <w:pPr>
        <w:pStyle w:val="SCCNormalDoubleSpacing"/>
        <w:spacing w:line="240" w:lineRule="auto"/>
        <w:rPr>
          <w:sz w:val="20"/>
          <w:lang w:val="fr-CA"/>
        </w:rPr>
      </w:pPr>
    </w:p>
    <w:p w:rsidR="00C44A6F" w:rsidRPr="006E0B9E" w:rsidRDefault="00C44A6F" w:rsidP="00C44A6F">
      <w:pPr>
        <w:pStyle w:val="SCCNormalDoubleSpacing"/>
        <w:spacing w:line="240" w:lineRule="auto"/>
        <w:rPr>
          <w:sz w:val="20"/>
          <w:lang w:val="fr-CA"/>
        </w:rPr>
      </w:pPr>
      <w:r w:rsidRPr="006E0B9E">
        <w:rPr>
          <w:sz w:val="20"/>
          <w:lang w:val="fr-CA"/>
        </w:rPr>
        <w:tab/>
        <w:t>Lorsque cette analyse ne permet pas d’obtenir une réponse claire, il faut passer à l’examen des considérations de politique générale. L’examen de ces considérations portera essentiellement sur la question de savoir si la consommation d’alcool est habituellement associée au crime en question. Dans l’affirmative, il semblerait paradoxal de permettre à l’accusé d’invoquer l’intoxication comme moyen de défense. Mais lorsque l’intoxication volontaire joue rarement, voire jamais, un rôle dans la perpétration d’un crime déterminé, il est encore moins logique, du point de vue de la politique générale, d’empêcher l’accusé d’invoquer ce moyen de défense. Sans poser un principe universel, l’alcool joue habituellement un rôle dans les crimes liés à un comportement violent et désordonné ainsi que dans les crimes comportant des dommages aux biens. Bien qu’il existe des exceptions à ce principe général, du fait de la présence fréquente de l’alcool dans le cas de ces crimes, il est probable que de solides raisons de politique générale militeront contre la possibilité de plaider l’intoxication comme moyen de défense. D’autres considérations de cette nature peuvent aussi entrer en jeu. L’existence d’une infraction d’intention générale moindre et incluse peut être un facteur pertinent. L’existence du pouvoir discrétionnaire des tribunaux en matière de détermination de la peine peut également être un facteur à considérer.</w:t>
      </w:r>
    </w:p>
    <w:p w:rsidR="00C44A6F" w:rsidRDefault="00C44A6F" w:rsidP="00C44A6F">
      <w:pPr>
        <w:pStyle w:val="SCCNormalDoubleSpacing"/>
        <w:spacing w:line="240" w:lineRule="auto"/>
        <w:rPr>
          <w:sz w:val="20"/>
          <w:lang w:val="fr-CA"/>
        </w:rPr>
      </w:pPr>
    </w:p>
    <w:p w:rsidR="00C44A6F" w:rsidRPr="006E0B9E" w:rsidRDefault="00C44A6F" w:rsidP="00C44A6F">
      <w:pPr>
        <w:pStyle w:val="SCCNormalDoubleSpacing"/>
        <w:spacing w:line="240" w:lineRule="auto"/>
        <w:rPr>
          <w:sz w:val="20"/>
          <w:lang w:val="fr-CA"/>
        </w:rPr>
      </w:pPr>
      <w:r w:rsidRPr="006E0B9E">
        <w:rPr>
          <w:sz w:val="20"/>
          <w:lang w:val="fr-CA"/>
        </w:rPr>
        <w:tab/>
        <w:t xml:space="preserve">L’infraction d’incendie criminel prévue à l’art. 434 du </w:t>
      </w:r>
      <w:r w:rsidRPr="006E0B9E">
        <w:rPr>
          <w:i/>
          <w:sz w:val="20"/>
          <w:lang w:val="fr-CA"/>
        </w:rPr>
        <w:t>Code criminel</w:t>
      </w:r>
      <w:r w:rsidRPr="006E0B9E">
        <w:rPr>
          <w:sz w:val="20"/>
          <w:lang w:val="fr-CA"/>
        </w:rPr>
        <w:t xml:space="preserve"> est une infraction d’intention générale pour laquelle l’intoxication sans automatisme ne peut être invoquée comme moyen de défense. Le fait de causer un dommage à un bien par le feu constitue l’</w:t>
      </w:r>
      <w:r w:rsidRPr="006E0B9E">
        <w:rPr>
          <w:i/>
          <w:iCs/>
          <w:sz w:val="20"/>
          <w:lang w:val="fr-CA"/>
        </w:rPr>
        <w:t>actus reus</w:t>
      </w:r>
      <w:r w:rsidRPr="006E0B9E">
        <w:rPr>
          <w:iCs/>
          <w:sz w:val="20"/>
          <w:lang w:val="fr-CA"/>
        </w:rPr>
        <w:t xml:space="preserve"> </w:t>
      </w:r>
      <w:r w:rsidRPr="006E0B9E">
        <w:rPr>
          <w:sz w:val="20"/>
          <w:lang w:val="fr-CA"/>
        </w:rPr>
        <w:t>de l’infraction. L’élément moral est l’accomplissement de l’acte illégal intentionnellement ou sans se soucier des conséquences. Aucun autre élément de connaissance ou mobile n’est nécessaire. Aucun processus de pensée ou de raisonnement complexe n’est requis. Il est difficile de voir comment l’intoxication sans automatisme empêche un accusé de prévoir le risque de causer un dommage à la propriété d’autrui par le feu. Il n’est pas nécessaire de recourir à des considérations de politique générale pour bien qualifier l’infraction. S’il s’était avéré nécessaire de le faire, la conclusion aurait été la même. Le fait de causer des dommages aux biens est souvent associé à la consommation d’alcool, et on éroderait le respect des considérations de politique générale à l’origine de la création de l’infraction consistant à causer des dommages à des biens par le feu si l’on permettait à un accusé d’invoquer en défense son état d’intoxication volontaire.</w:t>
      </w:r>
    </w:p>
    <w:p w:rsidR="00C44A6F" w:rsidRDefault="00C44A6F" w:rsidP="00C44A6F">
      <w:pPr>
        <w:pStyle w:val="SCCNormalDoubleSpacing"/>
        <w:spacing w:line="240" w:lineRule="auto"/>
        <w:rPr>
          <w:sz w:val="20"/>
          <w:lang w:val="fr-CA"/>
        </w:rPr>
      </w:pPr>
    </w:p>
    <w:p w:rsidR="00C44A6F" w:rsidRPr="006E0B9E" w:rsidRDefault="00C44A6F" w:rsidP="00C44A6F">
      <w:pPr>
        <w:pStyle w:val="SCCNormalDoubleSpacing"/>
        <w:spacing w:line="240" w:lineRule="auto"/>
        <w:rPr>
          <w:sz w:val="20"/>
          <w:lang w:val="fr-CA"/>
        </w:rPr>
      </w:pPr>
      <w:r w:rsidRPr="006E0B9E">
        <w:rPr>
          <w:sz w:val="20"/>
          <w:lang w:val="fr-CA"/>
        </w:rPr>
        <w:tab/>
        <w:t xml:space="preserve">L’acte criminel que réprime l’art. 434 du </w:t>
      </w:r>
      <w:r w:rsidRPr="006E0B9E">
        <w:rPr>
          <w:i/>
          <w:sz w:val="20"/>
          <w:lang w:val="fr-CA"/>
        </w:rPr>
        <w:t>Code criminel</w:t>
      </w:r>
      <w:r w:rsidRPr="006E0B9E">
        <w:rPr>
          <w:sz w:val="20"/>
          <w:lang w:val="fr-CA"/>
        </w:rPr>
        <w:t xml:space="preserve"> est le fait de causer des dommages à un bien. Le feu est simplement le moyen qui doit avoir causé le dommage. Lorsqu’il examine la question de l’intention, le juge des faits doit tenir compte de l’ensemble des circonstances de l’infraction. La façon dont l’incendie a pris naissance sera probablement un facteur important. Plus précisément, l’incendie a</w:t>
      </w:r>
      <w:r w:rsidRPr="006E0B9E">
        <w:rPr>
          <w:sz w:val="20"/>
          <w:lang w:val="fr-CA"/>
        </w:rPr>
        <w:noBreakHyphen/>
        <w:t>t</w:t>
      </w:r>
      <w:r w:rsidRPr="006E0B9E">
        <w:rPr>
          <w:sz w:val="20"/>
          <w:lang w:val="fr-CA"/>
        </w:rPr>
        <w:noBreakHyphen/>
        <w:t>il été déclenché de façon accidentelle, par négligence, sans se soucier de ses conséquences, ou intentionnellement? Cependant, la question déterminante n’est pas de savoir comment le feu a pris naissance. Le but ultime consiste plutôt à examiner l’ensemble des circonstances de l’infraction pour décider s’il est possible d’en conclure que l’accusé entendait causer des dommages au bien d’autrui ou s’il ne s’est pas soucié que des dommages s’ensuivent ou non.</w:t>
      </w:r>
    </w:p>
    <w:p w:rsidR="00C44A6F" w:rsidRDefault="00C44A6F" w:rsidP="00C44A6F">
      <w:pPr>
        <w:pStyle w:val="SCCNormalDoubleSpacing"/>
        <w:spacing w:line="240" w:lineRule="auto"/>
        <w:rPr>
          <w:sz w:val="20"/>
          <w:lang w:val="fr-CA"/>
        </w:rPr>
      </w:pPr>
    </w:p>
    <w:p w:rsidR="00C44A6F" w:rsidRDefault="00C44A6F" w:rsidP="00C44A6F">
      <w:pPr>
        <w:pStyle w:val="SCCNormalDoubleSpacing"/>
        <w:spacing w:line="240" w:lineRule="auto"/>
        <w:rPr>
          <w:sz w:val="20"/>
          <w:lang w:val="fr-CA"/>
        </w:rPr>
      </w:pPr>
      <w:r w:rsidRPr="006E0B9E">
        <w:rPr>
          <w:sz w:val="20"/>
          <w:lang w:val="fr-CA"/>
        </w:rPr>
        <w:tab/>
        <w:t>En l’espèce, il est évident que l’état d’intoxication de T a joué un rôle important dans l’acquittement. Dans ses motifs, le juge du procès s’est concentré sur la cause de l’incendie et il a déclaré que, pour résoudre cette question, il devait décider s’il pouvait tenir compte de l’état d’intoxication de T. Sa décision de prononcer l’acquittement a été influencée par sa croyance erronée qu’il pouvait tenir compte de l’état d’intoxication de T. Il y a lieu d’ordonner la tenue d’un nouveau procès étant donné que les conclusions de fait cruciales tirées par le juge du procès étaient viciées par le fait qu’il croyait que l’intoxication volontaire était pertinente à l’égard de la question de l’intention.</w:t>
      </w:r>
    </w:p>
    <w:p w:rsidR="00C44A6F" w:rsidRDefault="00C44A6F" w:rsidP="00C44A6F">
      <w:pPr>
        <w:pStyle w:val="SCCNormalDoubleSpacing"/>
        <w:spacing w:line="240" w:lineRule="auto"/>
        <w:rPr>
          <w:sz w:val="20"/>
          <w:lang w:val="fr-CA"/>
        </w:rPr>
      </w:pPr>
    </w:p>
    <w:p w:rsidR="00C44A6F" w:rsidRPr="006E0B9E" w:rsidRDefault="00C44A6F" w:rsidP="00C44A6F">
      <w:pPr>
        <w:pStyle w:val="SCCNormalDoubleSpacing"/>
        <w:spacing w:line="240" w:lineRule="auto"/>
        <w:rPr>
          <w:sz w:val="20"/>
          <w:lang w:val="fr-CA"/>
        </w:rPr>
      </w:pPr>
      <w:r w:rsidRPr="00C44A6F">
        <w:rPr>
          <w:sz w:val="20"/>
          <w:lang w:val="fr-CA"/>
        </w:rPr>
        <w:tab/>
      </w:r>
      <w:r w:rsidRPr="006E0B9E">
        <w:rPr>
          <w:sz w:val="20"/>
          <w:lang w:val="fr-CA"/>
        </w:rPr>
        <w:t>POURVOI contre un arrêt de la Cour d’appel de l’Ontario (les juges Goudge, Rensburg et Pardu), 2014 ONCA 273, 10 C.R. (7th) 108, 319 O.A.C. 10, [2014] O.J. No. 1683 (QL), 2014 CarswellOnt 4373 (WL Can.), qui a confirmé l’acquittement relatif à une accusation de crime d’incendie prononcé par le juge Tausendfreund. Pourvoi accueilli.</w:t>
      </w:r>
    </w:p>
    <w:p w:rsidR="00C44A6F" w:rsidRDefault="00C44A6F" w:rsidP="00C44A6F">
      <w:pPr>
        <w:pStyle w:val="SCCNormalDoubleSpacing"/>
        <w:spacing w:line="240" w:lineRule="auto"/>
        <w:outlineLvl w:val="0"/>
        <w:rPr>
          <w:rStyle w:val="SCCCounselNameChar"/>
          <w:sz w:val="20"/>
          <w:lang w:val="fr-CA"/>
        </w:rPr>
      </w:pPr>
    </w:p>
    <w:p w:rsidR="00C44A6F" w:rsidRPr="006E0B9E" w:rsidRDefault="00C44A6F" w:rsidP="00C44A6F">
      <w:pPr>
        <w:pStyle w:val="SCCNormalDoubleSpacing"/>
        <w:spacing w:line="240" w:lineRule="auto"/>
        <w:outlineLvl w:val="0"/>
        <w:rPr>
          <w:sz w:val="20"/>
          <w:lang w:val="fr-CA"/>
        </w:rPr>
      </w:pPr>
      <w:r w:rsidRPr="006E0B9E">
        <w:rPr>
          <w:rStyle w:val="SCCCounselNameChar"/>
          <w:sz w:val="20"/>
          <w:lang w:val="fr-CA"/>
        </w:rPr>
        <w:tab/>
        <w:t>Randy Schwartz,</w:t>
      </w:r>
      <w:r w:rsidRPr="006E0B9E">
        <w:rPr>
          <w:rStyle w:val="SCCCounselSeparatorChar"/>
          <w:sz w:val="20"/>
        </w:rPr>
        <w:t xml:space="preserve"> </w:t>
      </w:r>
      <w:r w:rsidRPr="006E0B9E">
        <w:rPr>
          <w:rStyle w:val="SCCCounselPartyRoleChar"/>
          <w:sz w:val="20"/>
          <w:lang w:val="fr-CA"/>
        </w:rPr>
        <w:t>pour l’appelante.</w:t>
      </w:r>
    </w:p>
    <w:p w:rsidR="00C44A6F" w:rsidRDefault="00C44A6F" w:rsidP="00C44A6F">
      <w:pPr>
        <w:pStyle w:val="SCCNormalDoubleSpacing"/>
        <w:spacing w:line="240" w:lineRule="auto"/>
        <w:outlineLvl w:val="0"/>
        <w:rPr>
          <w:rStyle w:val="SCCCounselNameChar"/>
          <w:sz w:val="20"/>
          <w:lang w:val="fr-CA"/>
        </w:rPr>
      </w:pPr>
    </w:p>
    <w:p w:rsidR="00C44A6F" w:rsidRPr="006E0B9E" w:rsidRDefault="00C44A6F" w:rsidP="00C44A6F">
      <w:pPr>
        <w:pStyle w:val="SCCNormalDoubleSpacing"/>
        <w:spacing w:line="240" w:lineRule="auto"/>
        <w:outlineLvl w:val="0"/>
        <w:rPr>
          <w:sz w:val="20"/>
          <w:lang w:val="fr-CA"/>
        </w:rPr>
      </w:pPr>
      <w:r w:rsidRPr="006E0B9E">
        <w:rPr>
          <w:rStyle w:val="SCCCounselNameChar"/>
          <w:sz w:val="20"/>
          <w:lang w:val="fr-CA"/>
        </w:rPr>
        <w:tab/>
        <w:t>J. Douglas Grenkie, c.r.,</w:t>
      </w:r>
      <w:r w:rsidRPr="006E0B9E">
        <w:rPr>
          <w:rStyle w:val="SCCCounselSeparatorChar"/>
          <w:sz w:val="20"/>
        </w:rPr>
        <w:t xml:space="preserve"> et </w:t>
      </w:r>
      <w:r w:rsidRPr="006E0B9E">
        <w:rPr>
          <w:rStyle w:val="SCCCounselNameChar"/>
          <w:sz w:val="20"/>
          <w:lang w:val="fr-CA"/>
        </w:rPr>
        <w:t>William James Webber</w:t>
      </w:r>
      <w:r w:rsidRPr="006E0B9E">
        <w:rPr>
          <w:rStyle w:val="SCCCounselPartyRoleChar"/>
          <w:sz w:val="20"/>
          <w:lang w:val="fr-CA"/>
        </w:rPr>
        <w:t>, pour l’intimé.</w:t>
      </w:r>
    </w:p>
    <w:p w:rsidR="00C44A6F" w:rsidRDefault="00C44A6F" w:rsidP="00C44A6F">
      <w:pPr>
        <w:pStyle w:val="SCCNormalDoubleSpacing"/>
        <w:spacing w:line="240" w:lineRule="auto"/>
        <w:rPr>
          <w:rStyle w:val="SCCCounselNameChar"/>
          <w:sz w:val="20"/>
          <w:lang w:val="fr-CA"/>
        </w:rPr>
      </w:pPr>
    </w:p>
    <w:p w:rsidR="00C44A6F" w:rsidRPr="006E0B9E" w:rsidRDefault="00C44A6F" w:rsidP="00C44A6F">
      <w:pPr>
        <w:pStyle w:val="SCCNormalDoubleSpacing"/>
        <w:spacing w:line="240" w:lineRule="auto"/>
        <w:rPr>
          <w:sz w:val="20"/>
          <w:lang w:val="fr-CA"/>
        </w:rPr>
      </w:pPr>
      <w:r w:rsidRPr="006E0B9E">
        <w:rPr>
          <w:rStyle w:val="SCCCounselNameChar"/>
          <w:sz w:val="20"/>
          <w:lang w:val="fr-CA"/>
        </w:rPr>
        <w:tab/>
        <w:t>Anil K. Kapoor</w:t>
      </w:r>
      <w:r w:rsidRPr="006E0B9E">
        <w:rPr>
          <w:rStyle w:val="SCCCounselPartyRoleChar"/>
          <w:sz w:val="20"/>
          <w:lang w:val="fr-CA"/>
        </w:rPr>
        <w:t xml:space="preserve"> et </w:t>
      </w:r>
      <w:r w:rsidRPr="006E0B9E">
        <w:rPr>
          <w:rStyle w:val="SCCCounselPartyRoleChar"/>
          <w:i/>
          <w:sz w:val="20"/>
          <w:lang w:val="fr-CA"/>
        </w:rPr>
        <w:t>Lindsay E. Trevelyan</w:t>
      </w:r>
      <w:r w:rsidRPr="006E0B9E">
        <w:rPr>
          <w:rStyle w:val="SCCCounselPartyRoleChar"/>
          <w:sz w:val="20"/>
          <w:lang w:val="fr-CA"/>
        </w:rPr>
        <w:t>, pour l’intervenante Criminal Lawyers’ Association (Ontario).</w:t>
      </w:r>
    </w:p>
    <w:p w:rsidR="00C44A6F" w:rsidRDefault="00C44A6F" w:rsidP="00C44A6F">
      <w:pPr>
        <w:pStyle w:val="SCCLawFirm"/>
        <w:spacing w:line="240" w:lineRule="auto"/>
        <w:outlineLvl w:val="0"/>
        <w:rPr>
          <w:sz w:val="20"/>
          <w:lang w:val="fr-CA"/>
        </w:rPr>
      </w:pPr>
    </w:p>
    <w:p w:rsidR="00C44A6F" w:rsidRPr="006E0B9E" w:rsidRDefault="00C44A6F" w:rsidP="00C44A6F">
      <w:pPr>
        <w:pStyle w:val="SCCLawFirm"/>
        <w:spacing w:line="240" w:lineRule="auto"/>
        <w:outlineLvl w:val="0"/>
        <w:rPr>
          <w:sz w:val="20"/>
          <w:lang w:val="fr-CA"/>
        </w:rPr>
      </w:pPr>
      <w:r w:rsidRPr="006E0B9E">
        <w:rPr>
          <w:sz w:val="20"/>
          <w:lang w:val="fr-CA"/>
        </w:rPr>
        <w:tab/>
        <w:t>Procureur de l’appelante : Procureur général de l’Ontario, Toronto.</w:t>
      </w:r>
    </w:p>
    <w:p w:rsidR="00C44A6F" w:rsidRDefault="00C44A6F" w:rsidP="00C44A6F">
      <w:pPr>
        <w:pStyle w:val="SCCLawFirm"/>
        <w:spacing w:line="240" w:lineRule="auto"/>
        <w:outlineLvl w:val="0"/>
        <w:rPr>
          <w:sz w:val="20"/>
          <w:lang w:val="fr-CA"/>
        </w:rPr>
      </w:pPr>
    </w:p>
    <w:p w:rsidR="00C44A6F" w:rsidRPr="006E0B9E" w:rsidRDefault="00C44A6F" w:rsidP="00C44A6F">
      <w:pPr>
        <w:pStyle w:val="SCCLawFirm"/>
        <w:spacing w:line="240" w:lineRule="auto"/>
        <w:outlineLvl w:val="0"/>
        <w:rPr>
          <w:sz w:val="20"/>
          <w:lang w:val="fr-CA"/>
        </w:rPr>
      </w:pPr>
      <w:r w:rsidRPr="006E0B9E">
        <w:rPr>
          <w:sz w:val="20"/>
          <w:lang w:val="fr-CA"/>
        </w:rPr>
        <w:tab/>
        <w:t>Procureurs de l’intimé : Gorrell, Greinkie &amp; Rémillard, Morrisburg.</w:t>
      </w:r>
    </w:p>
    <w:p w:rsidR="00C44A6F" w:rsidRDefault="00C44A6F" w:rsidP="00C44A6F">
      <w:pPr>
        <w:pStyle w:val="SCCLawFirm"/>
        <w:spacing w:line="240" w:lineRule="auto"/>
        <w:rPr>
          <w:sz w:val="20"/>
          <w:lang w:val="fr-CA"/>
        </w:rPr>
      </w:pPr>
    </w:p>
    <w:p w:rsidR="00C44A6F" w:rsidRDefault="00C44A6F" w:rsidP="00C44A6F">
      <w:pPr>
        <w:pStyle w:val="SCCLawFirm"/>
        <w:spacing w:line="240" w:lineRule="auto"/>
        <w:rPr>
          <w:sz w:val="20"/>
          <w:lang w:val="fr-CA"/>
        </w:rPr>
      </w:pPr>
      <w:r w:rsidRPr="006E0B9E">
        <w:rPr>
          <w:sz w:val="20"/>
          <w:lang w:val="fr-CA"/>
        </w:rPr>
        <w:tab/>
        <w:t>Procureurs de l’intervenante Criminal Lawyers’ Association (Ontario) : Kapoor Barristers, Toronto.</w:t>
      </w:r>
    </w:p>
    <w:p w:rsidR="003B3977" w:rsidRPr="0052229C" w:rsidRDefault="003B3977" w:rsidP="005C6840">
      <w:pPr>
        <w:rPr>
          <w:rFonts w:cs="Times New Roman"/>
          <w:sz w:val="20"/>
          <w:szCs w:val="20"/>
        </w:rPr>
      </w:pPr>
    </w:p>
    <w:p w:rsidR="005C6840" w:rsidRPr="00C44A6F" w:rsidRDefault="00D82946" w:rsidP="005C6840">
      <w:pPr>
        <w:rPr>
          <w:sz w:val="20"/>
          <w:szCs w:val="20"/>
          <w:lang w:val="fr-CA"/>
        </w:rPr>
      </w:pPr>
      <w:r>
        <w:rPr>
          <w:rFonts w:cs="Times New Roman"/>
          <w:sz w:val="20"/>
          <w:szCs w:val="20"/>
          <w:lang w:val="fr-CA"/>
        </w:rPr>
        <w:pict>
          <v:rect id="_x0000_i1060" style="width:144.3pt;height:1pt" o:hrpct="300" o:hralign="center" o:hrstd="t" o:hrnoshade="t" o:hr="t" fillcolor="black [3213]" stroked="f"/>
        </w:pict>
      </w:r>
    </w:p>
    <w:p w:rsidR="00C44A6F" w:rsidRPr="00C44A6F" w:rsidRDefault="00C44A6F" w:rsidP="005C6840">
      <w:pPr>
        <w:rPr>
          <w:sz w:val="20"/>
          <w:szCs w:val="20"/>
          <w:lang w:val="fr-CA"/>
        </w:rPr>
      </w:pPr>
    </w:p>
    <w:p w:rsidR="00C44A6F" w:rsidRPr="00C44A6F" w:rsidRDefault="00C44A6F" w:rsidP="005C6840">
      <w:pPr>
        <w:rPr>
          <w:sz w:val="20"/>
          <w:szCs w:val="20"/>
          <w:lang w:val="fr-CA"/>
        </w:rPr>
      </w:pPr>
    </w:p>
    <w:p w:rsidR="00902E51" w:rsidRDefault="00902E51" w:rsidP="00902E51">
      <w:pPr>
        <w:rPr>
          <w:rFonts w:cs="Times New Roman"/>
          <w:sz w:val="20"/>
          <w:szCs w:val="20"/>
          <w:lang w:val="fr-CA"/>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61"/>
          <w:headerReference w:type="default" r:id="rId62"/>
          <w:footerReference w:type="even" r:id="rId63"/>
          <w:footerReference w:type="default" r:id="rId64"/>
          <w:headerReference w:type="first" r:id="rId65"/>
          <w:footerReference w:type="first" r:id="rId66"/>
          <w:pgSz w:w="12240" w:h="15840"/>
          <w:pgMar w:top="720" w:right="965" w:bottom="1080" w:left="1656" w:header="576" w:footer="960" w:gutter="0"/>
          <w:cols w:space="720"/>
          <w:titlePg/>
          <w:docGrid w:linePitch="272"/>
        </w:sectPr>
      </w:pPr>
    </w:p>
    <w:p w:rsidR="008112A9" w:rsidRPr="00C44A6F" w:rsidRDefault="00DA5C5B" w:rsidP="008112A9">
      <w:pPr>
        <w:widowControl w:val="0"/>
        <w:spacing w:line="180" w:lineRule="auto"/>
        <w:jc w:val="center"/>
        <w:rPr>
          <w:rFonts w:asciiTheme="minorHAnsi" w:hAnsiTheme="minorHAnsi" w:cstheme="minorHAnsi"/>
          <w:b/>
          <w:szCs w:val="24"/>
          <w:lang w:val="fr-CA"/>
        </w:rPr>
      </w:pPr>
      <w:r w:rsidRPr="002E0C7E">
        <w:rPr>
          <w:rFonts w:asciiTheme="minorHAnsi" w:hAnsiTheme="minorHAnsi" w:cstheme="minorHAnsi"/>
          <w:b/>
          <w:szCs w:val="24"/>
        </w:rPr>
        <w:fldChar w:fldCharType="begin"/>
      </w:r>
      <w:r w:rsidR="008112A9" w:rsidRPr="00C44A6F">
        <w:rPr>
          <w:rFonts w:asciiTheme="minorHAnsi" w:hAnsiTheme="minorHAnsi" w:cstheme="minorHAnsi"/>
          <w:b/>
          <w:szCs w:val="24"/>
          <w:lang w:val="fr-CA"/>
        </w:rPr>
        <w:instrText xml:space="preserve"> SEQ CHAPTER \h \r 1</w:instrText>
      </w:r>
      <w:r w:rsidRPr="002E0C7E">
        <w:rPr>
          <w:rFonts w:asciiTheme="minorHAnsi" w:hAnsiTheme="minorHAnsi" w:cstheme="minorHAnsi"/>
          <w:b/>
          <w:szCs w:val="24"/>
        </w:rPr>
        <w:fldChar w:fldCharType="end"/>
      </w:r>
      <w:r w:rsidR="008112A9" w:rsidRPr="00C44A6F">
        <w:rPr>
          <w:rFonts w:asciiTheme="minorHAnsi" w:hAnsiTheme="minorHAnsi" w:cstheme="minorHAnsi"/>
          <w:b/>
          <w:szCs w:val="24"/>
          <w:lang w:val="fr-CA"/>
        </w:rPr>
        <w:t>SUPREME COURT OF CANADA SCHEDULE / CALENDRIER DE LA COUR SUPREME</w:t>
      </w:r>
    </w:p>
    <w:p w:rsidR="008112A9" w:rsidRPr="00C44A6F" w:rsidRDefault="008112A9" w:rsidP="008112A9">
      <w:pPr>
        <w:widowControl w:val="0"/>
        <w:spacing w:line="180" w:lineRule="auto"/>
        <w:rPr>
          <w:rFonts w:asciiTheme="minorHAnsi" w:hAnsiTheme="minorHAnsi" w:cstheme="minorHAnsi"/>
          <w:szCs w:val="24"/>
          <w:lang w:val="fr-CA"/>
        </w:rPr>
      </w:pPr>
    </w:p>
    <w:p w:rsidR="008112A9" w:rsidRPr="00C44A6F" w:rsidRDefault="008112A9" w:rsidP="008112A9">
      <w:pPr>
        <w:widowControl w:val="0"/>
        <w:tabs>
          <w:tab w:val="center" w:pos="5400"/>
          <w:tab w:val="right" w:pos="10440"/>
        </w:tabs>
        <w:rPr>
          <w:rFonts w:ascii="Arial" w:hAnsi="Arial"/>
          <w:sz w:val="18"/>
          <w:lang w:val="fr-CA"/>
        </w:rPr>
      </w:pPr>
      <w:r w:rsidRPr="00C44A6F">
        <w:rPr>
          <w:rFonts w:ascii="Arial" w:hAnsi="Arial"/>
          <w:sz w:val="18"/>
          <w:lang w:val="fr-CA"/>
        </w:rPr>
        <w:tab/>
      </w:r>
      <w:r w:rsidRPr="00C44A6F">
        <w:rPr>
          <w:rFonts w:ascii="Arial" w:hAnsi="Arial"/>
          <w:i/>
          <w:sz w:val="36"/>
          <w:lang w:val="fr-CA"/>
        </w:rPr>
        <w:t xml:space="preserve">- </w:t>
      </w:r>
      <w:r w:rsidRPr="00C44A6F">
        <w:rPr>
          <w:rFonts w:ascii="Arial" w:hAnsi="Arial"/>
          <w:b/>
          <w:i/>
          <w:sz w:val="36"/>
          <w:lang w:val="fr-CA"/>
        </w:rPr>
        <w:t>2014</w:t>
      </w:r>
      <w:r w:rsidRPr="00C44A6F">
        <w:rPr>
          <w:rFonts w:ascii="Arial" w:hAnsi="Arial"/>
          <w:i/>
          <w:sz w:val="36"/>
          <w:lang w:val="fr-CA"/>
        </w:rPr>
        <w:t xml:space="preserve"> -</w:t>
      </w:r>
      <w:r w:rsidRPr="00C44A6F">
        <w:rPr>
          <w:rFonts w:ascii="Arial" w:hAnsi="Arial"/>
          <w:sz w:val="18"/>
          <w:lang w:val="fr-CA"/>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12A9" w:rsidRPr="002E0C7E" w:rsidTr="00D006C7">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D006C7">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D006C7">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D006C7">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D006C7">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D006C7">
            <w:pPr>
              <w:widowControl w:val="0"/>
              <w:jc w:val="center"/>
              <w:rPr>
                <w:rFonts w:ascii="Arial" w:hAnsi="Arial"/>
                <w:sz w:val="14"/>
              </w:rPr>
            </w:pPr>
            <w:r w:rsidRPr="002E0C7E">
              <w:rPr>
                <w:rFonts w:ascii="Arial" w:hAnsi="Arial"/>
                <w:b/>
                <w:sz w:val="14"/>
              </w:rPr>
              <w:t>DECEMBER - DÉCEMBRE</w:t>
            </w:r>
          </w:p>
        </w:tc>
      </w:tr>
      <w:tr w:rsidR="008112A9" w:rsidRPr="002E0C7E" w:rsidTr="00D006C7">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S</w:t>
            </w:r>
          </w:p>
          <w:p w:rsidR="008112A9" w:rsidRPr="002E0C7E" w:rsidRDefault="008112A9" w:rsidP="00D006C7">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M</w:t>
            </w:r>
          </w:p>
          <w:p w:rsidR="008112A9" w:rsidRPr="002E0C7E" w:rsidRDefault="008112A9" w:rsidP="00D006C7">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T</w:t>
            </w:r>
          </w:p>
          <w:p w:rsidR="008112A9" w:rsidRPr="002E0C7E" w:rsidRDefault="008112A9" w:rsidP="00D006C7">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W</w:t>
            </w:r>
          </w:p>
          <w:p w:rsidR="008112A9" w:rsidRPr="002E0C7E" w:rsidRDefault="008112A9" w:rsidP="00D006C7">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T</w:t>
            </w:r>
          </w:p>
          <w:p w:rsidR="008112A9" w:rsidRPr="002E0C7E" w:rsidRDefault="008112A9" w:rsidP="00D006C7">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F</w:t>
            </w:r>
          </w:p>
          <w:p w:rsidR="008112A9" w:rsidRPr="002E0C7E" w:rsidRDefault="008112A9" w:rsidP="00D006C7">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S</w:t>
            </w:r>
          </w:p>
          <w:p w:rsidR="008112A9" w:rsidRPr="002E0C7E" w:rsidRDefault="008112A9" w:rsidP="00D006C7">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S</w:t>
            </w:r>
          </w:p>
          <w:p w:rsidR="008112A9" w:rsidRPr="002E0C7E" w:rsidRDefault="008112A9" w:rsidP="00D006C7">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M</w:t>
            </w:r>
          </w:p>
          <w:p w:rsidR="008112A9" w:rsidRPr="002E0C7E" w:rsidRDefault="008112A9" w:rsidP="00D006C7">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T</w:t>
            </w:r>
          </w:p>
          <w:p w:rsidR="008112A9" w:rsidRPr="002E0C7E" w:rsidRDefault="008112A9" w:rsidP="00D006C7">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W</w:t>
            </w:r>
          </w:p>
          <w:p w:rsidR="008112A9" w:rsidRPr="002E0C7E" w:rsidRDefault="008112A9" w:rsidP="00D006C7">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T</w:t>
            </w:r>
          </w:p>
          <w:p w:rsidR="008112A9" w:rsidRPr="002E0C7E" w:rsidRDefault="008112A9" w:rsidP="00D006C7">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F</w:t>
            </w:r>
          </w:p>
          <w:p w:rsidR="008112A9" w:rsidRPr="002E0C7E" w:rsidRDefault="008112A9" w:rsidP="00D006C7">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S</w:t>
            </w:r>
          </w:p>
          <w:p w:rsidR="008112A9" w:rsidRPr="002E0C7E" w:rsidRDefault="008112A9" w:rsidP="00D006C7">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S</w:t>
            </w:r>
          </w:p>
          <w:p w:rsidR="008112A9" w:rsidRPr="002E0C7E" w:rsidRDefault="008112A9" w:rsidP="00D006C7">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M</w:t>
            </w:r>
          </w:p>
          <w:p w:rsidR="008112A9" w:rsidRPr="002E0C7E" w:rsidRDefault="008112A9" w:rsidP="00D006C7">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T</w:t>
            </w:r>
          </w:p>
          <w:p w:rsidR="008112A9" w:rsidRPr="002E0C7E" w:rsidRDefault="008112A9" w:rsidP="00D006C7">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W</w:t>
            </w:r>
          </w:p>
          <w:p w:rsidR="008112A9" w:rsidRPr="002E0C7E" w:rsidRDefault="008112A9" w:rsidP="00D006C7">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T</w:t>
            </w:r>
          </w:p>
          <w:p w:rsidR="008112A9" w:rsidRPr="002E0C7E" w:rsidRDefault="008112A9" w:rsidP="00D006C7">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F</w:t>
            </w:r>
          </w:p>
          <w:p w:rsidR="008112A9" w:rsidRPr="002E0C7E" w:rsidRDefault="008112A9" w:rsidP="00D006C7">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S</w:t>
            </w:r>
          </w:p>
          <w:p w:rsidR="008112A9" w:rsidRPr="002E0C7E" w:rsidRDefault="008112A9" w:rsidP="00D006C7">
            <w:pPr>
              <w:widowControl w:val="0"/>
              <w:jc w:val="center"/>
              <w:rPr>
                <w:rFonts w:ascii="Arial" w:hAnsi="Arial"/>
                <w:sz w:val="14"/>
              </w:rPr>
            </w:pPr>
            <w:r w:rsidRPr="002E0C7E">
              <w:rPr>
                <w:rFonts w:ascii="Arial" w:hAnsi="Arial"/>
                <w:sz w:val="14"/>
              </w:rPr>
              <w:t>S</w:t>
            </w:r>
          </w:p>
        </w:tc>
      </w:tr>
      <w:tr w:rsidR="008112A9" w:rsidRPr="002E0C7E" w:rsidTr="00D006C7">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35CC4" w:rsidRDefault="008112A9" w:rsidP="00D006C7">
            <w:pPr>
              <w:widowControl w:val="0"/>
              <w:jc w:val="center"/>
              <w:rPr>
                <w:rFonts w:ascii="Arial" w:hAnsi="Arial"/>
                <w:b/>
                <w:sz w:val="14"/>
              </w:rPr>
            </w:pPr>
            <w:r>
              <w:rPr>
                <w:rFonts w:ascii="Arial" w:hAnsi="Arial"/>
                <w:b/>
                <w:sz w:val="14"/>
              </w:rPr>
              <w:t>M</w:t>
            </w:r>
          </w:p>
          <w:p w:rsidR="008112A9" w:rsidRPr="002E0C7E" w:rsidRDefault="008112A9" w:rsidP="00D006C7">
            <w:pPr>
              <w:widowControl w:val="0"/>
              <w:jc w:val="center"/>
              <w:rPr>
                <w:rFonts w:ascii="Arial" w:hAnsi="Arial"/>
                <w:sz w:val="14"/>
              </w:rPr>
            </w:pPr>
            <w:r>
              <w:rPr>
                <w:rFonts w:ascii="Arial" w:hAnsi="Arial"/>
                <w:sz w:val="14"/>
              </w:rPr>
              <w:t>1</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6</w:t>
            </w:r>
          </w:p>
        </w:tc>
      </w:tr>
      <w:tr w:rsidR="008112A9" w:rsidRPr="002E0C7E" w:rsidTr="00D006C7">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C583B" w:rsidRDefault="008112A9" w:rsidP="00D006C7">
            <w:pPr>
              <w:widowControl w:val="0"/>
              <w:jc w:val="center"/>
              <w:rPr>
                <w:rFonts w:ascii="Arial" w:hAnsi="Arial"/>
                <w:b/>
                <w:sz w:val="14"/>
              </w:rPr>
            </w:pPr>
            <w:r>
              <w:rPr>
                <w:rFonts w:ascii="Arial" w:hAnsi="Arial"/>
                <w:b/>
                <w:sz w:val="14"/>
              </w:rPr>
              <w:t>M</w:t>
            </w:r>
          </w:p>
          <w:p w:rsidR="008112A9" w:rsidRPr="002E0C7E" w:rsidRDefault="008112A9" w:rsidP="00D006C7">
            <w:pPr>
              <w:widowControl w:val="0"/>
              <w:jc w:val="center"/>
              <w:rPr>
                <w:rFonts w:ascii="Arial" w:hAnsi="Arial"/>
                <w:sz w:val="14"/>
              </w:rPr>
            </w:pPr>
            <w:r>
              <w:rPr>
                <w:rFonts w:ascii="Arial" w:hAnsi="Arial"/>
                <w:sz w:val="14"/>
              </w:rPr>
              <w:t>6</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0C583B" w:rsidRDefault="008112A9" w:rsidP="00D006C7">
            <w:pPr>
              <w:widowControl w:val="0"/>
              <w:jc w:val="center"/>
              <w:rPr>
                <w:rFonts w:ascii="Arial" w:hAnsi="Arial"/>
                <w:b/>
                <w:sz w:val="14"/>
              </w:rPr>
            </w:pPr>
          </w:p>
          <w:p w:rsidR="008112A9" w:rsidRPr="002E0C7E" w:rsidRDefault="008112A9" w:rsidP="00D006C7">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11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2</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b/>
                <w:sz w:val="14"/>
              </w:rPr>
              <w:t>M</w:t>
            </w:r>
          </w:p>
          <w:p w:rsidR="008112A9" w:rsidRPr="002E0C7E" w:rsidRDefault="008112A9" w:rsidP="00D006C7">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double" w:sz="6"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13</w:t>
            </w:r>
          </w:p>
        </w:tc>
      </w:tr>
      <w:tr w:rsidR="008112A9" w:rsidRPr="002E0C7E" w:rsidTr="00D006C7">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0C583B" w:rsidRDefault="008112A9" w:rsidP="00D006C7">
            <w:pPr>
              <w:widowControl w:val="0"/>
              <w:jc w:val="center"/>
              <w:rPr>
                <w:rFonts w:ascii="Arial" w:hAnsi="Arial"/>
                <w:b/>
                <w:sz w:val="14"/>
              </w:rPr>
            </w:pPr>
            <w:r>
              <w:rPr>
                <w:rFonts w:ascii="Arial" w:hAnsi="Arial"/>
                <w:b/>
                <w:sz w:val="14"/>
              </w:rPr>
              <w:t>H</w:t>
            </w:r>
          </w:p>
          <w:p w:rsidR="008112A9" w:rsidRPr="002E0C7E" w:rsidRDefault="008112A9" w:rsidP="00D006C7">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C583B"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18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9</w:t>
            </w:r>
          </w:p>
        </w:tc>
        <w:tc>
          <w:tcPr>
            <w:tcW w:w="470" w:type="dxa"/>
            <w:tcBorders>
              <w:top w:val="double" w:sz="6" w:space="0" w:color="000000"/>
              <w:left w:val="single" w:sz="8" w:space="0" w:color="000000"/>
              <w:bottom w:val="single" w:sz="4" w:space="0" w:color="auto"/>
              <w:right w:val="double" w:sz="6" w:space="0" w:color="000000"/>
            </w:tcBorders>
            <w:shd w:val="pct30" w:color="auto" w:fill="auto"/>
            <w:tcMar>
              <w:top w:w="72" w:type="dxa"/>
              <w:left w:w="0" w:type="dxa"/>
              <w:bottom w:w="43" w:type="dxa"/>
              <w:right w:w="0" w:type="dxa"/>
            </w:tcMar>
          </w:tcPr>
          <w:p w:rsidR="008112A9" w:rsidRPr="004030BA"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4F066E" w:rsidRDefault="008112A9" w:rsidP="00D006C7">
            <w:pPr>
              <w:widowControl w:val="0"/>
              <w:jc w:val="center"/>
              <w:rPr>
                <w:rFonts w:ascii="Arial" w:hAnsi="Arial"/>
                <w:b/>
                <w:sz w:val="14"/>
              </w:rPr>
            </w:pPr>
            <w:r w:rsidRPr="004F066E">
              <w:rPr>
                <w:rFonts w:ascii="Arial" w:hAnsi="Arial"/>
                <w:b/>
                <w:sz w:val="14"/>
              </w:rPr>
              <w:t>H</w:t>
            </w:r>
          </w:p>
          <w:p w:rsidR="008112A9" w:rsidRPr="002E0C7E" w:rsidRDefault="008112A9" w:rsidP="00D006C7">
            <w:pPr>
              <w:widowControl w:val="0"/>
              <w:jc w:val="center"/>
              <w:rPr>
                <w:rFonts w:ascii="Arial" w:hAnsi="Arial"/>
                <w:sz w:val="14"/>
              </w:rPr>
            </w:pPr>
            <w:r>
              <w:rPr>
                <w:rFonts w:ascii="Arial" w:hAnsi="Arial"/>
                <w:sz w:val="14"/>
              </w:rPr>
              <w:t>11</w:t>
            </w:r>
          </w:p>
        </w:tc>
        <w:tc>
          <w:tcPr>
            <w:tcW w:w="470"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4" w:space="0" w:color="auto"/>
              <w:right w:val="single" w:sz="8" w:space="0" w:color="000000"/>
            </w:tcBorders>
            <w:shd w:val="clear"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20</w:t>
            </w:r>
          </w:p>
        </w:tc>
      </w:tr>
      <w:tr w:rsidR="008112A9" w:rsidRPr="002E0C7E" w:rsidTr="00D006C7">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16</w:t>
            </w:r>
          </w:p>
        </w:tc>
        <w:tc>
          <w:tcPr>
            <w:tcW w:w="470" w:type="dxa"/>
            <w:tcBorders>
              <w:top w:val="single" w:sz="4" w:space="0" w:color="auto"/>
              <w:left w:val="single" w:sz="8" w:space="0" w:color="000000"/>
              <w:bottom w:val="nil"/>
              <w:right w:val="nil"/>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nil"/>
              <w:right w:val="nil"/>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2</w:t>
            </w:r>
            <w:r>
              <w:rPr>
                <w:rFonts w:ascii="Arial" w:hAnsi="Arial"/>
                <w:sz w:val="14"/>
              </w:rPr>
              <w:t>0</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23</w:t>
            </w: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D006C7">
            <w:pPr>
              <w:widowControl w:val="0"/>
              <w:jc w:val="center"/>
              <w:rPr>
                <w:rFonts w:ascii="Arial" w:hAnsi="Arial"/>
                <w:b/>
                <w:sz w:val="14"/>
              </w:rPr>
            </w:pPr>
          </w:p>
          <w:p w:rsidR="008112A9" w:rsidRPr="002E0C7E" w:rsidRDefault="008112A9" w:rsidP="00D006C7">
            <w:pPr>
              <w:widowControl w:val="0"/>
              <w:jc w:val="center"/>
              <w:rPr>
                <w:rFonts w:ascii="Arial" w:hAnsi="Arial"/>
                <w:sz w:val="14"/>
              </w:rPr>
            </w:pPr>
            <w:r>
              <w:rPr>
                <w:rFonts w:ascii="Arial" w:hAnsi="Arial"/>
                <w:sz w:val="14"/>
              </w:rPr>
              <w:t>24</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D006C7">
            <w:pPr>
              <w:widowControl w:val="0"/>
              <w:jc w:val="center"/>
              <w:rPr>
                <w:rFonts w:ascii="Arial" w:hAnsi="Arial"/>
                <w:b/>
                <w:sz w:val="14"/>
              </w:rPr>
            </w:pPr>
            <w:r>
              <w:rPr>
                <w:rFonts w:ascii="Arial" w:hAnsi="Arial"/>
                <w:b/>
                <w:sz w:val="14"/>
              </w:rPr>
              <w:t>H</w:t>
            </w:r>
          </w:p>
          <w:p w:rsidR="008112A9" w:rsidRPr="002E0C7E" w:rsidRDefault="008112A9" w:rsidP="00D006C7">
            <w:pPr>
              <w:widowControl w:val="0"/>
              <w:jc w:val="center"/>
              <w:rPr>
                <w:rFonts w:ascii="Arial" w:hAnsi="Arial"/>
                <w:sz w:val="14"/>
              </w:rPr>
            </w:pPr>
            <w:r>
              <w:rPr>
                <w:rFonts w:ascii="Arial" w:hAnsi="Arial"/>
                <w:sz w:val="14"/>
              </w:rPr>
              <w:t>25</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D006C7">
            <w:pPr>
              <w:widowControl w:val="0"/>
              <w:jc w:val="center"/>
              <w:rPr>
                <w:rFonts w:ascii="Arial" w:hAnsi="Arial"/>
                <w:b/>
                <w:sz w:val="14"/>
              </w:rPr>
            </w:pPr>
            <w:r>
              <w:rPr>
                <w:rFonts w:ascii="Arial" w:hAnsi="Arial"/>
                <w:b/>
                <w:sz w:val="14"/>
              </w:rPr>
              <w:t>H</w:t>
            </w:r>
          </w:p>
          <w:p w:rsidR="008112A9" w:rsidRPr="002E0C7E" w:rsidRDefault="008112A9" w:rsidP="00D006C7">
            <w:pPr>
              <w:widowControl w:val="0"/>
              <w:jc w:val="center"/>
              <w:rPr>
                <w:rFonts w:ascii="Arial" w:hAnsi="Arial"/>
                <w:sz w:val="14"/>
              </w:rPr>
            </w:pPr>
            <w:r>
              <w:rPr>
                <w:rFonts w:ascii="Arial" w:hAnsi="Arial"/>
                <w:sz w:val="14"/>
              </w:rPr>
              <w:t>26</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D006C7">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31</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D006C7">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3</w:t>
            </w:r>
          </w:p>
          <w:p w:rsidR="008112A9" w:rsidRPr="002E0C7E" w:rsidRDefault="008112A9" w:rsidP="00D006C7">
            <w:pPr>
              <w:widowControl w:val="0"/>
              <w:rPr>
                <w:rFonts w:ascii="Arial" w:hAnsi="Arial"/>
                <w:sz w:val="14"/>
              </w:rPr>
            </w:pPr>
            <w:r>
              <w:rPr>
                <w:rFonts w:ascii="Arial" w:hAnsi="Arial"/>
                <w:sz w:val="14"/>
              </w:rPr>
              <w:t xml:space="preserve">      30</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29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30</w:t>
            </w:r>
          </w:p>
        </w:tc>
        <w:tc>
          <w:tcPr>
            <w:tcW w:w="469" w:type="dxa"/>
            <w:tcBorders>
              <w:top w:val="single" w:sz="4" w:space="0" w:color="auto"/>
              <w:left w:val="single" w:sz="8" w:space="0" w:color="000000"/>
              <w:bottom w:val="double" w:sz="6" w:space="0" w:color="000000"/>
              <w:right w:val="single" w:sz="4" w:space="0" w:color="auto"/>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31</w:t>
            </w: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p>
        </w:tc>
      </w:tr>
    </w:tbl>
    <w:p w:rsidR="008112A9" w:rsidRPr="002E0C7E" w:rsidRDefault="008112A9" w:rsidP="008112A9">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12A9" w:rsidRPr="002E0C7E" w:rsidTr="00D006C7">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D006C7">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D006C7">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D006C7">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D006C7">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D006C7">
            <w:pPr>
              <w:widowControl w:val="0"/>
              <w:jc w:val="center"/>
              <w:rPr>
                <w:rFonts w:ascii="Arial" w:hAnsi="Arial"/>
                <w:sz w:val="14"/>
              </w:rPr>
            </w:pPr>
            <w:r w:rsidRPr="002E0C7E">
              <w:rPr>
                <w:rFonts w:ascii="Arial" w:hAnsi="Arial"/>
                <w:b/>
                <w:sz w:val="14"/>
              </w:rPr>
              <w:t>MARCH - MARS</w:t>
            </w:r>
          </w:p>
        </w:tc>
      </w:tr>
      <w:tr w:rsidR="008112A9" w:rsidRPr="002E0C7E" w:rsidTr="00D006C7">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S</w:t>
            </w:r>
          </w:p>
          <w:p w:rsidR="008112A9" w:rsidRPr="002E0C7E" w:rsidRDefault="008112A9" w:rsidP="00D006C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M</w:t>
            </w:r>
          </w:p>
          <w:p w:rsidR="008112A9" w:rsidRPr="002E0C7E" w:rsidRDefault="008112A9" w:rsidP="00D006C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T</w:t>
            </w:r>
          </w:p>
          <w:p w:rsidR="008112A9" w:rsidRPr="002E0C7E" w:rsidRDefault="008112A9" w:rsidP="00D006C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4" w:space="0" w:color="auto"/>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W</w:t>
            </w:r>
          </w:p>
          <w:p w:rsidR="008112A9" w:rsidRPr="002E0C7E" w:rsidRDefault="008112A9" w:rsidP="00D006C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T</w:t>
            </w:r>
          </w:p>
          <w:p w:rsidR="008112A9" w:rsidRPr="002E0C7E" w:rsidRDefault="008112A9" w:rsidP="00D006C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F</w:t>
            </w:r>
          </w:p>
          <w:p w:rsidR="008112A9" w:rsidRPr="002E0C7E" w:rsidRDefault="008112A9" w:rsidP="00D006C7">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S</w:t>
            </w:r>
          </w:p>
          <w:p w:rsidR="008112A9" w:rsidRPr="002E0C7E" w:rsidRDefault="008112A9" w:rsidP="00D006C7">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S</w:t>
            </w:r>
          </w:p>
          <w:p w:rsidR="008112A9" w:rsidRPr="002E0C7E" w:rsidRDefault="008112A9" w:rsidP="00D006C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M</w:t>
            </w:r>
          </w:p>
          <w:p w:rsidR="008112A9" w:rsidRPr="002E0C7E" w:rsidRDefault="008112A9" w:rsidP="00D006C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T</w:t>
            </w:r>
          </w:p>
          <w:p w:rsidR="008112A9" w:rsidRPr="002E0C7E" w:rsidRDefault="008112A9" w:rsidP="00D006C7">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W</w:t>
            </w:r>
          </w:p>
          <w:p w:rsidR="008112A9" w:rsidRPr="002E0C7E" w:rsidRDefault="008112A9" w:rsidP="00D006C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T</w:t>
            </w:r>
          </w:p>
          <w:p w:rsidR="008112A9" w:rsidRPr="002E0C7E" w:rsidRDefault="008112A9" w:rsidP="00D006C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F</w:t>
            </w:r>
          </w:p>
          <w:p w:rsidR="008112A9" w:rsidRPr="002E0C7E" w:rsidRDefault="008112A9" w:rsidP="00D006C7">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S</w:t>
            </w:r>
          </w:p>
          <w:p w:rsidR="008112A9" w:rsidRPr="002E0C7E" w:rsidRDefault="008112A9" w:rsidP="00D006C7">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S</w:t>
            </w:r>
          </w:p>
          <w:p w:rsidR="008112A9" w:rsidRPr="002E0C7E" w:rsidRDefault="008112A9" w:rsidP="00D006C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M</w:t>
            </w:r>
          </w:p>
          <w:p w:rsidR="008112A9" w:rsidRPr="002E0C7E" w:rsidRDefault="008112A9" w:rsidP="00D006C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T</w:t>
            </w:r>
          </w:p>
          <w:p w:rsidR="008112A9" w:rsidRPr="002E0C7E" w:rsidRDefault="008112A9" w:rsidP="00D006C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W</w:t>
            </w:r>
          </w:p>
          <w:p w:rsidR="008112A9" w:rsidRPr="002E0C7E" w:rsidRDefault="008112A9" w:rsidP="00D006C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T</w:t>
            </w:r>
          </w:p>
          <w:p w:rsidR="008112A9" w:rsidRPr="002E0C7E" w:rsidRDefault="008112A9" w:rsidP="00D006C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F</w:t>
            </w:r>
          </w:p>
          <w:p w:rsidR="008112A9" w:rsidRPr="002E0C7E" w:rsidRDefault="008112A9" w:rsidP="00D006C7">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S</w:t>
            </w:r>
          </w:p>
          <w:p w:rsidR="008112A9" w:rsidRPr="002E0C7E" w:rsidRDefault="008112A9" w:rsidP="00D006C7">
            <w:pPr>
              <w:widowControl w:val="0"/>
              <w:jc w:val="center"/>
              <w:rPr>
                <w:rFonts w:ascii="Arial" w:hAnsi="Arial"/>
                <w:sz w:val="14"/>
              </w:rPr>
            </w:pPr>
            <w:r w:rsidRPr="002E0C7E">
              <w:rPr>
                <w:rFonts w:ascii="Arial" w:hAnsi="Arial"/>
                <w:sz w:val="14"/>
              </w:rPr>
              <w:t>S</w:t>
            </w:r>
          </w:p>
        </w:tc>
      </w:tr>
      <w:tr w:rsidR="008112A9" w:rsidRPr="002E0C7E" w:rsidTr="00D006C7">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317A69" w:rsidRDefault="008112A9" w:rsidP="00D006C7">
            <w:pPr>
              <w:widowControl w:val="0"/>
              <w:jc w:val="center"/>
              <w:rPr>
                <w:rFonts w:ascii="Arial" w:hAnsi="Arial"/>
                <w:b/>
                <w:sz w:val="14"/>
              </w:rPr>
            </w:pPr>
          </w:p>
          <w:p w:rsidR="008112A9" w:rsidRPr="002E0C7E" w:rsidRDefault="008112A9" w:rsidP="00D006C7">
            <w:pPr>
              <w:widowControl w:val="0"/>
              <w:jc w:val="center"/>
              <w:rPr>
                <w:rFonts w:ascii="Arial" w:hAnsi="Arial"/>
                <w:sz w:val="14"/>
              </w:rPr>
            </w:pP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D006C7">
            <w:pPr>
              <w:widowControl w:val="0"/>
              <w:jc w:val="center"/>
              <w:rPr>
                <w:rFonts w:ascii="Arial" w:hAnsi="Arial"/>
                <w:b/>
                <w:sz w:val="14"/>
              </w:rPr>
            </w:pPr>
          </w:p>
          <w:p w:rsidR="008112A9" w:rsidRPr="002E0C7E" w:rsidRDefault="008112A9" w:rsidP="00D006C7">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4F066E" w:rsidRDefault="008112A9" w:rsidP="00D006C7">
            <w:pPr>
              <w:widowControl w:val="0"/>
              <w:jc w:val="center"/>
              <w:rPr>
                <w:rFonts w:ascii="Arial" w:hAnsi="Arial"/>
                <w:b/>
                <w:sz w:val="14"/>
              </w:rPr>
            </w:pPr>
            <w:r w:rsidRPr="004F066E">
              <w:rPr>
                <w:rFonts w:ascii="Arial" w:hAnsi="Arial"/>
                <w:b/>
                <w:sz w:val="14"/>
              </w:rPr>
              <w:t>H</w:t>
            </w:r>
          </w:p>
          <w:p w:rsidR="008112A9" w:rsidRPr="002E0C7E" w:rsidRDefault="008112A9" w:rsidP="00D006C7">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7</w:t>
            </w:r>
          </w:p>
        </w:tc>
      </w:tr>
      <w:tr w:rsidR="008112A9" w:rsidRPr="002E0C7E" w:rsidTr="00D006C7">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6</w:t>
            </w:r>
          </w:p>
        </w:tc>
        <w:tc>
          <w:tcPr>
            <w:tcW w:w="469" w:type="dxa"/>
            <w:tcBorders>
              <w:top w:val="single" w:sz="4" w:space="0" w:color="auto"/>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45AC1" w:rsidRDefault="008112A9" w:rsidP="00D006C7">
            <w:pPr>
              <w:widowControl w:val="0"/>
              <w:jc w:val="center"/>
              <w:rPr>
                <w:rFonts w:ascii="Arial" w:hAnsi="Arial"/>
                <w:b/>
                <w:sz w:val="14"/>
              </w:rPr>
            </w:pPr>
            <w:r>
              <w:rPr>
                <w:rFonts w:ascii="Arial" w:hAnsi="Arial"/>
                <w:b/>
                <w:sz w:val="14"/>
              </w:rPr>
              <w:t>M</w:t>
            </w:r>
          </w:p>
          <w:p w:rsidR="008112A9" w:rsidRPr="002E0C7E" w:rsidRDefault="008112A9" w:rsidP="00D006C7">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14</w:t>
            </w:r>
          </w:p>
        </w:tc>
      </w:tr>
      <w:tr w:rsidR="008112A9" w:rsidRPr="002E0C7E" w:rsidTr="00D006C7">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7255AD" w:rsidRDefault="008112A9" w:rsidP="00D006C7">
            <w:pPr>
              <w:widowControl w:val="0"/>
              <w:jc w:val="center"/>
              <w:rPr>
                <w:rFonts w:ascii="Arial" w:hAnsi="Arial"/>
                <w:b/>
                <w:sz w:val="14"/>
              </w:rPr>
            </w:pPr>
            <w:r>
              <w:rPr>
                <w:rFonts w:ascii="Arial" w:hAnsi="Arial"/>
                <w:b/>
                <w:sz w:val="14"/>
              </w:rPr>
              <w:t>M</w:t>
            </w:r>
          </w:p>
          <w:p w:rsidR="008112A9" w:rsidRPr="002E0C7E" w:rsidRDefault="008112A9" w:rsidP="00D006C7">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16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15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E2B85" w:rsidRDefault="008112A9" w:rsidP="00D006C7">
            <w:pPr>
              <w:widowControl w:val="0"/>
              <w:jc w:val="center"/>
              <w:rPr>
                <w:rFonts w:ascii="Arial" w:hAnsi="Arial"/>
                <w:b/>
                <w:sz w:val="14"/>
              </w:rPr>
            </w:pPr>
          </w:p>
          <w:p w:rsidR="008112A9" w:rsidRPr="002E0C7E" w:rsidRDefault="008112A9" w:rsidP="00D006C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9900C5" w:rsidRDefault="008112A9" w:rsidP="00D006C7">
            <w:pPr>
              <w:widowControl w:val="0"/>
              <w:jc w:val="center"/>
              <w:rPr>
                <w:rFonts w:ascii="Arial" w:hAnsi="Arial"/>
                <w:b/>
                <w:sz w:val="14"/>
              </w:rPr>
            </w:pPr>
            <w:r w:rsidRPr="009900C5">
              <w:rPr>
                <w:rFonts w:ascii="Arial" w:hAnsi="Arial"/>
                <w:b/>
                <w:sz w:val="14"/>
              </w:rPr>
              <w:t>M</w:t>
            </w:r>
          </w:p>
          <w:p w:rsidR="008112A9" w:rsidRPr="002E0C7E" w:rsidRDefault="008112A9" w:rsidP="00D006C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2</w:t>
            </w:r>
            <w:r w:rsidRPr="002E0C7E">
              <w:rPr>
                <w:rFonts w:ascii="Arial" w:hAnsi="Arial"/>
                <w:sz w:val="14"/>
              </w:rPr>
              <w:t>1</w:t>
            </w:r>
          </w:p>
        </w:tc>
      </w:tr>
      <w:tr w:rsidR="008112A9" w:rsidRPr="002E0C7E" w:rsidTr="00D006C7">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D34238" w:rsidRDefault="008112A9" w:rsidP="00D006C7">
            <w:pPr>
              <w:widowControl w:val="0"/>
              <w:jc w:val="center"/>
              <w:rPr>
                <w:rFonts w:ascii="Arial" w:hAnsi="Arial"/>
                <w:b/>
                <w:sz w:val="14"/>
              </w:rPr>
            </w:pPr>
          </w:p>
          <w:p w:rsidR="008112A9" w:rsidRPr="002E0C7E" w:rsidRDefault="008112A9" w:rsidP="00D006C7">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2</w:t>
            </w:r>
            <w:r>
              <w:rPr>
                <w:rFonts w:ascii="Arial" w:hAnsi="Arial"/>
                <w:sz w:val="14"/>
              </w:rPr>
              <w:t>8</w:t>
            </w:r>
          </w:p>
        </w:tc>
      </w:tr>
      <w:tr w:rsidR="008112A9" w:rsidRPr="002E0C7E" w:rsidTr="00D006C7">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61B35" w:rsidRDefault="008112A9" w:rsidP="00D006C7">
            <w:pPr>
              <w:widowControl w:val="0"/>
              <w:jc w:val="center"/>
              <w:rPr>
                <w:rFonts w:ascii="Arial" w:hAnsi="Arial"/>
                <w:b/>
                <w:sz w:val="14"/>
              </w:rPr>
            </w:pPr>
          </w:p>
          <w:p w:rsidR="008112A9" w:rsidRPr="002E0C7E" w:rsidRDefault="008112A9" w:rsidP="00D006C7">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tc>
      </w:tr>
    </w:tbl>
    <w:p w:rsidR="008112A9" w:rsidRPr="002E0C7E" w:rsidRDefault="008112A9" w:rsidP="008112A9">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12A9" w:rsidRPr="002E0C7E" w:rsidTr="00D006C7">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D006C7">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D006C7">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D006C7">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D006C7">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D006C7">
            <w:pPr>
              <w:widowControl w:val="0"/>
              <w:jc w:val="center"/>
              <w:rPr>
                <w:rFonts w:ascii="Arial" w:hAnsi="Arial"/>
                <w:sz w:val="14"/>
              </w:rPr>
            </w:pPr>
            <w:r w:rsidRPr="002E0C7E">
              <w:rPr>
                <w:rFonts w:ascii="Arial" w:hAnsi="Arial"/>
                <w:b/>
                <w:sz w:val="14"/>
              </w:rPr>
              <w:t>JUNE - JUIN</w:t>
            </w:r>
          </w:p>
        </w:tc>
      </w:tr>
      <w:tr w:rsidR="008112A9" w:rsidRPr="002E0C7E" w:rsidTr="00D006C7">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S</w:t>
            </w:r>
          </w:p>
          <w:p w:rsidR="008112A9" w:rsidRPr="002E0C7E" w:rsidRDefault="008112A9" w:rsidP="00D006C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M</w:t>
            </w:r>
          </w:p>
          <w:p w:rsidR="008112A9" w:rsidRPr="002E0C7E" w:rsidRDefault="008112A9" w:rsidP="00D006C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T</w:t>
            </w:r>
          </w:p>
          <w:p w:rsidR="008112A9" w:rsidRPr="002E0C7E" w:rsidRDefault="008112A9" w:rsidP="00D006C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W</w:t>
            </w:r>
          </w:p>
          <w:p w:rsidR="008112A9" w:rsidRPr="002E0C7E" w:rsidRDefault="008112A9" w:rsidP="00D006C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T</w:t>
            </w:r>
          </w:p>
          <w:p w:rsidR="008112A9" w:rsidRPr="002E0C7E" w:rsidRDefault="008112A9" w:rsidP="00D006C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F</w:t>
            </w:r>
          </w:p>
          <w:p w:rsidR="008112A9" w:rsidRPr="002E0C7E" w:rsidRDefault="008112A9" w:rsidP="00D006C7">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S</w:t>
            </w:r>
          </w:p>
          <w:p w:rsidR="008112A9" w:rsidRPr="002E0C7E" w:rsidRDefault="008112A9" w:rsidP="00D006C7">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S</w:t>
            </w:r>
          </w:p>
          <w:p w:rsidR="008112A9" w:rsidRPr="002E0C7E" w:rsidRDefault="008112A9" w:rsidP="00D006C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M</w:t>
            </w:r>
          </w:p>
          <w:p w:rsidR="008112A9" w:rsidRPr="002E0C7E" w:rsidRDefault="008112A9" w:rsidP="00D006C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T</w:t>
            </w:r>
          </w:p>
          <w:p w:rsidR="008112A9" w:rsidRPr="002E0C7E" w:rsidRDefault="008112A9" w:rsidP="00D006C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W</w:t>
            </w:r>
          </w:p>
          <w:p w:rsidR="008112A9" w:rsidRPr="002E0C7E" w:rsidRDefault="008112A9" w:rsidP="00D006C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T</w:t>
            </w:r>
          </w:p>
          <w:p w:rsidR="008112A9" w:rsidRPr="002E0C7E" w:rsidRDefault="008112A9" w:rsidP="00D006C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F</w:t>
            </w:r>
          </w:p>
          <w:p w:rsidR="008112A9" w:rsidRPr="002E0C7E" w:rsidRDefault="008112A9" w:rsidP="00D006C7">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S</w:t>
            </w:r>
          </w:p>
          <w:p w:rsidR="008112A9" w:rsidRPr="002E0C7E" w:rsidRDefault="008112A9" w:rsidP="00D006C7">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S</w:t>
            </w:r>
          </w:p>
          <w:p w:rsidR="008112A9" w:rsidRPr="002E0C7E" w:rsidRDefault="008112A9" w:rsidP="00D006C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M</w:t>
            </w:r>
          </w:p>
          <w:p w:rsidR="008112A9" w:rsidRPr="002E0C7E" w:rsidRDefault="008112A9" w:rsidP="00D006C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T</w:t>
            </w:r>
          </w:p>
          <w:p w:rsidR="008112A9" w:rsidRPr="002E0C7E" w:rsidRDefault="008112A9" w:rsidP="00D006C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W</w:t>
            </w:r>
          </w:p>
          <w:p w:rsidR="008112A9" w:rsidRPr="002E0C7E" w:rsidRDefault="008112A9" w:rsidP="00D006C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T</w:t>
            </w:r>
          </w:p>
          <w:p w:rsidR="008112A9" w:rsidRPr="002E0C7E" w:rsidRDefault="008112A9" w:rsidP="00D006C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sidRPr="002E0C7E">
              <w:rPr>
                <w:rFonts w:ascii="Arial" w:hAnsi="Arial"/>
                <w:sz w:val="14"/>
              </w:rPr>
              <w:t>F</w:t>
            </w:r>
          </w:p>
          <w:p w:rsidR="008112A9" w:rsidRPr="002E0C7E" w:rsidRDefault="008112A9" w:rsidP="00D006C7">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r>
              <w:rPr>
                <w:rFonts w:ascii="Arial" w:hAnsi="Arial"/>
                <w:sz w:val="14"/>
              </w:rPr>
              <w:t>S</w:t>
            </w:r>
          </w:p>
          <w:p w:rsidR="008112A9" w:rsidRPr="002E0C7E" w:rsidRDefault="008112A9" w:rsidP="00D006C7">
            <w:pPr>
              <w:widowControl w:val="0"/>
              <w:jc w:val="center"/>
              <w:rPr>
                <w:rFonts w:ascii="Arial" w:hAnsi="Arial"/>
                <w:sz w:val="14"/>
              </w:rPr>
            </w:pPr>
            <w:r>
              <w:rPr>
                <w:rFonts w:ascii="Arial" w:hAnsi="Arial"/>
                <w:sz w:val="14"/>
              </w:rPr>
              <w:t>S</w:t>
            </w:r>
          </w:p>
        </w:tc>
      </w:tr>
      <w:tr w:rsidR="008112A9" w:rsidRPr="002E0C7E" w:rsidTr="00D006C7">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072FEE" w:rsidRDefault="008112A9" w:rsidP="00D006C7">
            <w:pPr>
              <w:widowControl w:val="0"/>
              <w:jc w:val="center"/>
              <w:rPr>
                <w:rFonts w:ascii="Arial" w:hAnsi="Arial"/>
                <w:b/>
                <w:sz w:val="14"/>
              </w:rPr>
            </w:pPr>
            <w:r>
              <w:rPr>
                <w:rFonts w:ascii="Arial" w:hAnsi="Arial"/>
                <w:b/>
                <w:sz w:val="14"/>
              </w:rPr>
              <w:t>H</w:t>
            </w:r>
          </w:p>
          <w:p w:rsidR="008112A9" w:rsidRPr="002E0C7E" w:rsidRDefault="008112A9" w:rsidP="00D006C7">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b/>
                <w:sz w:val="14"/>
              </w:rPr>
            </w:pPr>
          </w:p>
          <w:p w:rsidR="008112A9" w:rsidRPr="002E0C7E" w:rsidRDefault="008112A9" w:rsidP="00D006C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6</w:t>
            </w:r>
          </w:p>
        </w:tc>
      </w:tr>
      <w:tr w:rsidR="008112A9" w:rsidRPr="002E0C7E" w:rsidTr="00D006C7">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710C8B" w:rsidRDefault="008112A9" w:rsidP="00D006C7">
            <w:pPr>
              <w:widowControl w:val="0"/>
              <w:jc w:val="center"/>
              <w:rPr>
                <w:rFonts w:ascii="Arial" w:hAnsi="Arial"/>
                <w:b/>
                <w:sz w:val="14"/>
              </w:rPr>
            </w:pPr>
            <w:r>
              <w:rPr>
                <w:rFonts w:ascii="Arial" w:hAnsi="Arial"/>
                <w:b/>
                <w:sz w:val="14"/>
              </w:rPr>
              <w:t>H</w:t>
            </w:r>
          </w:p>
          <w:p w:rsidR="008112A9" w:rsidRPr="002E0C7E" w:rsidRDefault="008112A9" w:rsidP="00D006C7">
            <w:pPr>
              <w:widowControl w:val="0"/>
              <w:jc w:val="center"/>
              <w:rPr>
                <w:rFonts w:ascii="Arial" w:hAnsi="Arial"/>
                <w:sz w:val="14"/>
              </w:rPr>
            </w:pP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9</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D6F71" w:rsidRDefault="008112A9" w:rsidP="00D006C7">
            <w:pPr>
              <w:widowControl w:val="0"/>
              <w:jc w:val="center"/>
              <w:rPr>
                <w:rFonts w:ascii="Arial" w:hAnsi="Arial"/>
                <w:b/>
                <w:sz w:val="14"/>
              </w:rPr>
            </w:pPr>
            <w:r>
              <w:rPr>
                <w:rFonts w:ascii="Arial" w:hAnsi="Arial"/>
                <w:b/>
                <w:sz w:val="14"/>
              </w:rPr>
              <w:t>M</w:t>
            </w:r>
          </w:p>
          <w:p w:rsidR="008112A9" w:rsidRPr="002E0C7E" w:rsidRDefault="008112A9" w:rsidP="00D006C7">
            <w:pPr>
              <w:widowControl w:val="0"/>
              <w:jc w:val="center"/>
              <w:rPr>
                <w:rFonts w:ascii="Arial" w:hAnsi="Arial"/>
                <w:sz w:val="14"/>
              </w:rPr>
            </w:pPr>
            <w:r>
              <w:rPr>
                <w:rFonts w:ascii="Arial" w:hAnsi="Arial"/>
                <w:sz w:val="14"/>
              </w:rPr>
              <w:t>8</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13</w:t>
            </w:r>
          </w:p>
        </w:tc>
      </w:tr>
      <w:tr w:rsidR="008112A9" w:rsidRPr="002E0C7E" w:rsidTr="00D006C7">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DB5777" w:rsidRDefault="008112A9" w:rsidP="00D006C7">
            <w:pPr>
              <w:widowControl w:val="0"/>
              <w:jc w:val="center"/>
              <w:rPr>
                <w:rFonts w:ascii="Arial" w:hAnsi="Arial"/>
                <w:b/>
                <w:sz w:val="14"/>
              </w:rPr>
            </w:pPr>
            <w:r>
              <w:rPr>
                <w:rFonts w:ascii="Arial" w:hAnsi="Arial"/>
                <w:b/>
                <w:sz w:val="14"/>
              </w:rPr>
              <w:t>M</w:t>
            </w:r>
          </w:p>
          <w:p w:rsidR="008112A9" w:rsidRPr="002E0C7E" w:rsidRDefault="008112A9" w:rsidP="00D006C7">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852172" w:rsidRDefault="008112A9" w:rsidP="00D006C7">
            <w:pPr>
              <w:widowControl w:val="0"/>
              <w:jc w:val="center"/>
              <w:rPr>
                <w:rFonts w:ascii="Arial" w:hAnsi="Arial"/>
                <w:b/>
                <w:sz w:val="14"/>
              </w:rPr>
            </w:pPr>
          </w:p>
          <w:p w:rsidR="008112A9" w:rsidRPr="002E0C7E" w:rsidRDefault="008112A9" w:rsidP="00D006C7">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18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453E3" w:rsidRDefault="008112A9" w:rsidP="00D006C7">
            <w:pPr>
              <w:widowControl w:val="0"/>
              <w:jc w:val="center"/>
              <w:rPr>
                <w:rFonts w:ascii="Arial" w:hAnsi="Arial"/>
                <w:b/>
                <w:sz w:val="14"/>
              </w:rPr>
            </w:pPr>
            <w:r w:rsidRPr="002453E3">
              <w:rPr>
                <w:rFonts w:ascii="Arial" w:hAnsi="Arial"/>
                <w:b/>
                <w:sz w:val="14"/>
              </w:rPr>
              <w:t>M</w:t>
            </w:r>
          </w:p>
          <w:p w:rsidR="008112A9" w:rsidRPr="002E0C7E" w:rsidRDefault="008112A9" w:rsidP="00D006C7">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14</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20</w:t>
            </w:r>
          </w:p>
        </w:tc>
      </w:tr>
      <w:tr w:rsidR="008112A9" w:rsidRPr="002E0C7E" w:rsidTr="00D006C7">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8112A9" w:rsidRPr="00CD57C3" w:rsidRDefault="008112A9" w:rsidP="00D006C7">
            <w:pPr>
              <w:widowControl w:val="0"/>
              <w:jc w:val="center"/>
              <w:rPr>
                <w:rFonts w:ascii="Arial" w:hAnsi="Arial"/>
                <w:b/>
                <w:sz w:val="14"/>
              </w:rPr>
            </w:pPr>
          </w:p>
          <w:p w:rsidR="008112A9" w:rsidRPr="002E0C7E" w:rsidRDefault="008112A9" w:rsidP="00D006C7">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2453E3" w:rsidRDefault="008112A9" w:rsidP="00D006C7">
            <w:pPr>
              <w:widowControl w:val="0"/>
              <w:jc w:val="center"/>
              <w:rPr>
                <w:rFonts w:ascii="Arial" w:hAnsi="Arial"/>
                <w:b/>
                <w:sz w:val="14"/>
              </w:rPr>
            </w:pPr>
            <w:r>
              <w:rPr>
                <w:rFonts w:ascii="Arial" w:hAnsi="Arial"/>
                <w:b/>
                <w:sz w:val="14"/>
              </w:rPr>
              <w:t>H</w:t>
            </w:r>
          </w:p>
          <w:p w:rsidR="008112A9" w:rsidRPr="002E0C7E" w:rsidRDefault="008112A9" w:rsidP="00D006C7">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D006C7">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D006C7">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112A9" w:rsidRPr="002E0C7E" w:rsidRDefault="008112A9" w:rsidP="00D006C7">
            <w:pPr>
              <w:widowControl w:val="0"/>
              <w:jc w:val="center"/>
              <w:rPr>
                <w:rFonts w:ascii="Arial" w:hAnsi="Arial"/>
                <w:sz w:val="14"/>
              </w:rPr>
            </w:pPr>
            <w:r>
              <w:rPr>
                <w:rFonts w:ascii="Arial" w:hAnsi="Arial"/>
                <w:sz w:val="14"/>
              </w:rPr>
              <w:t xml:space="preserve">    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D006C7">
            <w:pPr>
              <w:widowControl w:val="0"/>
              <w:jc w:val="center"/>
              <w:rPr>
                <w:rFonts w:ascii="Arial" w:hAnsi="Arial"/>
                <w:sz w:val="14"/>
              </w:rPr>
            </w:pPr>
          </w:p>
          <w:p w:rsidR="008112A9" w:rsidRPr="002E0C7E" w:rsidRDefault="008112A9" w:rsidP="00D006C7">
            <w:pPr>
              <w:widowControl w:val="0"/>
              <w:jc w:val="center"/>
              <w:rPr>
                <w:rFonts w:ascii="Arial" w:hAnsi="Arial"/>
                <w:sz w:val="14"/>
              </w:rPr>
            </w:pPr>
          </w:p>
        </w:tc>
      </w:tr>
    </w:tbl>
    <w:p w:rsidR="008112A9" w:rsidRPr="002E0C7E" w:rsidRDefault="008112A9" w:rsidP="008112A9">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12A9" w:rsidRPr="002E0C7E" w:rsidTr="00D006C7">
        <w:trPr>
          <w:cantSplit/>
        </w:trPr>
        <w:tc>
          <w:tcPr>
            <w:tcW w:w="1710" w:type="dxa"/>
            <w:tcBorders>
              <w:top w:val="nil"/>
              <w:left w:val="nil"/>
              <w:bottom w:val="nil"/>
              <w:right w:val="nil"/>
            </w:tcBorders>
            <w:tcMar>
              <w:top w:w="43" w:type="dxa"/>
              <w:left w:w="120" w:type="dxa"/>
              <w:bottom w:w="29" w:type="dxa"/>
              <w:right w:w="120" w:type="dxa"/>
            </w:tcMar>
          </w:tcPr>
          <w:p w:rsidR="008112A9" w:rsidRPr="002E0C7E" w:rsidRDefault="008112A9" w:rsidP="00D006C7">
            <w:pPr>
              <w:widowControl w:val="0"/>
              <w:rPr>
                <w:rFonts w:ascii="Arial" w:hAnsi="Arial"/>
                <w:sz w:val="16"/>
              </w:rPr>
            </w:pPr>
            <w:r w:rsidRPr="002E0C7E">
              <w:rPr>
                <w:rFonts w:ascii="Arial" w:hAnsi="Arial"/>
                <w:sz w:val="16"/>
              </w:rPr>
              <w:t>Sittings of the court:</w:t>
            </w:r>
          </w:p>
          <w:p w:rsidR="008112A9" w:rsidRPr="002E0C7E" w:rsidRDefault="008112A9" w:rsidP="00D006C7">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12A9" w:rsidRPr="002E0C7E" w:rsidRDefault="008112A9" w:rsidP="00D006C7">
            <w:pPr>
              <w:widowControl w:val="0"/>
              <w:rPr>
                <w:rFonts w:ascii="Arial" w:hAnsi="Arial"/>
                <w:sz w:val="16"/>
              </w:rPr>
            </w:pPr>
          </w:p>
          <w:p w:rsidR="008112A9" w:rsidRPr="002E0C7E" w:rsidRDefault="008112A9" w:rsidP="00D006C7">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12A9" w:rsidRPr="00B058C3" w:rsidRDefault="008112A9" w:rsidP="00D006C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12A9" w:rsidRPr="00B058C3" w:rsidRDefault="008112A9" w:rsidP="00D006C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12A9" w:rsidRPr="00B058C3" w:rsidRDefault="008112A9" w:rsidP="00D006C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12A9" w:rsidRPr="002E0C7E" w:rsidRDefault="008112A9" w:rsidP="00D006C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3</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12A9" w:rsidRPr="002E0C7E" w:rsidRDefault="008112A9" w:rsidP="00D006C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D006C7">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D006C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12A9" w:rsidRPr="002E0C7E" w:rsidRDefault="008112A9" w:rsidP="00D006C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12A9" w:rsidRPr="002E0C7E" w:rsidRDefault="008112A9" w:rsidP="00D006C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D006C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D006C7">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D006C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12A9" w:rsidRPr="002E0C7E" w:rsidRDefault="008112A9" w:rsidP="00D006C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12A9" w:rsidRPr="002E0C7E" w:rsidRDefault="008112A9" w:rsidP="00D006C7">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D006C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12A9" w:rsidRPr="002E0C7E" w:rsidRDefault="008112A9" w:rsidP="008112A9">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67"/>
      <w:footerReference w:type="default" r:id="rId68"/>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FFF" w:rsidRDefault="00DF0FFF" w:rsidP="00A87207">
      <w:r>
        <w:separator/>
      </w:r>
    </w:p>
  </w:endnote>
  <w:endnote w:type="continuationSeparator" w:id="0">
    <w:p w:rsidR="00DF0FFF" w:rsidRDefault="00DF0FFF"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FF" w:rsidRDefault="00DF0FF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FF" w:rsidRDefault="00D82946">
    <w:pPr>
      <w:pStyle w:val="Footer"/>
      <w:rPr>
        <w:lang w:val="fr-CA"/>
      </w:rPr>
    </w:pPr>
    <w:r>
      <w:rPr>
        <w:lang w:val="fr-CA"/>
      </w:rPr>
      <w:pict>
        <v:rect id="_x0000_i1047" style="width:480.95pt;height:1pt" o:hralign="center" o:hrstd="t" o:hrnoshade="t" o:hr="t" fillcolor="black [3213]" stroked="f"/>
      </w:pict>
    </w:r>
  </w:p>
  <w:p w:rsidR="00DF0FFF" w:rsidRDefault="00DF0FFF" w:rsidP="00245129">
    <w:pPr>
      <w:tabs>
        <w:tab w:val="center" w:pos="4680"/>
      </w:tabs>
    </w:pPr>
    <w:r>
      <w:tab/>
    </w:r>
    <w:r w:rsidRPr="0009648D">
      <w:t xml:space="preserve">- </w:t>
    </w:r>
    <w:r w:rsidR="0009493C">
      <w:fldChar w:fldCharType="begin"/>
    </w:r>
    <w:r w:rsidR="0009493C">
      <w:instrText xml:space="preserve"> PAGE   \* MERGEFORMAT </w:instrText>
    </w:r>
    <w:r w:rsidR="0009493C">
      <w:fldChar w:fldCharType="separate"/>
    </w:r>
    <w:r w:rsidR="00D82946">
      <w:rPr>
        <w:noProof/>
      </w:rPr>
      <w:t>973</w:t>
    </w:r>
    <w:r w:rsidR="0009493C">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FF" w:rsidRDefault="00DF0F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F0FFF" w:rsidRDefault="00DF0F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F0FFF" w:rsidRDefault="00DF0FFF">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FF" w:rsidRDefault="00D82946" w:rsidP="00755F22">
    <w:pPr>
      <w:tabs>
        <w:tab w:val="left" w:pos="-1440"/>
        <w:tab w:val="left" w:pos="-720"/>
      </w:tabs>
    </w:pPr>
    <w:r>
      <w:pict>
        <v:rect id="_x0000_i1051" style="width:480.95pt;height:1pt" o:hralign="center" o:hrstd="t" o:hrnoshade="t" o:hr="t" fillcolor="black [3213]" stroked="f"/>
      </w:pict>
    </w:r>
  </w:p>
  <w:p w:rsidR="00DF0FFF" w:rsidRDefault="00DF0FFF" w:rsidP="00EB2B90">
    <w:pPr>
      <w:tabs>
        <w:tab w:val="center" w:pos="4680"/>
      </w:tabs>
    </w:pPr>
    <w:r>
      <w:tab/>
      <w:t xml:space="preserve">- </w:t>
    </w:r>
    <w:r w:rsidR="0009493C">
      <w:fldChar w:fldCharType="begin"/>
    </w:r>
    <w:r w:rsidR="0009493C">
      <w:instrText xml:space="preserve"> PAGE   \* MERGEFORMAT </w:instrText>
    </w:r>
    <w:r w:rsidR="0009493C">
      <w:fldChar w:fldCharType="separate"/>
    </w:r>
    <w:r w:rsidR="00D82946">
      <w:rPr>
        <w:noProof/>
      </w:rPr>
      <w:t>985</w:t>
    </w:r>
    <w:r w:rsidR="0009493C">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FF" w:rsidRDefault="00D82946" w:rsidP="00EB2B90">
    <w:pPr>
      <w:tabs>
        <w:tab w:val="center" w:pos="4680"/>
      </w:tabs>
    </w:pPr>
    <w:r>
      <w:pict>
        <v:rect id="_x0000_i1052" style="width:480.95pt;height:1pt" o:hralign="center" o:hrstd="t" o:hrnoshade="t" o:hr="t" fillcolor="black [3213]" stroked="f"/>
      </w:pict>
    </w:r>
  </w:p>
  <w:p w:rsidR="00DF0FFF" w:rsidRPr="0031432F" w:rsidRDefault="00DF0FFF" w:rsidP="00EB2B90">
    <w:pPr>
      <w:tabs>
        <w:tab w:val="center" w:pos="4680"/>
      </w:tabs>
    </w:pPr>
    <w:r>
      <w:tab/>
      <w:t xml:space="preserve">- </w:t>
    </w:r>
    <w:r w:rsidR="0009493C">
      <w:fldChar w:fldCharType="begin"/>
    </w:r>
    <w:r w:rsidR="0009493C">
      <w:instrText xml:space="preserve"> PAGE   \* MERGEFORMAT </w:instrText>
    </w:r>
    <w:r w:rsidR="0009493C">
      <w:fldChar w:fldCharType="separate"/>
    </w:r>
    <w:r w:rsidR="00D82946">
      <w:rPr>
        <w:noProof/>
      </w:rPr>
      <w:t>984</w:t>
    </w:r>
    <w:r w:rsidR="0009493C">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FF" w:rsidRDefault="00DF0F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F0FFF" w:rsidRDefault="00DF0F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F0FFF" w:rsidRDefault="00DF0FFF">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FF" w:rsidRDefault="00D829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4" style="width:480.95pt;height:1pt" o:hralign="center" o:hrstd="t" o:hrnoshade="t" o:hr="t" fillcolor="black [3213]" stroked="f"/>
      </w:pict>
    </w:r>
  </w:p>
  <w:p w:rsidR="00DF0FFF" w:rsidRDefault="00DF0FFF" w:rsidP="00EB2B90">
    <w:pPr>
      <w:tabs>
        <w:tab w:val="center" w:pos="4680"/>
      </w:tabs>
    </w:pPr>
    <w:r>
      <w:tab/>
      <w:t xml:space="preserve">- </w:t>
    </w:r>
    <w:r w:rsidR="0009493C">
      <w:fldChar w:fldCharType="begin"/>
    </w:r>
    <w:r w:rsidR="0009493C">
      <w:instrText xml:space="preserve"> PAGE   \* MERGEFORMAT </w:instrText>
    </w:r>
    <w:r w:rsidR="0009493C">
      <w:fldChar w:fldCharType="separate"/>
    </w:r>
    <w:r>
      <w:rPr>
        <w:noProof/>
      </w:rPr>
      <w:t>524</w:t>
    </w:r>
    <w:r w:rsidR="0009493C">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FF" w:rsidRDefault="00D82946">
    <w:pPr>
      <w:pStyle w:val="Footer"/>
      <w:rPr>
        <w:lang w:val="fr-CA"/>
      </w:rPr>
    </w:pPr>
    <w:r>
      <w:rPr>
        <w:lang w:val="fr-CA"/>
      </w:rPr>
      <w:pict>
        <v:rect id="_x0000_i1055" style="width:480.95pt;height:1pt" o:hralign="center" o:hrstd="t" o:hrnoshade="t" o:hr="t" fillcolor="black [3213]" stroked="f"/>
      </w:pict>
    </w:r>
  </w:p>
  <w:p w:rsidR="00DF0FFF" w:rsidRDefault="00DF0FFF" w:rsidP="00EB2B90">
    <w:pPr>
      <w:tabs>
        <w:tab w:val="center" w:pos="4680"/>
      </w:tabs>
    </w:pPr>
    <w:r>
      <w:tab/>
      <w:t xml:space="preserve">- </w:t>
    </w:r>
    <w:r w:rsidR="0009493C">
      <w:fldChar w:fldCharType="begin"/>
    </w:r>
    <w:r w:rsidR="0009493C">
      <w:instrText xml:space="preserve"> PAGE   \* MERGEFORMAT </w:instrText>
    </w:r>
    <w:r w:rsidR="0009493C">
      <w:fldChar w:fldCharType="separate"/>
    </w:r>
    <w:r w:rsidR="0009493C">
      <w:rPr>
        <w:noProof/>
      </w:rPr>
      <w:t>989</w:t>
    </w:r>
    <w:r w:rsidR="0009493C">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FF" w:rsidRDefault="00DF0F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F0FFF" w:rsidRDefault="00DF0F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F0FFF" w:rsidRDefault="00DF0FFF">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FF" w:rsidRDefault="00D82946" w:rsidP="00732DB7">
    <w:r>
      <w:pict>
        <v:rect id="_x0000_i1057" style="width:480.95pt;height:1pt" o:hralign="center" o:hrstd="t" o:hrnoshade="t" o:hr="t" fillcolor="black" stroked="f"/>
      </w:pict>
    </w:r>
  </w:p>
  <w:p w:rsidR="00DF0FFF" w:rsidRDefault="00DF0FFF">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FF" w:rsidRDefault="00D82946">
    <w:pPr>
      <w:pStyle w:val="Footer"/>
    </w:pPr>
    <w:r>
      <w:pict>
        <v:rect id="_x0000_i1058" style="width:480.95pt;height:1pt" o:hralign="center" o:hrstd="t" o:hrnoshade="t" o:hr="t" fillcolor="black [3213]" stroked="f"/>
      </w:pict>
    </w:r>
  </w:p>
  <w:p w:rsidR="00DF0FFF" w:rsidRPr="003C2C0F" w:rsidRDefault="00DF0FFF" w:rsidP="00697C62">
    <w:pPr>
      <w:tabs>
        <w:tab w:val="center" w:pos="4680"/>
      </w:tabs>
    </w:pPr>
    <w:r>
      <w:tab/>
      <w:t xml:space="preserve">- </w:t>
    </w:r>
    <w:r w:rsidR="0009493C">
      <w:fldChar w:fldCharType="begin"/>
    </w:r>
    <w:r w:rsidR="0009493C">
      <w:instrText xml:space="preserve"> PAGE   \* MERGEFORMAT </w:instrText>
    </w:r>
    <w:r w:rsidR="0009493C">
      <w:fldChar w:fldCharType="separate"/>
    </w:r>
    <w:r w:rsidR="0009493C">
      <w:rPr>
        <w:noProof/>
      </w:rPr>
      <w:t>990</w:t>
    </w:r>
    <w:r w:rsidR="0009493C">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FF" w:rsidRDefault="00DF0FFF">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FF" w:rsidRDefault="00DF0F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F0FFF" w:rsidRDefault="00DF0F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F0FFF" w:rsidRDefault="00DF0FFF">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FF" w:rsidRDefault="00DF0F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F0FFF" w:rsidRDefault="00D829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1" style="width:480.95pt;height:1pt" o:hralign="center" o:hrstd="t" o:hrnoshade="t" o:hr="t" fillcolor="black [3213]" stroked="f"/>
      </w:pict>
    </w:r>
  </w:p>
  <w:p w:rsidR="00DF0FFF" w:rsidRDefault="00DF0FFF" w:rsidP="00782AE4">
    <w:pPr>
      <w:tabs>
        <w:tab w:val="center" w:pos="4680"/>
      </w:tabs>
    </w:pPr>
    <w:r>
      <w:tab/>
      <w:t xml:space="preserve">- </w:t>
    </w:r>
    <w:r w:rsidR="00DA5C5B" w:rsidRPr="001775C1">
      <w:rPr>
        <w:szCs w:val="24"/>
      </w:rPr>
      <w:fldChar w:fldCharType="begin"/>
    </w:r>
    <w:r w:rsidRPr="001775C1">
      <w:rPr>
        <w:szCs w:val="24"/>
      </w:rPr>
      <w:instrText xml:space="preserve"> PAGE   \* MERGEFORMAT </w:instrText>
    </w:r>
    <w:r w:rsidR="00DA5C5B" w:rsidRPr="001775C1">
      <w:rPr>
        <w:szCs w:val="24"/>
      </w:rPr>
      <w:fldChar w:fldCharType="separate"/>
    </w:r>
    <w:r w:rsidR="0009493C">
      <w:rPr>
        <w:noProof/>
        <w:szCs w:val="24"/>
      </w:rPr>
      <w:t>994</w:t>
    </w:r>
    <w:r w:rsidR="00DA5C5B" w:rsidRPr="001775C1">
      <w:rPr>
        <w:szCs w:val="24"/>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FF" w:rsidRDefault="00D82946" w:rsidP="00782AE4">
    <w:pPr>
      <w:tabs>
        <w:tab w:val="center" w:pos="4680"/>
      </w:tabs>
    </w:pPr>
    <w:r>
      <w:pict>
        <v:rect id="_x0000_i1062" style="width:480.95pt;height:1pt" o:hralign="center" o:hrstd="t" o:hrnoshade="t" o:hr="t" fillcolor="black [3213]" stroked="f"/>
      </w:pict>
    </w:r>
  </w:p>
  <w:p w:rsidR="00DF0FFF" w:rsidRDefault="00DF0FFF" w:rsidP="00782AE4">
    <w:pPr>
      <w:tabs>
        <w:tab w:val="center" w:pos="4680"/>
      </w:tabs>
    </w:pPr>
    <w:r>
      <w:tab/>
      <w:t xml:space="preserve">- </w:t>
    </w:r>
    <w:r w:rsidR="00DA5C5B" w:rsidRPr="001775C1">
      <w:rPr>
        <w:szCs w:val="24"/>
      </w:rPr>
      <w:fldChar w:fldCharType="begin"/>
    </w:r>
    <w:r w:rsidRPr="001775C1">
      <w:rPr>
        <w:szCs w:val="24"/>
      </w:rPr>
      <w:instrText xml:space="preserve"> PAGE   \* MERGEFORMAT </w:instrText>
    </w:r>
    <w:r w:rsidR="00DA5C5B" w:rsidRPr="001775C1">
      <w:rPr>
        <w:szCs w:val="24"/>
      </w:rPr>
      <w:fldChar w:fldCharType="separate"/>
    </w:r>
    <w:r w:rsidR="0009493C">
      <w:rPr>
        <w:noProof/>
        <w:szCs w:val="24"/>
      </w:rPr>
      <w:t>991</w:t>
    </w:r>
    <w:r w:rsidR="00DA5C5B" w:rsidRPr="001775C1">
      <w:rPr>
        <w:szCs w:val="24"/>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FF" w:rsidRPr="00924065" w:rsidRDefault="00DF0FFF"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FF" w:rsidRDefault="00DF0FF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FF" w:rsidRDefault="00D82946" w:rsidP="00A87207">
    <w:pPr>
      <w:pStyle w:val="Footer"/>
    </w:pPr>
    <w:r>
      <w:pict>
        <v:rect id="_x0000_i1031" style="width:480.95pt;height:1pt" o:hralign="center" o:hrstd="t" o:hrnoshade="t" o:hr="t" fillcolor="black [3213]" stroked="f"/>
      </w:pict>
    </w:r>
  </w:p>
  <w:p w:rsidR="00DF0FFF" w:rsidRPr="00B7374B" w:rsidRDefault="00DF0FFF" w:rsidP="00B7374B">
    <w:pPr>
      <w:tabs>
        <w:tab w:val="center" w:pos="4680"/>
      </w:tabs>
      <w:rPr>
        <w:szCs w:val="24"/>
      </w:rPr>
    </w:pPr>
    <w:r w:rsidRPr="00954D22">
      <w:rPr>
        <w:szCs w:val="24"/>
      </w:rPr>
      <w:tab/>
      <w:t xml:space="preserve">- </w:t>
    </w:r>
    <w:r w:rsidR="00DA5C5B" w:rsidRPr="00954D22">
      <w:rPr>
        <w:szCs w:val="24"/>
      </w:rPr>
      <w:fldChar w:fldCharType="begin"/>
    </w:r>
    <w:r w:rsidRPr="00954D22">
      <w:rPr>
        <w:szCs w:val="24"/>
      </w:rPr>
      <w:instrText xml:space="preserve"> PAGE   \* MERGEFORMAT </w:instrText>
    </w:r>
    <w:r w:rsidR="00DA5C5B" w:rsidRPr="00954D22">
      <w:rPr>
        <w:szCs w:val="24"/>
      </w:rPr>
      <w:fldChar w:fldCharType="separate"/>
    </w:r>
    <w:r>
      <w:rPr>
        <w:noProof/>
        <w:szCs w:val="24"/>
      </w:rPr>
      <w:t>972</w:t>
    </w:r>
    <w:r w:rsidR="00DA5C5B"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FF" w:rsidRDefault="00D82946" w:rsidP="00755F22">
    <w:pPr>
      <w:tabs>
        <w:tab w:val="left" w:pos="-1440"/>
        <w:tab w:val="left" w:pos="-720"/>
      </w:tabs>
    </w:pPr>
    <w:r>
      <w:pict>
        <v:rect id="_x0000_i1032" style="width:480.95pt;height:1pt" o:hralign="center" o:hrstd="t" o:hrnoshade="t" o:hr="t" fillcolor="black [3213]" stroked="f"/>
      </w:pict>
    </w:r>
  </w:p>
  <w:p w:rsidR="00DF0FFF" w:rsidRPr="00954D22" w:rsidRDefault="00DF0FFF" w:rsidP="00B7374B">
    <w:pPr>
      <w:tabs>
        <w:tab w:val="center" w:pos="4680"/>
      </w:tabs>
      <w:rPr>
        <w:szCs w:val="24"/>
      </w:rPr>
    </w:pPr>
    <w:r w:rsidRPr="00954D22">
      <w:rPr>
        <w:szCs w:val="24"/>
      </w:rPr>
      <w:tab/>
      <w:t xml:space="preserve">- </w:t>
    </w:r>
    <w:r w:rsidR="00DA5C5B">
      <w:rPr>
        <w:szCs w:val="24"/>
      </w:rPr>
      <w:fldChar w:fldCharType="begin"/>
    </w:r>
    <w:r>
      <w:rPr>
        <w:szCs w:val="24"/>
      </w:rPr>
      <w:instrText xml:space="preserve"> PAGE   \* MERGEFORMAT </w:instrText>
    </w:r>
    <w:r w:rsidR="00DA5C5B">
      <w:rPr>
        <w:szCs w:val="24"/>
      </w:rPr>
      <w:fldChar w:fldCharType="separate"/>
    </w:r>
    <w:r w:rsidR="00D82946">
      <w:rPr>
        <w:noProof/>
        <w:szCs w:val="24"/>
      </w:rPr>
      <w:t>971</w:t>
    </w:r>
    <w:r w:rsidR="00DA5C5B">
      <w:rPr>
        <w:szCs w:val="24"/>
      </w:rPr>
      <w:fldChar w:fldCharType="end"/>
    </w:r>
    <w:r w:rsidRPr="00954D22">
      <w:rPr>
        <w:szCs w:val="24"/>
      </w:rPr>
      <w:t xml:space="preserve"> -</w:t>
    </w:r>
  </w:p>
  <w:p w:rsidR="00DF0FFF" w:rsidRDefault="00DF0FF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FF" w:rsidRDefault="00D82946" w:rsidP="00A87207">
    <w:pPr>
      <w:pStyle w:val="Footer"/>
    </w:pPr>
    <w:r>
      <w:pict>
        <v:rect id="_x0000_i1034" style="width:480.95pt;height:1pt" o:hralign="center" o:hrstd="t" o:hrnoshade="t" o:hr="t" fillcolor="black [3213]" stroked="f"/>
      </w:pict>
    </w:r>
  </w:p>
  <w:p w:rsidR="00DF0FFF" w:rsidRPr="00B7374B" w:rsidRDefault="00DF0FFF" w:rsidP="00B7374B">
    <w:pPr>
      <w:tabs>
        <w:tab w:val="center" w:pos="4680"/>
      </w:tabs>
      <w:rPr>
        <w:szCs w:val="24"/>
      </w:rPr>
    </w:pPr>
    <w:r w:rsidRPr="00954D22">
      <w:rPr>
        <w:szCs w:val="24"/>
      </w:rPr>
      <w:tab/>
      <w:t xml:space="preserve">- </w:t>
    </w:r>
    <w:r w:rsidR="00DA5C5B" w:rsidRPr="00954D22">
      <w:rPr>
        <w:szCs w:val="24"/>
      </w:rPr>
      <w:fldChar w:fldCharType="begin"/>
    </w:r>
    <w:r w:rsidRPr="00954D22">
      <w:rPr>
        <w:szCs w:val="24"/>
      </w:rPr>
      <w:instrText xml:space="preserve"> PAGE   \* MERGEFORMAT </w:instrText>
    </w:r>
    <w:r w:rsidR="00DA5C5B" w:rsidRPr="00954D22">
      <w:rPr>
        <w:szCs w:val="24"/>
      </w:rPr>
      <w:fldChar w:fldCharType="separate"/>
    </w:r>
    <w:r>
      <w:rPr>
        <w:noProof/>
        <w:szCs w:val="24"/>
      </w:rPr>
      <w:t>973</w:t>
    </w:r>
    <w:r w:rsidR="00DA5C5B"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FF" w:rsidRDefault="00D82946"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5" style="width:480.95pt;height:1pt" o:hralign="center" o:hrstd="t" o:hrnoshade="t" o:hr="t" fillcolor="black [3213]" stroked="f"/>
      </w:pict>
    </w:r>
  </w:p>
  <w:p w:rsidR="00DF0FFF" w:rsidRPr="00954D22" w:rsidRDefault="00DF0FFF" w:rsidP="00B7374B">
    <w:pPr>
      <w:tabs>
        <w:tab w:val="center" w:pos="4680"/>
      </w:tabs>
      <w:rPr>
        <w:szCs w:val="24"/>
      </w:rPr>
    </w:pPr>
    <w:r w:rsidRPr="00954D22">
      <w:rPr>
        <w:szCs w:val="24"/>
      </w:rPr>
      <w:tab/>
      <w:t xml:space="preserve">- </w:t>
    </w:r>
    <w:r w:rsidR="00DA5C5B" w:rsidRPr="00954D22">
      <w:rPr>
        <w:szCs w:val="24"/>
      </w:rPr>
      <w:fldChar w:fldCharType="begin"/>
    </w:r>
    <w:r w:rsidRPr="00954D22">
      <w:rPr>
        <w:szCs w:val="24"/>
      </w:rPr>
      <w:instrText xml:space="preserve"> PAGE   \* MERGEFORMAT </w:instrText>
    </w:r>
    <w:r w:rsidR="00DA5C5B" w:rsidRPr="00954D22">
      <w:rPr>
        <w:szCs w:val="24"/>
      </w:rPr>
      <w:fldChar w:fldCharType="separate"/>
    </w:r>
    <w:r w:rsidR="00D82946">
      <w:rPr>
        <w:noProof/>
        <w:szCs w:val="24"/>
      </w:rPr>
      <w:t>972</w:t>
    </w:r>
    <w:r w:rsidR="00DA5C5B"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FF" w:rsidRDefault="00DF0F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DF0FFF" w:rsidRDefault="00DF0F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F0FFF" w:rsidRDefault="00DF0FFF">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FF" w:rsidRDefault="00D829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6" style="width:480.95pt;height:1pt" o:hralign="center" o:hrstd="t" o:hrnoshade="t" o:hr="t" fillcolor="black [3213]" stroked="f"/>
      </w:pict>
    </w:r>
  </w:p>
  <w:p w:rsidR="00DF0FFF" w:rsidRPr="0009648D" w:rsidRDefault="00DF0FFF" w:rsidP="00ED7E83">
    <w:pPr>
      <w:tabs>
        <w:tab w:val="center" w:pos="4680"/>
      </w:tabs>
    </w:pPr>
    <w:r>
      <w:tab/>
    </w:r>
    <w:r w:rsidRPr="0009648D">
      <w:t xml:space="preserve">- </w:t>
    </w:r>
    <w:r w:rsidR="0009493C">
      <w:fldChar w:fldCharType="begin"/>
    </w:r>
    <w:r w:rsidR="0009493C">
      <w:instrText xml:space="preserve"> PAGE   \* MERGEFORMAT </w:instrText>
    </w:r>
    <w:r w:rsidR="0009493C">
      <w:fldChar w:fldCharType="separate"/>
    </w:r>
    <w:r w:rsidR="00D82946">
      <w:rPr>
        <w:noProof/>
      </w:rPr>
      <w:t>983</w:t>
    </w:r>
    <w:r w:rsidR="0009493C">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FFF" w:rsidRDefault="00DF0FFF" w:rsidP="00A87207">
      <w:r>
        <w:separator/>
      </w:r>
    </w:p>
  </w:footnote>
  <w:footnote w:type="continuationSeparator" w:id="0">
    <w:p w:rsidR="00DF0FFF" w:rsidRDefault="00DF0FFF"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FF" w:rsidRDefault="00DF0FF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FF" w:rsidRDefault="00DF0FF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DF0FFF">
      <w:tc>
        <w:tcPr>
          <w:tcW w:w="4230" w:type="dxa"/>
          <w:tcMar>
            <w:left w:w="0" w:type="dxa"/>
            <w:right w:w="0" w:type="dxa"/>
          </w:tcMar>
        </w:tcPr>
        <w:p w:rsidR="00DF0FFF" w:rsidRDefault="00DF0FF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DF0FFF" w:rsidRDefault="00DF0FF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F0FFF" w:rsidRDefault="00DF0FF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DF0FFF">
      <w:trPr>
        <w:gridAfter w:val="2"/>
        <w:wAfter w:w="5250" w:type="dxa"/>
      </w:trPr>
      <w:tc>
        <w:tcPr>
          <w:tcW w:w="4230" w:type="dxa"/>
          <w:tcMar>
            <w:left w:w="0" w:type="dxa"/>
            <w:right w:w="0" w:type="dxa"/>
          </w:tcMar>
        </w:tcPr>
        <w:p w:rsidR="00DF0FFF" w:rsidRDefault="00DF0F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DF0FFF" w:rsidRDefault="00DF0F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DF0FFF" w:rsidRPr="00755F22" w:rsidTr="00245129">
      <w:tc>
        <w:tcPr>
          <w:tcW w:w="4230" w:type="dxa"/>
          <w:tcMar>
            <w:left w:w="0" w:type="dxa"/>
            <w:right w:w="0" w:type="dxa"/>
          </w:tcMar>
        </w:tcPr>
        <w:p w:rsidR="00DF0FFF" w:rsidRPr="00755F22" w:rsidRDefault="00DF0FFF" w:rsidP="00831CA9">
          <w:pPr>
            <w:keepNext/>
            <w:keepLines/>
            <w:rPr>
              <w:sz w:val="20"/>
              <w:szCs w:val="20"/>
            </w:rPr>
          </w:pPr>
          <w:r w:rsidRPr="00755F22">
            <w:rPr>
              <w:sz w:val="20"/>
              <w:szCs w:val="20"/>
            </w:rPr>
            <w:t>MOTIONS</w:t>
          </w:r>
        </w:p>
      </w:tc>
      <w:tc>
        <w:tcPr>
          <w:tcW w:w="1170" w:type="dxa"/>
          <w:tcMar>
            <w:left w:w="0" w:type="dxa"/>
            <w:right w:w="0" w:type="dxa"/>
          </w:tcMar>
        </w:tcPr>
        <w:p w:rsidR="00DF0FFF" w:rsidRPr="00755F22" w:rsidRDefault="00DF0FFF" w:rsidP="00831CA9">
          <w:pPr>
            <w:keepLines/>
            <w:jc w:val="center"/>
            <w:rPr>
              <w:sz w:val="20"/>
              <w:szCs w:val="20"/>
            </w:rPr>
          </w:pPr>
        </w:p>
        <w:p w:rsidR="00DF0FFF" w:rsidRPr="00755F22" w:rsidRDefault="00DF0FFF" w:rsidP="00831CA9">
          <w:pPr>
            <w:keepLines/>
            <w:tabs>
              <w:tab w:val="left" w:pos="-1440"/>
              <w:tab w:val="left" w:pos="-720"/>
            </w:tabs>
            <w:jc w:val="center"/>
            <w:rPr>
              <w:sz w:val="20"/>
              <w:szCs w:val="20"/>
            </w:rPr>
          </w:pPr>
        </w:p>
      </w:tc>
      <w:tc>
        <w:tcPr>
          <w:tcW w:w="4080" w:type="dxa"/>
          <w:tcMar>
            <w:left w:w="0" w:type="dxa"/>
            <w:right w:w="0" w:type="dxa"/>
          </w:tcMar>
        </w:tcPr>
        <w:p w:rsidR="00DF0FFF" w:rsidRPr="00BA6468" w:rsidRDefault="00DF0FFF" w:rsidP="00BA6468">
          <w:pPr>
            <w:keepLines/>
            <w:rPr>
              <w:sz w:val="20"/>
              <w:szCs w:val="20"/>
              <w:lang w:val="fr-CA"/>
            </w:rPr>
          </w:pPr>
          <w:r w:rsidRPr="00BA6468">
            <w:rPr>
              <w:sz w:val="20"/>
              <w:szCs w:val="20"/>
              <w:lang w:val="fr-CA"/>
            </w:rPr>
            <w:t>REQUÊTES</w:t>
          </w:r>
        </w:p>
      </w:tc>
    </w:tr>
  </w:tbl>
  <w:p w:rsidR="00DF0FFF" w:rsidRDefault="00DF0FFF"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FF" w:rsidRDefault="00DF0FF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DF0FFF" w:rsidRPr="004C36D9">
      <w:tc>
        <w:tcPr>
          <w:tcW w:w="4200" w:type="dxa"/>
          <w:tcMar>
            <w:left w:w="0" w:type="dxa"/>
            <w:right w:w="0" w:type="dxa"/>
          </w:tcMar>
        </w:tcPr>
        <w:p w:rsidR="00DF0FFF" w:rsidRDefault="00DF0FF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DF0FFF" w:rsidRDefault="00DF0FF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F0FFF" w:rsidRPr="00B01A03" w:rsidRDefault="00DF0FF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DF0FFF" w:rsidRPr="00B01A03" w:rsidRDefault="00DF0F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DF0FFF" w:rsidRPr="00B01A03" w:rsidRDefault="00DF0F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DF0FFF" w:rsidRPr="004C36D9" w:rsidTr="00245129">
      <w:tc>
        <w:tcPr>
          <w:tcW w:w="4200" w:type="dxa"/>
          <w:tcMar>
            <w:left w:w="0" w:type="dxa"/>
            <w:right w:w="0" w:type="dxa"/>
          </w:tcMar>
        </w:tcPr>
        <w:p w:rsidR="00DF0FFF" w:rsidRPr="00F40249" w:rsidRDefault="00DF0FFF"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DF0FFF" w:rsidRDefault="00DF0FFF" w:rsidP="00102926">
          <w:pPr>
            <w:keepNext/>
            <w:keepLines/>
            <w:tabs>
              <w:tab w:val="left" w:pos="-1440"/>
              <w:tab w:val="left" w:pos="-720"/>
            </w:tabs>
            <w:jc w:val="center"/>
            <w:rPr>
              <w:sz w:val="20"/>
              <w:szCs w:val="20"/>
            </w:rPr>
          </w:pPr>
        </w:p>
        <w:p w:rsidR="00DF0FFF" w:rsidRDefault="00DF0FFF" w:rsidP="00102926">
          <w:pPr>
            <w:keepNext/>
            <w:keepLines/>
            <w:tabs>
              <w:tab w:val="left" w:pos="-1440"/>
              <w:tab w:val="left" w:pos="-720"/>
            </w:tabs>
            <w:jc w:val="center"/>
            <w:rPr>
              <w:sz w:val="20"/>
              <w:szCs w:val="20"/>
            </w:rPr>
          </w:pPr>
        </w:p>
        <w:p w:rsidR="00DF0FFF" w:rsidRPr="00F40249" w:rsidRDefault="00DF0FFF" w:rsidP="00102926">
          <w:pPr>
            <w:keepNext/>
            <w:keepLines/>
            <w:tabs>
              <w:tab w:val="left" w:pos="-1440"/>
              <w:tab w:val="left" w:pos="-720"/>
            </w:tabs>
            <w:jc w:val="center"/>
            <w:rPr>
              <w:sz w:val="20"/>
              <w:szCs w:val="20"/>
            </w:rPr>
          </w:pPr>
        </w:p>
      </w:tc>
      <w:tc>
        <w:tcPr>
          <w:tcW w:w="4230" w:type="dxa"/>
          <w:tcMar>
            <w:left w:w="0" w:type="dxa"/>
            <w:right w:w="0" w:type="dxa"/>
          </w:tcMar>
        </w:tcPr>
        <w:p w:rsidR="00DF0FFF" w:rsidRPr="00F40249" w:rsidRDefault="00DF0FFF"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DF0FFF" w:rsidRPr="00B01A03" w:rsidRDefault="00DF0FFF"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FF" w:rsidRDefault="00DF0FF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DF0FFF" w:rsidRPr="004C36D9">
      <w:tc>
        <w:tcPr>
          <w:tcW w:w="4200" w:type="dxa"/>
          <w:tcMar>
            <w:left w:w="0" w:type="dxa"/>
            <w:right w:w="0" w:type="dxa"/>
          </w:tcMar>
        </w:tcPr>
        <w:p w:rsidR="00DF0FFF" w:rsidRDefault="00DF0FF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DF0FFF" w:rsidRDefault="00DF0FF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DF0FFF" w:rsidRDefault="00DF0FF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DF0FFF" w:rsidRPr="003C2C0F" w:rsidRDefault="00DF0FF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DF0FFF" w:rsidRPr="003C2C0F" w:rsidRDefault="00DF0F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DF0FFF" w:rsidRPr="003C2C0F" w:rsidRDefault="00DF0F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F0FFF" w:rsidRPr="004C36D9" w:rsidTr="00245129">
      <w:tc>
        <w:tcPr>
          <w:tcW w:w="4200" w:type="dxa"/>
          <w:tcMar>
            <w:left w:w="0" w:type="dxa"/>
            <w:right w:w="0" w:type="dxa"/>
          </w:tcMar>
        </w:tcPr>
        <w:p w:rsidR="00DF0FFF" w:rsidRPr="00FF6EEC" w:rsidRDefault="00DF0FFF" w:rsidP="00FF6EEC">
          <w:pPr>
            <w:rPr>
              <w:sz w:val="20"/>
              <w:szCs w:val="20"/>
            </w:rPr>
          </w:pPr>
          <w:r w:rsidRPr="00FF6EEC">
            <w:rPr>
              <w:sz w:val="20"/>
              <w:szCs w:val="20"/>
            </w:rPr>
            <w:t>PRONOUNCEMENTS OF APPEALS RESERVED</w:t>
          </w:r>
        </w:p>
      </w:tc>
      <w:tc>
        <w:tcPr>
          <w:tcW w:w="1200" w:type="dxa"/>
          <w:tcMar>
            <w:left w:w="0" w:type="dxa"/>
            <w:right w:w="0" w:type="dxa"/>
          </w:tcMar>
        </w:tcPr>
        <w:p w:rsidR="00DF0FFF" w:rsidRPr="00FF6EEC" w:rsidRDefault="00DF0FFF" w:rsidP="00FF6EEC">
          <w:pPr>
            <w:jc w:val="center"/>
            <w:rPr>
              <w:sz w:val="20"/>
              <w:szCs w:val="20"/>
            </w:rPr>
          </w:pPr>
        </w:p>
        <w:p w:rsidR="00DF0FFF" w:rsidRPr="00FF6EEC" w:rsidRDefault="00DF0FFF" w:rsidP="00FF6EEC">
          <w:pPr>
            <w:jc w:val="center"/>
            <w:rPr>
              <w:sz w:val="20"/>
              <w:szCs w:val="20"/>
            </w:rPr>
          </w:pPr>
        </w:p>
        <w:p w:rsidR="00DF0FFF" w:rsidRPr="00FF6EEC" w:rsidRDefault="00DF0FFF" w:rsidP="00FF6EEC">
          <w:pPr>
            <w:jc w:val="center"/>
            <w:rPr>
              <w:sz w:val="20"/>
              <w:szCs w:val="20"/>
            </w:rPr>
          </w:pPr>
        </w:p>
      </w:tc>
      <w:tc>
        <w:tcPr>
          <w:tcW w:w="4080" w:type="dxa"/>
          <w:tcMar>
            <w:left w:w="0" w:type="dxa"/>
            <w:right w:w="0" w:type="dxa"/>
          </w:tcMar>
        </w:tcPr>
        <w:p w:rsidR="00DF0FFF" w:rsidRPr="00FF6EEC" w:rsidRDefault="00DF0FFF" w:rsidP="00FF6EEC">
          <w:pPr>
            <w:rPr>
              <w:sz w:val="20"/>
              <w:szCs w:val="20"/>
              <w:lang w:val="fr-CA"/>
            </w:rPr>
          </w:pPr>
          <w:r w:rsidRPr="00FF6EEC">
            <w:rPr>
              <w:sz w:val="20"/>
              <w:szCs w:val="20"/>
              <w:lang w:val="fr-CA"/>
            </w:rPr>
            <w:t>JUGEMENTS RENDUS SUR LES APPELS EN DÉLIBÉRÉ</w:t>
          </w:r>
        </w:p>
      </w:tc>
    </w:tr>
  </w:tbl>
  <w:p w:rsidR="00DF0FFF" w:rsidRPr="003C2C0F" w:rsidRDefault="00DF0FFF"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FF" w:rsidRDefault="00DF0F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FF" w:rsidRDefault="00DF0FF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DF0FFF">
      <w:tc>
        <w:tcPr>
          <w:tcW w:w="4230" w:type="dxa"/>
          <w:tcMar>
            <w:left w:w="0" w:type="dxa"/>
            <w:right w:w="0" w:type="dxa"/>
          </w:tcMar>
        </w:tcPr>
        <w:p w:rsidR="00DF0FFF" w:rsidRDefault="00DF0FF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DF0FFF" w:rsidRDefault="00DF0FF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DF0FFF" w:rsidRDefault="00DF0FF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DF0FFF" w:rsidRDefault="00DF0FF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F0FFF" w:rsidRDefault="00DF0FF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DF0FFF" w:rsidRDefault="00DF0FF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DF0FFF" w:rsidRDefault="00DF0F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DF0FFF" w:rsidRDefault="00DF0F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DF0FFF" w:rsidRPr="00782AE4" w:rsidTr="00245129">
      <w:tc>
        <w:tcPr>
          <w:tcW w:w="4230" w:type="dxa"/>
          <w:tcMar>
            <w:left w:w="0" w:type="dxa"/>
            <w:right w:w="0" w:type="dxa"/>
          </w:tcMar>
        </w:tcPr>
        <w:p w:rsidR="00DF0FFF" w:rsidRPr="00782AE4" w:rsidRDefault="00DF0FFF" w:rsidP="00102926">
          <w:pPr>
            <w:keepNext/>
            <w:keepLines/>
            <w:tabs>
              <w:tab w:val="left" w:pos="-1440"/>
              <w:tab w:val="left" w:pos="-720"/>
            </w:tabs>
            <w:rPr>
              <w:sz w:val="20"/>
              <w:szCs w:val="20"/>
            </w:rPr>
          </w:pPr>
          <w:r w:rsidRPr="00782AE4">
            <w:rPr>
              <w:sz w:val="20"/>
              <w:szCs w:val="20"/>
            </w:rPr>
            <w:t xml:space="preserve">HEADNOTES OF RECENT </w:t>
          </w:r>
        </w:p>
        <w:p w:rsidR="00DF0FFF" w:rsidRPr="00782AE4" w:rsidRDefault="00DF0FF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DF0FFF" w:rsidRDefault="00DF0FFF" w:rsidP="00102926">
          <w:pPr>
            <w:keepNext/>
            <w:keepLines/>
            <w:tabs>
              <w:tab w:val="left" w:pos="-1440"/>
              <w:tab w:val="left" w:pos="-720"/>
            </w:tabs>
            <w:jc w:val="center"/>
            <w:rPr>
              <w:sz w:val="20"/>
              <w:szCs w:val="20"/>
            </w:rPr>
          </w:pPr>
        </w:p>
        <w:p w:rsidR="00DF0FFF" w:rsidRDefault="00DF0FFF" w:rsidP="00102926">
          <w:pPr>
            <w:keepNext/>
            <w:keepLines/>
            <w:tabs>
              <w:tab w:val="left" w:pos="-1440"/>
              <w:tab w:val="left" w:pos="-720"/>
            </w:tabs>
            <w:jc w:val="center"/>
            <w:rPr>
              <w:sz w:val="20"/>
              <w:szCs w:val="20"/>
            </w:rPr>
          </w:pPr>
        </w:p>
        <w:p w:rsidR="00DF0FFF" w:rsidRPr="00782AE4" w:rsidRDefault="00DF0FFF" w:rsidP="00102926">
          <w:pPr>
            <w:keepNext/>
            <w:keepLines/>
            <w:tabs>
              <w:tab w:val="left" w:pos="-1440"/>
              <w:tab w:val="left" w:pos="-720"/>
            </w:tabs>
            <w:jc w:val="center"/>
            <w:rPr>
              <w:sz w:val="20"/>
              <w:szCs w:val="20"/>
            </w:rPr>
          </w:pPr>
        </w:p>
      </w:tc>
      <w:tc>
        <w:tcPr>
          <w:tcW w:w="4080" w:type="dxa"/>
          <w:tcMar>
            <w:left w:w="0" w:type="dxa"/>
            <w:right w:w="0" w:type="dxa"/>
          </w:tcMar>
        </w:tcPr>
        <w:p w:rsidR="00DF0FFF" w:rsidRPr="00102926" w:rsidRDefault="00DF0FF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DF0FFF" w:rsidRPr="00782AE4" w:rsidRDefault="00DF0FFF" w:rsidP="00102926">
          <w:pPr>
            <w:keepLines/>
            <w:tabs>
              <w:tab w:val="left" w:pos="-1440"/>
              <w:tab w:val="left" w:pos="-720"/>
            </w:tabs>
            <w:rPr>
              <w:sz w:val="20"/>
              <w:szCs w:val="20"/>
            </w:rPr>
          </w:pPr>
          <w:r w:rsidRPr="00102926">
            <w:rPr>
              <w:sz w:val="20"/>
              <w:szCs w:val="20"/>
              <w:lang w:val="fr-CA"/>
            </w:rPr>
            <w:t>RÉCENTS</w:t>
          </w:r>
        </w:p>
      </w:tc>
    </w:tr>
  </w:tbl>
  <w:p w:rsidR="00DF0FFF" w:rsidRDefault="00DF0FFF"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FF" w:rsidRDefault="00DF0FFF">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FF" w:rsidRDefault="00DF0F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FF" w:rsidRDefault="00DF0FF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DF0FFF" w:rsidRPr="0044776A" w:rsidTr="00245129">
      <w:tc>
        <w:tcPr>
          <w:tcW w:w="4290" w:type="dxa"/>
          <w:tcMar>
            <w:left w:w="0" w:type="dxa"/>
            <w:right w:w="0" w:type="dxa"/>
          </w:tcMar>
        </w:tcPr>
        <w:p w:rsidR="00DF0FFF" w:rsidRPr="0044776A" w:rsidRDefault="00DF0FFF"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DF0FFF" w:rsidRPr="0044776A" w:rsidRDefault="00DF0FFF" w:rsidP="002E2327">
          <w:pPr>
            <w:keepNext/>
            <w:keepLines/>
            <w:tabs>
              <w:tab w:val="left" w:pos="-1440"/>
              <w:tab w:val="left" w:pos="-720"/>
            </w:tabs>
            <w:jc w:val="center"/>
            <w:rPr>
              <w:sz w:val="20"/>
              <w:szCs w:val="20"/>
            </w:rPr>
          </w:pPr>
        </w:p>
        <w:p w:rsidR="00DF0FFF" w:rsidRPr="0044776A" w:rsidRDefault="00DF0FFF" w:rsidP="002E2327">
          <w:pPr>
            <w:keepNext/>
            <w:keepLines/>
            <w:tabs>
              <w:tab w:val="left" w:pos="-1440"/>
              <w:tab w:val="left" w:pos="-720"/>
            </w:tabs>
            <w:jc w:val="center"/>
            <w:rPr>
              <w:sz w:val="20"/>
              <w:szCs w:val="20"/>
            </w:rPr>
          </w:pPr>
        </w:p>
        <w:p w:rsidR="00DF0FFF" w:rsidRPr="0044776A" w:rsidRDefault="00DF0FFF" w:rsidP="002E2327">
          <w:pPr>
            <w:keepNext/>
            <w:keepLines/>
            <w:tabs>
              <w:tab w:val="left" w:pos="-1440"/>
              <w:tab w:val="left" w:pos="-720"/>
            </w:tabs>
            <w:jc w:val="center"/>
            <w:rPr>
              <w:sz w:val="20"/>
              <w:szCs w:val="20"/>
            </w:rPr>
          </w:pPr>
        </w:p>
      </w:tc>
      <w:tc>
        <w:tcPr>
          <w:tcW w:w="4320" w:type="dxa"/>
          <w:tcMar>
            <w:left w:w="0" w:type="dxa"/>
            <w:right w:w="0" w:type="dxa"/>
          </w:tcMar>
        </w:tcPr>
        <w:p w:rsidR="00DF0FFF" w:rsidRPr="0044776A" w:rsidRDefault="00DF0FFF" w:rsidP="002E2327">
          <w:pPr>
            <w:keepLines/>
            <w:rPr>
              <w:sz w:val="20"/>
              <w:szCs w:val="20"/>
              <w:lang w:val="fr-CA"/>
            </w:rPr>
          </w:pPr>
          <w:r w:rsidRPr="0044776A">
            <w:rPr>
              <w:sz w:val="20"/>
              <w:szCs w:val="20"/>
              <w:lang w:val="fr-CA"/>
            </w:rPr>
            <w:t>DEMANDES D'AUTORISATION D'APPEL DÉPOSÉES</w:t>
          </w:r>
        </w:p>
      </w:tc>
    </w:tr>
  </w:tbl>
  <w:p w:rsidR="00DF0FFF" w:rsidRDefault="00DF0FF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FF" w:rsidRDefault="00DF0FF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F0FFF" w:rsidRPr="004C36D9" w:rsidTr="00245129">
      <w:tc>
        <w:tcPr>
          <w:tcW w:w="4200" w:type="dxa"/>
          <w:tcMar>
            <w:left w:w="0" w:type="dxa"/>
            <w:right w:w="0" w:type="dxa"/>
          </w:tcMar>
        </w:tcPr>
        <w:p w:rsidR="00DF0FFF" w:rsidRPr="0044776A" w:rsidRDefault="00DF0FFF" w:rsidP="0044776A">
          <w:pPr>
            <w:keepNext/>
            <w:keepLines/>
            <w:widowControl w:val="0"/>
            <w:rPr>
              <w:sz w:val="20"/>
              <w:szCs w:val="20"/>
            </w:rPr>
          </w:pPr>
          <w:r>
            <w:rPr>
              <w:sz w:val="20"/>
              <w:szCs w:val="20"/>
            </w:rPr>
            <w:t>APPLICATIONS FOR LEAVE</w:t>
          </w:r>
        </w:p>
        <w:p w:rsidR="00DF0FFF" w:rsidRPr="0044776A" w:rsidRDefault="00DF0FFF"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DF0FFF" w:rsidRPr="0044776A" w:rsidRDefault="00DF0FFF" w:rsidP="0044776A">
          <w:pPr>
            <w:keepNext/>
            <w:keepLines/>
            <w:widowControl w:val="0"/>
            <w:jc w:val="center"/>
            <w:rPr>
              <w:sz w:val="20"/>
              <w:szCs w:val="20"/>
            </w:rPr>
          </w:pPr>
        </w:p>
        <w:p w:rsidR="00DF0FFF" w:rsidRPr="0044776A" w:rsidRDefault="00DF0FFF" w:rsidP="0044776A">
          <w:pPr>
            <w:keepNext/>
            <w:keepLines/>
            <w:widowControl w:val="0"/>
            <w:jc w:val="center"/>
            <w:rPr>
              <w:sz w:val="20"/>
              <w:szCs w:val="20"/>
            </w:rPr>
          </w:pPr>
        </w:p>
        <w:p w:rsidR="00DF0FFF" w:rsidRPr="0044776A" w:rsidRDefault="00DF0FFF" w:rsidP="0044776A">
          <w:pPr>
            <w:keepNext/>
            <w:keepLines/>
            <w:widowControl w:val="0"/>
            <w:jc w:val="center"/>
            <w:rPr>
              <w:sz w:val="20"/>
              <w:szCs w:val="20"/>
            </w:rPr>
          </w:pPr>
        </w:p>
      </w:tc>
      <w:tc>
        <w:tcPr>
          <w:tcW w:w="4080" w:type="dxa"/>
          <w:tcMar>
            <w:left w:w="0" w:type="dxa"/>
            <w:right w:w="0" w:type="dxa"/>
          </w:tcMar>
        </w:tcPr>
        <w:p w:rsidR="00DF0FFF" w:rsidRPr="0044776A" w:rsidRDefault="00DF0FFF" w:rsidP="0044776A">
          <w:pPr>
            <w:keepLines/>
            <w:widowControl w:val="0"/>
            <w:rPr>
              <w:sz w:val="20"/>
              <w:szCs w:val="20"/>
              <w:lang w:val="fr-CA"/>
            </w:rPr>
          </w:pPr>
          <w:r w:rsidRPr="0044776A">
            <w:rPr>
              <w:sz w:val="20"/>
              <w:szCs w:val="20"/>
              <w:lang w:val="fr-CA"/>
            </w:rPr>
            <w:t>DEMANDES SOUMISES À LA COUR DEPUIS LA DERNIÈRE PARUTION</w:t>
          </w:r>
        </w:p>
        <w:p w:rsidR="00DF0FFF" w:rsidRPr="0044776A" w:rsidRDefault="00DF0FFF" w:rsidP="0044776A">
          <w:pPr>
            <w:widowControl w:val="0"/>
            <w:rPr>
              <w:sz w:val="20"/>
              <w:szCs w:val="20"/>
              <w:lang w:val="fr-CA"/>
            </w:rPr>
          </w:pPr>
        </w:p>
      </w:tc>
    </w:tr>
  </w:tbl>
  <w:p w:rsidR="00DF0FFF" w:rsidRPr="002E2327" w:rsidRDefault="00DF0FFF">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FF" w:rsidRDefault="00DF0FF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DF0FFF" w:rsidRPr="004C36D9">
      <w:tc>
        <w:tcPr>
          <w:tcW w:w="4200" w:type="dxa"/>
          <w:tcMar>
            <w:left w:w="0" w:type="dxa"/>
            <w:right w:w="0" w:type="dxa"/>
          </w:tcMar>
        </w:tcPr>
        <w:p w:rsidR="00DF0FFF" w:rsidRDefault="00DF0FF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DF0FFF" w:rsidRDefault="00DF0FF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DF0FFF" w:rsidRDefault="00DF0FF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F0FFF" w:rsidRPr="00FF6BA5" w:rsidRDefault="00DF0FF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DF0FFF" w:rsidRPr="00FF6BA5" w:rsidRDefault="00DF0F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DF0FFF" w:rsidRPr="00FF6BA5" w:rsidRDefault="00DF0F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DF0FFF" w:rsidRPr="00FF6BA5" w:rsidRDefault="00DF0F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F0FFF" w:rsidRPr="004C36D9" w:rsidTr="00245129">
      <w:tc>
        <w:tcPr>
          <w:tcW w:w="4200" w:type="dxa"/>
          <w:tcMar>
            <w:left w:w="0" w:type="dxa"/>
            <w:right w:w="0" w:type="dxa"/>
          </w:tcMar>
        </w:tcPr>
        <w:p w:rsidR="00DF0FFF" w:rsidRPr="00755F22" w:rsidRDefault="00DF0FF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DF0FFF" w:rsidRPr="00755F22" w:rsidRDefault="00DF0FF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DF0FFF" w:rsidRPr="00755F22" w:rsidRDefault="00DF0FF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DF0FFF" w:rsidRPr="00755F22" w:rsidRDefault="00DF0FF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DF0FFF" w:rsidRPr="00755F22" w:rsidRDefault="00DF0FF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DF0FFF" w:rsidRPr="00755F22" w:rsidRDefault="00DF0FF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DF0FFF" w:rsidRPr="00FF6BA5" w:rsidRDefault="00DF0FFF"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5D26"/>
    <w:multiLevelType w:val="hybridMultilevel"/>
    <w:tmpl w:val="6608D8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B452203"/>
    <w:multiLevelType w:val="hybridMultilevel"/>
    <w:tmpl w:val="EF5A06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96A2DB1"/>
    <w:multiLevelType w:val="hybridMultilevel"/>
    <w:tmpl w:val="51F465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C715EA6"/>
    <w:multiLevelType w:val="hybridMultilevel"/>
    <w:tmpl w:val="BB2AB1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drawingGridHorizontalSpacing w:val="120"/>
  <w:displayHorizontalDrawingGridEvery w:val="2"/>
  <w:characterSpacingControl w:val="doNotCompress"/>
  <w:hdrShapeDefaults>
    <o:shapedefaults v:ext="edit" spidmax="74767"/>
  </w:hdrShapeDefaults>
  <w:footnotePr>
    <w:footnote w:id="-1"/>
    <w:footnote w:id="0"/>
  </w:footnotePr>
  <w:endnotePr>
    <w:endnote w:id="-1"/>
    <w:endnote w:id="0"/>
  </w:endnotePr>
  <w:compat>
    <w:compatSetting w:name="compatibilityMode" w:uri="http://schemas.microsoft.com/office/word" w:val="12"/>
  </w:compat>
  <w:rsids>
    <w:rsidRoot w:val="00C81F20"/>
    <w:rsid w:val="00020DC3"/>
    <w:rsid w:val="0003223B"/>
    <w:rsid w:val="000327B2"/>
    <w:rsid w:val="0004528B"/>
    <w:rsid w:val="00064FBA"/>
    <w:rsid w:val="00091FA6"/>
    <w:rsid w:val="0009493C"/>
    <w:rsid w:val="00096BD9"/>
    <w:rsid w:val="000A3F8D"/>
    <w:rsid w:val="000B3C9A"/>
    <w:rsid w:val="000B40A2"/>
    <w:rsid w:val="000B4624"/>
    <w:rsid w:val="000C0ACD"/>
    <w:rsid w:val="000C0D2A"/>
    <w:rsid w:val="000C5CE8"/>
    <w:rsid w:val="000E2959"/>
    <w:rsid w:val="000F0B60"/>
    <w:rsid w:val="00102926"/>
    <w:rsid w:val="0010587F"/>
    <w:rsid w:val="00111C6B"/>
    <w:rsid w:val="0012102B"/>
    <w:rsid w:val="0013369E"/>
    <w:rsid w:val="00164D44"/>
    <w:rsid w:val="00164E6D"/>
    <w:rsid w:val="00183454"/>
    <w:rsid w:val="001906F4"/>
    <w:rsid w:val="00197BE7"/>
    <w:rsid w:val="001B157C"/>
    <w:rsid w:val="001B4006"/>
    <w:rsid w:val="001B5C23"/>
    <w:rsid w:val="001D0D5F"/>
    <w:rsid w:val="001D6B8C"/>
    <w:rsid w:val="001F1F83"/>
    <w:rsid w:val="001F40DF"/>
    <w:rsid w:val="001F6B2D"/>
    <w:rsid w:val="002021A9"/>
    <w:rsid w:val="002139A7"/>
    <w:rsid w:val="00215F7C"/>
    <w:rsid w:val="0022323B"/>
    <w:rsid w:val="002410B8"/>
    <w:rsid w:val="00242AEE"/>
    <w:rsid w:val="00245129"/>
    <w:rsid w:val="00245879"/>
    <w:rsid w:val="00267FD5"/>
    <w:rsid w:val="00274D34"/>
    <w:rsid w:val="00283ED8"/>
    <w:rsid w:val="002868D0"/>
    <w:rsid w:val="002A008C"/>
    <w:rsid w:val="002A27D1"/>
    <w:rsid w:val="002A4AFA"/>
    <w:rsid w:val="002B516C"/>
    <w:rsid w:val="002D72EB"/>
    <w:rsid w:val="002D76AD"/>
    <w:rsid w:val="002E2327"/>
    <w:rsid w:val="002E3583"/>
    <w:rsid w:val="002E5576"/>
    <w:rsid w:val="00331B52"/>
    <w:rsid w:val="00332B67"/>
    <w:rsid w:val="003359D3"/>
    <w:rsid w:val="00355967"/>
    <w:rsid w:val="00377513"/>
    <w:rsid w:val="00382C47"/>
    <w:rsid w:val="00384384"/>
    <w:rsid w:val="003863F7"/>
    <w:rsid w:val="003866AE"/>
    <w:rsid w:val="003B3977"/>
    <w:rsid w:val="003D77D4"/>
    <w:rsid w:val="003E1D4C"/>
    <w:rsid w:val="004137A0"/>
    <w:rsid w:val="00422D9A"/>
    <w:rsid w:val="00432989"/>
    <w:rsid w:val="00440E24"/>
    <w:rsid w:val="0044776A"/>
    <w:rsid w:val="00460AFC"/>
    <w:rsid w:val="00472784"/>
    <w:rsid w:val="0047471F"/>
    <w:rsid w:val="00484E81"/>
    <w:rsid w:val="004B195E"/>
    <w:rsid w:val="004B562E"/>
    <w:rsid w:val="004B66B4"/>
    <w:rsid w:val="004B7F60"/>
    <w:rsid w:val="004C1AAC"/>
    <w:rsid w:val="004C36D9"/>
    <w:rsid w:val="004E1E0A"/>
    <w:rsid w:val="004F090E"/>
    <w:rsid w:val="00501C52"/>
    <w:rsid w:val="00501F3C"/>
    <w:rsid w:val="0052229C"/>
    <w:rsid w:val="00527CC7"/>
    <w:rsid w:val="00571CA4"/>
    <w:rsid w:val="00582136"/>
    <w:rsid w:val="005C605E"/>
    <w:rsid w:val="005C6840"/>
    <w:rsid w:val="005F1ED8"/>
    <w:rsid w:val="005F263E"/>
    <w:rsid w:val="00600252"/>
    <w:rsid w:val="00612A40"/>
    <w:rsid w:val="0062714A"/>
    <w:rsid w:val="00645BF5"/>
    <w:rsid w:val="00675479"/>
    <w:rsid w:val="00676DF9"/>
    <w:rsid w:val="00680709"/>
    <w:rsid w:val="00681F61"/>
    <w:rsid w:val="00696BF9"/>
    <w:rsid w:val="00697C62"/>
    <w:rsid w:val="006A329B"/>
    <w:rsid w:val="006A7EB8"/>
    <w:rsid w:val="006B6926"/>
    <w:rsid w:val="006C3F47"/>
    <w:rsid w:val="006C5F7A"/>
    <w:rsid w:val="006E06AF"/>
    <w:rsid w:val="006F350F"/>
    <w:rsid w:val="00732DB7"/>
    <w:rsid w:val="0074238B"/>
    <w:rsid w:val="00745EF7"/>
    <w:rsid w:val="00755F22"/>
    <w:rsid w:val="00766E4A"/>
    <w:rsid w:val="00772E2A"/>
    <w:rsid w:val="007820CE"/>
    <w:rsid w:val="00782AE4"/>
    <w:rsid w:val="0079724F"/>
    <w:rsid w:val="007A3EAE"/>
    <w:rsid w:val="007C04FC"/>
    <w:rsid w:val="007C3DB0"/>
    <w:rsid w:val="007C47C2"/>
    <w:rsid w:val="007D3E0F"/>
    <w:rsid w:val="007E4282"/>
    <w:rsid w:val="007F387B"/>
    <w:rsid w:val="00802863"/>
    <w:rsid w:val="008112A9"/>
    <w:rsid w:val="00815B3C"/>
    <w:rsid w:val="0081610A"/>
    <w:rsid w:val="00826E90"/>
    <w:rsid w:val="0082783A"/>
    <w:rsid w:val="00831CA9"/>
    <w:rsid w:val="00850E1F"/>
    <w:rsid w:val="0085476B"/>
    <w:rsid w:val="0086340B"/>
    <w:rsid w:val="0086554D"/>
    <w:rsid w:val="00890FEB"/>
    <w:rsid w:val="0089171C"/>
    <w:rsid w:val="0089338D"/>
    <w:rsid w:val="00895E7E"/>
    <w:rsid w:val="008A5C1A"/>
    <w:rsid w:val="008B6002"/>
    <w:rsid w:val="008D292F"/>
    <w:rsid w:val="008E03DC"/>
    <w:rsid w:val="00902E51"/>
    <w:rsid w:val="00904110"/>
    <w:rsid w:val="00924065"/>
    <w:rsid w:val="00930D68"/>
    <w:rsid w:val="00932DB4"/>
    <w:rsid w:val="00941A4B"/>
    <w:rsid w:val="00946242"/>
    <w:rsid w:val="0095096B"/>
    <w:rsid w:val="00970CD3"/>
    <w:rsid w:val="009723FA"/>
    <w:rsid w:val="00984546"/>
    <w:rsid w:val="00996510"/>
    <w:rsid w:val="009A35B7"/>
    <w:rsid w:val="009D1F15"/>
    <w:rsid w:val="009D555E"/>
    <w:rsid w:val="009F3024"/>
    <w:rsid w:val="009F351C"/>
    <w:rsid w:val="009F39BA"/>
    <w:rsid w:val="00A0355E"/>
    <w:rsid w:val="00A375D1"/>
    <w:rsid w:val="00A51D10"/>
    <w:rsid w:val="00A52A83"/>
    <w:rsid w:val="00A6552C"/>
    <w:rsid w:val="00A87207"/>
    <w:rsid w:val="00A935AA"/>
    <w:rsid w:val="00A956D3"/>
    <w:rsid w:val="00AA42C0"/>
    <w:rsid w:val="00AB2201"/>
    <w:rsid w:val="00AD1D34"/>
    <w:rsid w:val="00AD3259"/>
    <w:rsid w:val="00AF1715"/>
    <w:rsid w:val="00AF3904"/>
    <w:rsid w:val="00AF3B9D"/>
    <w:rsid w:val="00B010C0"/>
    <w:rsid w:val="00B25625"/>
    <w:rsid w:val="00B420F4"/>
    <w:rsid w:val="00B4740D"/>
    <w:rsid w:val="00B61629"/>
    <w:rsid w:val="00B7374B"/>
    <w:rsid w:val="00B90DC0"/>
    <w:rsid w:val="00BA116A"/>
    <w:rsid w:val="00BA5582"/>
    <w:rsid w:val="00BA5A25"/>
    <w:rsid w:val="00BA6468"/>
    <w:rsid w:val="00BB1D44"/>
    <w:rsid w:val="00BD06DA"/>
    <w:rsid w:val="00BD4217"/>
    <w:rsid w:val="00BD7226"/>
    <w:rsid w:val="00BE7486"/>
    <w:rsid w:val="00BF25F3"/>
    <w:rsid w:val="00C1697B"/>
    <w:rsid w:val="00C21644"/>
    <w:rsid w:val="00C21CB5"/>
    <w:rsid w:val="00C44A6F"/>
    <w:rsid w:val="00C46376"/>
    <w:rsid w:val="00C50A5C"/>
    <w:rsid w:val="00C50FDF"/>
    <w:rsid w:val="00C63381"/>
    <w:rsid w:val="00C73D06"/>
    <w:rsid w:val="00C73E1B"/>
    <w:rsid w:val="00C759B4"/>
    <w:rsid w:val="00C77713"/>
    <w:rsid w:val="00C77910"/>
    <w:rsid w:val="00C81F20"/>
    <w:rsid w:val="00C85BB7"/>
    <w:rsid w:val="00CA2DEA"/>
    <w:rsid w:val="00CB3520"/>
    <w:rsid w:val="00CB43D5"/>
    <w:rsid w:val="00CC4D84"/>
    <w:rsid w:val="00CE198A"/>
    <w:rsid w:val="00CF08C8"/>
    <w:rsid w:val="00D004FC"/>
    <w:rsid w:val="00D006C7"/>
    <w:rsid w:val="00D64901"/>
    <w:rsid w:val="00D76BDF"/>
    <w:rsid w:val="00D818B6"/>
    <w:rsid w:val="00D82946"/>
    <w:rsid w:val="00D85CC4"/>
    <w:rsid w:val="00D862C1"/>
    <w:rsid w:val="00D92D98"/>
    <w:rsid w:val="00D93B50"/>
    <w:rsid w:val="00D94028"/>
    <w:rsid w:val="00D94670"/>
    <w:rsid w:val="00D96C65"/>
    <w:rsid w:val="00DA46F6"/>
    <w:rsid w:val="00DA5C5B"/>
    <w:rsid w:val="00DD0B49"/>
    <w:rsid w:val="00DE0502"/>
    <w:rsid w:val="00DE349D"/>
    <w:rsid w:val="00DF0FFF"/>
    <w:rsid w:val="00E06DFA"/>
    <w:rsid w:val="00E174C1"/>
    <w:rsid w:val="00E20A0A"/>
    <w:rsid w:val="00E240C2"/>
    <w:rsid w:val="00E356C7"/>
    <w:rsid w:val="00E41A5A"/>
    <w:rsid w:val="00E45FE4"/>
    <w:rsid w:val="00E64FA7"/>
    <w:rsid w:val="00E770CB"/>
    <w:rsid w:val="00E903A1"/>
    <w:rsid w:val="00E940EB"/>
    <w:rsid w:val="00E9703F"/>
    <w:rsid w:val="00EA3F85"/>
    <w:rsid w:val="00EB2B90"/>
    <w:rsid w:val="00EB6E85"/>
    <w:rsid w:val="00ED7673"/>
    <w:rsid w:val="00ED7E83"/>
    <w:rsid w:val="00EE091F"/>
    <w:rsid w:val="00EF4B63"/>
    <w:rsid w:val="00F0068D"/>
    <w:rsid w:val="00F0576D"/>
    <w:rsid w:val="00F14E6D"/>
    <w:rsid w:val="00F15EA8"/>
    <w:rsid w:val="00F16C8D"/>
    <w:rsid w:val="00F23A09"/>
    <w:rsid w:val="00F26C61"/>
    <w:rsid w:val="00F33CCE"/>
    <w:rsid w:val="00F40249"/>
    <w:rsid w:val="00F526C8"/>
    <w:rsid w:val="00F66BC4"/>
    <w:rsid w:val="00F741CA"/>
    <w:rsid w:val="00F761A3"/>
    <w:rsid w:val="00F76FFF"/>
    <w:rsid w:val="00F9272D"/>
    <w:rsid w:val="00F9518C"/>
    <w:rsid w:val="00F97A6F"/>
    <w:rsid w:val="00FA316E"/>
    <w:rsid w:val="00FA3373"/>
    <w:rsid w:val="00FA59EF"/>
    <w:rsid w:val="00FB19A2"/>
    <w:rsid w:val="00FF24D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47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table" w:customStyle="1" w:styleId="TableGrid2">
    <w:name w:val="Table Grid2"/>
    <w:basedOn w:val="TableNormal"/>
    <w:next w:val="TableGrid"/>
    <w:uiPriority w:val="59"/>
    <w:rsid w:val="003863F7"/>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talic1">
    <w:name w:val="italic1"/>
    <w:basedOn w:val="DefaultParagraphFont"/>
    <w:rsid w:val="00C44A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www.canlii.org/fr/qc/qccs/doc/2012/2012qccs1021/2012qccs1021.html" TargetMode="External"/><Relationship Id="rId39" Type="http://schemas.openxmlformats.org/officeDocument/2006/relationships/footer" Target="footer9.xml"/><Relationship Id="rId21" Type="http://schemas.openxmlformats.org/officeDocument/2006/relationships/footer" Target="footer6.xml"/><Relationship Id="rId34" Type="http://schemas.openxmlformats.org/officeDocument/2006/relationships/hyperlink" Target="http://canlii.ca/t/gg2h6" TargetMode="External"/><Relationship Id="rId42" Type="http://schemas.openxmlformats.org/officeDocument/2006/relationships/header" Target="header11.xml"/><Relationship Id="rId47" Type="http://schemas.openxmlformats.org/officeDocument/2006/relationships/footer" Target="footer13.xml"/><Relationship Id="rId50" Type="http://schemas.openxmlformats.org/officeDocument/2006/relationships/footer" Target="footer14.xml"/><Relationship Id="rId55" Type="http://schemas.openxmlformats.org/officeDocument/2006/relationships/header" Target="header18.xml"/><Relationship Id="rId63" Type="http://schemas.openxmlformats.org/officeDocument/2006/relationships/footer" Target="footer20.xml"/><Relationship Id="rId68" Type="http://schemas.openxmlformats.org/officeDocument/2006/relationships/footer" Target="footer23.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www.canlii.org/en/bc/bcca/doc/2014/2014bcca466/2014bcca466.html?autocompleteStr=2014%20BCCA%20466&amp;autocompletePos=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canlii.org/fr/qc/qccs/doc/2012/2012qccs1021/2012qccs1021.html" TargetMode="External"/><Relationship Id="rId32" Type="http://schemas.openxmlformats.org/officeDocument/2006/relationships/hyperlink" Target="http://www.canlii.org/fr/qc/qcca/doc/2014/2014qcca2266/2014qcca2266.html?autocompleteStr=2014%20QCCA%202266&amp;autocompletePos=1" TargetMode="External"/><Relationship Id="rId37" Type="http://schemas.openxmlformats.org/officeDocument/2006/relationships/header" Target="header9.xml"/><Relationship Id="rId40" Type="http://schemas.openxmlformats.org/officeDocument/2006/relationships/header" Target="header10.xml"/><Relationship Id="rId45" Type="http://schemas.openxmlformats.org/officeDocument/2006/relationships/footer" Target="footer12.xml"/><Relationship Id="rId53" Type="http://schemas.openxmlformats.org/officeDocument/2006/relationships/footer" Target="footer16.xml"/><Relationship Id="rId58" Type="http://schemas.openxmlformats.org/officeDocument/2006/relationships/header" Target="header19.xml"/><Relationship Id="rId66" Type="http://schemas.openxmlformats.org/officeDocument/2006/relationships/footer" Target="footer2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www.canlii.org/en/bc/bcsc/doc/2013/2013bcsc2081/2013bcsc2081.html?autocompleteStr=2013%20BCSC%202081&amp;autocompletePos=1" TargetMode="External"/><Relationship Id="rId36" Type="http://schemas.openxmlformats.org/officeDocument/2006/relationships/header" Target="header8.xml"/><Relationship Id="rId49" Type="http://schemas.openxmlformats.org/officeDocument/2006/relationships/header" Target="header15.xml"/><Relationship Id="rId57" Type="http://schemas.openxmlformats.org/officeDocument/2006/relationships/footer" Target="footer18.xml"/><Relationship Id="rId61"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www.canlii.org/en/bc/bcca/doc/2014/2014bcca466/2014bcca466.html?autocompleteStr=2014%20BCCA%20466&amp;autocompletePos=1" TargetMode="External"/><Relationship Id="rId44" Type="http://schemas.openxmlformats.org/officeDocument/2006/relationships/footer" Target="footer11.xml"/><Relationship Id="rId52" Type="http://schemas.openxmlformats.org/officeDocument/2006/relationships/header" Target="header16.xml"/><Relationship Id="rId60" Type="http://schemas.openxmlformats.org/officeDocument/2006/relationships/hyperlink" Target="http://www.scc-csc.ca/case-dossier/info/sum-som-eng.aspx?cas=35866" TargetMode="External"/><Relationship Id="rId65"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www.canlii.org/fr/qc/qcca/doc/2014/2014qcca1654/2014qcca1654.html?searchUrlHash=AAAAAAAAAAEAFzIwMTIgUUNDUyAxMDIxIChDYW5MSUkpAAAAAQAzL2ZyL3FjL3FjY3MvZG9jLzIwMTIvMjAxMnFjY3MxMDIxLzIwMTJxY2NzMTAyMS5odG1sAQ&amp;resultIndex=1" TargetMode="External"/><Relationship Id="rId30" Type="http://schemas.openxmlformats.org/officeDocument/2006/relationships/hyperlink" Target="http://www.canlii.org/en/bc/bcsc/doc/2013/2013bcsc2081/2013bcsc2081.html?autocompleteStr=2013%20BCSC%202081&amp;autocompletePos=1" TargetMode="External"/><Relationship Id="rId35" Type="http://schemas.openxmlformats.org/officeDocument/2006/relationships/hyperlink" Target="http://canlii.ca/t/gg2h6" TargetMode="External"/><Relationship Id="rId43" Type="http://schemas.openxmlformats.org/officeDocument/2006/relationships/header" Target="header12.xml"/><Relationship Id="rId48" Type="http://schemas.openxmlformats.org/officeDocument/2006/relationships/header" Target="header14.xml"/><Relationship Id="rId56" Type="http://schemas.openxmlformats.org/officeDocument/2006/relationships/footer" Target="footer17.xml"/><Relationship Id="rId64" Type="http://schemas.openxmlformats.org/officeDocument/2006/relationships/footer" Target="footer21.xml"/><Relationship Id="rId69" Type="http://schemas.openxmlformats.org/officeDocument/2006/relationships/fontTable" Target="fontTable.xml"/><Relationship Id="rId8" Type="http://schemas.openxmlformats.org/officeDocument/2006/relationships/hyperlink" Target="http://www.scc-csc.ca" TargetMode="External"/><Relationship Id="rId51" Type="http://schemas.openxmlformats.org/officeDocument/2006/relationships/footer" Target="footer15.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canlii.org/fr/qc/qcca/doc/2014/2014qcca1654/2014qcca1654.html?searchUrlHash=AAAAAAAAAAEAFzIwMTIgUUNDUyAxMDIxIChDYW5MSUkpAAAAAQAzL2ZyL3FjL3FjY3MvZG9jLzIwMTIvMjAxMnFjY3MxMDIxLzIwMTJxY2NzMTAyMS5odG1sAQ&amp;resultIndex=1" TargetMode="External"/><Relationship Id="rId33" Type="http://schemas.openxmlformats.org/officeDocument/2006/relationships/hyperlink" Target="http://www.canlii.org/fr/qc/qcca/doc/2014/2014qcca2266/2014qcca2266.html?autocompleteStr=2014%20QCCA%202266&amp;autocompletePos=1" TargetMode="External"/><Relationship Id="rId38" Type="http://schemas.openxmlformats.org/officeDocument/2006/relationships/footer" Target="footer8.xml"/><Relationship Id="rId46" Type="http://schemas.openxmlformats.org/officeDocument/2006/relationships/header" Target="header13.xml"/><Relationship Id="rId59" Type="http://schemas.openxmlformats.org/officeDocument/2006/relationships/footer" Target="footer19.xml"/><Relationship Id="rId67" Type="http://schemas.openxmlformats.org/officeDocument/2006/relationships/header" Target="header23.xml"/><Relationship Id="rId20" Type="http://schemas.openxmlformats.org/officeDocument/2006/relationships/header" Target="header6.xml"/><Relationship Id="rId41" Type="http://schemas.openxmlformats.org/officeDocument/2006/relationships/footer" Target="footer10.xml"/><Relationship Id="rId54" Type="http://schemas.openxmlformats.org/officeDocument/2006/relationships/header" Target="header17.xml"/><Relationship Id="rId62" Type="http://schemas.openxmlformats.org/officeDocument/2006/relationships/header" Target="header21.xm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9577</Words>
  <Characters>54592</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2015-06-02T12:55:00Z</dcterms:created>
  <dcterms:modified xsi:type="dcterms:W3CDTF">2015-11-26T21:48:00Z</dcterms:modified>
</cp:coreProperties>
</file>